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7C0E13">
      <w:pPr>
        <w:snapToGrid/>
        <w:spacing w:before="0" w:after="0" w:line="360" w:lineRule="auto"/>
        <w:jc w:val="center"/>
        <w:rPr>
          <w:rFonts w:hint="eastAsia" w:ascii="宋体" w:hAnsi="宋体" w:eastAsia="宋体" w:cs="宋体"/>
          <w:b/>
          <w:color w:val="auto"/>
          <w:sz w:val="44"/>
          <w:szCs w:val="44"/>
          <w:highlight w:val="none"/>
        </w:rPr>
      </w:pPr>
    </w:p>
    <w:p w14:paraId="7A567116">
      <w:pPr>
        <w:snapToGrid/>
        <w:spacing w:before="0" w:after="0" w:line="360" w:lineRule="auto"/>
        <w:jc w:val="center"/>
        <w:rPr>
          <w:rFonts w:hint="eastAsia" w:ascii="宋体" w:hAnsi="宋体" w:eastAsia="宋体" w:cs="宋体"/>
          <w:b/>
          <w:color w:val="auto"/>
          <w:sz w:val="44"/>
          <w:szCs w:val="44"/>
          <w:highlight w:val="none"/>
        </w:rPr>
      </w:pPr>
    </w:p>
    <w:p w14:paraId="5734ED3B">
      <w:pPr>
        <w:snapToGrid/>
        <w:spacing w:before="0" w:after="0" w:line="240" w:lineRule="auto"/>
        <w:jc w:val="center"/>
        <w:rPr>
          <w:rFonts w:hint="eastAsia" w:ascii="宋体" w:hAnsi="宋体" w:eastAsia="宋体" w:cs="宋体"/>
          <w:b/>
          <w:color w:val="auto"/>
          <w:sz w:val="48"/>
          <w:szCs w:val="48"/>
          <w:highlight w:val="none"/>
          <w:lang w:eastAsia="zh-CN"/>
        </w:rPr>
      </w:pPr>
      <w:r>
        <w:rPr>
          <w:rFonts w:hint="eastAsia" w:ascii="宋体" w:hAnsi="宋体" w:eastAsia="宋体" w:cs="宋体"/>
          <w:b/>
          <w:color w:val="auto"/>
          <w:sz w:val="44"/>
          <w:szCs w:val="44"/>
          <w:highlight w:val="none"/>
          <w:lang w:eastAsia="zh-CN"/>
        </w:rPr>
        <w:t>天河区长湴村城中村改造项目AT0211020地块（即14号地块）施工图设计和施工总承包</w:t>
      </w:r>
    </w:p>
    <w:p w14:paraId="572038EF">
      <w:pPr>
        <w:snapToGrid/>
        <w:spacing w:before="0" w:after="0" w:line="360" w:lineRule="auto"/>
        <w:jc w:val="center"/>
        <w:rPr>
          <w:rFonts w:hint="eastAsia" w:ascii="宋体" w:hAnsi="宋体" w:eastAsia="宋体" w:cs="宋体"/>
          <w:color w:val="auto"/>
          <w:sz w:val="32"/>
          <w:highlight w:val="none"/>
        </w:rPr>
      </w:pPr>
    </w:p>
    <w:p w14:paraId="5C13A67D">
      <w:pPr>
        <w:snapToGrid/>
        <w:spacing w:before="0" w:after="0" w:line="360" w:lineRule="auto"/>
        <w:jc w:val="center"/>
        <w:rPr>
          <w:rFonts w:hint="eastAsia" w:ascii="宋体" w:hAnsi="宋体" w:eastAsia="宋体" w:cs="宋体"/>
          <w:color w:val="auto"/>
          <w:sz w:val="32"/>
          <w:szCs w:val="24"/>
          <w:highlight w:val="none"/>
        </w:rPr>
      </w:pPr>
    </w:p>
    <w:p w14:paraId="2AFFF91F">
      <w:pPr>
        <w:snapToGrid/>
        <w:spacing w:before="0" w:after="0" w:line="360" w:lineRule="auto"/>
        <w:jc w:val="center"/>
        <w:rPr>
          <w:rFonts w:hint="eastAsia" w:ascii="宋体" w:hAnsi="宋体" w:eastAsia="宋体" w:cs="宋体"/>
          <w:color w:val="auto"/>
          <w:sz w:val="32"/>
          <w:szCs w:val="24"/>
          <w:highlight w:val="none"/>
        </w:rPr>
      </w:pPr>
    </w:p>
    <w:p w14:paraId="51326C93">
      <w:pPr>
        <w:snapToGrid/>
        <w:spacing w:before="0" w:after="0" w:line="360" w:lineRule="auto"/>
        <w:jc w:val="center"/>
        <w:rPr>
          <w:rFonts w:hint="eastAsia" w:ascii="宋体" w:hAnsi="宋体" w:eastAsia="宋体" w:cs="宋体"/>
          <w:color w:val="auto"/>
          <w:sz w:val="32"/>
          <w:szCs w:val="24"/>
          <w:highlight w:val="none"/>
        </w:rPr>
      </w:pPr>
    </w:p>
    <w:p w14:paraId="2D80023D">
      <w:pPr>
        <w:snapToGrid/>
        <w:spacing w:before="0" w:after="0" w:line="360" w:lineRule="auto"/>
        <w:jc w:val="center"/>
        <w:rPr>
          <w:rFonts w:hint="eastAsia" w:ascii="宋体" w:hAnsi="宋体" w:eastAsia="宋体" w:cs="宋体"/>
          <w:color w:val="auto"/>
          <w:sz w:val="32"/>
          <w:szCs w:val="24"/>
          <w:highlight w:val="none"/>
        </w:rPr>
      </w:pPr>
    </w:p>
    <w:p w14:paraId="46529C57">
      <w:pPr>
        <w:snapToGrid/>
        <w:spacing w:before="0" w:after="0" w:line="360" w:lineRule="auto"/>
        <w:ind w:left="-376" w:leftChars="-171"/>
        <w:jc w:val="center"/>
        <w:rPr>
          <w:rFonts w:hint="eastAsia" w:ascii="宋体" w:hAnsi="宋体" w:eastAsia="宋体" w:cs="宋体"/>
          <w:b/>
          <w:bCs/>
          <w:color w:val="auto"/>
          <w:spacing w:val="26"/>
          <w:sz w:val="84"/>
          <w:szCs w:val="84"/>
          <w:highlight w:val="none"/>
        </w:rPr>
      </w:pPr>
      <w:r>
        <w:rPr>
          <w:rFonts w:hint="eastAsia" w:ascii="宋体" w:hAnsi="宋体" w:eastAsia="宋体" w:cs="宋体"/>
          <w:b/>
          <w:bCs/>
          <w:color w:val="auto"/>
          <w:spacing w:val="26"/>
          <w:sz w:val="84"/>
          <w:szCs w:val="84"/>
          <w:highlight w:val="none"/>
        </w:rPr>
        <w:t>招标文件</w:t>
      </w:r>
    </w:p>
    <w:p w14:paraId="6A448E18">
      <w:pPr>
        <w:snapToGrid/>
        <w:spacing w:before="0" w:after="0" w:line="360" w:lineRule="auto"/>
        <w:ind w:left="-376" w:leftChars="-171"/>
        <w:jc w:val="center"/>
        <w:rPr>
          <w:rFonts w:hint="eastAsia" w:ascii="宋体" w:hAnsi="宋体" w:eastAsia="宋体" w:cs="宋体"/>
          <w:color w:val="auto"/>
          <w:sz w:val="28"/>
          <w:szCs w:val="28"/>
          <w:highlight w:val="none"/>
        </w:rPr>
      </w:pPr>
      <w:r>
        <w:rPr>
          <w:rFonts w:hint="eastAsia" w:ascii="宋体" w:hAnsi="宋体" w:eastAsia="宋体" w:cs="宋体"/>
          <w:b/>
          <w:bCs/>
          <w:color w:val="auto"/>
          <w:spacing w:val="26"/>
          <w:sz w:val="28"/>
          <w:szCs w:val="28"/>
          <w:highlight w:val="none"/>
        </w:rPr>
        <w:t>（第四章 发包人要求）</w:t>
      </w:r>
    </w:p>
    <w:p w14:paraId="630C1C69">
      <w:pPr>
        <w:snapToGrid/>
        <w:spacing w:before="0" w:after="0" w:line="360" w:lineRule="auto"/>
        <w:jc w:val="center"/>
        <w:rPr>
          <w:rFonts w:hint="eastAsia" w:ascii="宋体" w:hAnsi="宋体" w:eastAsia="宋体" w:cs="宋体"/>
          <w:color w:val="auto"/>
          <w:sz w:val="32"/>
          <w:highlight w:val="none"/>
        </w:rPr>
      </w:pPr>
    </w:p>
    <w:p w14:paraId="62AAE559">
      <w:pPr>
        <w:snapToGrid/>
        <w:spacing w:before="0" w:after="0" w:line="360" w:lineRule="auto"/>
        <w:jc w:val="center"/>
        <w:rPr>
          <w:rFonts w:hint="eastAsia" w:ascii="宋体" w:hAnsi="宋体" w:eastAsia="宋体" w:cs="宋体"/>
          <w:color w:val="auto"/>
          <w:sz w:val="32"/>
          <w:szCs w:val="24"/>
          <w:highlight w:val="none"/>
        </w:rPr>
      </w:pPr>
    </w:p>
    <w:p w14:paraId="512D752D">
      <w:pPr>
        <w:snapToGrid/>
        <w:spacing w:before="0" w:after="0" w:line="360" w:lineRule="auto"/>
        <w:jc w:val="center"/>
        <w:rPr>
          <w:rFonts w:hint="eastAsia" w:ascii="宋体" w:hAnsi="宋体" w:eastAsia="宋体" w:cs="宋体"/>
          <w:color w:val="auto"/>
          <w:sz w:val="32"/>
          <w:szCs w:val="24"/>
          <w:highlight w:val="none"/>
        </w:rPr>
      </w:pPr>
    </w:p>
    <w:p w14:paraId="57F52420">
      <w:pPr>
        <w:snapToGrid/>
        <w:spacing w:before="0" w:after="0" w:line="360" w:lineRule="auto"/>
        <w:jc w:val="center"/>
        <w:rPr>
          <w:rFonts w:hint="eastAsia" w:ascii="宋体" w:hAnsi="宋体" w:eastAsia="宋体" w:cs="宋体"/>
          <w:color w:val="auto"/>
          <w:sz w:val="32"/>
          <w:szCs w:val="24"/>
          <w:highlight w:val="none"/>
        </w:rPr>
      </w:pPr>
    </w:p>
    <w:p w14:paraId="7277C53A">
      <w:pPr>
        <w:snapToGrid/>
        <w:spacing w:before="0" w:after="0" w:line="360" w:lineRule="auto"/>
        <w:jc w:val="center"/>
        <w:rPr>
          <w:rFonts w:hint="eastAsia" w:ascii="宋体" w:hAnsi="宋体" w:eastAsia="宋体" w:cs="宋体"/>
          <w:color w:val="auto"/>
          <w:sz w:val="32"/>
          <w:szCs w:val="24"/>
          <w:highlight w:val="none"/>
        </w:rPr>
      </w:pPr>
    </w:p>
    <w:p w14:paraId="77D62798">
      <w:pPr>
        <w:snapToGrid/>
        <w:spacing w:before="0" w:after="0" w:line="360" w:lineRule="auto"/>
        <w:jc w:val="center"/>
        <w:rPr>
          <w:rFonts w:hint="eastAsia" w:ascii="宋体" w:hAnsi="宋体" w:eastAsia="宋体" w:cs="宋体"/>
          <w:color w:val="auto"/>
          <w:sz w:val="32"/>
          <w:szCs w:val="32"/>
          <w:highlight w:val="none"/>
        </w:rPr>
      </w:pPr>
    </w:p>
    <w:p w14:paraId="6DB9F737">
      <w:pPr>
        <w:snapToGrid/>
        <w:spacing w:before="0" w:after="0" w:line="360" w:lineRule="auto"/>
        <w:ind w:firstLine="640" w:firstLineChars="200"/>
        <w:jc w:val="both"/>
        <w:rPr>
          <w:rFonts w:hint="eastAsia" w:ascii="宋体" w:hAnsi="宋体" w:eastAsia="宋体" w:cs="宋体"/>
          <w:color w:val="auto"/>
          <w:sz w:val="32"/>
          <w:szCs w:val="32"/>
          <w:highlight w:val="none"/>
          <w:u w:val="single"/>
        </w:rPr>
      </w:pPr>
      <w:r>
        <w:rPr>
          <w:rFonts w:hint="eastAsia" w:ascii="宋体" w:hAnsi="宋体" w:eastAsia="宋体" w:cs="宋体"/>
          <w:color w:val="auto"/>
          <w:sz w:val="32"/>
          <w:szCs w:val="32"/>
          <w:highlight w:val="none"/>
        </w:rPr>
        <w:t>招标单位：</w:t>
      </w:r>
      <w:r>
        <w:rPr>
          <w:rFonts w:hint="eastAsia" w:ascii="宋体" w:hAnsi="宋体" w:eastAsia="宋体" w:cs="宋体"/>
          <w:color w:val="auto"/>
          <w:sz w:val="32"/>
          <w:szCs w:val="32"/>
          <w:highlight w:val="none"/>
          <w:u w:val="single"/>
        </w:rPr>
        <w:t>广州环五山创新策源区长湴城市更新有限公司</w:t>
      </w:r>
    </w:p>
    <w:p w14:paraId="124DE2B5">
      <w:pPr>
        <w:snapToGrid/>
        <w:spacing w:before="0" w:after="0" w:line="360" w:lineRule="auto"/>
        <w:ind w:firstLine="640" w:firstLineChars="200"/>
        <w:jc w:val="both"/>
        <w:rPr>
          <w:rFonts w:hint="eastAsia" w:ascii="宋体" w:hAnsi="宋体" w:eastAsia="宋体" w:cs="宋体"/>
          <w:color w:val="auto"/>
          <w:sz w:val="32"/>
          <w:szCs w:val="32"/>
          <w:highlight w:val="none"/>
          <w:u w:val="single"/>
        </w:rPr>
      </w:pPr>
      <w:r>
        <w:rPr>
          <w:rFonts w:hint="eastAsia" w:ascii="宋体" w:hAnsi="宋体" w:eastAsia="宋体" w:cs="宋体"/>
          <w:color w:val="auto"/>
          <w:sz w:val="32"/>
          <w:szCs w:val="32"/>
          <w:highlight w:val="none"/>
        </w:rPr>
        <w:t>招标代理单位：</w:t>
      </w:r>
      <w:r>
        <w:rPr>
          <w:rFonts w:hint="eastAsia" w:ascii="宋体" w:hAnsi="宋体" w:eastAsia="宋体" w:cs="宋体"/>
          <w:color w:val="auto"/>
          <w:sz w:val="32"/>
          <w:szCs w:val="32"/>
          <w:highlight w:val="none"/>
          <w:u w:val="single"/>
        </w:rPr>
        <w:t>北京中交建设工程咨询有限公司</w:t>
      </w:r>
    </w:p>
    <w:p w14:paraId="37B13550">
      <w:pPr>
        <w:snapToGrid/>
        <w:spacing w:before="0" w:after="0" w:line="360" w:lineRule="auto"/>
        <w:ind w:firstLine="640" w:firstLineChars="200"/>
        <w:jc w:val="both"/>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日期：2025年5月</w:t>
      </w:r>
    </w:p>
    <w:p w14:paraId="556E9492">
      <w:pPr>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br w:type="page"/>
      </w:r>
    </w:p>
    <w:p w14:paraId="588CA960">
      <w:pPr>
        <w:snapToGrid/>
        <w:spacing w:before="0" w:after="0" w:line="360" w:lineRule="auto"/>
        <w:jc w:val="both"/>
        <w:rPr>
          <w:rFonts w:hint="eastAsia" w:ascii="宋体" w:hAnsi="宋体" w:eastAsia="宋体" w:cs="宋体"/>
          <w:color w:val="auto"/>
          <w:sz w:val="32"/>
          <w:szCs w:val="32"/>
          <w:highlight w:val="none"/>
        </w:rPr>
      </w:pPr>
    </w:p>
    <w:sdt>
      <w:sdtPr>
        <w:rPr>
          <w:rFonts w:ascii="宋体" w:hAnsi="宋体" w:eastAsia="宋体"/>
          <w:color w:val="auto"/>
          <w:kern w:val="0"/>
          <w:sz w:val="21"/>
          <w:szCs w:val="20"/>
          <w:highlight w:val="none"/>
        </w:rPr>
        <w:id w:val="147473765"/>
        <w:docPartObj>
          <w:docPartGallery w:val="Table of Contents"/>
          <w:docPartUnique/>
        </w:docPartObj>
      </w:sdtPr>
      <w:sdtEndPr>
        <w:rPr>
          <w:rFonts w:hint="eastAsia" w:asciiTheme="minorHAnsi" w:hAnsiTheme="minorHAnsi" w:eastAsiaTheme="minorEastAsia"/>
          <w:color w:val="auto"/>
          <w:kern w:val="0"/>
          <w:sz w:val="22"/>
          <w:szCs w:val="20"/>
          <w:highlight w:val="none"/>
        </w:rPr>
      </w:sdtEndPr>
      <w:sdtContent>
        <w:p w14:paraId="0E4698F5">
          <w:pPr>
            <w:spacing w:before="0" w:after="0" w:line="240" w:lineRule="auto"/>
            <w:jc w:val="center"/>
            <w:rPr>
              <w:rFonts w:hint="eastAsia"/>
              <w:color w:val="auto"/>
              <w:highlight w:val="none"/>
            </w:rPr>
          </w:pPr>
          <w:r>
            <w:rPr>
              <w:rFonts w:ascii="宋体" w:hAnsi="宋体" w:eastAsia="宋体"/>
              <w:b/>
              <w:bCs/>
              <w:color w:val="auto"/>
              <w:sz w:val="28"/>
              <w:szCs w:val="32"/>
              <w:highlight w:val="none"/>
            </w:rPr>
            <w:t>目录</w:t>
          </w:r>
        </w:p>
        <w:p w14:paraId="4566A268">
          <w:pPr>
            <w:pStyle w:val="86"/>
            <w:tabs>
              <w:tab w:val="right" w:leader="dot" w:pos="9026"/>
            </w:tabs>
            <w:spacing w:line="48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TOC \o "1-1" \h \u </w:instrText>
          </w:r>
          <w:r>
            <w:rPr>
              <w:rFonts w:hint="eastAsia" w:ascii="宋体" w:hAnsi="宋体" w:eastAsia="宋体" w:cs="宋体"/>
              <w:color w:val="auto"/>
              <w:sz w:val="24"/>
              <w:szCs w:val="24"/>
              <w:highlight w:val="none"/>
            </w:rPr>
            <w:fldChar w:fldCharType="separate"/>
          </w:r>
          <w:r>
            <w:rPr>
              <w:color w:val="auto"/>
              <w:highlight w:val="none"/>
            </w:rPr>
            <w:fldChar w:fldCharType="begin"/>
          </w:r>
          <w:r>
            <w:rPr>
              <w:color w:val="auto"/>
              <w:highlight w:val="none"/>
            </w:rPr>
            <w:instrText xml:space="preserve"> HYPERLINK \l "_Toc17888" </w:instrText>
          </w:r>
          <w:r>
            <w:rPr>
              <w:color w:val="auto"/>
              <w:highlight w:val="none"/>
            </w:rPr>
            <w:fldChar w:fldCharType="separate"/>
          </w:r>
          <w:r>
            <w:rPr>
              <w:rFonts w:hint="eastAsia" w:ascii="宋体" w:hAnsi="宋体" w:eastAsia="宋体" w:cs="宋体"/>
              <w:color w:val="auto"/>
              <w:kern w:val="44"/>
              <w:sz w:val="24"/>
              <w:szCs w:val="48"/>
              <w:highlight w:val="none"/>
            </w:rPr>
            <w:t>第一部分 总体要求</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_Toc17888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0D713A7D">
          <w:pPr>
            <w:pStyle w:val="86"/>
            <w:tabs>
              <w:tab w:val="right" w:leader="dot" w:pos="9026"/>
            </w:tabs>
            <w:spacing w:line="480" w:lineRule="auto"/>
            <w:rPr>
              <w:rFonts w:hint="eastAsia" w:ascii="宋体" w:hAnsi="宋体" w:eastAsia="宋体" w:cs="宋体"/>
              <w:color w:val="auto"/>
              <w:sz w:val="24"/>
              <w:szCs w:val="24"/>
              <w:highlight w:val="none"/>
            </w:rPr>
          </w:pPr>
          <w:r>
            <w:rPr>
              <w:color w:val="auto"/>
              <w:highlight w:val="none"/>
            </w:rPr>
            <w:fldChar w:fldCharType="begin"/>
          </w:r>
          <w:r>
            <w:rPr>
              <w:color w:val="auto"/>
              <w:highlight w:val="none"/>
            </w:rPr>
            <w:instrText xml:space="preserve"> HYPERLINK \l "_Toc3156" </w:instrText>
          </w:r>
          <w:r>
            <w:rPr>
              <w:color w:val="auto"/>
              <w:highlight w:val="none"/>
            </w:rPr>
            <w:fldChar w:fldCharType="separate"/>
          </w:r>
          <w:r>
            <w:rPr>
              <w:rFonts w:hint="eastAsia" w:ascii="宋体" w:hAnsi="宋体" w:eastAsia="宋体" w:cs="宋体"/>
              <w:color w:val="auto"/>
              <w:kern w:val="44"/>
              <w:sz w:val="24"/>
              <w:szCs w:val="48"/>
              <w:highlight w:val="none"/>
            </w:rPr>
            <w:t>第二部分 设计任务书</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_Toc3156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5</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BDD848F">
          <w:pPr>
            <w:pStyle w:val="86"/>
            <w:tabs>
              <w:tab w:val="right" w:leader="dot" w:pos="9026"/>
            </w:tabs>
            <w:spacing w:line="480" w:lineRule="auto"/>
            <w:rPr>
              <w:rFonts w:hint="eastAsia" w:ascii="宋体" w:hAnsi="宋体" w:eastAsia="宋体" w:cs="宋体"/>
              <w:color w:val="auto"/>
              <w:sz w:val="24"/>
              <w:szCs w:val="24"/>
              <w:highlight w:val="none"/>
            </w:rPr>
          </w:pPr>
          <w:r>
            <w:rPr>
              <w:color w:val="auto"/>
              <w:highlight w:val="none"/>
            </w:rPr>
            <w:fldChar w:fldCharType="begin"/>
          </w:r>
          <w:r>
            <w:rPr>
              <w:color w:val="auto"/>
              <w:highlight w:val="none"/>
            </w:rPr>
            <w:instrText xml:space="preserve"> HYPERLINK \l "_Toc1007" </w:instrText>
          </w:r>
          <w:r>
            <w:rPr>
              <w:color w:val="auto"/>
              <w:highlight w:val="none"/>
            </w:rPr>
            <w:fldChar w:fldCharType="separate"/>
          </w:r>
          <w:r>
            <w:rPr>
              <w:rFonts w:hint="eastAsia" w:ascii="宋体" w:hAnsi="宋体" w:eastAsia="宋体" w:cs="宋体"/>
              <w:bCs/>
              <w:color w:val="auto"/>
              <w:sz w:val="24"/>
              <w:szCs w:val="48"/>
              <w:highlight w:val="none"/>
            </w:rPr>
            <w:t>第三部分 施工管理任务书</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05</w:t>
          </w:r>
        </w:p>
        <w:p w14:paraId="0C332FCE">
          <w:pPr>
            <w:pStyle w:val="86"/>
            <w:tabs>
              <w:tab w:val="right" w:leader="dot" w:pos="9026"/>
            </w:tabs>
            <w:spacing w:line="480" w:lineRule="auto"/>
            <w:rPr>
              <w:rFonts w:hint="eastAsia"/>
              <w:color w:val="auto"/>
              <w:highlight w:val="none"/>
            </w:rPr>
            <w:sectPr>
              <w:pgSz w:w="11906" w:h="16838"/>
              <w:pgMar w:top="1440" w:right="1440" w:bottom="1440" w:left="1440" w:header="851" w:footer="992" w:gutter="0"/>
              <w:pgNumType w:start="1"/>
              <w:cols w:space="720" w:num="1"/>
              <w:docGrid w:type="lines" w:linePitch="312" w:charSpace="0"/>
            </w:sectPr>
          </w:pPr>
          <w:r>
            <w:rPr>
              <w:color w:val="auto"/>
              <w:highlight w:val="none"/>
            </w:rPr>
            <w:fldChar w:fldCharType="begin"/>
          </w:r>
          <w:r>
            <w:rPr>
              <w:color w:val="auto"/>
              <w:highlight w:val="none"/>
            </w:rPr>
            <w:instrText xml:space="preserve"> HYPERLINK \l "_Toc28519" </w:instrText>
          </w:r>
          <w:r>
            <w:rPr>
              <w:color w:val="auto"/>
              <w:highlight w:val="none"/>
            </w:rPr>
            <w:fldChar w:fldCharType="separate"/>
          </w:r>
          <w:r>
            <w:rPr>
              <w:rFonts w:hint="eastAsia" w:ascii="宋体" w:hAnsi="宋体" w:eastAsia="宋体" w:cs="宋体"/>
              <w:color w:val="auto"/>
              <w:kern w:val="44"/>
              <w:sz w:val="24"/>
              <w:szCs w:val="48"/>
              <w:highlight w:val="none"/>
            </w:rPr>
            <w:t>第四部分 附件</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t>47</w:t>
          </w:r>
        </w:p>
      </w:sdtContent>
    </w:sdt>
    <w:p w14:paraId="22BD9AC0">
      <w:pPr>
        <w:widowControl/>
        <w:snapToGrid/>
        <w:spacing w:before="0" w:after="0" w:line="240" w:lineRule="auto"/>
        <w:rPr>
          <w:rStyle w:val="52"/>
          <w:rFonts w:hint="eastAsia" w:ascii="宋体" w:hAnsi="宋体" w:eastAsia="宋体" w:cs="宋体"/>
          <w:color w:val="auto"/>
          <w:kern w:val="44"/>
          <w:szCs w:val="28"/>
          <w:highlight w:val="none"/>
        </w:rPr>
      </w:pPr>
    </w:p>
    <w:p w14:paraId="5EE671F8">
      <w:pPr>
        <w:widowControl/>
        <w:snapToGrid/>
        <w:spacing w:before="0" w:after="0" w:line="240" w:lineRule="auto"/>
        <w:jc w:val="center"/>
        <w:rPr>
          <w:rStyle w:val="52"/>
          <w:rFonts w:hint="eastAsia" w:ascii="宋体" w:hAnsi="宋体" w:eastAsia="宋体" w:cs="宋体"/>
          <w:color w:val="auto"/>
          <w:kern w:val="44"/>
          <w:sz w:val="36"/>
          <w:highlight w:val="none"/>
        </w:rPr>
      </w:pPr>
    </w:p>
    <w:p w14:paraId="49AF161A">
      <w:pPr>
        <w:widowControl/>
        <w:snapToGrid/>
        <w:spacing w:before="0" w:after="0" w:line="240" w:lineRule="auto"/>
        <w:jc w:val="center"/>
        <w:outlineLvl w:val="0"/>
        <w:rPr>
          <w:rFonts w:hint="eastAsia" w:ascii="宋体" w:hAnsi="宋体" w:eastAsia="宋体" w:cs="宋体"/>
          <w:b/>
          <w:bCs/>
          <w:color w:val="auto"/>
          <w:sz w:val="48"/>
          <w:szCs w:val="48"/>
          <w:highlight w:val="none"/>
        </w:rPr>
      </w:pPr>
      <w:bookmarkStart w:id="0" w:name="_Toc17888"/>
      <w:r>
        <w:rPr>
          <w:rStyle w:val="52"/>
          <w:rFonts w:hint="eastAsia" w:ascii="宋体" w:hAnsi="宋体" w:eastAsia="宋体" w:cs="宋体"/>
          <w:color w:val="auto"/>
          <w:kern w:val="44"/>
          <w:sz w:val="36"/>
          <w:highlight w:val="none"/>
        </w:rPr>
        <w:t>第一部分 总体要求</w:t>
      </w:r>
      <w:bookmarkEnd w:id="0"/>
    </w:p>
    <w:p w14:paraId="5CEFC992">
      <w:pPr>
        <w:rPr>
          <w:rFonts w:hint="eastAsia" w:ascii="宋体" w:hAnsi="宋体" w:eastAsia="宋体" w:cs="宋体"/>
          <w:b/>
          <w:bCs/>
          <w:color w:val="auto"/>
          <w:kern w:val="0"/>
          <w:sz w:val="28"/>
          <w:szCs w:val="28"/>
          <w:highlight w:val="none"/>
        </w:rPr>
      </w:pPr>
      <w:r>
        <w:rPr>
          <w:rFonts w:hint="eastAsia" w:ascii="宋体" w:hAnsi="宋体" w:eastAsia="宋体" w:cs="宋体"/>
          <w:b/>
          <w:bCs/>
          <w:color w:val="auto"/>
          <w:kern w:val="0"/>
          <w:sz w:val="28"/>
          <w:szCs w:val="28"/>
          <w:highlight w:val="none"/>
        </w:rPr>
        <w:br w:type="page"/>
      </w:r>
    </w:p>
    <w:p w14:paraId="7614D5FB">
      <w:pPr>
        <w:pStyle w:val="2"/>
        <w:spacing w:line="360" w:lineRule="auto"/>
        <w:rPr>
          <w:rFonts w:hint="eastAsia" w:ascii="宋体" w:hAnsi="宋体" w:eastAsia="宋体" w:cs="宋体"/>
          <w:color w:val="auto"/>
          <w:sz w:val="24"/>
          <w:szCs w:val="24"/>
          <w:highlight w:val="none"/>
        </w:rPr>
      </w:pPr>
      <w:bookmarkStart w:id="1" w:name="_Toc9414"/>
      <w:r>
        <w:rPr>
          <w:rFonts w:hint="eastAsia" w:ascii="宋体" w:hAnsi="宋体" w:eastAsia="宋体" w:cs="宋体"/>
          <w:color w:val="auto"/>
          <w:kern w:val="0"/>
          <w:szCs w:val="28"/>
          <w:highlight w:val="none"/>
        </w:rPr>
        <w:t>一、项目概述</w:t>
      </w:r>
      <w:bookmarkEnd w:id="1"/>
    </w:p>
    <w:p w14:paraId="1861E643">
      <w:pPr>
        <w:pStyle w:val="6"/>
        <w:keepNext w:val="0"/>
        <w:keepLines w:val="0"/>
        <w:widowControl/>
        <w:snapToGrid/>
        <w:spacing w:line="360" w:lineRule="auto"/>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1.1项目概述</w:t>
      </w:r>
    </w:p>
    <w:p w14:paraId="7ECB575A">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 项目地点：</w:t>
      </w:r>
      <w:bookmarkStart w:id="2" w:name="OLE_LINK4"/>
      <w:r>
        <w:rPr>
          <w:rFonts w:hint="eastAsia" w:ascii="宋体" w:hAnsi="宋体" w:eastAsia="宋体" w:cs="宋体"/>
          <w:color w:val="auto"/>
          <w:sz w:val="24"/>
          <w:szCs w:val="24"/>
          <w:highlight w:val="none"/>
        </w:rPr>
        <w:t>本项目位于</w:t>
      </w:r>
      <w:bookmarkStart w:id="3" w:name="OLE_LINK3"/>
      <w:r>
        <w:rPr>
          <w:rFonts w:hint="eastAsia" w:ascii="宋体" w:hAnsi="宋体" w:eastAsia="宋体" w:cs="宋体"/>
          <w:color w:val="auto"/>
          <w:sz w:val="24"/>
          <w:szCs w:val="24"/>
          <w:highlight w:val="none"/>
        </w:rPr>
        <w:t>天河区长湴村天鹅花苑北侧地块</w:t>
      </w:r>
      <w:bookmarkEnd w:id="2"/>
      <w:bookmarkEnd w:id="3"/>
      <w:r>
        <w:rPr>
          <w:rFonts w:hint="eastAsia" w:ascii="宋体" w:hAnsi="宋体" w:eastAsia="宋体" w:cs="宋体"/>
          <w:color w:val="auto"/>
          <w:sz w:val="24"/>
          <w:szCs w:val="24"/>
          <w:highlight w:val="none"/>
        </w:rPr>
        <w:t>，长湴南大街南侧、长湴西路东侧、长湴中路西侧。</w:t>
      </w:r>
    </w:p>
    <w:p w14:paraId="59E30EAE">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1.1.2 项目规模：详见招标公告。</w:t>
      </w:r>
    </w:p>
    <w:p w14:paraId="76B71421">
      <w:pPr>
        <w:pStyle w:val="6"/>
        <w:keepNext w:val="0"/>
        <w:keepLines w:val="0"/>
        <w:widowControl/>
        <w:snapToGrid/>
        <w:spacing w:line="360" w:lineRule="auto"/>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1.2项目实施内容及范围：见合同协议书。</w:t>
      </w:r>
    </w:p>
    <w:p w14:paraId="688C3DE8">
      <w:pPr>
        <w:pStyle w:val="6"/>
        <w:keepNext w:val="0"/>
        <w:keepLines w:val="0"/>
        <w:widowControl/>
        <w:snapToGrid/>
        <w:spacing w:line="360" w:lineRule="auto"/>
        <w:rPr>
          <w:rFonts w:hint="eastAsia" w:ascii="宋体" w:hAnsi="宋体" w:eastAsia="宋体" w:cs="宋体"/>
          <w:color w:val="auto"/>
          <w:kern w:val="0"/>
          <w:highlight w:val="none"/>
        </w:rPr>
      </w:pPr>
      <w:r>
        <w:rPr>
          <w:rFonts w:hint="eastAsia" w:ascii="宋体" w:hAnsi="宋体" w:eastAsia="宋体" w:cs="宋体"/>
          <w:color w:val="auto"/>
          <w:kern w:val="0"/>
          <w:highlight w:val="none"/>
        </w:rPr>
        <w:t>二、项目管理目标</w:t>
      </w:r>
    </w:p>
    <w:p w14:paraId="672FDA4D">
      <w:pPr>
        <w:pStyle w:val="6"/>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2.1 工期进度目标：工期暂定为913个日历天（含设计工期）。最终的进度计划按合同约定履行审批手续后实施，具体施工开工时间以总监理工程师发出的开工令为准。发包人根据政府部门以及工程实施情况，有权对本合同工程工期进行适当调整。</w:t>
      </w:r>
    </w:p>
    <w:p w14:paraId="31D6A0D4">
      <w:pPr>
        <w:pStyle w:val="61"/>
        <w:spacing w:line="360" w:lineRule="auto"/>
        <w:ind w:firstLine="480" w:firstLineChars="200"/>
        <w:jc w:val="both"/>
        <w:rPr>
          <w:rFonts w:hint="eastAsia" w:ascii="宋体" w:hAnsi="宋体" w:eastAsia="宋体" w:cs="宋体"/>
          <w:b w:val="0"/>
          <w:snapToGrid w:val="0"/>
          <w:color w:val="auto"/>
          <w:kern w:val="0"/>
          <w:sz w:val="24"/>
          <w:szCs w:val="24"/>
          <w:highlight w:val="none"/>
        </w:rPr>
      </w:pPr>
      <w:r>
        <w:rPr>
          <w:rFonts w:hint="eastAsia" w:ascii="宋体" w:hAnsi="宋体" w:eastAsia="宋体" w:cs="宋体"/>
          <w:b w:val="0"/>
          <w:snapToGrid w:val="0"/>
          <w:color w:val="auto"/>
          <w:kern w:val="0"/>
          <w:sz w:val="24"/>
          <w:szCs w:val="24"/>
          <w:highlight w:val="none"/>
        </w:rPr>
        <w:t>2.2 设计工期：见合同协议书。</w:t>
      </w:r>
    </w:p>
    <w:p w14:paraId="11E4AB3A">
      <w:pPr>
        <w:pStyle w:val="6"/>
        <w:keepNext w:val="0"/>
        <w:keepLines w:val="0"/>
        <w:widowControl/>
        <w:snapToGrid/>
        <w:spacing w:line="360" w:lineRule="auto"/>
        <w:jc w:val="both"/>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snapToGrid w:val="0"/>
          <w:color w:val="auto"/>
          <w:kern w:val="0"/>
          <w:sz w:val="24"/>
          <w:szCs w:val="24"/>
          <w:highlight w:val="none"/>
        </w:rPr>
        <w:t>3、关键节点工期要求：</w:t>
      </w:r>
    </w:p>
    <w:tbl>
      <w:tblPr>
        <w:tblStyle w:val="42"/>
        <w:tblW w:w="9390" w:type="dxa"/>
        <w:tblInd w:w="0" w:type="dxa"/>
        <w:tblLayout w:type="fixed"/>
        <w:tblCellMar>
          <w:top w:w="0" w:type="dxa"/>
          <w:left w:w="108" w:type="dxa"/>
          <w:bottom w:w="0" w:type="dxa"/>
          <w:right w:w="108" w:type="dxa"/>
        </w:tblCellMar>
      </w:tblPr>
      <w:tblGrid>
        <w:gridCol w:w="723"/>
        <w:gridCol w:w="2595"/>
        <w:gridCol w:w="3840"/>
        <w:gridCol w:w="2232"/>
      </w:tblGrid>
      <w:tr w14:paraId="257B0044">
        <w:tblPrEx>
          <w:tblCellMar>
            <w:top w:w="0" w:type="dxa"/>
            <w:left w:w="108" w:type="dxa"/>
            <w:bottom w:w="0" w:type="dxa"/>
            <w:right w:w="108" w:type="dxa"/>
          </w:tblCellMar>
        </w:tblPrEx>
        <w:trPr>
          <w:trHeight w:val="567" w:hRule="atLeast"/>
        </w:trPr>
        <w:tc>
          <w:tcPr>
            <w:tcW w:w="72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C898B1E">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b/>
                <w:color w:val="auto"/>
                <w:sz w:val="21"/>
                <w:szCs w:val="21"/>
                <w:highlight w:val="none"/>
              </w:rPr>
              <w:t>序号</w:t>
            </w:r>
          </w:p>
        </w:tc>
        <w:tc>
          <w:tcPr>
            <w:tcW w:w="2595"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3AAB679">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b/>
                <w:color w:val="auto"/>
                <w:sz w:val="21"/>
                <w:szCs w:val="21"/>
                <w:highlight w:val="none"/>
              </w:rPr>
              <w:t>Ⅰ级关键节点</w:t>
            </w:r>
          </w:p>
        </w:tc>
        <w:tc>
          <w:tcPr>
            <w:tcW w:w="384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726F8C1">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b/>
                <w:color w:val="auto"/>
                <w:sz w:val="21"/>
                <w:szCs w:val="21"/>
                <w:highlight w:val="none"/>
              </w:rPr>
              <w:t>关键节点完成时间</w:t>
            </w:r>
          </w:p>
        </w:tc>
        <w:tc>
          <w:tcPr>
            <w:tcW w:w="2232"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D21D1D0">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b/>
                <w:color w:val="auto"/>
                <w:sz w:val="21"/>
                <w:szCs w:val="21"/>
                <w:highlight w:val="none"/>
              </w:rPr>
              <w:t>备注</w:t>
            </w:r>
          </w:p>
        </w:tc>
      </w:tr>
      <w:tr w14:paraId="71A72FD5">
        <w:tblPrEx>
          <w:tblCellMar>
            <w:top w:w="0" w:type="dxa"/>
            <w:left w:w="108" w:type="dxa"/>
            <w:bottom w:w="0" w:type="dxa"/>
            <w:right w:w="108" w:type="dxa"/>
          </w:tblCellMar>
        </w:tblPrEx>
        <w:trPr>
          <w:trHeight w:val="567" w:hRule="atLeast"/>
        </w:trPr>
        <w:tc>
          <w:tcPr>
            <w:tcW w:w="72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AC5F329">
            <w:pPr>
              <w:spacing w:before="0" w:after="0" w:line="360" w:lineRule="auto"/>
              <w:jc w:val="center"/>
              <w:rPr>
                <w:rFonts w:hint="eastAsia" w:ascii="宋体" w:hAnsi="宋体" w:eastAsia="宋体" w:cs="宋体"/>
                <w:color w:val="auto"/>
                <w:sz w:val="21"/>
                <w:szCs w:val="21"/>
                <w:highlight w:val="none"/>
              </w:rPr>
            </w:pPr>
            <w:bookmarkStart w:id="4" w:name="_Hlk196494154"/>
            <w:r>
              <w:rPr>
                <w:rFonts w:hint="eastAsia" w:ascii="宋体" w:hAnsi="宋体" w:eastAsia="宋体" w:cs="宋体"/>
                <w:color w:val="auto"/>
                <w:sz w:val="21"/>
                <w:szCs w:val="21"/>
                <w:highlight w:val="none"/>
              </w:rPr>
              <w:t>1</w:t>
            </w:r>
          </w:p>
        </w:tc>
        <w:tc>
          <w:tcPr>
            <w:tcW w:w="259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70E7085">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地下室结构</w:t>
            </w:r>
          </w:p>
        </w:tc>
        <w:tc>
          <w:tcPr>
            <w:tcW w:w="384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FFF6547">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发出开工令之日起390日历天完成</w:t>
            </w:r>
          </w:p>
        </w:tc>
        <w:tc>
          <w:tcPr>
            <w:tcW w:w="2232"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3DD08CC">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根据施工进度调整</w:t>
            </w:r>
          </w:p>
        </w:tc>
      </w:tr>
      <w:tr w14:paraId="688B2810">
        <w:tblPrEx>
          <w:tblCellMar>
            <w:top w:w="0" w:type="dxa"/>
            <w:left w:w="108" w:type="dxa"/>
            <w:bottom w:w="0" w:type="dxa"/>
            <w:right w:w="108" w:type="dxa"/>
          </w:tblCellMar>
        </w:tblPrEx>
        <w:trPr>
          <w:trHeight w:val="567" w:hRule="atLeast"/>
        </w:trPr>
        <w:tc>
          <w:tcPr>
            <w:tcW w:w="72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5E2E149">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59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BE97E5E">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主体结构</w:t>
            </w:r>
          </w:p>
        </w:tc>
        <w:tc>
          <w:tcPr>
            <w:tcW w:w="384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7A1B59D">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发出开工令之日起600日历天完成</w:t>
            </w:r>
          </w:p>
        </w:tc>
        <w:tc>
          <w:tcPr>
            <w:tcW w:w="2232"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1C11D3C">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根据施工进度调整</w:t>
            </w:r>
          </w:p>
        </w:tc>
      </w:tr>
      <w:tr w14:paraId="0212FBCC">
        <w:tblPrEx>
          <w:tblCellMar>
            <w:top w:w="0" w:type="dxa"/>
            <w:left w:w="108" w:type="dxa"/>
            <w:bottom w:w="0" w:type="dxa"/>
            <w:right w:w="108" w:type="dxa"/>
          </w:tblCellMar>
        </w:tblPrEx>
        <w:trPr>
          <w:trHeight w:val="567" w:hRule="atLeast"/>
        </w:trPr>
        <w:tc>
          <w:tcPr>
            <w:tcW w:w="723"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D8CE088">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59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08E8F68">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竣工验收及交付</w:t>
            </w:r>
          </w:p>
        </w:tc>
        <w:tc>
          <w:tcPr>
            <w:tcW w:w="384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82065FE">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发出开工令之日起913日历天完成</w:t>
            </w:r>
          </w:p>
        </w:tc>
        <w:tc>
          <w:tcPr>
            <w:tcW w:w="2232"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DF5999D">
            <w:pPr>
              <w:spacing w:before="0" w:after="0"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根据单位工程完成办理竣工验收</w:t>
            </w:r>
          </w:p>
        </w:tc>
      </w:tr>
      <w:bookmarkEnd w:id="4"/>
    </w:tbl>
    <w:p w14:paraId="2D5279FB">
      <w:pPr>
        <w:snapToGrid/>
        <w:spacing w:before="0" w:after="0" w:line="360" w:lineRule="auto"/>
        <w:ind w:right="11"/>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1"/>
          <w:szCs w:val="21"/>
          <w:highlight w:val="none"/>
        </w:rPr>
        <w:t>注：设计进度以满足施工要求为准。</w:t>
      </w:r>
    </w:p>
    <w:p w14:paraId="501E66DB">
      <w:pPr>
        <w:pStyle w:val="6"/>
        <w:keepNext w:val="0"/>
        <w:keepLines w:val="0"/>
        <w:widowControl/>
        <w:snapToGrid/>
        <w:spacing w:line="360" w:lineRule="auto"/>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4、质量目标</w:t>
      </w:r>
    </w:p>
    <w:p w14:paraId="395CB3C7">
      <w:pPr>
        <w:pStyle w:val="3"/>
        <w:ind w:firstLine="480" w:firstLineChars="200"/>
        <w:rPr>
          <w:rFonts w:hint="eastAsia" w:ascii="宋体" w:hAnsi="宋体" w:cs="宋体"/>
          <w:sz w:val="24"/>
          <w:szCs w:val="24"/>
          <w:highlight w:val="none"/>
        </w:rPr>
      </w:pPr>
      <w:r>
        <w:rPr>
          <w:rFonts w:ascii="宋体" w:hAnsi="宋体" w:cs="宋体"/>
          <w:sz w:val="24"/>
          <w:szCs w:val="24"/>
          <w:highlight w:val="none"/>
        </w:rPr>
        <w:t>4.</w:t>
      </w:r>
      <w:r>
        <w:rPr>
          <w:rFonts w:hint="eastAsia" w:ascii="宋体" w:hAnsi="宋体" w:cs="宋体"/>
          <w:sz w:val="24"/>
          <w:szCs w:val="24"/>
          <w:highlight w:val="none"/>
        </w:rPr>
        <w:t xml:space="preserve">1 </w:t>
      </w:r>
      <w:r>
        <w:rPr>
          <w:rFonts w:ascii="宋体" w:hAnsi="宋体" w:cs="宋体"/>
          <w:sz w:val="24"/>
          <w:szCs w:val="24"/>
          <w:highlight w:val="none"/>
        </w:rPr>
        <w:t>BIM技术应用：</w:t>
      </w:r>
      <w:r>
        <w:rPr>
          <w:rFonts w:hint="eastAsia" w:ascii="宋体" w:hAnsi="宋体" w:cs="宋体"/>
          <w:sz w:val="24"/>
          <w:szCs w:val="24"/>
          <w:highlight w:val="none"/>
        </w:rPr>
        <w:t>利用</w:t>
      </w:r>
      <w:r>
        <w:rPr>
          <w:rFonts w:ascii="宋体" w:hAnsi="宋体" w:cs="宋体"/>
          <w:sz w:val="24"/>
          <w:szCs w:val="24"/>
          <w:highlight w:val="none"/>
        </w:rPr>
        <w:t>BIM技术进行正向设计与建模、施工实施、造价管理及相关协调配合</w:t>
      </w:r>
      <w:r>
        <w:rPr>
          <w:rFonts w:hint="eastAsia" w:ascii="宋体" w:hAnsi="宋体" w:cs="宋体"/>
          <w:sz w:val="24"/>
          <w:szCs w:val="24"/>
          <w:highlight w:val="none"/>
        </w:rPr>
        <w:t>，BIM模型交付深度应满足广州市BIM、CIM相关标准要求</w:t>
      </w:r>
      <w:r>
        <w:rPr>
          <w:rFonts w:ascii="宋体" w:hAnsi="宋体" w:cs="宋体"/>
          <w:sz w:val="24"/>
          <w:szCs w:val="24"/>
          <w:highlight w:val="none"/>
        </w:rPr>
        <w:t>。</w:t>
      </w:r>
    </w:p>
    <w:p w14:paraId="3469B96D">
      <w:pPr>
        <w:pStyle w:val="23"/>
        <w:snapToGrid/>
        <w:ind w:left="0" w:leftChars="0" w:firstLine="480" w:firstLineChars="200"/>
        <w:jc w:val="both"/>
        <w:rPr>
          <w:rFonts w:hint="eastAsia" w:ascii="宋体" w:hAnsi="宋体" w:cs="宋体"/>
          <w:szCs w:val="24"/>
          <w:highlight w:val="none"/>
        </w:rPr>
      </w:pPr>
      <w:r>
        <w:rPr>
          <w:rFonts w:hint="eastAsia" w:ascii="宋体" w:hAnsi="宋体" w:cs="宋体"/>
          <w:szCs w:val="24"/>
          <w:highlight w:val="none"/>
        </w:rPr>
        <w:t>4.2工程质量标准和要求（施工质量及项目成效目标）：分部工程验收合格率</w:t>
      </w:r>
      <w:r>
        <w:rPr>
          <w:rFonts w:ascii="宋体" w:hAnsi="宋体" w:cs="宋体"/>
          <w:szCs w:val="24"/>
          <w:highlight w:val="none"/>
        </w:rPr>
        <w:t>100%，项目所涉及的政府专项验收全部通过，单位工程一次竣工验收合格，质量等级评定优良。</w:t>
      </w:r>
    </w:p>
    <w:p w14:paraId="56FB6629">
      <w:pPr>
        <w:pStyle w:val="23"/>
        <w:snapToGrid/>
        <w:ind w:left="0" w:leftChars="0" w:firstLine="480" w:firstLineChars="200"/>
        <w:jc w:val="both"/>
        <w:rPr>
          <w:rFonts w:hint="eastAsia" w:ascii="宋体" w:hAnsi="宋体" w:cs="宋体"/>
          <w:szCs w:val="24"/>
          <w:highlight w:val="none"/>
        </w:rPr>
      </w:pPr>
      <w:r>
        <w:rPr>
          <w:rFonts w:ascii="宋体" w:hAnsi="宋体" w:cs="宋体"/>
          <w:szCs w:val="24"/>
          <w:highlight w:val="none"/>
        </w:rPr>
        <w:t>4.</w:t>
      </w:r>
      <w:r>
        <w:rPr>
          <w:rFonts w:hint="eastAsia" w:ascii="宋体" w:hAnsi="宋体" w:cs="宋体"/>
          <w:szCs w:val="24"/>
          <w:highlight w:val="none"/>
        </w:rPr>
        <w:t>3绿色建筑建设目标：本项目内绿色建筑不应低于国标</w:t>
      </w:r>
      <w:r>
        <w:rPr>
          <w:rFonts w:ascii="宋体" w:hAnsi="宋体" w:cs="宋体"/>
          <w:szCs w:val="24"/>
          <w:highlight w:val="none"/>
        </w:rPr>
        <w:t>《绿色建筑评价标准》GB/T50378-2019（2024修订版）二星级标准。（项目内需要执行绿色建筑相关要求的楼栋以初步设计审批结果为准）。</w:t>
      </w:r>
    </w:p>
    <w:p w14:paraId="058B0B64">
      <w:pPr>
        <w:ind w:firstLine="480" w:firstLineChars="200"/>
        <w:rPr>
          <w:rFonts w:hint="eastAsia"/>
          <w:color w:val="auto"/>
          <w:highlight w:val="none"/>
        </w:rPr>
      </w:pPr>
      <w:r>
        <w:rPr>
          <w:rFonts w:hint="eastAsia" w:ascii="宋体" w:hAnsi="宋体" w:eastAsia="宋体" w:cs="宋体"/>
          <w:color w:val="auto"/>
          <w:sz w:val="24"/>
          <w:szCs w:val="24"/>
          <w:highlight w:val="none"/>
        </w:rPr>
        <w:t>4</w:t>
      </w:r>
      <w:r>
        <w:rPr>
          <w:rFonts w:ascii="宋体" w:hAnsi="宋体" w:eastAsia="宋体" w:cs="宋体"/>
          <w:color w:val="auto"/>
          <w:sz w:val="24"/>
          <w:szCs w:val="24"/>
          <w:highlight w:val="none"/>
        </w:rPr>
        <w:t>.</w:t>
      </w:r>
      <w:r>
        <w:rPr>
          <w:rFonts w:hint="eastAsia" w:ascii="宋体" w:hAnsi="宋体" w:eastAsia="宋体" w:cs="宋体"/>
          <w:color w:val="auto"/>
          <w:sz w:val="24"/>
          <w:szCs w:val="24"/>
          <w:highlight w:val="none"/>
        </w:rPr>
        <w:t>4装配式建筑要求：满足《广州市城中村改造项目改造主体工作评估实施细则（试行）》对本项目的要求。住宅项目至少满足广东省《装配式建筑评价标准》（</w:t>
      </w:r>
      <w:r>
        <w:rPr>
          <w:rFonts w:ascii="宋体" w:hAnsi="宋体" w:eastAsia="宋体" w:cs="宋体"/>
          <w:color w:val="auto"/>
          <w:sz w:val="24"/>
          <w:szCs w:val="24"/>
          <w:highlight w:val="none"/>
        </w:rPr>
        <w:t>DBJ/T15-163-2019）</w:t>
      </w:r>
      <w:r>
        <w:rPr>
          <w:rFonts w:hint="eastAsia" w:ascii="宋体" w:hAnsi="宋体" w:eastAsia="宋体" w:cs="宋体"/>
          <w:color w:val="auto"/>
          <w:sz w:val="24"/>
          <w:szCs w:val="24"/>
          <w:highlight w:val="none"/>
        </w:rPr>
        <w:t>A</w:t>
      </w:r>
      <w:r>
        <w:rPr>
          <w:rFonts w:ascii="宋体" w:hAnsi="宋体" w:eastAsia="宋体" w:cs="宋体"/>
          <w:color w:val="auto"/>
          <w:sz w:val="24"/>
          <w:szCs w:val="24"/>
          <w:highlight w:val="none"/>
        </w:rPr>
        <w:t>级或者广州市《装配式建筑评价标准》（DB4401/T 151—2022）</w:t>
      </w:r>
      <w:r>
        <w:rPr>
          <w:rFonts w:hint="eastAsia" w:ascii="宋体" w:hAnsi="宋体" w:eastAsia="宋体" w:cs="宋体"/>
          <w:color w:val="auto"/>
          <w:sz w:val="24"/>
          <w:szCs w:val="24"/>
          <w:highlight w:val="none"/>
        </w:rPr>
        <w:t>A</w:t>
      </w:r>
      <w:r>
        <w:rPr>
          <w:rFonts w:ascii="宋体" w:hAnsi="宋体" w:eastAsia="宋体" w:cs="宋体"/>
          <w:color w:val="auto"/>
          <w:sz w:val="24"/>
          <w:szCs w:val="24"/>
          <w:highlight w:val="none"/>
        </w:rPr>
        <w:t>级的要求。</w:t>
      </w:r>
    </w:p>
    <w:p w14:paraId="42409C4C">
      <w:pPr>
        <w:ind w:firstLine="480" w:firstLineChars="200"/>
        <w:rPr>
          <w:rFonts w:hint="eastAsia"/>
          <w:color w:val="auto"/>
          <w:highlight w:val="none"/>
        </w:rPr>
      </w:pPr>
      <w:r>
        <w:rPr>
          <w:rFonts w:hint="eastAsia" w:ascii="宋体" w:hAnsi="宋体" w:eastAsia="宋体"/>
          <w:color w:val="auto"/>
          <w:sz w:val="24"/>
          <w:szCs w:val="24"/>
          <w:highlight w:val="none"/>
        </w:rPr>
        <w:t>4.5其他发包人根据《广州市城中村改造项目改造主体工作评估实施细则(试行)》的通知（穗建前期〔2025〕158号）制定的相关要求。</w:t>
      </w:r>
    </w:p>
    <w:p w14:paraId="43B8E674">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4.6模块化建造要求：承包人按照经各方审批同意的模块化建造实施方案及开放方案进行实施。负责模块化建筑的各类方案报批、检测试验、各类方案及其它所需评审工作（包括不限于专家评审；建造技术设计标准、检测标准、验收标准等评审工作）、建设、开放活动的组织与实施，至验收移交前的维护、保洁、接待、临时水电、绿化、安保、消防等所有管理工作。如模块化建造示范开放时间及范围与周边施工区域存在安全隐患或管理盲区，承包人应按发包人或监理要求完善其安全措施及相关管理措施。配合政府、发包人及其它单位完善模块化建筑的建造技术设计标准、检测标准、验收标准、造价资料收集及核定等工作，具体以政府及发包人要求为准。以上所有费用（含差旅费、试验费、专家评审费等）均已包含在投标报价综合考虑中，不再另外开项支付。</w:t>
      </w:r>
    </w:p>
    <w:p w14:paraId="276DB7A0">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由于模块化建筑的建造技术设计标准、检测标准、验收标准等尚未颁布或未完善，需在结构方案、设计方案、施工工艺及方案、检测方案、验收方案、成本方案、实施措施等需达到业主与政府联合专家组给予评审、试验论证等审议通过可行后，才可动工实施。承包人需主导并配合政府及发包人充分做好相关工作。以上所有费用（含差旅费、试验费、专家评审费等）均已包含在投标报价综合考虑中，不再另外开项支付。</w:t>
      </w:r>
    </w:p>
    <w:p w14:paraId="372A338B">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需满足广州市住房和城乡建设局《关于推动项目应用模块化智能建造技术的方案（征求意见稿）》的相关要求。具体要求以政府政策规定及经发包方、设计单位等确认的实施方案为准 。</w:t>
      </w:r>
    </w:p>
    <w:p w14:paraId="69081ABC">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在建造过程中，应及时开展相关技术试验工作，在项目竣工验收前完成关键技术试验论证工作。本项目因模块化建造产生的在建造技术、工艺等方面突破的相关论文、研究成果发表、奖项申报应与发包人共享。</w:t>
      </w:r>
    </w:p>
    <w:p w14:paraId="76F683D2">
      <w:pPr>
        <w:ind w:firstLine="440" w:firstLineChars="200"/>
        <w:rPr>
          <w:rFonts w:hint="eastAsia"/>
          <w:color w:val="auto"/>
          <w:highlight w:val="none"/>
        </w:rPr>
      </w:pPr>
    </w:p>
    <w:p w14:paraId="6A2C1436">
      <w:pPr>
        <w:pStyle w:val="6"/>
        <w:keepNext w:val="0"/>
        <w:keepLines w:val="0"/>
        <w:widowControl/>
        <w:snapToGrid/>
        <w:spacing w:line="360" w:lineRule="auto"/>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五、创优目标：</w:t>
      </w:r>
    </w:p>
    <w:p w14:paraId="38103E73">
      <w:pPr>
        <w:pStyle w:val="23"/>
        <w:snapToGrid/>
        <w:ind w:left="0" w:leftChars="0" w:firstLine="480" w:firstLineChars="200"/>
        <w:jc w:val="both"/>
        <w:rPr>
          <w:rFonts w:hint="eastAsia" w:ascii="宋体" w:hAnsi="宋体" w:cs="宋体"/>
          <w:szCs w:val="24"/>
          <w:highlight w:val="none"/>
        </w:rPr>
      </w:pPr>
      <w:r>
        <w:rPr>
          <w:rFonts w:ascii="宋体" w:hAnsi="宋体" w:cs="宋体"/>
          <w:szCs w:val="24"/>
          <w:highlight w:val="none"/>
        </w:rPr>
        <w:t>5.</w:t>
      </w:r>
      <w:r>
        <w:rPr>
          <w:rFonts w:hint="eastAsia" w:ascii="宋体" w:hAnsi="宋体" w:cs="宋体"/>
          <w:szCs w:val="24"/>
          <w:highlight w:val="none"/>
        </w:rPr>
        <w:t>1确保获得广东省建设工程优质奖或广东省建设工程金匠奖</w:t>
      </w:r>
      <w:bookmarkStart w:id="619" w:name="_GoBack"/>
      <w:bookmarkEnd w:id="619"/>
      <w:r>
        <w:rPr>
          <w:rFonts w:hint="eastAsia" w:ascii="宋体" w:hAnsi="宋体" w:cs="宋体"/>
          <w:szCs w:val="24"/>
          <w:highlight w:val="none"/>
        </w:rPr>
        <w:t>。为达到创优目标所产生的一切相关费用已包含在投标总价中，不再另行计取。</w:t>
      </w:r>
    </w:p>
    <w:p w14:paraId="62388BA8">
      <w:pPr>
        <w:pStyle w:val="6"/>
        <w:keepNext w:val="0"/>
        <w:keepLines w:val="0"/>
        <w:widowControl/>
        <w:snapToGrid/>
        <w:spacing w:line="360" w:lineRule="auto"/>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六</w:t>
      </w:r>
      <w:r>
        <w:rPr>
          <w:rFonts w:ascii="宋体" w:hAnsi="宋体" w:eastAsia="宋体" w:cs="宋体"/>
          <w:b w:val="0"/>
          <w:bCs w:val="0"/>
          <w:snapToGrid w:val="0"/>
          <w:color w:val="auto"/>
          <w:kern w:val="0"/>
          <w:sz w:val="24"/>
          <w:szCs w:val="24"/>
          <w:highlight w:val="none"/>
        </w:rPr>
        <w:t>、创文明工地目标：</w:t>
      </w:r>
    </w:p>
    <w:p w14:paraId="2E52899E">
      <w:pPr>
        <w:pStyle w:val="23"/>
        <w:snapToGrid/>
        <w:ind w:left="0" w:leftChars="0" w:firstLine="480" w:firstLineChars="200"/>
        <w:jc w:val="both"/>
        <w:rPr>
          <w:rFonts w:hint="eastAsia" w:ascii="宋体" w:hAnsi="宋体" w:cs="宋体"/>
          <w:szCs w:val="24"/>
          <w:highlight w:val="none"/>
        </w:rPr>
      </w:pPr>
      <w:r>
        <w:rPr>
          <w:rFonts w:hint="eastAsia" w:ascii="宋体" w:hAnsi="宋体" w:cs="宋体"/>
          <w:szCs w:val="24"/>
          <w:highlight w:val="none"/>
        </w:rPr>
        <w:t>□</w:t>
      </w:r>
      <w:r>
        <w:rPr>
          <w:rFonts w:ascii="宋体" w:hAnsi="宋体" w:cs="宋体"/>
          <w:szCs w:val="24"/>
          <w:highlight w:val="none"/>
        </w:rPr>
        <w:t xml:space="preserve"> 市级安全文明绿色施工样板工地；</w:t>
      </w:r>
    </w:p>
    <w:p w14:paraId="2F764738">
      <w:pPr>
        <w:pStyle w:val="23"/>
        <w:snapToGrid/>
        <w:ind w:left="0" w:leftChars="0" w:firstLine="480" w:firstLineChars="200"/>
        <w:jc w:val="both"/>
        <w:rPr>
          <w:rFonts w:hint="eastAsia" w:ascii="宋体" w:hAnsi="宋体" w:cs="宋体"/>
          <w:szCs w:val="24"/>
          <w:highlight w:val="none"/>
        </w:rPr>
      </w:pPr>
      <w:r>
        <w:rPr>
          <w:rFonts w:hint="eastAsia" w:ascii="仿宋" w:hAnsi="仿宋" w:eastAsia="仿宋" w:cs="仿宋"/>
          <w:highlight w:val="none"/>
        </w:rPr>
        <w:sym w:font="Wingdings 2" w:char="F052"/>
      </w:r>
      <w:r>
        <w:rPr>
          <w:rFonts w:ascii="宋体" w:hAnsi="宋体" w:cs="宋体"/>
          <w:szCs w:val="24"/>
          <w:highlight w:val="none"/>
        </w:rPr>
        <w:t xml:space="preserve"> 省级安全文明示范工地；</w:t>
      </w:r>
    </w:p>
    <w:p w14:paraId="6796FA7F">
      <w:pPr>
        <w:pStyle w:val="23"/>
        <w:snapToGrid/>
        <w:ind w:left="0" w:leftChars="0" w:firstLine="480" w:firstLineChars="200"/>
        <w:jc w:val="both"/>
        <w:rPr>
          <w:rFonts w:hint="eastAsia" w:ascii="宋体" w:hAnsi="宋体" w:cs="宋体"/>
          <w:szCs w:val="24"/>
          <w:highlight w:val="none"/>
        </w:rPr>
      </w:pPr>
      <w:bookmarkStart w:id="5" w:name="OLE_LINK16"/>
      <w:r>
        <w:rPr>
          <w:rFonts w:hint="eastAsia" w:ascii="宋体" w:hAnsi="宋体" w:cs="宋体"/>
          <w:szCs w:val="24"/>
          <w:highlight w:val="none"/>
        </w:rPr>
        <w:t>□</w:t>
      </w:r>
      <w:bookmarkEnd w:id="5"/>
      <w:r>
        <w:rPr>
          <w:rFonts w:ascii="宋体" w:hAnsi="宋体" w:cs="宋体"/>
          <w:szCs w:val="24"/>
          <w:highlight w:val="none"/>
        </w:rPr>
        <w:t xml:space="preserve"> 国家级安全文明工地；</w:t>
      </w:r>
    </w:p>
    <w:p w14:paraId="2614BB19">
      <w:pPr>
        <w:pStyle w:val="23"/>
        <w:snapToGrid/>
        <w:ind w:left="0" w:leftChars="0" w:firstLine="480" w:firstLineChars="200"/>
        <w:jc w:val="both"/>
        <w:rPr>
          <w:rFonts w:hint="eastAsia" w:ascii="宋体" w:hAnsi="宋体" w:cs="宋体"/>
          <w:szCs w:val="24"/>
          <w:highlight w:val="none"/>
        </w:rPr>
      </w:pPr>
      <w:r>
        <w:rPr>
          <w:rFonts w:hint="eastAsia" w:ascii="宋体" w:hAnsi="宋体" w:cs="宋体"/>
          <w:szCs w:val="24"/>
          <w:highlight w:val="none"/>
        </w:rPr>
        <w:t>□</w:t>
      </w:r>
      <w:r>
        <w:rPr>
          <w:rFonts w:ascii="宋体" w:hAnsi="宋体" w:cs="宋体"/>
          <w:szCs w:val="24"/>
          <w:highlight w:val="none"/>
        </w:rPr>
        <w:t xml:space="preserve"> 广州市建筑业绿色施工示范工程；</w:t>
      </w:r>
    </w:p>
    <w:p w14:paraId="045A6336">
      <w:pPr>
        <w:pStyle w:val="23"/>
        <w:snapToGrid/>
        <w:ind w:left="0" w:leftChars="0" w:firstLine="480" w:firstLineChars="200"/>
        <w:jc w:val="both"/>
        <w:rPr>
          <w:rFonts w:hint="eastAsia" w:ascii="宋体" w:hAnsi="宋体" w:cs="宋体"/>
          <w:szCs w:val="24"/>
          <w:highlight w:val="none"/>
        </w:rPr>
      </w:pPr>
      <w:r>
        <w:rPr>
          <w:rFonts w:hint="eastAsia" w:ascii="宋体" w:hAnsi="宋体" w:cs="宋体"/>
          <w:szCs w:val="24"/>
          <w:highlight w:val="none"/>
        </w:rPr>
        <w:t>□</w:t>
      </w:r>
      <w:r>
        <w:rPr>
          <w:rFonts w:ascii="宋体" w:hAnsi="宋体" w:cs="宋体"/>
          <w:szCs w:val="24"/>
          <w:highlight w:val="none"/>
        </w:rPr>
        <w:t xml:space="preserve"> 广东省建筑业绿色施工示范工程；</w:t>
      </w:r>
    </w:p>
    <w:p w14:paraId="1A9CB9C7">
      <w:pPr>
        <w:pStyle w:val="23"/>
        <w:snapToGrid/>
        <w:ind w:left="0" w:leftChars="0" w:firstLine="480" w:firstLineChars="200"/>
        <w:jc w:val="both"/>
        <w:rPr>
          <w:rFonts w:hint="eastAsia" w:ascii="宋体" w:hAnsi="宋体" w:cs="宋体"/>
          <w:szCs w:val="24"/>
          <w:highlight w:val="none"/>
        </w:rPr>
      </w:pPr>
      <w:r>
        <w:rPr>
          <w:rFonts w:hint="eastAsia" w:ascii="宋体" w:hAnsi="宋体" w:cs="宋体"/>
          <w:szCs w:val="24"/>
          <w:highlight w:val="none"/>
        </w:rPr>
        <w:t>□</w:t>
      </w:r>
      <w:r>
        <w:rPr>
          <w:rFonts w:ascii="宋体" w:hAnsi="宋体" w:cs="宋体"/>
          <w:szCs w:val="24"/>
          <w:highlight w:val="none"/>
        </w:rPr>
        <w:t xml:space="preserve"> 全国建筑业绿色施工示范工程；</w:t>
      </w:r>
    </w:p>
    <w:p w14:paraId="098FD2C0">
      <w:pPr>
        <w:pStyle w:val="23"/>
        <w:snapToGrid/>
        <w:ind w:left="0" w:leftChars="0" w:firstLine="480" w:firstLineChars="200"/>
        <w:jc w:val="both"/>
        <w:rPr>
          <w:rFonts w:hint="eastAsia" w:ascii="宋体" w:hAnsi="宋体" w:cs="宋体"/>
          <w:strike/>
          <w:szCs w:val="24"/>
          <w:highlight w:val="none"/>
        </w:rPr>
      </w:pPr>
      <w:r>
        <w:rPr>
          <w:rFonts w:hint="eastAsia" w:ascii="宋体" w:hAnsi="宋体" w:cs="宋体"/>
          <w:szCs w:val="24"/>
          <w:highlight w:val="none"/>
        </w:rPr>
        <w:t>□</w:t>
      </w:r>
      <w:r>
        <w:rPr>
          <w:rFonts w:ascii="宋体" w:hAnsi="宋体" w:cs="宋体"/>
          <w:szCs w:val="24"/>
          <w:highlight w:val="none"/>
        </w:rPr>
        <w:t xml:space="preserve"> </w:t>
      </w:r>
      <w:r>
        <w:rPr>
          <w:rFonts w:hint="eastAsia" w:ascii="宋体" w:hAnsi="宋体" w:cs="宋体"/>
          <w:szCs w:val="24"/>
          <w:highlight w:val="none"/>
        </w:rPr>
        <w:t>其它：/</w:t>
      </w:r>
      <w:r>
        <w:rPr>
          <w:rFonts w:hint="eastAsia" w:ascii="宋体" w:hAnsi="宋体" w:cs="宋体"/>
          <w:strike/>
          <w:szCs w:val="24"/>
          <w:highlight w:val="none"/>
        </w:rPr>
        <w:t xml:space="preserve"> </w:t>
      </w:r>
    </w:p>
    <w:p w14:paraId="6D94BFDA">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为达到创优目标所产生的一切相关费用已包含在投标总价中，不再另行计取。</w:t>
      </w:r>
    </w:p>
    <w:p w14:paraId="7E90FF8F">
      <w:pPr>
        <w:pStyle w:val="6"/>
        <w:keepNext w:val="0"/>
        <w:keepLines w:val="0"/>
        <w:widowControl/>
        <w:snapToGrid/>
        <w:spacing w:line="360" w:lineRule="auto"/>
        <w:rPr>
          <w:rFonts w:hint="eastAsia" w:ascii="宋体" w:hAnsi="宋体" w:eastAsia="宋体" w:cs="宋体"/>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七、职业健康安全管理目标和环境管理目标</w:t>
      </w:r>
    </w:p>
    <w:p w14:paraId="1BA90A69">
      <w:pPr>
        <w:pStyle w:val="23"/>
        <w:snapToGrid/>
        <w:ind w:left="0" w:leftChars="0" w:firstLine="480" w:firstLineChars="200"/>
        <w:jc w:val="both"/>
        <w:rPr>
          <w:rFonts w:hint="eastAsia" w:ascii="宋体" w:hAnsi="宋体" w:cs="宋体"/>
          <w:szCs w:val="24"/>
          <w:highlight w:val="none"/>
        </w:rPr>
      </w:pPr>
      <w:r>
        <w:rPr>
          <w:rFonts w:ascii="宋体" w:hAnsi="宋体" w:cs="宋体"/>
          <w:szCs w:val="24"/>
          <w:highlight w:val="none"/>
        </w:rPr>
        <w:t>7.1职业健康安全管理目标：</w:t>
      </w:r>
    </w:p>
    <w:p w14:paraId="3F01228E">
      <w:pPr>
        <w:pStyle w:val="23"/>
        <w:snapToGrid/>
        <w:ind w:left="0" w:leftChars="0" w:firstLine="480" w:firstLineChars="200"/>
        <w:jc w:val="both"/>
        <w:rPr>
          <w:rFonts w:hint="eastAsia" w:ascii="宋体" w:hAnsi="宋体" w:cs="宋体"/>
          <w:szCs w:val="24"/>
          <w:highlight w:val="none"/>
        </w:rPr>
      </w:pPr>
      <w:r>
        <w:rPr>
          <w:rFonts w:hint="eastAsia" w:ascii="宋体" w:hAnsi="宋体" w:cs="宋体"/>
          <w:szCs w:val="24"/>
          <w:highlight w:val="none"/>
        </w:rPr>
        <w:t>（</w:t>
      </w:r>
      <w:r>
        <w:rPr>
          <w:rFonts w:ascii="宋体" w:hAnsi="宋体" w:cs="宋体"/>
          <w:szCs w:val="24"/>
          <w:highlight w:val="none"/>
        </w:rPr>
        <w:t>1）杜绝发生一般事故等级及以上的伤亡事故且工伤责任事故死亡人数为零。</w:t>
      </w:r>
    </w:p>
    <w:p w14:paraId="29977535">
      <w:pPr>
        <w:pStyle w:val="23"/>
        <w:snapToGrid/>
        <w:ind w:left="0" w:leftChars="0" w:firstLine="480" w:firstLineChars="200"/>
        <w:jc w:val="both"/>
        <w:rPr>
          <w:rFonts w:hint="eastAsia" w:ascii="宋体" w:hAnsi="宋体" w:cs="宋体"/>
          <w:szCs w:val="24"/>
          <w:highlight w:val="none"/>
        </w:rPr>
      </w:pPr>
      <w:r>
        <w:rPr>
          <w:rFonts w:hint="eastAsia" w:ascii="宋体" w:hAnsi="宋体" w:cs="宋体"/>
          <w:szCs w:val="24"/>
          <w:highlight w:val="none"/>
        </w:rPr>
        <w:t>（</w:t>
      </w:r>
      <w:r>
        <w:rPr>
          <w:rFonts w:ascii="宋体" w:hAnsi="宋体" w:cs="宋体"/>
          <w:szCs w:val="24"/>
          <w:highlight w:val="none"/>
        </w:rPr>
        <w:t>2）切实做好疫情防控工作，及时有效采取各项防控措施，提高疫情防控能力，严格落实防疫“四早”原则，确保建设项目不发生疫情，杜绝疫情扩散感染。</w:t>
      </w:r>
    </w:p>
    <w:p w14:paraId="32784101">
      <w:pPr>
        <w:pStyle w:val="23"/>
        <w:snapToGrid/>
        <w:ind w:left="0" w:leftChars="0" w:firstLine="480" w:firstLineChars="200"/>
        <w:jc w:val="both"/>
        <w:rPr>
          <w:rFonts w:hint="eastAsia" w:ascii="宋体" w:hAnsi="宋体" w:cs="宋体"/>
          <w:szCs w:val="24"/>
          <w:highlight w:val="none"/>
        </w:rPr>
      </w:pPr>
      <w:r>
        <w:rPr>
          <w:rFonts w:ascii="宋体" w:hAnsi="宋体" w:cs="宋体"/>
          <w:szCs w:val="24"/>
          <w:highlight w:val="none"/>
        </w:rPr>
        <w:t>7.2环境管理目标：</w:t>
      </w:r>
    </w:p>
    <w:p w14:paraId="4A629988">
      <w:pPr>
        <w:pStyle w:val="23"/>
        <w:snapToGrid/>
        <w:ind w:left="0" w:leftChars="0" w:firstLine="480" w:firstLineChars="200"/>
        <w:jc w:val="both"/>
        <w:rPr>
          <w:rFonts w:hint="eastAsia" w:ascii="宋体" w:hAnsi="宋体" w:cs="宋体"/>
          <w:b/>
          <w:bCs/>
          <w:szCs w:val="24"/>
          <w:highlight w:val="none"/>
        </w:rPr>
      </w:pPr>
      <w:r>
        <w:rPr>
          <w:rFonts w:hint="eastAsia" w:ascii="宋体" w:hAnsi="宋体" w:cs="宋体"/>
          <w:szCs w:val="24"/>
          <w:highlight w:val="none"/>
        </w:rPr>
        <w:t>严格执行《广州市建设工程现场文明施工管理办法》（穗建质〔</w:t>
      </w:r>
      <w:r>
        <w:rPr>
          <w:rFonts w:ascii="宋体" w:hAnsi="宋体" w:cs="宋体"/>
          <w:szCs w:val="24"/>
          <w:highlight w:val="none"/>
        </w:rPr>
        <w:t>2008〕937号）、《关于进一步规范建设工程施工现场围蔽的通知》（穗建质〔2008〕1008号）、《广州市住房和城乡建设局等8部门关于印发广州市建设工程扬尘防治“6个100%”管理标准图集（V2.0版）的通知》和《广州市住房和城乡建设局等9部门关于印发广州市建设工程绿色施工围蔽指导图集（V2.0版）的通知 》（穗建质〔2020〕1号）等，杜绝环境破坏、环境污染和水体</w:t>
      </w:r>
      <w:r>
        <w:rPr>
          <w:rFonts w:hint="eastAsia" w:ascii="宋体" w:hAnsi="宋体" w:cs="宋体"/>
          <w:szCs w:val="24"/>
          <w:highlight w:val="none"/>
        </w:rPr>
        <w:t>污染事故等。</w:t>
      </w:r>
    </w:p>
    <w:p w14:paraId="43A8CBE6">
      <w:pPr>
        <w:pStyle w:val="6"/>
        <w:keepNext w:val="0"/>
        <w:keepLines w:val="0"/>
        <w:widowControl/>
        <w:snapToGrid/>
        <w:spacing w:line="360" w:lineRule="auto"/>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八、投资控制（结算）目标</w:t>
      </w:r>
    </w:p>
    <w:p w14:paraId="3DA31A0F">
      <w:pPr>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投资控制目标：</w:t>
      </w:r>
      <w:r>
        <w:rPr>
          <w:rFonts w:hint="eastAsia" w:ascii="宋体" w:hAnsi="宋体" w:eastAsia="宋体" w:cs="宋体"/>
          <w:color w:val="auto"/>
          <w:spacing w:val="4"/>
          <w:sz w:val="21"/>
          <w:szCs w:val="21"/>
          <w:highlight w:val="none"/>
        </w:rPr>
        <w:t>详见合同条款。</w:t>
      </w:r>
    </w:p>
    <w:p w14:paraId="352B93AE">
      <w:pPr>
        <w:pStyle w:val="24"/>
        <w:numPr>
          <w:ilvl w:val="255"/>
          <w:numId w:val="0"/>
        </w:numPr>
        <w:rPr>
          <w:rFonts w:hint="eastAsia" w:hAnsi="宋体" w:cs="宋体"/>
          <w:spacing w:val="4"/>
          <w:szCs w:val="24"/>
          <w:highlight w:val="none"/>
        </w:rPr>
      </w:pPr>
      <w:r>
        <w:rPr>
          <w:rFonts w:hint="eastAsia" w:hAnsi="宋体" w:cs="宋体"/>
          <w:spacing w:val="4"/>
          <w:szCs w:val="24"/>
          <w:highlight w:val="none"/>
        </w:rPr>
        <w:t>九、其他要求</w:t>
      </w:r>
    </w:p>
    <w:p w14:paraId="57DEDFBB">
      <w:pPr>
        <w:snapToGrid/>
        <w:spacing w:before="0" w:after="0" w:line="360" w:lineRule="auto"/>
        <w:ind w:firstLine="496" w:firstLineChars="200"/>
        <w:jc w:val="both"/>
        <w:rPr>
          <w:rFonts w:hint="eastAsia" w:ascii="宋体" w:hAnsi="宋体" w:eastAsia="宋体" w:cs="宋体"/>
          <w:b/>
          <w:bCs/>
          <w:color w:val="auto"/>
          <w:sz w:val="48"/>
          <w:szCs w:val="48"/>
          <w:highlight w:val="none"/>
        </w:rPr>
      </w:pPr>
      <w:r>
        <w:rPr>
          <w:rFonts w:hint="eastAsia" w:ascii="宋体" w:hAnsi="宋体" w:eastAsia="宋体" w:cs="宋体"/>
          <w:color w:val="auto"/>
          <w:spacing w:val="4"/>
          <w:sz w:val="24"/>
          <w:szCs w:val="24"/>
          <w:highlight w:val="none"/>
        </w:rPr>
        <w:t>详见合同条款。</w:t>
      </w:r>
    </w:p>
    <w:p w14:paraId="1C39DAC2">
      <w:pPr>
        <w:widowControl/>
        <w:snapToGrid/>
        <w:spacing w:before="0" w:after="0" w:line="240" w:lineRule="auto"/>
        <w:rPr>
          <w:rFonts w:hint="eastAsia" w:ascii="宋体" w:hAnsi="宋体" w:eastAsia="宋体" w:cs="宋体"/>
          <w:b/>
          <w:bCs/>
          <w:color w:val="auto"/>
          <w:sz w:val="48"/>
          <w:szCs w:val="48"/>
          <w:highlight w:val="none"/>
        </w:rPr>
      </w:pPr>
      <w:r>
        <w:rPr>
          <w:rFonts w:hint="eastAsia" w:ascii="宋体" w:hAnsi="宋体" w:eastAsia="宋体" w:cs="宋体"/>
          <w:b/>
          <w:bCs/>
          <w:color w:val="auto"/>
          <w:sz w:val="48"/>
          <w:szCs w:val="48"/>
          <w:highlight w:val="none"/>
        </w:rPr>
        <w:br w:type="page"/>
      </w:r>
    </w:p>
    <w:p w14:paraId="728A0570">
      <w:pPr>
        <w:widowControl/>
        <w:snapToGrid/>
        <w:spacing w:before="0" w:after="0" w:line="240" w:lineRule="auto"/>
        <w:jc w:val="center"/>
        <w:rPr>
          <w:rStyle w:val="157"/>
          <w:rFonts w:hint="eastAsia" w:ascii="宋体" w:hAnsi="宋体" w:eastAsia="宋体" w:cs="宋体"/>
          <w:color w:val="auto"/>
          <w:kern w:val="44"/>
          <w:sz w:val="36"/>
          <w:highlight w:val="none"/>
        </w:rPr>
      </w:pPr>
      <w:bookmarkStart w:id="6" w:name="_Toc4505"/>
      <w:bookmarkStart w:id="7" w:name="_Toc12402"/>
      <w:bookmarkStart w:id="8" w:name="_Toc30480"/>
      <w:bookmarkStart w:id="9" w:name="_Toc62770032"/>
      <w:bookmarkStart w:id="10" w:name="_Toc101635937"/>
      <w:bookmarkStart w:id="11" w:name="_Toc104581783"/>
      <w:bookmarkStart w:id="12" w:name="_Toc16781"/>
    </w:p>
    <w:p w14:paraId="33FF8609">
      <w:pPr>
        <w:widowControl/>
        <w:snapToGrid/>
        <w:spacing w:before="0" w:after="0" w:line="240" w:lineRule="auto"/>
        <w:jc w:val="center"/>
        <w:outlineLvl w:val="0"/>
        <w:rPr>
          <w:rFonts w:hint="eastAsia" w:ascii="宋体" w:hAnsi="宋体" w:eastAsia="宋体" w:cs="宋体"/>
          <w:b/>
          <w:bCs/>
          <w:color w:val="auto"/>
          <w:sz w:val="48"/>
          <w:szCs w:val="48"/>
          <w:highlight w:val="none"/>
        </w:rPr>
      </w:pPr>
      <w:bookmarkStart w:id="13" w:name="_Toc3156"/>
      <w:r>
        <w:rPr>
          <w:rStyle w:val="157"/>
          <w:rFonts w:hint="eastAsia" w:ascii="宋体" w:hAnsi="宋体" w:eastAsia="宋体" w:cs="宋体"/>
          <w:color w:val="auto"/>
          <w:kern w:val="44"/>
          <w:sz w:val="36"/>
          <w:highlight w:val="none"/>
        </w:rPr>
        <w:t>第二部分 设计任务书</w:t>
      </w:r>
      <w:bookmarkEnd w:id="13"/>
    </w:p>
    <w:p w14:paraId="6CC5D3EB">
      <w:pPr>
        <w:rPr>
          <w:rFonts w:hint="eastAsia" w:ascii="宋体" w:hAnsi="宋体" w:eastAsia="宋体" w:cs="宋体"/>
          <w:b/>
          <w:bCs/>
          <w:color w:val="auto"/>
          <w:sz w:val="28"/>
          <w:szCs w:val="28"/>
          <w:highlight w:val="none"/>
        </w:rPr>
      </w:pPr>
      <w:bookmarkStart w:id="14" w:name="_Toc6321"/>
      <w:bookmarkStart w:id="15" w:name="_Toc96366259"/>
      <w:r>
        <w:rPr>
          <w:rFonts w:hint="eastAsia" w:ascii="宋体" w:hAnsi="宋体" w:eastAsia="宋体" w:cs="宋体"/>
          <w:b/>
          <w:bCs/>
          <w:color w:val="auto"/>
          <w:sz w:val="28"/>
          <w:szCs w:val="28"/>
          <w:highlight w:val="none"/>
        </w:rPr>
        <w:br w:type="page"/>
      </w:r>
    </w:p>
    <w:p w14:paraId="7C5FD79A">
      <w:pPr>
        <w:jc w:val="center"/>
        <w:rPr>
          <w:rFonts w:hint="eastAsia" w:ascii="宋体" w:hAnsi="宋体" w:eastAsia="宋体" w:cs="宋体"/>
          <w:color w:val="auto"/>
          <w:sz w:val="32"/>
          <w:szCs w:val="32"/>
          <w:highlight w:val="none"/>
        </w:rPr>
      </w:pPr>
      <w:r>
        <w:rPr>
          <w:rFonts w:hint="eastAsia" w:ascii="宋体" w:hAnsi="宋体" w:eastAsia="宋体" w:cs="宋体"/>
          <w:b/>
          <w:bCs/>
          <w:color w:val="auto"/>
          <w:sz w:val="28"/>
          <w:szCs w:val="28"/>
          <w:highlight w:val="none"/>
        </w:rPr>
        <w:t>前言</w:t>
      </w:r>
    </w:p>
    <w:p w14:paraId="03DF2B41">
      <w:pPr>
        <w:rPr>
          <w:rFonts w:hint="eastAsia" w:ascii="宋体" w:hAnsi="宋体" w:eastAsia="宋体" w:cs="宋体"/>
          <w:color w:val="auto"/>
          <w:sz w:val="28"/>
          <w:szCs w:val="28"/>
          <w:highlight w:val="none"/>
        </w:rPr>
      </w:pPr>
    </w:p>
    <w:p w14:paraId="238B1D4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的建设目标和任务将紧紧围绕天河区长湴村城中村的改造，作为首开区的土地开发建设，先期开展配套市政道路及市政设施、安置区建设，解决长湴村居民拆迁安置及周边地块出行交通问题，为区域改造升级奠定基础。</w:t>
      </w:r>
    </w:p>
    <w:p w14:paraId="2AEEFD4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设应坚持遵循安全可靠、经济实用、资源节约、环境友好和适度创新的原则，充分考虑安置村民的居住习惯和居住行为、住宅使用功能与空间的组合，以满足安置家庭的基本居住生活需求，合理确定套型结构。商业充分考虑其商业价值及其适用性。同时体现“以人为本”的设计原则，创造安全、方便、健康、紧凑、和谐的人居环境，并合理采用成熟可靠的新技术、新材料、新工艺，符合国家有关技术标准、规范，达到节地、节能、节水、节材和环境保护的目标要求。</w:t>
      </w:r>
    </w:p>
    <w:p w14:paraId="2D76F6B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针对本项目建设地块内容较多、建设时间短的特点，从规范、合理、经济统一的角度出发编制了本设计任务书。</w:t>
      </w:r>
    </w:p>
    <w:p w14:paraId="47E2A7BC">
      <w:pPr>
        <w:spacing w:line="360" w:lineRule="auto"/>
        <w:ind w:firstLine="480" w:firstLineChars="200"/>
        <w:rPr>
          <w:rFonts w:hint="eastAsia" w:ascii="宋体" w:hAnsi="宋体" w:eastAsia="宋体" w:cs="宋体"/>
          <w:color w:val="auto"/>
          <w:sz w:val="24"/>
          <w:szCs w:val="24"/>
          <w:highlight w:val="none"/>
        </w:rPr>
      </w:pPr>
      <w:bookmarkStart w:id="16" w:name="_Hlk104657704"/>
      <w:r>
        <w:rPr>
          <w:rFonts w:hint="eastAsia" w:ascii="宋体" w:hAnsi="宋体" w:eastAsia="宋体" w:cs="宋体"/>
          <w:color w:val="auto"/>
          <w:sz w:val="24"/>
          <w:szCs w:val="24"/>
          <w:highlight w:val="none"/>
        </w:rPr>
        <w:t>本设计任务书的主要技术内容包括并不限于规划放线测量、房屋建筑设计、公建配套设计、基坑设计、人防设计、室外园林设计、市政工程设计、预算编制、树木保护等</w:t>
      </w:r>
      <w:bookmarkEnd w:id="16"/>
      <w:r>
        <w:rPr>
          <w:rFonts w:hint="eastAsia" w:ascii="宋体" w:hAnsi="宋体" w:eastAsia="宋体" w:cs="宋体"/>
          <w:color w:val="auto"/>
          <w:sz w:val="24"/>
          <w:szCs w:val="24"/>
          <w:highlight w:val="none"/>
        </w:rPr>
        <w:t>。</w:t>
      </w:r>
    </w:p>
    <w:p w14:paraId="5D49C36B">
      <w:pPr>
        <w:pStyle w:val="3"/>
        <w:ind w:firstLine="0" w:firstLineChars="0"/>
        <w:rPr>
          <w:highlight w:val="none"/>
        </w:rPr>
        <w:sectPr>
          <w:footerReference r:id="rId5" w:type="default"/>
          <w:pgSz w:w="11906" w:h="16838"/>
          <w:pgMar w:top="1440" w:right="1440" w:bottom="1440" w:left="1440" w:header="851" w:footer="992" w:gutter="0"/>
          <w:pgNumType w:start="1"/>
          <w:cols w:space="720" w:num="1"/>
          <w:docGrid w:type="lines" w:linePitch="312" w:charSpace="0"/>
        </w:sectPr>
      </w:pPr>
    </w:p>
    <w:p w14:paraId="71DABDD4">
      <w:pPr>
        <w:pStyle w:val="2"/>
        <w:keepNext w:val="0"/>
        <w:keepLines w:val="0"/>
        <w:snapToGrid/>
        <w:spacing w:line="360" w:lineRule="auto"/>
        <w:rPr>
          <w:rFonts w:hint="eastAsia" w:ascii="宋体" w:hAnsi="宋体" w:eastAsia="宋体" w:cs="宋体"/>
          <w:color w:val="auto"/>
          <w:highlight w:val="none"/>
        </w:rPr>
      </w:pPr>
      <w:bookmarkStart w:id="17" w:name="_Toc21262"/>
      <w:bookmarkStart w:id="18" w:name="_Toc104581690"/>
      <w:bookmarkStart w:id="19" w:name="_Toc30685"/>
      <w:bookmarkStart w:id="20" w:name="_Toc32485"/>
      <w:bookmarkStart w:id="21" w:name="_Toc29830"/>
      <w:r>
        <w:rPr>
          <w:rFonts w:hint="eastAsia" w:ascii="宋体" w:hAnsi="宋体" w:eastAsia="宋体" w:cs="宋体"/>
          <w:color w:val="auto"/>
          <w:highlight w:val="none"/>
        </w:rPr>
        <w:t>一、总则</w:t>
      </w:r>
      <w:bookmarkEnd w:id="17"/>
      <w:bookmarkEnd w:id="18"/>
      <w:bookmarkEnd w:id="19"/>
      <w:bookmarkEnd w:id="20"/>
      <w:bookmarkEnd w:id="21"/>
    </w:p>
    <w:p w14:paraId="6FB165AC">
      <w:pPr>
        <w:pStyle w:val="5"/>
        <w:keepNext w:val="0"/>
        <w:keepLines w:val="0"/>
        <w:snapToGrid/>
        <w:spacing w:before="156" w:beforeLines="50" w:after="0"/>
        <w:rPr>
          <w:rFonts w:hint="eastAsia" w:ascii="宋体" w:hAnsi="宋体" w:eastAsia="宋体" w:cs="宋体"/>
          <w:color w:val="auto"/>
          <w:sz w:val="24"/>
          <w:szCs w:val="24"/>
          <w:highlight w:val="none"/>
        </w:rPr>
      </w:pPr>
      <w:bookmarkStart w:id="22" w:name="_Toc176925089"/>
      <w:bookmarkStart w:id="23" w:name="_Toc176857809"/>
      <w:bookmarkStart w:id="24" w:name="_Toc179860348"/>
      <w:bookmarkStart w:id="25" w:name="_Toc3764"/>
      <w:bookmarkStart w:id="26" w:name="_Toc104581691"/>
      <w:bookmarkStart w:id="27" w:name="_Toc2315"/>
      <w:bookmarkStart w:id="28" w:name="_Toc25611"/>
      <w:bookmarkStart w:id="29" w:name="_Toc14339"/>
      <w:bookmarkStart w:id="30" w:name="_Toc176921258"/>
      <w:r>
        <w:rPr>
          <w:rFonts w:hint="eastAsia" w:ascii="宋体" w:hAnsi="宋体" w:eastAsia="宋体" w:cs="宋体"/>
          <w:color w:val="auto"/>
          <w:sz w:val="24"/>
          <w:szCs w:val="24"/>
          <w:highlight w:val="none"/>
        </w:rPr>
        <w:t>1.项目背景</w:t>
      </w:r>
      <w:bookmarkEnd w:id="22"/>
      <w:bookmarkEnd w:id="23"/>
      <w:bookmarkEnd w:id="24"/>
      <w:bookmarkEnd w:id="25"/>
      <w:bookmarkEnd w:id="26"/>
      <w:bookmarkEnd w:id="27"/>
      <w:bookmarkEnd w:id="28"/>
      <w:bookmarkEnd w:id="29"/>
      <w:bookmarkEnd w:id="30"/>
    </w:p>
    <w:p w14:paraId="03967AD6">
      <w:pPr>
        <w:pStyle w:val="24"/>
        <w:ind w:firstLine="480"/>
        <w:rPr>
          <w:rFonts w:hint="eastAsia" w:hAnsi="宋体" w:cs="宋体"/>
          <w:szCs w:val="24"/>
          <w:highlight w:val="none"/>
        </w:rPr>
      </w:pPr>
      <w:bookmarkStart w:id="31" w:name="_Toc176921259"/>
      <w:bookmarkStart w:id="32" w:name="_Toc15284"/>
      <w:bookmarkStart w:id="33" w:name="_Toc179860349"/>
      <w:bookmarkStart w:id="34" w:name="_Toc3177"/>
      <w:bookmarkStart w:id="35" w:name="_Toc104581692"/>
      <w:bookmarkStart w:id="36" w:name="_Toc176925090"/>
      <w:bookmarkStart w:id="37" w:name="_Toc176857810"/>
      <w:bookmarkStart w:id="38" w:name="_Toc30341"/>
      <w:bookmarkStart w:id="39" w:name="_Toc31643"/>
      <w:r>
        <w:rPr>
          <w:rFonts w:hint="eastAsia" w:hAnsi="宋体" w:cs="宋体"/>
          <w:szCs w:val="24"/>
          <w:highlight w:val="none"/>
        </w:rPr>
        <w:t>为落实《关于在超大特大城市积极稳步推进城中村改造的指导意见》，为积极稳步实施城中村改造，推动城市高质量发展，改善民生、扩大内需。《广州市城市更新专项规划》与《广州市城中村改造专项规划》强调加快实现广州“老城市新活力”,稳步有序推动高质量城市更新，以城中村综合治理改造作为盘活存量用地的突破口和关键点，坚持“拆、治、兴”并举，战略引领、规划先行，探索高质量发展新路径，建设宜居、韧性、智慧的现代化城市。2024年，广州市召开全市高质量发展大会，打好城中村改造攻坚战，出台改造条例，深入实施“依法征收、净地出让”新模式，加快重点片区改造。广州市政府工作报告提出：扎实推进，加快推进“一轴两岸、四片多点”城市品质提升。“推进建设琶洲智数创新区、环港科大(广州)创新区、环五山创新策源区和环中大、环大学城科技成果转化基地”。</w:t>
      </w:r>
    </w:p>
    <w:p w14:paraId="3EF32741">
      <w:pPr>
        <w:pStyle w:val="24"/>
        <w:ind w:firstLine="480"/>
        <w:rPr>
          <w:rFonts w:hint="eastAsia" w:hAnsi="宋体" w:cs="宋体"/>
          <w:szCs w:val="24"/>
          <w:highlight w:val="none"/>
        </w:rPr>
      </w:pPr>
      <w:r>
        <w:rPr>
          <w:rFonts w:hint="eastAsia" w:hAnsi="宋体" w:cs="宋体"/>
          <w:szCs w:val="24"/>
          <w:highlight w:val="none"/>
        </w:rPr>
        <w:t>为融入广州市活力创新轴发展，强化环五山创新策源区原始创新创造的空间供给。《广州活力创新轴总体规划》提出发挥“环五山”高校群新材料、生物医药、信息技术专业优势，及在新能源汽车领域的人才培养优势，加快引入芯片、航空等装备智造、新能源汽车、生物医药等应用型研发机构，引导联合实验室、产业技术研究院等创新机构布局。强化“学校-企业”互动，重点深化科研设施周边1公里范围的嵌入式创新空间供给。鼓励环五山等片区积极结合城中村改造推进土地储备，加大低成本空间、孵化空间供给力度。</w:t>
      </w:r>
    </w:p>
    <w:p w14:paraId="1135B558">
      <w:pPr>
        <w:pStyle w:val="24"/>
        <w:ind w:firstLine="480"/>
        <w:rPr>
          <w:rFonts w:hint="eastAsia" w:hAnsi="宋体" w:cs="宋体"/>
          <w:szCs w:val="24"/>
          <w:highlight w:val="none"/>
        </w:rPr>
      </w:pPr>
      <w:r>
        <w:rPr>
          <w:rFonts w:hint="eastAsia" w:hAnsi="宋体" w:cs="宋体"/>
          <w:szCs w:val="24"/>
          <w:highlight w:val="none"/>
        </w:rPr>
        <w:t>为围绕天河区建成中国式现代化典范城区的战略目标，奋力争当“大干十二年、再造新广州”排头兵、领头羊。重点围绕天河中央商务区、广州国际金融城、天河智慧城、天河智谷片区、环五山创新策源区、沙河片区、龙洞凤凰片区等七个重点发展片区，挖掘潜力发展空间，力争到2035年经济总量过万亿元。落实“123456”产业发展思路举措，充分发挥环五山创新策源区动力之源作用，助力实现建成中国式现代化典范城区的战略目标，奋力争当“大干十二年、再造新广州”排头兵、领头羊。</w:t>
      </w:r>
    </w:p>
    <w:p w14:paraId="547AA472">
      <w:pPr>
        <w:pStyle w:val="24"/>
        <w:ind w:firstLine="480"/>
        <w:rPr>
          <w:rFonts w:hint="eastAsia" w:hAnsi="宋体" w:cs="宋体"/>
          <w:szCs w:val="24"/>
          <w:highlight w:val="none"/>
        </w:rPr>
      </w:pPr>
      <w:r>
        <w:rPr>
          <w:rFonts w:hint="eastAsia" w:hAnsi="宋体" w:cs="宋体"/>
          <w:szCs w:val="24"/>
          <w:highlight w:val="none"/>
        </w:rPr>
        <w:t>为响应“城央公园·绿美之芯”目标，与华南国家植物园、火炉山森林公园融合发展，打造城园融合先行示范区。长湴片区紧邻华南国家植物园、火炉山森林公园作为华南国家植物园-火炉山森林公园城央融合发展“西联的重要节点。借助城中村改造契机，通过“拆、治、兴”等方式，释放低效存量用地资源，提升生活环境品质，改善城市面貌，作为城园融合的先行示范。</w:t>
      </w:r>
    </w:p>
    <w:p w14:paraId="00037B17">
      <w:pPr>
        <w:pStyle w:val="24"/>
        <w:ind w:firstLine="480"/>
        <w:rPr>
          <w:rFonts w:hint="eastAsia" w:hAnsi="宋体" w:cs="宋体"/>
          <w:szCs w:val="24"/>
          <w:highlight w:val="none"/>
        </w:rPr>
      </w:pPr>
    </w:p>
    <w:p w14:paraId="2095D462">
      <w:pPr>
        <w:pStyle w:val="5"/>
        <w:keepNext w:val="0"/>
        <w:keepLines w:val="0"/>
        <w:snapToGrid/>
        <w:spacing w:before="156" w:beforeLines="50" w:after="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2.设计任务书编制依据</w:t>
      </w:r>
      <w:bookmarkEnd w:id="31"/>
      <w:bookmarkEnd w:id="32"/>
      <w:bookmarkEnd w:id="33"/>
      <w:bookmarkEnd w:id="34"/>
      <w:bookmarkEnd w:id="35"/>
      <w:bookmarkEnd w:id="36"/>
      <w:bookmarkEnd w:id="37"/>
      <w:bookmarkEnd w:id="38"/>
      <w:bookmarkEnd w:id="39"/>
    </w:p>
    <w:p w14:paraId="2F0181D4">
      <w:pPr>
        <w:pStyle w:val="24"/>
        <w:ind w:firstLine="480"/>
        <w:rPr>
          <w:rFonts w:hint="eastAsia" w:hAnsi="宋体" w:cs="宋体"/>
          <w:szCs w:val="24"/>
          <w:highlight w:val="none"/>
        </w:rPr>
      </w:pPr>
      <w:bookmarkStart w:id="40" w:name="_Toc7646"/>
      <w:bookmarkStart w:id="41" w:name="_Toc25375"/>
      <w:bookmarkStart w:id="42" w:name="_Toc104581693"/>
      <w:bookmarkStart w:id="43" w:name="_Toc15723"/>
      <w:r>
        <w:rPr>
          <w:rFonts w:hint="eastAsia" w:hAnsi="宋体" w:cs="宋体"/>
          <w:szCs w:val="24"/>
          <w:highlight w:val="none"/>
        </w:rPr>
        <w:t>2.1  《广州市住房和城乡建设局关于天河区长湴村城中村改造方案的批复(穗建综建复〔2025〕28号)》</w:t>
      </w:r>
    </w:p>
    <w:p w14:paraId="67DE7B97">
      <w:pPr>
        <w:pStyle w:val="24"/>
        <w:ind w:firstLine="480"/>
        <w:rPr>
          <w:rFonts w:hint="eastAsia" w:hAnsi="宋体" w:cs="宋体"/>
          <w:strike/>
          <w:szCs w:val="24"/>
          <w:highlight w:val="none"/>
        </w:rPr>
      </w:pPr>
      <w:r>
        <w:rPr>
          <w:rFonts w:hint="eastAsia" w:hAnsi="宋体" w:cs="宋体"/>
          <w:szCs w:val="24"/>
          <w:highlight w:val="none"/>
        </w:rPr>
        <w:t>2.2 天河区环五山创新策源区长湴村首开区控制性详细规划调整方案过程稿</w:t>
      </w:r>
    </w:p>
    <w:p w14:paraId="5D3842AE">
      <w:pPr>
        <w:pStyle w:val="24"/>
        <w:ind w:firstLine="480"/>
        <w:rPr>
          <w:rFonts w:hint="eastAsia" w:hAnsi="宋体" w:cs="宋体"/>
          <w:szCs w:val="24"/>
          <w:highlight w:val="none"/>
        </w:rPr>
      </w:pPr>
      <w:r>
        <w:rPr>
          <w:rFonts w:hint="eastAsia" w:hAnsi="宋体" w:cs="宋体"/>
          <w:szCs w:val="24"/>
          <w:highlight w:val="none"/>
        </w:rPr>
        <w:t>2.3 国家及省市颁布的相关法律、法规、规定</w:t>
      </w:r>
    </w:p>
    <w:p w14:paraId="5263083E">
      <w:pPr>
        <w:pStyle w:val="24"/>
        <w:ind w:firstLine="480"/>
        <w:rPr>
          <w:rFonts w:hint="eastAsia" w:hAnsi="宋体" w:cs="宋体"/>
          <w:szCs w:val="24"/>
          <w:highlight w:val="none"/>
        </w:rPr>
      </w:pPr>
      <w:r>
        <w:rPr>
          <w:rFonts w:hint="eastAsia" w:hAnsi="宋体" w:cs="宋体"/>
          <w:szCs w:val="24"/>
          <w:highlight w:val="none"/>
        </w:rPr>
        <w:t>2.4 《广州市城市规划管理技术标准与准则》—建筑工程规划管理篇/修建性详细规划篇/市政规划篇</w:t>
      </w:r>
    </w:p>
    <w:p w14:paraId="3C40161B">
      <w:pPr>
        <w:pStyle w:val="24"/>
        <w:ind w:firstLine="480"/>
        <w:rPr>
          <w:rFonts w:hint="eastAsia" w:hAnsi="宋体" w:cs="宋体"/>
          <w:szCs w:val="24"/>
          <w:highlight w:val="none"/>
        </w:rPr>
      </w:pPr>
      <w:r>
        <w:rPr>
          <w:rFonts w:hint="eastAsia" w:hAnsi="宋体" w:cs="宋体"/>
          <w:szCs w:val="24"/>
          <w:highlight w:val="none"/>
        </w:rPr>
        <w:t>2.5 《广州市城乡规划技术规定》</w:t>
      </w:r>
    </w:p>
    <w:p w14:paraId="019CCCA6">
      <w:pPr>
        <w:pStyle w:val="24"/>
        <w:ind w:firstLine="480"/>
        <w:rPr>
          <w:rFonts w:hint="eastAsia" w:hAnsi="宋体" w:cs="宋体"/>
          <w:szCs w:val="24"/>
          <w:highlight w:val="none"/>
        </w:rPr>
      </w:pPr>
      <w:r>
        <w:rPr>
          <w:rFonts w:hint="eastAsia" w:hAnsi="宋体" w:cs="宋体"/>
          <w:szCs w:val="24"/>
          <w:highlight w:val="none"/>
        </w:rPr>
        <w:t>2.6《天河区长湴村城中村改造项目AT0211020地块项目可行性研究报告》</w:t>
      </w:r>
    </w:p>
    <w:p w14:paraId="7763B0AD">
      <w:pPr>
        <w:pStyle w:val="24"/>
        <w:ind w:firstLine="480"/>
        <w:rPr>
          <w:rFonts w:hint="eastAsia" w:hAnsi="宋体" w:cs="宋体"/>
          <w:szCs w:val="24"/>
          <w:highlight w:val="none"/>
        </w:rPr>
      </w:pPr>
      <w:r>
        <w:rPr>
          <w:rFonts w:hint="eastAsia" w:hAnsi="宋体" w:cs="宋体"/>
          <w:szCs w:val="24"/>
          <w:highlight w:val="none"/>
        </w:rPr>
        <w:t>2.7《AT0211020 地块建设用地规划红线示意图》</w:t>
      </w:r>
    </w:p>
    <w:p w14:paraId="467DDBC7">
      <w:pPr>
        <w:pStyle w:val="24"/>
        <w:ind w:firstLine="480"/>
        <w:rPr>
          <w:rFonts w:hint="eastAsia" w:hAnsi="宋体" w:cs="宋体"/>
          <w:szCs w:val="24"/>
          <w:highlight w:val="none"/>
        </w:rPr>
      </w:pPr>
      <w:r>
        <w:rPr>
          <w:rFonts w:hint="eastAsia" w:hAnsi="宋体" w:cs="宋体"/>
          <w:szCs w:val="24"/>
          <w:highlight w:val="none"/>
        </w:rPr>
        <w:t>2.8《穗规划资源天函〔2024〕2567号关于提供环五山创新策源区长湴片区首期项目AT0211020地块规划情况的函》</w:t>
      </w:r>
    </w:p>
    <w:p w14:paraId="65653B21">
      <w:pPr>
        <w:pStyle w:val="24"/>
        <w:ind w:firstLine="480"/>
        <w:rPr>
          <w:rFonts w:hint="eastAsia" w:hAnsi="宋体" w:cs="宋体"/>
          <w:szCs w:val="24"/>
          <w:highlight w:val="none"/>
        </w:rPr>
      </w:pPr>
      <w:r>
        <w:rPr>
          <w:rFonts w:hint="eastAsia" w:hAnsi="宋体" w:cs="宋体"/>
          <w:szCs w:val="24"/>
          <w:highlight w:val="none"/>
        </w:rPr>
        <w:t>2.9各专业相关规范。</w:t>
      </w:r>
    </w:p>
    <w:p w14:paraId="779A5905">
      <w:pPr>
        <w:pStyle w:val="5"/>
        <w:keepNext w:val="0"/>
        <w:keepLines w:val="0"/>
        <w:snapToGrid/>
        <w:spacing w:before="156" w:beforeLines="50" w:after="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3.规划条件</w:t>
      </w:r>
      <w:bookmarkEnd w:id="40"/>
      <w:bookmarkEnd w:id="41"/>
      <w:bookmarkEnd w:id="42"/>
      <w:bookmarkEnd w:id="43"/>
    </w:p>
    <w:p w14:paraId="77561491">
      <w:pPr>
        <w:pStyle w:val="6"/>
        <w:tabs>
          <w:tab w:val="left" w:pos="284"/>
        </w:tabs>
        <w:snapToGrid/>
        <w:spacing w:line="360" w:lineRule="auto"/>
        <w:jc w:val="both"/>
        <w:rPr>
          <w:rFonts w:hint="eastAsia" w:ascii="宋体" w:hAnsi="宋体" w:eastAsia="宋体" w:cs="宋体"/>
          <w:color w:val="auto"/>
          <w:sz w:val="24"/>
          <w:szCs w:val="24"/>
          <w:highlight w:val="none"/>
        </w:rPr>
      </w:pPr>
      <w:bookmarkStart w:id="44" w:name="_Toc104581694"/>
      <w:bookmarkStart w:id="45" w:name="_Toc14493"/>
      <w:bookmarkStart w:id="46" w:name="_Toc176925092"/>
      <w:bookmarkStart w:id="47" w:name="_Toc18797"/>
      <w:bookmarkStart w:id="48" w:name="_Toc176857812"/>
      <w:bookmarkStart w:id="49" w:name="_Toc145"/>
      <w:bookmarkStart w:id="50" w:name="_Toc23674965"/>
      <w:bookmarkStart w:id="51" w:name="_Toc179860351"/>
      <w:bookmarkStart w:id="52" w:name="_Toc176921261"/>
      <w:bookmarkStart w:id="53" w:name="_Toc364689934"/>
      <w:r>
        <w:rPr>
          <w:rFonts w:hint="eastAsia" w:ascii="宋体" w:hAnsi="宋体" w:eastAsia="宋体" w:cs="宋体"/>
          <w:color w:val="auto"/>
          <w:sz w:val="24"/>
          <w:szCs w:val="24"/>
          <w:highlight w:val="none"/>
        </w:rPr>
        <w:t>3.1项目概况</w:t>
      </w:r>
      <w:bookmarkEnd w:id="44"/>
      <w:bookmarkEnd w:id="45"/>
      <w:bookmarkEnd w:id="46"/>
      <w:bookmarkEnd w:id="47"/>
      <w:bookmarkEnd w:id="48"/>
      <w:bookmarkEnd w:id="49"/>
      <w:bookmarkEnd w:id="50"/>
      <w:bookmarkEnd w:id="51"/>
      <w:bookmarkEnd w:id="52"/>
      <w:bookmarkEnd w:id="53"/>
    </w:p>
    <w:p w14:paraId="3C5FF357">
      <w:pPr>
        <w:pStyle w:val="24"/>
        <w:ind w:firstLine="480"/>
        <w:rPr>
          <w:rFonts w:hint="eastAsia" w:hAnsi="宋体" w:eastAsia="宋体" w:cs="宋体"/>
          <w:szCs w:val="24"/>
          <w:highlight w:val="none"/>
          <w:lang w:eastAsia="zh-CN"/>
        </w:rPr>
      </w:pPr>
      <w:bookmarkStart w:id="54" w:name="_Hlk196571851"/>
      <w:r>
        <w:rPr>
          <w:rFonts w:hint="eastAsia" w:hAnsi="宋体" w:cs="宋体"/>
          <w:szCs w:val="24"/>
          <w:highlight w:val="none"/>
        </w:rPr>
        <w:t>3.1.1 工程名称：</w:t>
      </w:r>
      <w:r>
        <w:rPr>
          <w:rFonts w:hint="eastAsia"/>
          <w:highlight w:val="none"/>
          <w:lang w:eastAsia="zh-CN"/>
        </w:rPr>
        <w:t>天河区长湴村城中村改造项目AT0211020地块（即14号地块）施工图设计和施工总承包</w:t>
      </w:r>
    </w:p>
    <w:p w14:paraId="48072367">
      <w:pPr>
        <w:pStyle w:val="24"/>
        <w:ind w:firstLine="480"/>
        <w:rPr>
          <w:rFonts w:hint="eastAsia" w:hAnsi="宋体" w:cs="宋体"/>
          <w:szCs w:val="24"/>
          <w:highlight w:val="none"/>
        </w:rPr>
      </w:pPr>
      <w:r>
        <w:rPr>
          <w:rFonts w:hint="eastAsia" w:hAnsi="宋体" w:cs="宋体"/>
          <w:szCs w:val="24"/>
          <w:highlight w:val="none"/>
        </w:rPr>
        <w:t>3.1.2 工程位置：</w:t>
      </w:r>
      <w:bookmarkEnd w:id="54"/>
      <w:r>
        <w:rPr>
          <w:rFonts w:hint="eastAsia"/>
          <w:highlight w:val="none"/>
        </w:rPr>
        <w:t>本项目位于广州市天河区长兴街道长湴村天鹅花苑北侧。</w:t>
      </w:r>
    </w:p>
    <w:p w14:paraId="54E5F53E">
      <w:pPr>
        <w:pStyle w:val="24"/>
        <w:ind w:firstLine="480"/>
        <w:rPr>
          <w:rFonts w:hint="eastAsia" w:hAnsi="宋体" w:cs="宋体"/>
          <w:szCs w:val="24"/>
          <w:highlight w:val="none"/>
        </w:rPr>
        <w:sectPr>
          <w:headerReference r:id="rId7" w:type="first"/>
          <w:headerReference r:id="rId6" w:type="default"/>
          <w:footerReference r:id="rId8" w:type="default"/>
          <w:pgSz w:w="11906" w:h="16838"/>
          <w:pgMar w:top="1440" w:right="1440" w:bottom="1440" w:left="1440" w:header="851" w:footer="992" w:gutter="0"/>
          <w:cols w:space="720" w:num="1"/>
          <w:docGrid w:type="lines" w:linePitch="312" w:charSpace="0"/>
        </w:sectPr>
      </w:pPr>
    </w:p>
    <w:p w14:paraId="14FE28AA">
      <w:pPr>
        <w:pStyle w:val="24"/>
        <w:ind w:firstLine="480"/>
        <w:rPr>
          <w:rFonts w:hint="eastAsia" w:hAnsi="宋体" w:cs="宋体"/>
          <w:szCs w:val="24"/>
          <w:highlight w:val="none"/>
        </w:rPr>
      </w:pPr>
      <w:bookmarkStart w:id="55" w:name="_Toc104581695"/>
      <w:bookmarkStart w:id="56" w:name="_Toc11981"/>
      <w:bookmarkStart w:id="57" w:name="_Toc27439"/>
      <w:bookmarkStart w:id="58" w:name="_Toc5944"/>
      <w:r>
        <w:rPr>
          <w:rFonts w:hint="eastAsia" w:hAnsi="宋体" w:cs="宋体"/>
          <w:szCs w:val="24"/>
          <w:highlight w:val="none"/>
        </w:rPr>
        <w:t>3.1.3 项目规模及标准：</w:t>
      </w:r>
    </w:p>
    <w:p w14:paraId="756AACC4">
      <w:pPr>
        <w:pStyle w:val="24"/>
        <w:ind w:firstLine="480"/>
        <w:rPr>
          <w:rFonts w:hint="eastAsia" w:hAnsi="宋体" w:cs="宋体"/>
          <w:szCs w:val="24"/>
          <w:highlight w:val="none"/>
        </w:rPr>
      </w:pPr>
      <w:r>
        <w:rPr>
          <w:rFonts w:hint="eastAsia" w:hAnsi="宋体" w:cs="宋体"/>
          <w:szCs w:val="24"/>
          <w:highlight w:val="none"/>
        </w:rPr>
        <w:t>项目地块用地面积17521.25㎡，其中AT0211020地块用地性质为二类居住用地(R2),容积率≤3.3，计算容积率建筑面积≤58040㎡,建筑密度≤28%,绿地率≥35%，建筑限高65m，建筑高度须满足岑村机场净空控制要求。(最终以规划批复为准）。</w:t>
      </w:r>
    </w:p>
    <w:p w14:paraId="1872BF16">
      <w:pPr>
        <w:pStyle w:val="24"/>
        <w:ind w:firstLine="480"/>
        <w:rPr>
          <w:rFonts w:hint="eastAsia" w:hAnsi="宋体" w:cs="宋体"/>
          <w:szCs w:val="24"/>
          <w:highlight w:val="none"/>
        </w:rPr>
      </w:pPr>
      <w:r>
        <w:rPr>
          <w:rFonts w:hint="eastAsia" w:hAnsi="宋体" w:cs="宋体"/>
          <w:szCs w:val="24"/>
          <w:highlight w:val="none"/>
        </w:rPr>
        <w:t>公共服务及市政交通设施配套要求具体如下:综合文化服务中心1处、社区（村民）居委会（含未成年人关爱服务点）1处，社区（村民）议事厅1处、社区服务站（含社工服务点）1处、警务室1处、物业管理（含业主委员会）1处、幼儿园1处、公共厕所1处、垃圾收集站1处、调蓄设施。</w:t>
      </w:r>
    </w:p>
    <w:p w14:paraId="0519676B">
      <w:pPr>
        <w:pStyle w:val="24"/>
        <w:ind w:firstLine="480"/>
        <w:rPr>
          <w:rFonts w:hint="eastAsia" w:hAnsi="宋体" w:cs="宋体"/>
          <w:szCs w:val="24"/>
          <w:highlight w:val="none"/>
        </w:rPr>
      </w:pPr>
      <w:r>
        <w:rPr>
          <w:rFonts w:hint="eastAsia" w:hAnsi="宋体" w:cs="宋体"/>
          <w:szCs w:val="24"/>
          <w:highlight w:val="none"/>
        </w:rPr>
        <w:t>最大建筑高度约为65m，地基基础设计等级为甲级。最终以正式规划条件及批复要求为准。</w:t>
      </w:r>
    </w:p>
    <w:p w14:paraId="3AA11EBB">
      <w:pPr>
        <w:pStyle w:val="24"/>
        <w:ind w:firstLine="480"/>
        <w:rPr>
          <w:rFonts w:hint="eastAsia" w:hAnsi="宋体" w:cs="宋体"/>
          <w:szCs w:val="24"/>
          <w:highlight w:val="none"/>
        </w:rPr>
      </w:pPr>
    </w:p>
    <w:p w14:paraId="5224C1E0">
      <w:pPr>
        <w:pStyle w:val="7"/>
        <w:numPr>
          <w:ilvl w:val="255"/>
          <w:numId w:val="0"/>
        </w:numPr>
        <w:rPr>
          <w:rFonts w:hint="eastAsia" w:ascii="宋体" w:hAnsi="宋体" w:cs="宋体"/>
          <w:szCs w:val="24"/>
          <w:highlight w:val="none"/>
        </w:rPr>
      </w:pPr>
      <w:bookmarkStart w:id="59" w:name="OLE_LINK5"/>
      <w:r>
        <w:rPr>
          <w:rFonts w:hint="eastAsia"/>
          <w:highlight w:val="none"/>
        </w:rPr>
        <w:t>天河区长湴村城中村改造项目AT0211020地块</w:t>
      </w:r>
      <w:r>
        <w:rPr>
          <w:rFonts w:ascii="宋体" w:hAnsi="宋体" w:cs="宋体"/>
          <w:bCs/>
          <w:snapToGrid w:val="0"/>
          <w:kern w:val="0"/>
          <w:szCs w:val="24"/>
          <w:highlight w:val="none"/>
        </w:rPr>
        <w:t>项目本次招标地块主要技术经济指标表</w:t>
      </w:r>
    </w:p>
    <w:bookmarkEnd w:id="59"/>
    <w:tbl>
      <w:tblPr>
        <w:tblStyle w:val="42"/>
        <w:tblW w:w="8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77"/>
        <w:gridCol w:w="3002"/>
        <w:gridCol w:w="681"/>
        <w:gridCol w:w="3995"/>
      </w:tblGrid>
      <w:tr w14:paraId="6872E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72E9553">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序号</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1238106">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内容</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A197DEC">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单位</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F00B029">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本次招标地块数值</w:t>
            </w:r>
          </w:p>
        </w:tc>
      </w:tr>
      <w:tr w14:paraId="3BB34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B79FCC4">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1E2A9EB">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总用地面积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F9D777B">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6FDA517">
            <w:pPr>
              <w:spacing w:line="360" w:lineRule="auto"/>
              <w:jc w:val="center"/>
              <w:rPr>
                <w:rFonts w:hint="eastAsia" w:ascii="宋体" w:hAnsi="宋体" w:eastAsia="宋体" w:cs="宋体"/>
                <w:color w:val="auto"/>
                <w:sz w:val="21"/>
                <w:szCs w:val="21"/>
                <w:highlight w:val="none"/>
              </w:rPr>
            </w:pPr>
            <w:r>
              <w:rPr>
                <w:rFonts w:hAnsi="宋体" w:cs="宋体"/>
                <w:color w:val="auto"/>
                <w:szCs w:val="24"/>
                <w:highlight w:val="none"/>
              </w:rPr>
              <w:t>30014.02</w:t>
            </w:r>
          </w:p>
        </w:tc>
      </w:tr>
      <w:tr w14:paraId="0662E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72E0E1A">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1.1</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CDFD80E">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可建设用地面积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2707E68">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0AE3639">
            <w:pPr>
              <w:spacing w:line="360" w:lineRule="auto"/>
              <w:jc w:val="center"/>
              <w:rPr>
                <w:rFonts w:hint="eastAsia" w:ascii="宋体" w:hAnsi="宋体" w:eastAsia="宋体" w:cs="宋体"/>
                <w:color w:val="auto"/>
                <w:sz w:val="21"/>
                <w:szCs w:val="21"/>
                <w:highlight w:val="none"/>
              </w:rPr>
            </w:pPr>
            <w:r>
              <w:rPr>
                <w:rFonts w:hAnsi="宋体" w:cs="宋体"/>
                <w:color w:val="auto"/>
                <w:szCs w:val="24"/>
                <w:highlight w:val="none"/>
              </w:rPr>
              <w:t>17521.25</w:t>
            </w:r>
          </w:p>
        </w:tc>
      </w:tr>
      <w:tr w14:paraId="40A87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B0758D7">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3E80155">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总建筑面积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687C975">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2487474">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88340</w:t>
            </w:r>
          </w:p>
        </w:tc>
      </w:tr>
      <w:tr w14:paraId="0D908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9C9CB94">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2.1</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D93A795">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地上建筑面积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490EF85">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741ACD6">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58640</w:t>
            </w:r>
          </w:p>
        </w:tc>
      </w:tr>
      <w:tr w14:paraId="7234D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right w:val="single" w:color="auto" w:sz="4" w:space="0"/>
            </w:tcBorders>
            <w:shd w:val="clear" w:color="auto" w:fill="auto"/>
            <w:tcMar>
              <w:top w:w="15" w:type="dxa"/>
              <w:left w:w="15" w:type="dxa"/>
              <w:right w:w="15" w:type="dxa"/>
            </w:tcMar>
            <w:vAlign w:val="center"/>
          </w:tcPr>
          <w:p w14:paraId="7BA58579">
            <w:pPr>
              <w:widowControl/>
              <w:spacing w:line="360" w:lineRule="auto"/>
              <w:jc w:val="center"/>
              <w:textAlignment w:val="center"/>
              <w:rPr>
                <w:rFonts w:hint="eastAsia" w:ascii="宋体" w:hAnsi="宋体" w:eastAsia="宋体" w:cs="宋体"/>
                <w:color w:val="auto"/>
                <w:kern w:val="0"/>
                <w:sz w:val="21"/>
                <w:szCs w:val="21"/>
                <w:highlight w:val="none"/>
              </w:rPr>
            </w:pP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7FE733D">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住宅</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7979D71">
            <w:pPr>
              <w:widowControl/>
              <w:spacing w:line="360" w:lineRule="auto"/>
              <w:jc w:val="center"/>
              <w:textAlignment w:val="center"/>
              <w:rPr>
                <w:rFonts w:hint="eastAsia" w:ascii="宋体" w:hAnsi="宋体" w:eastAsia="宋体" w:cs="宋体"/>
                <w:color w:val="auto"/>
                <w:kern w:val="0"/>
                <w:sz w:val="21"/>
                <w:szCs w:val="21"/>
                <w:highlight w:val="none"/>
              </w:rPr>
            </w:pP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E7FA6F5">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53440</w:t>
            </w:r>
          </w:p>
        </w:tc>
      </w:tr>
      <w:tr w14:paraId="3D201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vMerge w:val="restart"/>
            <w:tcBorders>
              <w:left w:val="single" w:color="auto" w:sz="4" w:space="0"/>
              <w:right w:val="single" w:color="auto" w:sz="4" w:space="0"/>
            </w:tcBorders>
            <w:shd w:val="clear" w:color="auto" w:fill="auto"/>
            <w:tcMar>
              <w:top w:w="15" w:type="dxa"/>
              <w:left w:w="15" w:type="dxa"/>
              <w:right w:w="15" w:type="dxa"/>
            </w:tcMar>
            <w:vAlign w:val="center"/>
          </w:tcPr>
          <w:p w14:paraId="6FA6A989">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其中</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7C2F0DE">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商业</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C9F577B">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7EBD390">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1534</w:t>
            </w:r>
          </w:p>
        </w:tc>
      </w:tr>
      <w:tr w14:paraId="6F133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vMerge w:val="continue"/>
            <w:tcBorders>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3680460">
            <w:pPr>
              <w:widowControl/>
              <w:spacing w:line="360" w:lineRule="auto"/>
              <w:jc w:val="center"/>
              <w:textAlignment w:val="center"/>
              <w:rPr>
                <w:rFonts w:hint="eastAsia" w:ascii="宋体" w:hAnsi="宋体" w:eastAsia="宋体" w:cs="宋体"/>
                <w:color w:val="auto"/>
                <w:kern w:val="0"/>
                <w:sz w:val="21"/>
                <w:szCs w:val="21"/>
                <w:highlight w:val="none"/>
              </w:rPr>
            </w:pP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87CA208">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公建配套(含商业配套)</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060C781">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BD254FD">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3066</w:t>
            </w:r>
          </w:p>
        </w:tc>
      </w:tr>
      <w:tr w14:paraId="76FD3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vMerge w:val="continue"/>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0755F2A">
            <w:pPr>
              <w:widowControl/>
              <w:spacing w:line="360" w:lineRule="auto"/>
              <w:jc w:val="center"/>
              <w:textAlignment w:val="center"/>
              <w:rPr>
                <w:rFonts w:hint="eastAsia" w:ascii="宋体" w:hAnsi="宋体" w:eastAsia="宋体" w:cs="宋体"/>
                <w:color w:val="auto"/>
                <w:kern w:val="0"/>
                <w:sz w:val="21"/>
                <w:szCs w:val="21"/>
                <w:highlight w:val="none"/>
              </w:rPr>
            </w:pP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1D0A001">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架空层面积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B9726B8">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0B5514F">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600</w:t>
            </w:r>
          </w:p>
        </w:tc>
      </w:tr>
      <w:tr w14:paraId="51337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B179E33">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2.2</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41D0018">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地下建筑面积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7994C0B">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F072C17">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29700</w:t>
            </w:r>
          </w:p>
        </w:tc>
      </w:tr>
      <w:tr w14:paraId="33885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E50283F">
            <w:pPr>
              <w:widowControl/>
              <w:spacing w:line="360" w:lineRule="auto"/>
              <w:jc w:val="center"/>
              <w:textAlignment w:val="center"/>
              <w:rPr>
                <w:rFonts w:hint="eastAsia" w:ascii="宋体" w:hAnsi="宋体" w:eastAsia="宋体" w:cs="宋体"/>
                <w:color w:val="auto"/>
                <w:kern w:val="0"/>
                <w:sz w:val="21"/>
                <w:szCs w:val="21"/>
                <w:highlight w:val="none"/>
              </w:rPr>
            </w:pP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424D2A7">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地下室</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3B21B5F">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2D0E905">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29700</w:t>
            </w:r>
          </w:p>
        </w:tc>
      </w:tr>
      <w:tr w14:paraId="6B4D5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0CC572F">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A39604C">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计容建筑面积</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62FFC41">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09ED2FBF">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58040</w:t>
            </w:r>
          </w:p>
        </w:tc>
      </w:tr>
      <w:tr w14:paraId="08A52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0D9DD06">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100EE33">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建筑密度</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BBEC4C9">
            <w:pPr>
              <w:widowControl/>
              <w:spacing w:line="360" w:lineRule="auto"/>
              <w:jc w:val="center"/>
              <w:textAlignment w:val="center"/>
              <w:rPr>
                <w:rFonts w:hint="eastAsia" w:ascii="宋体" w:hAnsi="宋体" w:eastAsia="宋体" w:cs="宋体"/>
                <w:color w:val="auto"/>
                <w:kern w:val="0"/>
                <w:sz w:val="21"/>
                <w:szCs w:val="21"/>
                <w:highlight w:val="none"/>
              </w:rPr>
            </w:pP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0903DF2">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27.05%</w:t>
            </w:r>
          </w:p>
        </w:tc>
      </w:tr>
      <w:tr w14:paraId="73878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303608D">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39BD404">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绿地率</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C2192A4">
            <w:pPr>
              <w:widowControl/>
              <w:spacing w:line="360" w:lineRule="auto"/>
              <w:jc w:val="center"/>
              <w:textAlignment w:val="center"/>
              <w:rPr>
                <w:rFonts w:hint="eastAsia" w:ascii="宋体" w:hAnsi="宋体" w:eastAsia="宋体" w:cs="宋体"/>
                <w:color w:val="auto"/>
                <w:kern w:val="0"/>
                <w:sz w:val="21"/>
                <w:szCs w:val="21"/>
                <w:highlight w:val="none"/>
              </w:rPr>
            </w:pP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F037AB6">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35.0%</w:t>
            </w:r>
          </w:p>
        </w:tc>
      </w:tr>
      <w:tr w14:paraId="5AE6A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2A6823A">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8DEB16E">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综合容积率</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24991F1">
            <w:pPr>
              <w:widowControl/>
              <w:spacing w:line="360" w:lineRule="auto"/>
              <w:jc w:val="center"/>
              <w:textAlignment w:val="center"/>
              <w:rPr>
                <w:rFonts w:hint="eastAsia" w:ascii="宋体" w:hAnsi="宋体" w:eastAsia="宋体" w:cs="宋体"/>
                <w:color w:val="auto"/>
                <w:kern w:val="0"/>
                <w:sz w:val="21"/>
                <w:szCs w:val="21"/>
                <w:highlight w:val="none"/>
              </w:rPr>
            </w:pP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B70A13E">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3.3</w:t>
            </w:r>
          </w:p>
        </w:tc>
      </w:tr>
      <w:tr w14:paraId="15F0C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DB213FB">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7</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13B5690A">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机动车停车位</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18B6AD8">
            <w:pPr>
              <w:widowControl/>
              <w:spacing w:line="360" w:lineRule="auto"/>
              <w:jc w:val="center"/>
              <w:textAlignment w:val="center"/>
              <w:rPr>
                <w:rFonts w:hint="eastAsia"/>
                <w:color w:val="auto"/>
                <w:highlight w:val="none"/>
              </w:rPr>
            </w:pPr>
            <w:r>
              <w:rPr>
                <w:rFonts w:hint="eastAsia" w:ascii="宋体" w:hAnsi="宋体" w:eastAsia="宋体" w:cs="宋体"/>
                <w:color w:val="auto"/>
                <w:kern w:val="0"/>
                <w:sz w:val="21"/>
                <w:szCs w:val="21"/>
                <w:highlight w:val="none"/>
              </w:rPr>
              <w:t>泊</w:t>
            </w: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C8E9B83">
            <w:pPr>
              <w:spacing w:line="360" w:lineRule="auto"/>
              <w:jc w:val="center"/>
              <w:rPr>
                <w:rFonts w:hint="eastAsia" w:ascii="宋体" w:hAnsi="宋体" w:eastAsia="宋体" w:cs="宋体"/>
                <w:color w:val="auto"/>
                <w:sz w:val="21"/>
                <w:szCs w:val="21"/>
                <w:highlight w:val="none"/>
              </w:rPr>
            </w:pPr>
            <w:r>
              <w:rPr>
                <w:rFonts w:ascii="宋体" w:hAnsi="宋体" w:eastAsia="宋体" w:cs="宋体"/>
                <w:color w:val="auto"/>
                <w:sz w:val="21"/>
                <w:szCs w:val="21"/>
                <w:highlight w:val="none"/>
              </w:rPr>
              <w:t>56</w:t>
            </w:r>
          </w:p>
        </w:tc>
      </w:tr>
      <w:tr w14:paraId="79793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77"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525626D6">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8</w:t>
            </w:r>
          </w:p>
        </w:tc>
        <w:tc>
          <w:tcPr>
            <w:tcW w:w="3002"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E1CD3CE">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非机动车停车位</w:t>
            </w:r>
          </w:p>
        </w:tc>
        <w:tc>
          <w:tcPr>
            <w:tcW w:w="681"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2F66D89">
            <w:pPr>
              <w:widowControl/>
              <w:spacing w:line="360" w:lineRule="auto"/>
              <w:jc w:val="center"/>
              <w:textAlignment w:val="center"/>
              <w:rPr>
                <w:rFonts w:hint="eastAsia"/>
                <w:color w:val="auto"/>
                <w:highlight w:val="none"/>
              </w:rPr>
            </w:pPr>
            <w:r>
              <w:rPr>
                <w:rFonts w:hint="eastAsia" w:ascii="宋体" w:hAnsi="宋体" w:eastAsia="宋体" w:cs="宋体"/>
                <w:color w:val="auto"/>
                <w:kern w:val="0"/>
                <w:sz w:val="21"/>
                <w:szCs w:val="21"/>
                <w:highlight w:val="none"/>
              </w:rPr>
              <w:t>泊</w:t>
            </w:r>
          </w:p>
          <w:p w14:paraId="02D50999">
            <w:pPr>
              <w:rPr>
                <w:rFonts w:hint="eastAsia"/>
                <w:color w:val="auto"/>
                <w:highlight w:val="none"/>
              </w:rPr>
            </w:pPr>
          </w:p>
        </w:tc>
        <w:tc>
          <w:tcPr>
            <w:tcW w:w="3995" w:type="dxa"/>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41DDEA7B">
            <w:pPr>
              <w:spacing w:line="360" w:lineRule="auto"/>
              <w:jc w:val="center"/>
              <w:rPr>
                <w:rFonts w:hint="eastAsia" w:ascii="宋体" w:hAnsi="宋体" w:eastAsia="宋体" w:cs="宋体"/>
                <w:color w:val="auto"/>
                <w:sz w:val="21"/>
                <w:szCs w:val="21"/>
                <w:highlight w:val="none"/>
              </w:rPr>
            </w:pPr>
          </w:p>
        </w:tc>
      </w:tr>
    </w:tbl>
    <w:p w14:paraId="3A52C034">
      <w:pPr>
        <w:pStyle w:val="24"/>
        <w:ind w:firstLine="420"/>
        <w:rPr>
          <w:rFonts w:hint="eastAsia" w:hAnsi="宋体" w:cs="宋体"/>
          <w:sz w:val="21"/>
          <w:szCs w:val="21"/>
          <w:highlight w:val="none"/>
        </w:rPr>
      </w:pPr>
      <w:r>
        <w:rPr>
          <w:rFonts w:hint="eastAsia" w:hAnsi="宋体" w:cs="宋体"/>
          <w:sz w:val="21"/>
          <w:szCs w:val="21"/>
          <w:highlight w:val="none"/>
        </w:rPr>
        <w:t>备注：以通过规划部门审批的文件为准。</w:t>
      </w:r>
    </w:p>
    <w:bookmarkEnd w:id="55"/>
    <w:bookmarkEnd w:id="56"/>
    <w:bookmarkEnd w:id="57"/>
    <w:bookmarkEnd w:id="58"/>
    <w:p w14:paraId="13A4663B">
      <w:pPr>
        <w:pStyle w:val="24"/>
        <w:ind w:firstLine="480"/>
        <w:rPr>
          <w:rFonts w:hint="eastAsia" w:hAnsi="宋体" w:cs="宋体"/>
          <w:szCs w:val="24"/>
          <w:highlight w:val="none"/>
        </w:rPr>
      </w:pPr>
      <w:r>
        <w:rPr>
          <w:rFonts w:hint="eastAsia" w:hAnsi="宋体" w:cs="宋体"/>
          <w:szCs w:val="24"/>
          <w:highlight w:val="none"/>
        </w:rPr>
        <w:t>3.1.4 资金来源：本项目资金来源拟通过申请城中村专项借款及企业自筹资金予以解决。</w:t>
      </w:r>
    </w:p>
    <w:p w14:paraId="24F2A905">
      <w:pPr>
        <w:pStyle w:val="24"/>
        <w:ind w:firstLine="480"/>
        <w:rPr>
          <w:rFonts w:hint="eastAsia" w:hAnsi="宋体" w:cs="宋体"/>
          <w:szCs w:val="24"/>
          <w:highlight w:val="none"/>
        </w:rPr>
      </w:pPr>
      <w:r>
        <w:rPr>
          <w:rFonts w:hint="eastAsia" w:hAnsi="宋体" w:cs="宋体"/>
          <w:szCs w:val="24"/>
          <w:highlight w:val="none"/>
        </w:rPr>
        <w:t>3.1.5 投资估算：本次招标范围，</w:t>
      </w:r>
      <w:r>
        <w:rPr>
          <w:rFonts w:hAnsi="宋体" w:cs="宋体"/>
          <w:szCs w:val="24"/>
          <w:highlight w:val="none"/>
          <w:u w:val="single"/>
        </w:rPr>
        <w:t>项目可研批准估算总投资</w:t>
      </w:r>
      <w:r>
        <w:rPr>
          <w:rFonts w:hint="eastAsia" w:hAnsi="宋体" w:cs="宋体"/>
          <w:szCs w:val="24"/>
          <w:highlight w:val="none"/>
          <w:u w:val="single"/>
        </w:rPr>
        <w:t>115382.43</w:t>
      </w:r>
      <w:r>
        <w:rPr>
          <w:rFonts w:hAnsi="宋体" w:cs="宋体"/>
          <w:szCs w:val="24"/>
          <w:highlight w:val="none"/>
          <w:u w:val="single"/>
        </w:rPr>
        <w:t>万元，包含工程费用</w:t>
      </w:r>
      <w:r>
        <w:rPr>
          <w:rFonts w:hint="eastAsia" w:hAnsi="宋体" w:cs="宋体"/>
          <w:szCs w:val="24"/>
          <w:highlight w:val="none"/>
          <w:u w:val="single"/>
        </w:rPr>
        <w:t>65253.80</w:t>
      </w:r>
      <w:r>
        <w:rPr>
          <w:rFonts w:hAnsi="宋体" w:cs="宋体"/>
          <w:szCs w:val="24"/>
          <w:highlight w:val="none"/>
          <w:u w:val="single"/>
        </w:rPr>
        <w:t>万元、工程建设其他费用</w:t>
      </w:r>
      <w:r>
        <w:rPr>
          <w:rFonts w:hint="eastAsia" w:hAnsi="宋体" w:cs="宋体"/>
          <w:szCs w:val="24"/>
          <w:highlight w:val="none"/>
          <w:u w:val="single"/>
        </w:rPr>
        <w:t>27,851.6</w:t>
      </w:r>
      <w:r>
        <w:rPr>
          <w:rFonts w:hAnsi="宋体" w:cs="宋体"/>
          <w:szCs w:val="24"/>
          <w:highlight w:val="none"/>
          <w:u w:val="single"/>
        </w:rPr>
        <w:t>万元、预备费</w:t>
      </w:r>
      <w:r>
        <w:rPr>
          <w:rFonts w:hint="eastAsia" w:hAnsi="宋体" w:cs="宋体"/>
          <w:szCs w:val="24"/>
          <w:highlight w:val="none"/>
          <w:u w:val="single"/>
        </w:rPr>
        <w:t>3,603.26</w:t>
      </w:r>
      <w:r>
        <w:rPr>
          <w:rFonts w:hAnsi="宋体" w:cs="宋体"/>
          <w:szCs w:val="24"/>
          <w:highlight w:val="none"/>
          <w:u w:val="single"/>
        </w:rPr>
        <w:t>万元</w:t>
      </w:r>
      <w:r>
        <w:rPr>
          <w:rFonts w:hint="eastAsia" w:hAnsi="宋体" w:cs="宋体"/>
          <w:szCs w:val="24"/>
          <w:highlight w:val="none"/>
          <w:u w:val="single"/>
        </w:rPr>
        <w:t>，税金13,412.74万元，财务成本5,260.93万元</w:t>
      </w:r>
      <w:r>
        <w:rPr>
          <w:rFonts w:hAnsi="宋体" w:cs="宋体"/>
          <w:szCs w:val="24"/>
          <w:highlight w:val="none"/>
          <w:u w:val="single"/>
        </w:rPr>
        <w:t>。</w:t>
      </w:r>
    </w:p>
    <w:p w14:paraId="0C4AF884">
      <w:pPr>
        <w:pStyle w:val="24"/>
        <w:ind w:firstLine="480"/>
        <w:rPr>
          <w:rFonts w:hint="eastAsia" w:hAnsi="宋体" w:cs="宋体"/>
          <w:szCs w:val="24"/>
          <w:highlight w:val="none"/>
        </w:rPr>
      </w:pPr>
      <w:r>
        <w:rPr>
          <w:rFonts w:hint="eastAsia" w:hAnsi="宋体" w:cs="宋体"/>
          <w:szCs w:val="24"/>
          <w:highlight w:val="none"/>
        </w:rPr>
        <w:t>3.1.6项目建设单位：广州环五山创新策源区长湴城市更新有限公司。</w:t>
      </w:r>
    </w:p>
    <w:p w14:paraId="332C8F4F">
      <w:pPr>
        <w:pStyle w:val="24"/>
        <w:ind w:firstLine="480"/>
        <w:rPr>
          <w:rFonts w:hint="eastAsia" w:hAnsi="宋体" w:cs="宋体"/>
          <w:szCs w:val="24"/>
          <w:highlight w:val="none"/>
        </w:rPr>
      </w:pPr>
    </w:p>
    <w:p w14:paraId="4F829BBF">
      <w:pPr>
        <w:pStyle w:val="6"/>
        <w:tabs>
          <w:tab w:val="left" w:pos="284"/>
        </w:tabs>
        <w:snapToGrid/>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 用地规划设计条件</w:t>
      </w:r>
    </w:p>
    <w:p w14:paraId="609DC441">
      <w:pPr>
        <w:pStyle w:val="24"/>
        <w:ind w:firstLine="480"/>
        <w:rPr>
          <w:rFonts w:hint="eastAsia" w:hAnsi="宋体" w:cs="宋体"/>
          <w:szCs w:val="24"/>
          <w:highlight w:val="none"/>
        </w:rPr>
      </w:pPr>
      <w:r>
        <w:rPr>
          <w:rFonts w:hint="eastAsia" w:hAnsi="宋体" w:cs="宋体"/>
          <w:szCs w:val="24"/>
          <w:highlight w:val="none"/>
        </w:rPr>
        <w:t>3.2.1 用地规划条件</w:t>
      </w:r>
    </w:p>
    <w:p w14:paraId="1F7ED199">
      <w:pPr>
        <w:pStyle w:val="24"/>
        <w:ind w:firstLine="480"/>
        <w:rPr>
          <w:rFonts w:hint="eastAsia" w:hAnsi="宋体" w:cs="宋体"/>
          <w:szCs w:val="24"/>
          <w:highlight w:val="none"/>
        </w:rPr>
      </w:pPr>
      <w:r>
        <w:rPr>
          <w:rFonts w:hint="eastAsia" w:hAnsi="宋体" w:cs="宋体"/>
          <w:szCs w:val="24"/>
          <w:highlight w:val="none"/>
        </w:rPr>
        <w:t>本次招标范围内，项目住宅用地住宅建筑面积为</w:t>
      </w:r>
      <w:r>
        <w:rPr>
          <w:rFonts w:hAnsi="宋体" w:cs="宋体"/>
          <w:szCs w:val="24"/>
          <w:highlight w:val="none"/>
        </w:rPr>
        <w:t>58040</w:t>
      </w:r>
      <w:r>
        <w:rPr>
          <w:rFonts w:hint="eastAsia" w:hAnsi="宋体" w:cs="宋体"/>
          <w:szCs w:val="24"/>
          <w:highlight w:val="none"/>
        </w:rPr>
        <w:t>㎡，用地属性R2</w:t>
      </w:r>
      <w:r>
        <w:rPr>
          <w:rFonts w:hAnsi="宋体" w:cs="宋体"/>
          <w:szCs w:val="24"/>
          <w:highlight w:val="none"/>
        </w:rPr>
        <w:t>。</w:t>
      </w:r>
    </w:p>
    <w:p w14:paraId="5F3BA835">
      <w:pPr>
        <w:pStyle w:val="24"/>
        <w:ind w:firstLine="480"/>
        <w:rPr>
          <w:rFonts w:hint="eastAsia" w:hAnsi="宋体" w:cs="宋体"/>
          <w:szCs w:val="24"/>
          <w:highlight w:val="none"/>
        </w:rPr>
      </w:pPr>
      <w:r>
        <w:rPr>
          <w:rFonts w:hint="eastAsia" w:hAnsi="宋体" w:cs="宋体"/>
          <w:szCs w:val="24"/>
          <w:highlight w:val="none"/>
        </w:rPr>
        <w:t>本次招标范围内</w:t>
      </w:r>
      <w:r>
        <w:rPr>
          <w:rFonts w:hAnsi="宋体" w:cs="宋体"/>
          <w:szCs w:val="24"/>
          <w:highlight w:val="none"/>
        </w:rPr>
        <w:t>,</w:t>
      </w:r>
      <w:r>
        <w:rPr>
          <w:rFonts w:hint="eastAsia" w:hAnsi="宋体" w:cs="宋体"/>
          <w:szCs w:val="24"/>
          <w:highlight w:val="none"/>
        </w:rPr>
        <w:t>住宅用地的商业配套建筑面积</w:t>
      </w:r>
      <w:r>
        <w:rPr>
          <w:rFonts w:hAnsi="宋体" w:cs="宋体"/>
          <w:szCs w:val="24"/>
          <w:highlight w:val="none"/>
        </w:rPr>
        <w:t>1534</w:t>
      </w:r>
      <w:r>
        <w:rPr>
          <w:rFonts w:hint="eastAsia" w:hAnsi="宋体" w:cs="宋体"/>
          <w:szCs w:val="24"/>
          <w:highlight w:val="none"/>
        </w:rPr>
        <w:t>㎡，非商业公建配套建筑面积</w:t>
      </w:r>
      <w:r>
        <w:rPr>
          <w:rFonts w:hAnsi="宋体" w:cs="宋体"/>
          <w:szCs w:val="24"/>
          <w:highlight w:val="none"/>
        </w:rPr>
        <w:t>3066</w:t>
      </w:r>
      <w:r>
        <w:rPr>
          <w:rFonts w:hint="eastAsia" w:hAnsi="宋体" w:cs="宋体"/>
          <w:szCs w:val="24"/>
          <w:highlight w:val="none"/>
        </w:rPr>
        <w:t>㎡，合计为</w:t>
      </w:r>
      <w:r>
        <w:rPr>
          <w:rFonts w:hAnsi="宋体" w:cs="宋体"/>
          <w:szCs w:val="24"/>
          <w:highlight w:val="none"/>
        </w:rPr>
        <w:t>4600</w:t>
      </w:r>
      <w:r>
        <w:rPr>
          <w:rFonts w:hint="eastAsia" w:hAnsi="宋体" w:cs="宋体"/>
          <w:szCs w:val="24"/>
          <w:highlight w:val="none"/>
        </w:rPr>
        <w:t>㎡</w:t>
      </w:r>
      <w:r>
        <w:rPr>
          <w:rFonts w:hAnsi="宋体" w:cs="宋体"/>
          <w:szCs w:val="24"/>
          <w:highlight w:val="none"/>
        </w:rPr>
        <w:t>。</w:t>
      </w:r>
    </w:p>
    <w:p w14:paraId="0EB0D9FD">
      <w:pPr>
        <w:pStyle w:val="24"/>
        <w:ind w:firstLine="0" w:firstLineChars="0"/>
        <w:rPr>
          <w:rFonts w:hint="eastAsia" w:hAnsi="宋体" w:cs="宋体"/>
          <w:szCs w:val="24"/>
          <w:highlight w:val="none"/>
        </w:rPr>
      </w:pPr>
      <w:r>
        <w:rPr>
          <w:rFonts w:hint="eastAsia" w:hAnsi="宋体" w:cs="宋体"/>
          <w:szCs w:val="24"/>
          <w:highlight w:val="none"/>
        </w:rPr>
        <w:t>本次招标范围内，市政道路用地面积为</w:t>
      </w:r>
      <w:r>
        <w:rPr>
          <w:rFonts w:hAnsi="宋体" w:cs="宋体"/>
          <w:szCs w:val="24"/>
          <w:highlight w:val="none"/>
        </w:rPr>
        <w:t>12492.769</w:t>
      </w:r>
      <w:r>
        <w:rPr>
          <w:rFonts w:hint="eastAsia" w:hAnsi="宋体" w:cs="宋体"/>
          <w:szCs w:val="24"/>
          <w:highlight w:val="none"/>
        </w:rPr>
        <w:t>㎡。</w:t>
      </w:r>
    </w:p>
    <w:p w14:paraId="31A7857E">
      <w:pPr>
        <w:pStyle w:val="4"/>
        <w:rPr>
          <w:highlight w:val="none"/>
        </w:rPr>
      </w:pPr>
    </w:p>
    <w:p w14:paraId="02B910AA">
      <w:pPr>
        <w:spacing w:line="360" w:lineRule="auto"/>
        <w:ind w:firstLine="480"/>
        <w:jc w:val="center"/>
        <w:rPr>
          <w:rFonts w:hint="eastAsia" w:ascii="宋体" w:hAnsi="宋体" w:eastAsia="宋体" w:cs="宋体"/>
          <w:b/>
          <w:bCs/>
          <w:snapToGrid w:val="0"/>
          <w:color w:val="auto"/>
          <w:kern w:val="0"/>
          <w:sz w:val="24"/>
          <w:szCs w:val="24"/>
          <w:highlight w:val="none"/>
        </w:rPr>
      </w:pPr>
      <w:r>
        <w:rPr>
          <w:rFonts w:hint="eastAsia" w:ascii="宋体" w:hAnsi="宋体" w:eastAsia="宋体" w:cs="宋体"/>
          <w:b/>
          <w:bCs/>
          <w:snapToGrid w:val="0"/>
          <w:color w:val="auto"/>
          <w:kern w:val="0"/>
          <w:sz w:val="24"/>
          <w:szCs w:val="24"/>
          <w:highlight w:val="none"/>
        </w:rPr>
        <w:t>本次招标范围-公共服务设施建筑规模一览表</w:t>
      </w:r>
    </w:p>
    <w:tbl>
      <w:tblPr>
        <w:tblStyle w:val="42"/>
        <w:tblW w:w="8526" w:type="dxa"/>
        <w:tblInd w:w="93" w:type="dxa"/>
        <w:tblLayout w:type="fixed"/>
        <w:tblCellMar>
          <w:top w:w="0" w:type="dxa"/>
          <w:left w:w="108" w:type="dxa"/>
          <w:bottom w:w="0" w:type="dxa"/>
          <w:right w:w="108" w:type="dxa"/>
        </w:tblCellMar>
      </w:tblPr>
      <w:tblGrid>
        <w:gridCol w:w="1596"/>
        <w:gridCol w:w="4181"/>
        <w:gridCol w:w="2749"/>
      </w:tblGrid>
      <w:tr w14:paraId="50FAAC18">
        <w:tblPrEx>
          <w:tblCellMar>
            <w:top w:w="0" w:type="dxa"/>
            <w:left w:w="108" w:type="dxa"/>
            <w:bottom w:w="0" w:type="dxa"/>
            <w:right w:w="108"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0EDBA">
            <w:pPr>
              <w:widowControl/>
              <w:jc w:val="center"/>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地块性质</w:t>
            </w:r>
          </w:p>
        </w:tc>
        <w:tc>
          <w:tcPr>
            <w:tcW w:w="41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CB33E">
            <w:pPr>
              <w:widowControl/>
              <w:jc w:val="center"/>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w:t>
            </w:r>
          </w:p>
        </w:tc>
        <w:tc>
          <w:tcPr>
            <w:tcW w:w="2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5249E">
            <w:pPr>
              <w:widowControl/>
              <w:jc w:val="center"/>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计容建筑面积（㎡）</w:t>
            </w:r>
          </w:p>
        </w:tc>
      </w:tr>
      <w:tr w14:paraId="22DFE086">
        <w:tblPrEx>
          <w:tblCellMar>
            <w:top w:w="0" w:type="dxa"/>
            <w:left w:w="108" w:type="dxa"/>
            <w:bottom w:w="0" w:type="dxa"/>
            <w:right w:w="108"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907BC">
            <w:pPr>
              <w:widowControl/>
              <w:jc w:val="center"/>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住宅用地</w:t>
            </w:r>
          </w:p>
        </w:tc>
        <w:tc>
          <w:tcPr>
            <w:tcW w:w="41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A8A2B">
            <w:pPr>
              <w:widowControl/>
              <w:jc w:val="center"/>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公建配套</w:t>
            </w:r>
          </w:p>
        </w:tc>
        <w:tc>
          <w:tcPr>
            <w:tcW w:w="2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36969">
            <w:pPr>
              <w:widowControl/>
              <w:jc w:val="center"/>
              <w:textAlignment w:val="center"/>
              <w:rPr>
                <w:rFonts w:hint="eastAsia" w:ascii="宋体" w:hAnsi="宋体" w:eastAsia="宋体" w:cs="宋体"/>
                <w:color w:val="auto"/>
                <w:sz w:val="24"/>
                <w:szCs w:val="24"/>
                <w:highlight w:val="none"/>
              </w:rPr>
            </w:pPr>
            <w:r>
              <w:rPr>
                <w:rFonts w:hAnsi="宋体" w:cs="宋体"/>
                <w:color w:val="auto"/>
                <w:szCs w:val="24"/>
                <w:highlight w:val="none"/>
              </w:rPr>
              <w:t>3066</w:t>
            </w:r>
            <w:r>
              <w:rPr>
                <w:rFonts w:hint="eastAsia" w:hAnsi="宋体" w:cs="宋体"/>
                <w:color w:val="auto"/>
                <w:szCs w:val="24"/>
                <w:highlight w:val="none"/>
              </w:rPr>
              <w:t>㎡</w:t>
            </w:r>
          </w:p>
        </w:tc>
      </w:tr>
      <w:tr w14:paraId="137CED4E">
        <w:tblPrEx>
          <w:tblCellMar>
            <w:top w:w="0" w:type="dxa"/>
            <w:left w:w="108" w:type="dxa"/>
            <w:bottom w:w="0" w:type="dxa"/>
            <w:right w:w="108"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5466E">
            <w:pPr>
              <w:widowControl/>
              <w:jc w:val="center"/>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住宅用地</w:t>
            </w:r>
          </w:p>
        </w:tc>
        <w:tc>
          <w:tcPr>
            <w:tcW w:w="41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BA3F5">
            <w:pPr>
              <w:widowControl/>
              <w:jc w:val="center"/>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商业</w:t>
            </w:r>
          </w:p>
        </w:tc>
        <w:tc>
          <w:tcPr>
            <w:tcW w:w="2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DB81D">
            <w:pPr>
              <w:widowControl/>
              <w:jc w:val="center"/>
              <w:textAlignment w:val="center"/>
              <w:rPr>
                <w:rFonts w:hint="eastAsia" w:hAnsi="宋体" w:cs="宋体"/>
                <w:color w:val="auto"/>
                <w:szCs w:val="24"/>
                <w:highlight w:val="none"/>
              </w:rPr>
            </w:pPr>
            <w:r>
              <w:rPr>
                <w:rFonts w:hint="eastAsia" w:hAnsi="宋体" w:cs="宋体"/>
                <w:color w:val="auto"/>
                <w:szCs w:val="24"/>
                <w:highlight w:val="none"/>
              </w:rPr>
              <w:t>1</w:t>
            </w:r>
            <w:r>
              <w:rPr>
                <w:rFonts w:hAnsi="宋体" w:cs="宋体"/>
                <w:color w:val="auto"/>
                <w:szCs w:val="24"/>
                <w:highlight w:val="none"/>
              </w:rPr>
              <w:t>534</w:t>
            </w:r>
            <w:r>
              <w:rPr>
                <w:rFonts w:hint="eastAsia" w:hAnsi="宋体" w:cs="宋体"/>
                <w:color w:val="auto"/>
                <w:szCs w:val="24"/>
                <w:highlight w:val="none"/>
              </w:rPr>
              <w:t>㎡</w:t>
            </w:r>
          </w:p>
        </w:tc>
      </w:tr>
      <w:tr w14:paraId="48CFFBE7">
        <w:tblPrEx>
          <w:tblCellMar>
            <w:top w:w="0" w:type="dxa"/>
            <w:left w:w="108" w:type="dxa"/>
            <w:bottom w:w="0" w:type="dxa"/>
            <w:right w:w="108" w:type="dxa"/>
          </w:tblCellMar>
        </w:tblPrEx>
        <w:trPr>
          <w:trHeight w:val="285" w:hRule="atLeast"/>
        </w:trPr>
        <w:tc>
          <w:tcPr>
            <w:tcW w:w="159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888BA">
            <w:pPr>
              <w:widowControl/>
              <w:jc w:val="center"/>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合计</w:t>
            </w:r>
          </w:p>
        </w:tc>
        <w:tc>
          <w:tcPr>
            <w:tcW w:w="41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214AB">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p>
        </w:tc>
        <w:tc>
          <w:tcPr>
            <w:tcW w:w="27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2FE0CD">
            <w:pPr>
              <w:widowControl/>
              <w:jc w:val="center"/>
              <w:textAlignment w:val="center"/>
              <w:rPr>
                <w:rFonts w:hint="eastAsia" w:ascii="宋体" w:hAnsi="宋体" w:eastAsia="宋体" w:cs="宋体"/>
                <w:color w:val="auto"/>
                <w:sz w:val="24"/>
                <w:szCs w:val="24"/>
                <w:highlight w:val="none"/>
              </w:rPr>
            </w:pPr>
            <w:r>
              <w:rPr>
                <w:rFonts w:hAnsi="宋体" w:cs="宋体"/>
                <w:color w:val="auto"/>
                <w:szCs w:val="24"/>
                <w:highlight w:val="none"/>
              </w:rPr>
              <w:t>4600</w:t>
            </w:r>
            <w:r>
              <w:rPr>
                <w:rFonts w:hint="eastAsia" w:hAnsi="宋体" w:cs="宋体"/>
                <w:color w:val="auto"/>
                <w:szCs w:val="24"/>
                <w:highlight w:val="none"/>
              </w:rPr>
              <w:t>㎡</w:t>
            </w:r>
          </w:p>
        </w:tc>
      </w:tr>
    </w:tbl>
    <w:p w14:paraId="6DFFA841">
      <w:pPr>
        <w:pStyle w:val="4"/>
        <w:rPr>
          <w:highlight w:val="none"/>
        </w:rPr>
      </w:pPr>
      <w:r>
        <w:rPr>
          <w:rFonts w:hint="eastAsia" w:ascii="宋体" w:hAnsi="宋体" w:cs="宋体"/>
          <w:szCs w:val="21"/>
          <w:highlight w:val="none"/>
        </w:rPr>
        <w:t>注：</w:t>
      </w:r>
      <w:r>
        <w:rPr>
          <w:rFonts w:ascii="宋体" w:hAnsi="宋体" w:cs="宋体"/>
          <w:szCs w:val="21"/>
          <w:highlight w:val="none"/>
        </w:rPr>
        <w:t>具体</w:t>
      </w:r>
      <w:r>
        <w:rPr>
          <w:rFonts w:hint="eastAsia" w:ascii="宋体" w:hAnsi="宋体" w:cs="宋体"/>
          <w:szCs w:val="21"/>
          <w:highlight w:val="none"/>
        </w:rPr>
        <w:t>指标</w:t>
      </w:r>
      <w:r>
        <w:rPr>
          <w:rFonts w:ascii="宋体" w:hAnsi="宋体" w:cs="宋体"/>
          <w:szCs w:val="21"/>
          <w:highlight w:val="none"/>
        </w:rPr>
        <w:t>以规划部门批复为准。</w:t>
      </w:r>
    </w:p>
    <w:p w14:paraId="03E6AF91">
      <w:pPr>
        <w:pStyle w:val="24"/>
        <w:ind w:firstLine="480"/>
        <w:rPr>
          <w:rFonts w:hint="eastAsia" w:hAnsi="宋体" w:cs="宋体"/>
          <w:szCs w:val="24"/>
          <w:highlight w:val="none"/>
        </w:rPr>
      </w:pPr>
      <w:r>
        <w:rPr>
          <w:rFonts w:hint="eastAsia" w:hAnsi="宋体" w:cs="宋体"/>
          <w:szCs w:val="24"/>
          <w:highlight w:val="none"/>
        </w:rPr>
        <w:t>3.2.2 建筑间距要求</w:t>
      </w:r>
    </w:p>
    <w:p w14:paraId="43E9FB28">
      <w:pPr>
        <w:pStyle w:val="24"/>
        <w:ind w:firstLine="480"/>
        <w:rPr>
          <w:rFonts w:hint="eastAsia" w:hAnsi="宋体" w:cs="宋体"/>
          <w:szCs w:val="24"/>
          <w:highlight w:val="none"/>
        </w:rPr>
      </w:pPr>
      <w:r>
        <w:rPr>
          <w:rFonts w:hint="eastAsia" w:hAnsi="宋体" w:cs="宋体"/>
          <w:szCs w:val="24"/>
          <w:highlight w:val="none"/>
        </w:rPr>
        <w:t>各类建筑工程之间的间距及与规划用地界线之间的退界距离应符合《广州市城乡规划技术规定》中有关间距的要求。各类建筑之间的建筑间距应当符合消防、环保和工艺要求，并执行国家相关规范。</w:t>
      </w:r>
    </w:p>
    <w:p w14:paraId="02551131">
      <w:pPr>
        <w:pStyle w:val="24"/>
        <w:ind w:firstLine="480"/>
        <w:rPr>
          <w:rFonts w:hint="eastAsia" w:hAnsi="宋体" w:cs="宋体"/>
          <w:szCs w:val="24"/>
          <w:highlight w:val="none"/>
        </w:rPr>
      </w:pPr>
      <w:r>
        <w:rPr>
          <w:rFonts w:hint="eastAsia" w:hAnsi="宋体" w:cs="宋体"/>
          <w:szCs w:val="24"/>
          <w:highlight w:val="none"/>
        </w:rPr>
        <w:t>3.2.3 道路交通规划要求</w:t>
      </w:r>
    </w:p>
    <w:p w14:paraId="1481283F">
      <w:pPr>
        <w:pStyle w:val="24"/>
        <w:ind w:firstLine="480"/>
        <w:rPr>
          <w:rFonts w:hint="eastAsia" w:hAnsi="宋体" w:cs="宋体"/>
          <w:szCs w:val="24"/>
          <w:highlight w:val="none"/>
        </w:rPr>
      </w:pPr>
      <w:r>
        <w:rPr>
          <w:rFonts w:hint="eastAsia" w:hAnsi="宋体" w:cs="宋体"/>
          <w:szCs w:val="24"/>
          <w:highlight w:val="none"/>
        </w:rPr>
        <w:t>（1）用地交通主要出入口距城市干道交叉路口红线转弯起点处不应小于70米。</w:t>
      </w:r>
    </w:p>
    <w:p w14:paraId="39F1A925">
      <w:pPr>
        <w:pStyle w:val="24"/>
        <w:ind w:firstLine="480"/>
        <w:rPr>
          <w:rFonts w:hint="eastAsia" w:hAnsi="宋体" w:cs="宋体"/>
          <w:szCs w:val="24"/>
          <w:highlight w:val="none"/>
        </w:rPr>
      </w:pPr>
      <w:r>
        <w:rPr>
          <w:rFonts w:hint="eastAsia" w:hAnsi="宋体" w:cs="宋体"/>
          <w:szCs w:val="24"/>
          <w:highlight w:val="none"/>
        </w:rPr>
        <w:t>（2）停车场设置指标：安置房及其配套公建建筑均按照1.0泊/100平方米建筑面积的标准配建机动车停车位，并应按照1.0泊/10000平方米建筑面积的要求配建出租车上落客泊位。非机动车停车位按照1辆/100平方米的标准配置。其余的停车要求参照《广州市建设项目停车配建指标规定》配置。</w:t>
      </w:r>
    </w:p>
    <w:p w14:paraId="06F2BA06">
      <w:pPr>
        <w:pStyle w:val="24"/>
        <w:ind w:firstLine="480"/>
        <w:rPr>
          <w:rFonts w:hint="eastAsia" w:hAnsi="宋体" w:cs="宋体"/>
          <w:szCs w:val="24"/>
          <w:highlight w:val="none"/>
        </w:rPr>
      </w:pPr>
      <w:r>
        <w:rPr>
          <w:rFonts w:hint="eastAsia" w:hAnsi="宋体" w:cs="宋体"/>
          <w:szCs w:val="24"/>
          <w:highlight w:val="none"/>
        </w:rPr>
        <w:t>（3）停车场设置原则：</w:t>
      </w:r>
    </w:p>
    <w:p w14:paraId="28D739E5">
      <w:pPr>
        <w:pStyle w:val="24"/>
        <w:ind w:firstLine="480"/>
        <w:rPr>
          <w:rFonts w:hint="eastAsia" w:hAnsi="宋体" w:cs="宋体"/>
          <w:szCs w:val="24"/>
          <w:highlight w:val="none"/>
        </w:rPr>
      </w:pPr>
      <w:r>
        <w:rPr>
          <w:rFonts w:hint="eastAsia" w:hAnsi="宋体" w:cs="宋体"/>
          <w:szCs w:val="24"/>
          <w:highlight w:val="none"/>
        </w:rPr>
        <w:t>①按照“地下停车100%”的设计原则；独立多层停车可结合配套商业等一并设计。</w:t>
      </w:r>
    </w:p>
    <w:p w14:paraId="63D4C521">
      <w:pPr>
        <w:rPr>
          <w:rFonts w:hint="eastAsia"/>
          <w:color w:val="auto"/>
          <w:highlight w:val="none"/>
        </w:rPr>
      </w:pPr>
    </w:p>
    <w:p w14:paraId="749B7301">
      <w:pPr>
        <w:pStyle w:val="5"/>
        <w:keepNext w:val="0"/>
        <w:keepLines w:val="0"/>
        <w:snapToGrid/>
        <w:spacing w:before="156" w:beforeLines="50" w:after="0"/>
        <w:rPr>
          <w:rFonts w:hint="eastAsia" w:ascii="宋体" w:hAnsi="宋体" w:eastAsia="宋体" w:cs="宋体"/>
          <w:color w:val="auto"/>
          <w:sz w:val="24"/>
          <w:szCs w:val="24"/>
          <w:highlight w:val="none"/>
        </w:rPr>
      </w:pPr>
      <w:bookmarkStart w:id="60" w:name="_Toc176857813"/>
      <w:bookmarkStart w:id="61" w:name="_Toc179860352"/>
      <w:bookmarkStart w:id="62" w:name="_Toc104581696"/>
      <w:bookmarkStart w:id="63" w:name="_Toc23694"/>
      <w:bookmarkStart w:id="64" w:name="_Toc176925093"/>
      <w:bookmarkStart w:id="65" w:name="_Toc23488"/>
      <w:bookmarkStart w:id="66" w:name="_Toc176921262"/>
      <w:bookmarkStart w:id="67" w:name="_Toc2892"/>
      <w:bookmarkStart w:id="68" w:name="_Toc29895"/>
      <w:r>
        <w:rPr>
          <w:rFonts w:hint="eastAsia" w:ascii="宋体" w:hAnsi="宋体" w:eastAsia="宋体" w:cs="宋体"/>
          <w:color w:val="auto"/>
          <w:sz w:val="24"/>
          <w:szCs w:val="24"/>
          <w:highlight w:val="none"/>
        </w:rPr>
        <w:t>4、用地现状情况</w:t>
      </w:r>
      <w:bookmarkEnd w:id="60"/>
      <w:bookmarkEnd w:id="61"/>
      <w:bookmarkEnd w:id="62"/>
      <w:bookmarkEnd w:id="63"/>
      <w:bookmarkEnd w:id="64"/>
      <w:bookmarkEnd w:id="65"/>
      <w:bookmarkEnd w:id="66"/>
      <w:bookmarkEnd w:id="67"/>
      <w:bookmarkEnd w:id="68"/>
    </w:p>
    <w:p w14:paraId="0A97DC69">
      <w:pPr>
        <w:spacing w:line="360" w:lineRule="auto"/>
        <w:ind w:firstLine="480" w:firstLineChars="200"/>
        <w:rPr>
          <w:rFonts w:hint="eastAsia" w:ascii="宋体" w:hAnsi="宋体" w:eastAsia="宋体" w:cs="宋体"/>
          <w:color w:val="auto"/>
          <w:sz w:val="24"/>
          <w:szCs w:val="24"/>
          <w:highlight w:val="none"/>
        </w:rPr>
      </w:pPr>
      <w:bookmarkStart w:id="69" w:name="_Hlk196572338"/>
      <w:bookmarkStart w:id="70" w:name="_Toc16810"/>
      <w:bookmarkStart w:id="71" w:name="_Toc1224"/>
      <w:bookmarkStart w:id="72" w:name="_Toc1745"/>
      <w:bookmarkStart w:id="73" w:name="_Toc104581697"/>
      <w:bookmarkStart w:id="74" w:name="_Toc13273"/>
      <w:r>
        <w:rPr>
          <w:rFonts w:hint="eastAsia" w:ascii="宋体" w:hAnsi="宋体" w:eastAsia="宋体" w:cs="宋体"/>
          <w:color w:val="auto"/>
          <w:sz w:val="24"/>
          <w:szCs w:val="24"/>
          <w:highlight w:val="none"/>
        </w:rPr>
        <w:t>本项目安置区选址位于广州市天河区，项目选址交通便利，符合安置区建设的选址要求。</w:t>
      </w:r>
    </w:p>
    <w:p w14:paraId="7EEF631C">
      <w:pPr>
        <w:pStyle w:val="3"/>
        <w:ind w:firstLine="210"/>
        <w:rPr>
          <w:highlight w:val="none"/>
        </w:rPr>
      </w:pPr>
    </w:p>
    <w:bookmarkEnd w:id="69"/>
    <w:p w14:paraId="40BA278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4.1 选址现状条件概述</w:t>
      </w:r>
      <w:bookmarkEnd w:id="70"/>
      <w:bookmarkEnd w:id="71"/>
      <w:bookmarkEnd w:id="72"/>
      <w:bookmarkEnd w:id="73"/>
      <w:bookmarkEnd w:id="74"/>
    </w:p>
    <w:p w14:paraId="408A3CEE">
      <w:pPr>
        <w:spacing w:line="360" w:lineRule="auto"/>
        <w:ind w:firstLine="480" w:firstLineChars="200"/>
        <w:rPr>
          <w:rFonts w:hint="eastAsia" w:ascii="宋体" w:hAnsi="宋体" w:eastAsia="宋体" w:cs="宋体"/>
          <w:color w:val="auto"/>
          <w:sz w:val="24"/>
          <w:szCs w:val="24"/>
          <w:highlight w:val="none"/>
        </w:rPr>
      </w:pPr>
      <w:bookmarkStart w:id="75" w:name="_Toc176857815"/>
      <w:bookmarkStart w:id="76" w:name="_Toc23999"/>
      <w:bookmarkStart w:id="77" w:name="_Toc23639"/>
      <w:bookmarkStart w:id="78" w:name="_Toc179860354"/>
      <w:bookmarkStart w:id="79" w:name="_Toc30382"/>
      <w:bookmarkStart w:id="80" w:name="_Toc176921264"/>
      <w:bookmarkStart w:id="81" w:name="_Toc17031"/>
      <w:bookmarkStart w:id="82" w:name="_Toc176925095"/>
      <w:bookmarkStart w:id="83" w:name="_Toc104581698"/>
      <w:r>
        <w:rPr>
          <w:rFonts w:hint="eastAsia" w:ascii="宋体" w:hAnsi="宋体" w:eastAsia="宋体" w:cs="宋体"/>
          <w:color w:val="auto"/>
          <w:sz w:val="24"/>
          <w:szCs w:val="24"/>
          <w:highlight w:val="none"/>
        </w:rPr>
        <w:t>项目用地现状主要为村集体用地</w:t>
      </w:r>
      <w:r>
        <w:rPr>
          <w:rFonts w:hint="eastAsia"/>
          <w:color w:val="auto"/>
          <w:highlight w:val="none"/>
        </w:rPr>
        <w:t>。</w:t>
      </w:r>
    </w:p>
    <w:p w14:paraId="125051B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4.2 气候条件</w:t>
      </w:r>
      <w:bookmarkEnd w:id="75"/>
      <w:bookmarkEnd w:id="76"/>
      <w:bookmarkEnd w:id="77"/>
      <w:bookmarkEnd w:id="78"/>
      <w:bookmarkEnd w:id="79"/>
      <w:bookmarkEnd w:id="80"/>
      <w:bookmarkEnd w:id="81"/>
      <w:bookmarkEnd w:id="82"/>
      <w:bookmarkEnd w:id="83"/>
    </w:p>
    <w:p w14:paraId="2E5C0930">
      <w:pPr>
        <w:spacing w:line="360" w:lineRule="auto"/>
        <w:ind w:firstLine="480" w:firstLineChars="200"/>
        <w:rPr>
          <w:rFonts w:hint="eastAsia" w:ascii="宋体" w:hAnsi="宋体" w:eastAsia="宋体" w:cs="宋体"/>
          <w:color w:val="auto"/>
          <w:sz w:val="24"/>
          <w:szCs w:val="24"/>
          <w:highlight w:val="none"/>
        </w:rPr>
      </w:pPr>
      <w:bookmarkStart w:id="84" w:name="_Toc8104"/>
      <w:bookmarkStart w:id="85" w:name="_Toc104581699"/>
      <w:bookmarkStart w:id="86" w:name="_Toc26636"/>
      <w:bookmarkStart w:id="87" w:name="_Toc21802"/>
      <w:bookmarkStart w:id="88" w:name="_Toc180918606"/>
      <w:bookmarkStart w:id="89" w:name="_Toc23606"/>
      <w:r>
        <w:rPr>
          <w:rFonts w:hint="eastAsia" w:ascii="宋体" w:hAnsi="宋体" w:eastAsia="宋体" w:cs="宋体"/>
          <w:color w:val="auto"/>
          <w:sz w:val="24"/>
          <w:szCs w:val="24"/>
          <w:highlight w:val="none"/>
        </w:rPr>
        <w:t>天河区属南亚热带季风气候，位于北回归线以南。由于四周环水，气候具有海洋性较强的特点。全年暖热，光照充足，雨量充沛，温差较小，干湿季节明显。年平均气温21.8℃，最冷月为1月，平均气温13.3℃，极端最低气温0.0℃，出现在1957年2月11日；最热为7月，平均气温28.4，极端最高气温38.7℃，出现在1953年8月12日。日平均气温全年均在0℃以上。无霜期年平均338天，年平均日照时数为1906小时，年总辐射4489兆焦/米。雨量充沛，年平均降雨量约1694.1毫米，降雨集中在每年4月至9月，雨季长达6个月，平均降雨量为1391.1毫米，占年降雨量的82.1%。旱季总降雨量只有303毫米，占全年降雨量的17.9%。5月最多，达293.8毫米，占全年的降雨量的17.46%，最少为12月，只有24.7毫米，占全年降雨量的1.5%。极端日最大雨量为284.9毫米，出现在1955年6月6日。冬夏季风交替是区内季风气候突出的特征，冬季吹偏北风，夏季吹偏南风，每年4~8月盛行夏季风，9~3月盛行冬季风。夏季风盛行季节，有时会受热带风暴和台风侵袭。冬季风盛行季节，有时会受强冷空气南下影响，会形成“寒露风”和“霜降风”天气。</w:t>
      </w:r>
    </w:p>
    <w:p w14:paraId="1BD94E42">
      <w:pPr>
        <w:pStyle w:val="5"/>
        <w:keepNext w:val="0"/>
        <w:keepLines w:val="0"/>
        <w:snapToGrid/>
        <w:spacing w:before="156" w:beforeLines="50" w:after="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5、设计范围和内容</w:t>
      </w:r>
      <w:bookmarkEnd w:id="84"/>
      <w:bookmarkEnd w:id="85"/>
      <w:bookmarkEnd w:id="86"/>
      <w:bookmarkEnd w:id="87"/>
      <w:bookmarkEnd w:id="88"/>
      <w:bookmarkEnd w:id="89"/>
    </w:p>
    <w:p w14:paraId="7A9BE8F4">
      <w:pPr>
        <w:spacing w:line="360" w:lineRule="auto"/>
        <w:ind w:firstLine="480" w:firstLineChars="200"/>
        <w:rPr>
          <w:rFonts w:hint="eastAsia" w:ascii="宋体" w:hAnsi="宋体" w:eastAsia="宋体" w:cs="宋体"/>
          <w:color w:val="auto"/>
          <w:sz w:val="24"/>
          <w:szCs w:val="24"/>
          <w:highlight w:val="none"/>
        </w:rPr>
      </w:pPr>
      <w:bookmarkStart w:id="90" w:name="_Toc28237"/>
      <w:bookmarkStart w:id="91" w:name="_Toc104581700"/>
      <w:bookmarkStart w:id="92" w:name="_Toc27040"/>
      <w:bookmarkStart w:id="93" w:name="_Toc14096"/>
      <w:r>
        <w:rPr>
          <w:rFonts w:hint="eastAsia" w:ascii="宋体" w:hAnsi="宋体" w:eastAsia="宋体" w:cs="宋体"/>
          <w:color w:val="auto"/>
          <w:sz w:val="24"/>
          <w:szCs w:val="24"/>
          <w:highlight w:val="none"/>
        </w:rPr>
        <w:t>5.1 本项目设计范围</w:t>
      </w:r>
      <w:bookmarkEnd w:id="90"/>
      <w:bookmarkEnd w:id="91"/>
      <w:bookmarkEnd w:id="92"/>
      <w:bookmarkEnd w:id="93"/>
    </w:p>
    <w:p w14:paraId="4A44D49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按本项目招标公告约定。</w:t>
      </w:r>
    </w:p>
    <w:p w14:paraId="4D9BCFA9">
      <w:pPr>
        <w:spacing w:line="360" w:lineRule="auto"/>
        <w:ind w:firstLine="480" w:firstLineChars="200"/>
        <w:rPr>
          <w:rFonts w:hint="eastAsia" w:ascii="宋体" w:hAnsi="宋体" w:eastAsia="宋体" w:cs="宋体"/>
          <w:color w:val="auto"/>
          <w:sz w:val="24"/>
          <w:szCs w:val="24"/>
          <w:highlight w:val="none"/>
        </w:rPr>
      </w:pPr>
      <w:bookmarkStart w:id="94" w:name="_Toc30499"/>
      <w:bookmarkStart w:id="95" w:name="_Toc30875"/>
      <w:bookmarkStart w:id="96" w:name="_Toc2992"/>
      <w:bookmarkStart w:id="97" w:name="_Toc104581701"/>
      <w:r>
        <w:rPr>
          <w:rFonts w:hint="eastAsia" w:ascii="宋体" w:hAnsi="宋体" w:eastAsia="宋体" w:cs="宋体"/>
          <w:color w:val="auto"/>
          <w:sz w:val="24"/>
          <w:szCs w:val="24"/>
          <w:highlight w:val="none"/>
        </w:rPr>
        <w:t>5.2 本项目设计主要内容</w:t>
      </w:r>
      <w:bookmarkEnd w:id="94"/>
      <w:bookmarkEnd w:id="95"/>
      <w:bookmarkEnd w:id="96"/>
      <w:bookmarkEnd w:id="97"/>
    </w:p>
    <w:p w14:paraId="6D7A727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根据《建筑工程设计文件编制深度规定》（2016年版）中关于施工图设计应达到的设计深度要求及招标人各设计管理办法要求，</w:t>
      </w:r>
      <w:r>
        <w:rPr>
          <w:rFonts w:hint="eastAsia" w:ascii="宋体" w:hAnsi="宋体" w:eastAsia="宋体" w:cs="宋体"/>
          <w:b/>
          <w:color w:val="auto"/>
          <w:sz w:val="24"/>
          <w:szCs w:val="24"/>
          <w:highlight w:val="none"/>
        </w:rPr>
        <w:t>在前期完成的方案和初步设计文件基础上开展施工图设计工作</w:t>
      </w:r>
      <w:r>
        <w:rPr>
          <w:rFonts w:hint="eastAsia" w:ascii="宋体" w:hAnsi="宋体" w:eastAsia="宋体" w:cs="宋体"/>
          <w:color w:val="auto"/>
          <w:sz w:val="24"/>
          <w:szCs w:val="24"/>
          <w:highlight w:val="none"/>
        </w:rPr>
        <w:t>。</w:t>
      </w:r>
    </w:p>
    <w:p w14:paraId="0D85300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5.2.1 施工图设计、施工图预算编制、协助施工单位编制竣工图及施工配合、现场服务、配合竣工验收、因政策变化或相应外部条件改变带来的相应设计工作、总协调工作、与本项目相关的设计等工作。</w:t>
      </w:r>
    </w:p>
    <w:p w14:paraId="4990EB7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5.2.2 主要设计工作，包括但不限于以下内容：</w:t>
      </w:r>
    </w:p>
    <w:p w14:paraId="57A6FDE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5.2.2.1基坑支护设计：基坑设计、基坑监测布点及要求、高支模监测布点及要求等。</w:t>
      </w:r>
    </w:p>
    <w:p w14:paraId="3C67DC3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5.2.2.2 市政工程设计：包括本项目用地红线范围内的市政道路及随路市政配套设施（含雨水、污水、电力管沟或缆线管廊、市政道路照明）等工程设计，以及各种管线综合平衡设计（含配合市政管线接口对接）等。</w:t>
      </w:r>
    </w:p>
    <w:p w14:paraId="7778EF0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5.2.2.3 房屋建筑设计：</w:t>
      </w:r>
    </w:p>
    <w:p w14:paraId="75766B0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①建筑部分：包括但不限于提供主体建筑与附属建筑各层平面图，建筑四个方向立面图、主要剖面图、功能区域设计、交通组织图、外立面装修及室内装修工程施工图、效果图、构造做法、新技术做法。</w:t>
      </w:r>
    </w:p>
    <w:p w14:paraId="5AF3FD9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②结构设计：包括总平面范围内主体、附属的结构设计、装修工程的结构设计与验算、室外工程及构筑物的结构设计。</w:t>
      </w:r>
    </w:p>
    <w:p w14:paraId="5D55AB2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③电气设计：包括红线范围内的变配电系统、应急电源供电系统、电力系统、照明系统（含室内普通照明、室外景观照明及智能照明控制）、消防自动报警系统、建筑物防雷、接地系统及安全措施，并配合完成红线范围内管线综合平衡设计。智能化系统设计：包括火灾自动报警及联动控制系统、通信接入系统、综合布线系统、有线电视、公共广播系统、信息导引及发布系统、视频安防监控系统、停车场管理系统、安全防范系统（访客对讲、紧急求助报警装置等）、监控中心并配合完成红线范围内管线综合平衡设计。</w:t>
      </w:r>
    </w:p>
    <w:p w14:paraId="3A93002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④给排水设计：包括红线范围内给水排水系统；消火栓系统；自动喷水灭火系统；灭火器配置；气体灭火系统；雨水收集、处理与回用系统。</w:t>
      </w:r>
    </w:p>
    <w:p w14:paraId="347AD3D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⑤暖通空调设计：建筑物内部通风系统、建筑物内部空气调节系统、防排烟系统。</w:t>
      </w:r>
    </w:p>
    <w:p w14:paraId="671D542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⑥室内管线综合平衡设计：各专业设备、系统的管线在建筑物内部通道走线平衡设计。</w:t>
      </w:r>
    </w:p>
    <w:p w14:paraId="6B32BB8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⑦人防、燃气、绿色建筑、海绵城市、外水外电、5G室内覆盖系统、泛光照明、电梯工程等专业设计。</w:t>
      </w:r>
    </w:p>
    <w:p w14:paraId="145115F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⑧装配式专项设计及构件深化设计、幕墙深化设计等相关专业深化设计。</w:t>
      </w:r>
    </w:p>
    <w:p w14:paraId="05C3879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5.2.2.4 要求使用BIM正向设计完成工作。</w:t>
      </w:r>
    </w:p>
    <w:p w14:paraId="393622F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5.2.2.5所有深化设计均需体现在施工蓝图中，包括但不限于铝模深化设计、门窗深化设计、电梯深化设计等。</w:t>
      </w:r>
    </w:p>
    <w:p w14:paraId="6CE85FE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5.2.3 编制施工图预算。</w:t>
      </w:r>
    </w:p>
    <w:p w14:paraId="29B32823">
      <w:pPr>
        <w:spacing w:line="360" w:lineRule="auto"/>
        <w:ind w:firstLine="480" w:firstLineChars="200"/>
        <w:rPr>
          <w:rFonts w:hint="eastAsia"/>
          <w:color w:val="auto"/>
          <w:highlight w:val="none"/>
        </w:rPr>
      </w:pPr>
      <w:r>
        <w:rPr>
          <w:rFonts w:hint="eastAsia" w:ascii="宋体" w:hAnsi="宋体" w:eastAsia="宋体" w:cs="宋体"/>
          <w:color w:val="auto"/>
          <w:sz w:val="24"/>
          <w:szCs w:val="24"/>
          <w:highlight w:val="none"/>
        </w:rPr>
        <w:t>5.2.4 专项分包施工图设计文件中，需设计人校核确认的部分由设计人及专项分包方人员进行会签并盖章确认。设计人应配合深化设计单位出图（如有）。对于有设计资质的深化设计单位，对其设计文件进行设计协调和按建设方要求办理审核确认手续；对于没有设计资质的深化设计单位，在完成深化设计后需套设计人单位图签出图，深化设计单位必须盖章确认。</w:t>
      </w:r>
    </w:p>
    <w:p w14:paraId="591781A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5.2.5 设计变更、现场指导和施工配合服务（设计阶段根据工程建设的需要及建设方的要求确定服务时间）。</w:t>
      </w:r>
    </w:p>
    <w:p w14:paraId="75D6EE8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5.2.6 向政府主管部门进行报建、验收手续及相关协调工作（包括但不限于基坑支护设计方案技术审查、人防报建、消防报建、绿建备案、海绵城市建设效果评估、装配式预评价、绿化迁移报批、联合验收、施工图三维数字化审查、配合住建局完成CIM平台试点工作等）。并负责就设计图纸向政府相关部门进行意见征询，包括但不限于供电、水务、市政、燃气、教育（如有）等。</w:t>
      </w:r>
    </w:p>
    <w:p w14:paraId="518A076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5.2.7 对施工荷载（如重型施工车辆在地下室顶板上行走等）作用于构件上的结构复核，并在必要时出具加固意见。</w:t>
      </w:r>
    </w:p>
    <w:p w14:paraId="374B3AE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5.2.8 人员驻场服务：按招标文件及合同要求。</w:t>
      </w:r>
    </w:p>
    <w:p w14:paraId="5C1FC87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5.2.9 招标文件及合同约定的其他设计、服务工作。</w:t>
      </w:r>
    </w:p>
    <w:p w14:paraId="4A5A9CE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5.2.10 因政策变化或相应外部条件改变带来的相应设计工作。包括但不限于：历史文化遗产保护专项设计、绿化迁移保护专项设计、CIM平台报审工作等。</w:t>
      </w:r>
    </w:p>
    <w:p w14:paraId="114226A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5.2.11对传统建筑进行保护或活化利用，包括但不限于精密测绘、安全鉴定、安全监测、保护修复、报规报建、竣工验收等方面工作。 </w:t>
      </w:r>
    </w:p>
    <w:p w14:paraId="31D2B61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5.2.12 承包人在本项目中项目前期建立创优管理架构，制定创优质量目标、管理制度，向发包人报送创优工作计划方案。</w:t>
      </w:r>
    </w:p>
    <w:p w14:paraId="7BA0FBED">
      <w:pPr>
        <w:spacing w:line="360" w:lineRule="auto"/>
        <w:ind w:firstLine="480" w:firstLineChars="200"/>
        <w:rPr>
          <w:rFonts w:hint="eastAsia"/>
          <w:color w:val="auto"/>
          <w:highlight w:val="none"/>
        </w:rPr>
      </w:pPr>
      <w:r>
        <w:rPr>
          <w:rFonts w:hint="eastAsia" w:ascii="宋体" w:hAnsi="宋体" w:eastAsia="宋体" w:cs="宋体"/>
          <w:color w:val="auto"/>
          <w:sz w:val="24"/>
          <w:szCs w:val="24"/>
          <w:highlight w:val="none"/>
        </w:rPr>
        <w:t>5.2.13与本项目相关的设计工作。</w:t>
      </w:r>
    </w:p>
    <w:p w14:paraId="69EDB64B">
      <w:pPr>
        <w:pStyle w:val="5"/>
        <w:keepNext w:val="0"/>
        <w:keepLines w:val="0"/>
        <w:snapToGrid/>
        <w:spacing w:before="156" w:beforeLines="50" w:after="0"/>
        <w:rPr>
          <w:rFonts w:hint="eastAsia" w:ascii="宋体" w:hAnsi="宋体" w:eastAsia="宋体" w:cs="宋体"/>
          <w:color w:val="auto"/>
          <w:sz w:val="24"/>
          <w:szCs w:val="24"/>
          <w:highlight w:val="none"/>
        </w:rPr>
      </w:pPr>
      <w:bookmarkStart w:id="98" w:name="_Toc1085"/>
      <w:bookmarkStart w:id="99" w:name="_Toc22233"/>
      <w:bookmarkStart w:id="100" w:name="_Toc8288"/>
      <w:bookmarkStart w:id="101" w:name="_Toc104581702"/>
      <w:r>
        <w:rPr>
          <w:rFonts w:hint="eastAsia" w:ascii="宋体" w:hAnsi="宋体" w:eastAsia="宋体" w:cs="宋体"/>
          <w:color w:val="auto"/>
          <w:sz w:val="24"/>
          <w:szCs w:val="24"/>
          <w:highlight w:val="none"/>
        </w:rPr>
        <w:t>6.设计原则</w:t>
      </w:r>
      <w:bookmarkEnd w:id="98"/>
      <w:bookmarkEnd w:id="99"/>
      <w:bookmarkEnd w:id="100"/>
      <w:bookmarkEnd w:id="101"/>
    </w:p>
    <w:p w14:paraId="5F775D8B">
      <w:pPr>
        <w:spacing w:line="360" w:lineRule="auto"/>
        <w:ind w:firstLine="480" w:firstLineChars="200"/>
        <w:rPr>
          <w:rFonts w:hint="eastAsia" w:ascii="宋体" w:hAnsi="宋体" w:eastAsia="宋体" w:cs="宋体"/>
          <w:color w:val="auto"/>
          <w:sz w:val="24"/>
          <w:szCs w:val="24"/>
          <w:highlight w:val="none"/>
        </w:rPr>
      </w:pPr>
      <w:bookmarkStart w:id="102" w:name="_Toc104581703"/>
      <w:bookmarkStart w:id="103" w:name="_Toc31699"/>
      <w:bookmarkStart w:id="104" w:name="_Toc9255"/>
      <w:bookmarkStart w:id="105" w:name="_Toc8805"/>
      <w:bookmarkStart w:id="106" w:name="_Toc19474"/>
      <w:bookmarkStart w:id="107" w:name="_Toc16109"/>
      <w:bookmarkStart w:id="108" w:name="_Toc17701"/>
      <w:bookmarkStart w:id="109" w:name="_Toc104581708"/>
      <w:r>
        <w:rPr>
          <w:rFonts w:hint="eastAsia" w:ascii="宋体" w:hAnsi="宋体" w:eastAsia="宋体" w:cs="宋体"/>
          <w:color w:val="auto"/>
          <w:sz w:val="24"/>
          <w:szCs w:val="24"/>
          <w:highlight w:val="none"/>
        </w:rPr>
        <w:t>本项目的建设目标和任务将紧紧围绕天河区长湴村城中村的改造，作为首开区的土地开发建设，先期开展配套市政道路及市政设施、安置区建设，解决长湴村居民拆迁安置及周边地块出行交通问题，为区域改造升级奠定基础。</w:t>
      </w:r>
    </w:p>
    <w:p w14:paraId="014C98D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设应坚持遵循安全可靠、经济实用、资源节约、环境友好和适度创新的原则，充分考虑安置村民的居住习惯和居住行为、住宅使用功能与空间的组合，以满足安置家庭的基本居住生活需求，合理确定套型结构。商业充分考虑其商业价值及其适用性。同时体现“以人为本”的设计原则，创造安全、方便、健康、紧凑、和谐的人居环境，并合理采用成熟可靠的新技术、新材料、新工艺，符合国家有关技术标准、规范，达到节地、节能、节水、节材和环境保护的目标要求。</w:t>
      </w:r>
    </w:p>
    <w:bookmarkEnd w:id="102"/>
    <w:bookmarkEnd w:id="103"/>
    <w:bookmarkEnd w:id="104"/>
    <w:bookmarkEnd w:id="105"/>
    <w:p w14:paraId="728FD61A">
      <w:pPr>
        <w:spacing w:line="360" w:lineRule="auto"/>
        <w:ind w:firstLine="480" w:firstLineChars="200"/>
        <w:rPr>
          <w:rFonts w:hint="eastAsia" w:ascii="宋体" w:hAnsi="宋体" w:eastAsia="宋体" w:cs="宋体"/>
          <w:color w:val="auto"/>
          <w:sz w:val="24"/>
          <w:szCs w:val="24"/>
          <w:highlight w:val="none"/>
        </w:rPr>
      </w:pPr>
      <w:bookmarkStart w:id="110" w:name="_Toc10875"/>
      <w:bookmarkStart w:id="111" w:name="_Toc19360"/>
      <w:bookmarkStart w:id="112" w:name="_Toc32356"/>
      <w:bookmarkStart w:id="113" w:name="_Toc104581706"/>
      <w:r>
        <w:rPr>
          <w:rFonts w:hint="eastAsia" w:ascii="宋体" w:hAnsi="宋体" w:eastAsia="宋体" w:cs="宋体"/>
          <w:color w:val="auto"/>
          <w:sz w:val="24"/>
          <w:szCs w:val="24"/>
          <w:highlight w:val="none"/>
        </w:rPr>
        <w:t>6.1  规划布局和建筑设计体现岭南建筑的特色，造型简洁大方，富有时代气息，提取具有岭南地域特色的设计元素，强化建筑的地域性。</w:t>
      </w:r>
    </w:p>
    <w:p w14:paraId="1315A28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6.2 环境、生态的设计及绿地布置本着以人为本的原则，注重共享性、注重生态设计、注重、注重文化延续、注重多元化，使其达到最佳状态的环境。</w:t>
      </w:r>
    </w:p>
    <w:p w14:paraId="4008D675">
      <w:pPr>
        <w:spacing w:line="360" w:lineRule="auto"/>
        <w:ind w:firstLine="480" w:firstLineChars="200"/>
        <w:rPr>
          <w:rFonts w:hint="eastAsia"/>
          <w:color w:val="auto"/>
          <w:highlight w:val="none"/>
        </w:rPr>
      </w:pPr>
      <w:r>
        <w:rPr>
          <w:rFonts w:hint="eastAsia" w:ascii="宋体" w:hAnsi="宋体" w:eastAsia="宋体" w:cs="宋体"/>
          <w:color w:val="auto"/>
          <w:sz w:val="24"/>
          <w:szCs w:val="24"/>
          <w:highlight w:val="none"/>
        </w:rPr>
        <w:t>6.3 本项目为限额设计，宜本着节约投资的原则，要求依据建设和技术资料合理选择、运用技术经济多方案比选等技术手段，科学分析、系统考虑，不断优化设计方案</w:t>
      </w:r>
    </w:p>
    <w:p w14:paraId="2E180FEF">
      <w:pPr>
        <w:spacing w:line="360" w:lineRule="auto"/>
        <w:ind w:firstLine="480" w:firstLineChars="200"/>
        <w:rPr>
          <w:rFonts w:hint="eastAsia" w:ascii="宋体" w:hAnsi="宋体" w:eastAsia="宋体" w:cs="宋体"/>
          <w:strike/>
          <w:color w:val="auto"/>
          <w:sz w:val="24"/>
          <w:szCs w:val="24"/>
          <w:highlight w:val="none"/>
        </w:rPr>
      </w:pPr>
    </w:p>
    <w:p w14:paraId="6C281DF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 体现“绿色节能、生态宜居”的设计理念</w:t>
      </w:r>
      <w:bookmarkEnd w:id="110"/>
      <w:bookmarkEnd w:id="111"/>
      <w:bookmarkEnd w:id="112"/>
      <w:bookmarkEnd w:id="113"/>
    </w:p>
    <w:p w14:paraId="5A1253E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项目应按绿色建筑标准进行规划设计，积极采用低碳、绿色、环保技术措施。</w:t>
      </w:r>
      <w:bookmarkStart w:id="114" w:name="_Toc26626"/>
      <w:bookmarkStart w:id="115" w:name="_Toc27332"/>
      <w:bookmarkStart w:id="116" w:name="_Toc26296"/>
      <w:bookmarkStart w:id="117" w:name="_Toc104581707"/>
    </w:p>
    <w:bookmarkEnd w:id="114"/>
    <w:bookmarkEnd w:id="115"/>
    <w:bookmarkEnd w:id="116"/>
    <w:bookmarkEnd w:id="117"/>
    <w:p w14:paraId="0C2A011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6.5 BIM全周期管理的应用要求</w:t>
      </w:r>
      <w:bookmarkEnd w:id="106"/>
      <w:bookmarkEnd w:id="107"/>
      <w:bookmarkEnd w:id="108"/>
      <w:bookmarkEnd w:id="109"/>
    </w:p>
    <w:p w14:paraId="4277A07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项目要求用BIM正向设计完成，要求在主体结构工程以及各专业安装工程的设计须应用BIM技术,并预留施工、运营阶段的数据接入条件.通过开展针对该项目的BIM实施管理，保证各参与单位有计划的按照统一标准实现信息共享和工作协同，辅助设计、施工、移交管理，根据发包人要求及相关规范，保障BIM电子成果顺利在发包人提供或指定的信息系统上运行，实现BIM价值的延伸。</w:t>
      </w:r>
    </w:p>
    <w:p w14:paraId="02541DC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实现各参与方通过BIM应用提升专业服务水平，提升项目的建设品质；通过同一BIM模型，统一信息传递标准，形成标准化模式，基于统一管理平台实现项目信息的集成管理；通过BIM为项目节省建造成本，减少资源浪费，实现绿色施工；为后期运营维护的信息化、数字化管理建立良好的数据基础；增强EPC项目团队协同管理能力，提升工作效率和项目质量，实现精益、智能建造。</w:t>
      </w:r>
    </w:p>
    <w:p w14:paraId="7005EF6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需使用信息化管理平台完成相关建设工作，并与发包人现有系统平台实现数据对接。应根据甲方及项目进度要求完成模型的搭建、修改及相关调整工作，并把最新的模型和分析报告上传到甲方提供或指定的项目全生命期数字化管理平台中，BIM 模型必须由甲方或者甲方指定的顾问单位进行审核，且需满足甲方要求的平台格式标准。如承包人不具备自建数字工地及信息化管理平台能力，可经发包人认可分包技术服务商完成对接。经与发包人建立的信息化平台接通，并经发包人认可后方可入场施工。相关费用已包含在BIM应用费中。</w:t>
      </w:r>
    </w:p>
    <w:p w14:paraId="2EBEBD3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具体应用项包括但不限于：</w:t>
      </w:r>
    </w:p>
    <w:p w14:paraId="666D62D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6.6.1 施工图设计阶段，建立施工图阶段BIM模型，并按要求提供BIM设计模型进行审查（包括但不限于公司、住建局施工图三维数字化审查等）。</w:t>
      </w:r>
    </w:p>
    <w:p w14:paraId="0D766C2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6.6.2 在施工阶段，利用BIM技术进行交底，辅助、配合施工单位，建立BIM施工模型，实现工程项目施工过程可视化模拟、施工方案优化、施工进度和成本的动态管控。根据发包人现有信息系统及未来需对接的系统，制定BIM协同管理平台与对接系统的对接方案（包含预留数据接口），如与OA系统、施工单位智慧工地系统等，并进行实施。配合发包人统筹协调BIM与智慧工地、BIM与数字化施工等BIM+的应用管理工作。</w:t>
      </w:r>
    </w:p>
    <w:p w14:paraId="131F48D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6.6.3 配合运维平台单位以及其他平台单位进行数据交互与共享，具备BIM模型数据迁移功能条件，为数据互通提供技术支持，确保BIM为运维打下坚实的基础。</w:t>
      </w:r>
    </w:p>
    <w:p w14:paraId="323B316F">
      <w:pPr>
        <w:spacing w:line="360" w:lineRule="auto"/>
        <w:ind w:firstLine="480" w:firstLineChars="200"/>
        <w:rPr>
          <w:rFonts w:hint="eastAsia" w:ascii="宋体" w:hAnsi="宋体" w:eastAsia="宋体" w:cs="宋体"/>
          <w:color w:val="auto"/>
          <w:sz w:val="24"/>
          <w:szCs w:val="24"/>
          <w:highlight w:val="none"/>
        </w:rPr>
      </w:pPr>
    </w:p>
    <w:p w14:paraId="23E43F6D">
      <w:pPr>
        <w:spacing w:line="360" w:lineRule="auto"/>
        <w:ind w:firstLine="480" w:firstLineChars="200"/>
        <w:rPr>
          <w:rFonts w:hint="eastAsia" w:ascii="宋体" w:hAnsi="宋体" w:eastAsia="宋体" w:cs="宋体"/>
          <w:color w:val="auto"/>
          <w:sz w:val="24"/>
          <w:szCs w:val="24"/>
          <w:highlight w:val="none"/>
        </w:rPr>
        <w:sectPr>
          <w:headerReference r:id="rId9" w:type="default"/>
          <w:footerReference r:id="rId10" w:type="default"/>
          <w:pgSz w:w="11906" w:h="16838"/>
          <w:pgMar w:top="1440" w:right="1440" w:bottom="1440" w:left="1440" w:header="851" w:footer="992" w:gutter="0"/>
          <w:cols w:space="720" w:num="1"/>
          <w:docGrid w:type="lines" w:linePitch="312" w:charSpace="0"/>
        </w:sectPr>
      </w:pPr>
    </w:p>
    <w:p w14:paraId="0661F2BF">
      <w:pPr>
        <w:pStyle w:val="2"/>
        <w:keepNext w:val="0"/>
        <w:keepLines w:val="0"/>
        <w:snapToGrid/>
        <w:spacing w:line="360" w:lineRule="auto"/>
        <w:rPr>
          <w:rFonts w:hint="eastAsia" w:ascii="宋体" w:hAnsi="宋体" w:eastAsia="宋体" w:cs="宋体"/>
          <w:color w:val="auto"/>
          <w:highlight w:val="none"/>
        </w:rPr>
      </w:pPr>
      <w:bookmarkStart w:id="118" w:name="_Toc104581709"/>
      <w:bookmarkStart w:id="119" w:name="_Toc3606"/>
      <w:bookmarkStart w:id="120" w:name="_Toc1637"/>
      <w:bookmarkStart w:id="121" w:name="_Toc29537"/>
      <w:bookmarkStart w:id="122" w:name="_Toc472"/>
      <w:r>
        <w:rPr>
          <w:rFonts w:hint="eastAsia" w:ascii="宋体" w:hAnsi="宋体" w:eastAsia="宋体" w:cs="宋体"/>
          <w:color w:val="auto"/>
          <w:highlight w:val="none"/>
        </w:rPr>
        <w:t>二、规划设计要求</w:t>
      </w:r>
      <w:bookmarkEnd w:id="118"/>
      <w:bookmarkEnd w:id="119"/>
      <w:bookmarkEnd w:id="120"/>
      <w:bookmarkEnd w:id="121"/>
      <w:bookmarkEnd w:id="122"/>
      <w:bookmarkStart w:id="123" w:name="_Toc12841"/>
      <w:bookmarkStart w:id="124" w:name="_Toc18248"/>
      <w:bookmarkStart w:id="125" w:name="_Toc11924"/>
      <w:bookmarkStart w:id="126" w:name="_Toc104581710"/>
      <w:bookmarkStart w:id="127" w:name="_Toc176857828"/>
      <w:bookmarkStart w:id="128" w:name="_Toc176925103"/>
      <w:bookmarkStart w:id="129" w:name="_Toc176921272"/>
      <w:bookmarkStart w:id="130" w:name="_Toc179860362"/>
    </w:p>
    <w:bookmarkEnd w:id="123"/>
    <w:bookmarkEnd w:id="124"/>
    <w:bookmarkEnd w:id="125"/>
    <w:bookmarkEnd w:id="126"/>
    <w:p w14:paraId="76AA3B10">
      <w:pPr>
        <w:pStyle w:val="2"/>
        <w:keepNext w:val="0"/>
        <w:keepLines w:val="0"/>
        <w:snapToGrid/>
        <w:spacing w:line="360" w:lineRule="auto"/>
        <w:ind w:firstLine="482" w:firstLineChars="200"/>
        <w:rPr>
          <w:rFonts w:hint="eastAsia" w:ascii="宋体" w:hAnsi="宋体" w:eastAsia="宋体" w:cs="宋体"/>
          <w:color w:val="auto"/>
          <w:sz w:val="24"/>
          <w:szCs w:val="32"/>
          <w:highlight w:val="none"/>
        </w:rPr>
      </w:pPr>
      <w:bookmarkStart w:id="131" w:name="_Toc9361"/>
      <w:r>
        <w:rPr>
          <w:rFonts w:hint="eastAsia" w:ascii="宋体" w:hAnsi="宋体" w:eastAsia="宋体" w:cs="宋体"/>
          <w:color w:val="auto"/>
          <w:sz w:val="24"/>
          <w:szCs w:val="32"/>
          <w:highlight w:val="none"/>
        </w:rPr>
        <w:t>1、规划原则及用地布局</w:t>
      </w:r>
      <w:bookmarkEnd w:id="131"/>
    </w:p>
    <w:p w14:paraId="7BA8BF0F">
      <w:pPr>
        <w:snapToGrid/>
        <w:ind w:firstLine="480" w:firstLineChars="200"/>
        <w:rPr>
          <w:rFonts w:hint="eastAsia" w:ascii="宋体" w:hAnsi="宋体" w:eastAsia="宋体" w:cs="宋体"/>
          <w:b/>
          <w:bCs/>
          <w:strike/>
          <w:color w:val="auto"/>
          <w:sz w:val="24"/>
          <w:szCs w:val="32"/>
          <w:highlight w:val="none"/>
        </w:rPr>
      </w:pPr>
      <w:bookmarkStart w:id="132" w:name="_Toc6183"/>
      <w:r>
        <w:rPr>
          <w:rFonts w:hint="eastAsia" w:ascii="宋体" w:hAnsi="宋体" w:eastAsia="宋体" w:cs="宋体"/>
          <w:color w:val="auto"/>
          <w:sz w:val="24"/>
          <w:szCs w:val="32"/>
          <w:highlight w:val="none"/>
        </w:rPr>
        <w:t xml:space="preserve">1.1 </w:t>
      </w:r>
      <w:r>
        <w:rPr>
          <w:rFonts w:hint="eastAsia" w:ascii="宋体" w:hAnsi="宋体" w:eastAsia="宋体" w:cs="宋体"/>
          <w:color w:val="auto"/>
          <w:sz w:val="24"/>
          <w:szCs w:val="24"/>
          <w:highlight w:val="none"/>
          <w:lang w:bidi="ar"/>
        </w:rPr>
        <w:t>符合现有地形特征，尽量利用地形，以充分考虑经济性为基础，合理确定建筑的总体布局与功能设置。</w:t>
      </w:r>
    </w:p>
    <w:p w14:paraId="13B6922C">
      <w:pPr>
        <w:snapToGrid/>
        <w:spacing w:before="0" w:after="0" w:line="360" w:lineRule="auto"/>
        <w:ind w:firstLine="480" w:firstLineChars="200"/>
        <w:jc w:val="both"/>
        <w:rPr>
          <w:rFonts w:hint="eastAsia" w:ascii="宋体" w:hAnsi="宋体" w:eastAsia="宋体" w:cs="宋体"/>
          <w:color w:val="auto"/>
          <w:sz w:val="24"/>
          <w:szCs w:val="32"/>
          <w:highlight w:val="none"/>
        </w:rPr>
      </w:pPr>
      <w:bookmarkStart w:id="133" w:name="_Toc6514"/>
      <w:r>
        <w:rPr>
          <w:rFonts w:hint="eastAsia" w:ascii="宋体" w:hAnsi="宋体" w:eastAsia="宋体" w:cs="宋体"/>
          <w:color w:val="auto"/>
          <w:sz w:val="24"/>
          <w:szCs w:val="32"/>
          <w:highlight w:val="none"/>
        </w:rPr>
        <w:t xml:space="preserve">1.2 </w:t>
      </w:r>
      <w:r>
        <w:rPr>
          <w:rFonts w:hint="eastAsia" w:ascii="宋体" w:hAnsi="宋体" w:eastAsia="宋体" w:cs="宋体"/>
          <w:color w:val="auto"/>
          <w:sz w:val="24"/>
          <w:szCs w:val="24"/>
          <w:highlight w:val="none"/>
          <w:lang w:bidi="ar"/>
        </w:rPr>
        <w:t>符合城市规划及商业建筑建设规划的要求，综合考虑建筑性质、建筑造型、建筑立面特征等与周围环境的关系，并应符合国家有关节约用地、节能节水、环境保护和消防安全等规定</w:t>
      </w:r>
      <w:r>
        <w:rPr>
          <w:rFonts w:hint="eastAsia" w:ascii="宋体" w:hAnsi="宋体" w:eastAsia="宋体" w:cs="宋体"/>
          <w:color w:val="auto"/>
          <w:sz w:val="24"/>
          <w:szCs w:val="32"/>
          <w:highlight w:val="none"/>
        </w:rPr>
        <w:t>。</w:t>
      </w:r>
    </w:p>
    <w:p w14:paraId="5E124EDD">
      <w:pPr>
        <w:pStyle w:val="2"/>
        <w:keepNext w:val="0"/>
        <w:keepLines w:val="0"/>
        <w:snapToGrid/>
        <w:spacing w:line="360" w:lineRule="auto"/>
        <w:ind w:firstLine="482" w:firstLineChars="200"/>
        <w:rPr>
          <w:rFonts w:hint="eastAsia" w:ascii="宋体" w:hAnsi="宋体" w:eastAsia="宋体" w:cs="宋体"/>
          <w:color w:val="auto"/>
          <w:sz w:val="24"/>
          <w:szCs w:val="24"/>
          <w:highlight w:val="none"/>
          <w:lang w:bidi="ar"/>
        </w:rPr>
      </w:pPr>
      <w:r>
        <w:rPr>
          <w:rFonts w:hint="eastAsia" w:ascii="宋体" w:hAnsi="宋体" w:eastAsia="宋体" w:cs="宋体"/>
          <w:color w:val="auto"/>
          <w:sz w:val="24"/>
          <w:szCs w:val="32"/>
          <w:highlight w:val="none"/>
        </w:rPr>
        <w:t xml:space="preserve">1.3 </w:t>
      </w:r>
      <w:r>
        <w:rPr>
          <w:rFonts w:hint="eastAsia" w:ascii="宋体" w:hAnsi="宋体" w:eastAsia="宋体" w:cs="宋体"/>
          <w:color w:val="auto"/>
          <w:sz w:val="24"/>
          <w:szCs w:val="24"/>
          <w:highlight w:val="none"/>
          <w:lang w:bidi="ar"/>
        </w:rPr>
        <w:t>综合布置建筑、绿地、停车场、道路等设施，交通组织合理，环境美观舒适。</w:t>
      </w:r>
      <w:bookmarkEnd w:id="133"/>
      <w:bookmarkStart w:id="134" w:name="_Toc9939"/>
    </w:p>
    <w:p w14:paraId="7F686CEB">
      <w:pPr>
        <w:pStyle w:val="2"/>
        <w:keepNext w:val="0"/>
        <w:keepLines w:val="0"/>
        <w:snapToGrid/>
        <w:spacing w:line="360" w:lineRule="auto"/>
        <w:ind w:firstLine="480" w:firstLineChars="200"/>
        <w:rPr>
          <w:rFonts w:hint="eastAsia" w:ascii="宋体" w:hAnsi="宋体" w:eastAsia="宋体" w:cs="宋体"/>
          <w:b w:val="0"/>
          <w:bCs w:val="0"/>
          <w:color w:val="auto"/>
          <w:sz w:val="24"/>
          <w:szCs w:val="32"/>
          <w:highlight w:val="none"/>
        </w:rPr>
      </w:pPr>
      <w:r>
        <w:rPr>
          <w:rFonts w:hint="eastAsia" w:ascii="宋体" w:hAnsi="宋体" w:eastAsia="宋体" w:cs="宋体"/>
          <w:b w:val="0"/>
          <w:bCs w:val="0"/>
          <w:color w:val="auto"/>
          <w:sz w:val="24"/>
          <w:szCs w:val="32"/>
          <w:highlight w:val="none"/>
        </w:rPr>
        <w:t>1.3 建设应体现“绿色节能、生态宜居”的设计理念。本项目按绿色建筑评价标准二星绿色建筑标准规划设计。</w:t>
      </w:r>
      <w:bookmarkEnd w:id="134"/>
    </w:p>
    <w:p w14:paraId="64275E24">
      <w:pPr>
        <w:ind w:firstLine="480" w:firstLineChars="200"/>
        <w:rPr>
          <w:rFonts w:ascii="Times New Roman" w:hAnsi="Times New Roman" w:cs="Times New Roman"/>
          <w:color w:val="auto"/>
          <w:sz w:val="21"/>
          <w:szCs w:val="20"/>
          <w:highlight w:val="none"/>
        </w:rPr>
      </w:pPr>
      <w:r>
        <w:rPr>
          <w:rFonts w:hint="eastAsia" w:ascii="宋体" w:hAnsi="宋体" w:eastAsia="宋体" w:cs="宋体"/>
          <w:color w:val="auto"/>
          <w:sz w:val="24"/>
          <w:szCs w:val="32"/>
          <w:highlight w:val="none"/>
        </w:rPr>
        <w:t xml:space="preserve">1.5 </w:t>
      </w:r>
      <w:r>
        <w:rPr>
          <w:rFonts w:hint="eastAsia" w:ascii="宋体" w:hAnsi="宋体" w:eastAsia="宋体" w:cs="宋体"/>
          <w:color w:val="auto"/>
          <w:sz w:val="24"/>
          <w:szCs w:val="24"/>
          <w:highlight w:val="none"/>
          <w:lang w:bidi="ar"/>
        </w:rPr>
        <w:t>针对设计难点，根据用地现状的竖向标高，以充分利用现有地台，减少土方开挖为设计指导原则。从消防登高面选择、人防地下室设置位置、土方量等方面进行多方案比选</w:t>
      </w:r>
      <w:r>
        <w:rPr>
          <w:rFonts w:hint="eastAsia" w:ascii="宋体" w:hAnsi="宋体" w:eastAsia="宋体" w:cs="宋体"/>
          <w:color w:val="auto"/>
          <w:sz w:val="24"/>
          <w:szCs w:val="32"/>
          <w:highlight w:val="none"/>
        </w:rPr>
        <w:t>。</w:t>
      </w:r>
    </w:p>
    <w:p w14:paraId="55538523">
      <w:pPr>
        <w:pStyle w:val="2"/>
        <w:keepNext w:val="0"/>
        <w:keepLines w:val="0"/>
        <w:snapToGrid/>
        <w:spacing w:line="360" w:lineRule="auto"/>
        <w:ind w:firstLine="480" w:firstLineChars="200"/>
        <w:rPr>
          <w:rFonts w:hint="eastAsia" w:ascii="宋体" w:hAnsi="宋体" w:eastAsia="宋体" w:cs="宋体"/>
          <w:b w:val="0"/>
          <w:bCs w:val="0"/>
          <w:color w:val="auto"/>
          <w:sz w:val="24"/>
          <w:szCs w:val="32"/>
          <w:highlight w:val="none"/>
        </w:rPr>
      </w:pPr>
      <w:r>
        <w:rPr>
          <w:rFonts w:hint="eastAsia" w:ascii="宋体" w:hAnsi="宋体" w:eastAsia="宋体" w:cs="宋体"/>
          <w:b w:val="0"/>
          <w:bCs w:val="0"/>
          <w:color w:val="auto"/>
          <w:sz w:val="24"/>
          <w:szCs w:val="32"/>
          <w:highlight w:val="none"/>
        </w:rPr>
        <w:t>1.6 规划应结合绿色建筑生态理念，降低热岛效应，适度利用再生能源。</w:t>
      </w:r>
      <w:bookmarkEnd w:id="132"/>
    </w:p>
    <w:p w14:paraId="00276570">
      <w:pPr>
        <w:pStyle w:val="2"/>
        <w:keepNext w:val="0"/>
        <w:keepLines w:val="0"/>
        <w:snapToGrid/>
        <w:spacing w:line="360" w:lineRule="auto"/>
        <w:ind w:firstLine="480" w:firstLineChars="200"/>
        <w:rPr>
          <w:rFonts w:hint="eastAsia" w:ascii="宋体" w:hAnsi="宋体" w:eastAsia="宋体" w:cs="宋体"/>
          <w:b w:val="0"/>
          <w:bCs w:val="0"/>
          <w:color w:val="auto"/>
          <w:sz w:val="24"/>
          <w:szCs w:val="32"/>
          <w:highlight w:val="none"/>
        </w:rPr>
      </w:pPr>
      <w:bookmarkStart w:id="135" w:name="_Toc32055"/>
      <w:r>
        <w:rPr>
          <w:rFonts w:hint="eastAsia" w:ascii="宋体" w:hAnsi="宋体" w:eastAsia="宋体" w:cs="宋体"/>
          <w:b w:val="0"/>
          <w:bCs w:val="0"/>
          <w:color w:val="auto"/>
          <w:sz w:val="24"/>
          <w:szCs w:val="32"/>
          <w:highlight w:val="none"/>
        </w:rPr>
        <w:t>1.7 住宅单体及总体布局应尽可能保证相同户型的均好性。</w:t>
      </w:r>
      <w:bookmarkEnd w:id="135"/>
    </w:p>
    <w:p w14:paraId="026B2560">
      <w:pPr>
        <w:pStyle w:val="3"/>
        <w:ind w:firstLine="480" w:firstLineChars="200"/>
        <w:rPr>
          <w:highlight w:val="none"/>
        </w:rPr>
      </w:pPr>
      <w:r>
        <w:rPr>
          <w:rFonts w:hint="eastAsia" w:ascii="宋体" w:hAnsi="宋体" w:cs="宋体"/>
          <w:sz w:val="24"/>
          <w:szCs w:val="32"/>
          <w:highlight w:val="none"/>
        </w:rPr>
        <w:t>1.8幼儿园单体应采用模块化设计，并符合相应设计规范。</w:t>
      </w:r>
    </w:p>
    <w:p w14:paraId="63858361">
      <w:pPr>
        <w:pStyle w:val="2"/>
        <w:keepNext w:val="0"/>
        <w:keepLines w:val="0"/>
        <w:snapToGrid/>
        <w:spacing w:line="360" w:lineRule="auto"/>
        <w:ind w:firstLine="482" w:firstLineChars="200"/>
        <w:rPr>
          <w:rFonts w:hint="eastAsia" w:ascii="宋体" w:hAnsi="宋体" w:eastAsia="宋体" w:cs="宋体"/>
          <w:color w:val="auto"/>
          <w:sz w:val="24"/>
          <w:szCs w:val="32"/>
          <w:highlight w:val="none"/>
        </w:rPr>
      </w:pPr>
      <w:bookmarkStart w:id="136" w:name="_Toc23949"/>
      <w:bookmarkStart w:id="137" w:name="_Toc21656"/>
      <w:bookmarkStart w:id="138" w:name="_Toc20610"/>
      <w:bookmarkStart w:id="139" w:name="_Toc28121"/>
      <w:bookmarkStart w:id="140" w:name="_Toc104581711"/>
      <w:r>
        <w:rPr>
          <w:rFonts w:hint="eastAsia" w:ascii="宋体" w:hAnsi="宋体" w:eastAsia="宋体" w:cs="宋体"/>
          <w:color w:val="auto"/>
          <w:sz w:val="24"/>
          <w:szCs w:val="32"/>
          <w:highlight w:val="none"/>
        </w:rPr>
        <w:t>2、总图设计原则</w:t>
      </w:r>
      <w:bookmarkEnd w:id="136"/>
      <w:bookmarkEnd w:id="137"/>
      <w:bookmarkEnd w:id="138"/>
      <w:bookmarkEnd w:id="139"/>
      <w:bookmarkEnd w:id="140"/>
    </w:p>
    <w:p w14:paraId="140E0E99">
      <w:pPr>
        <w:pStyle w:val="24"/>
        <w:ind w:firstLine="480"/>
        <w:rPr>
          <w:rFonts w:hint="eastAsia" w:hAnsi="宋体" w:cs="宋体"/>
          <w:highlight w:val="none"/>
        </w:rPr>
      </w:pPr>
      <w:r>
        <w:rPr>
          <w:rFonts w:hint="eastAsia" w:hAnsi="宋体" w:cs="宋体"/>
          <w:highlight w:val="none"/>
        </w:rPr>
        <w:t>2.1建筑必须按照规划设计要点的用地界线、控制高度、间距及开口天井等规划要求进行设计，并满足《广州市城乡规划技术规定》以及相关规范要求。</w:t>
      </w:r>
    </w:p>
    <w:p w14:paraId="7A52CC7C">
      <w:pPr>
        <w:pStyle w:val="24"/>
        <w:ind w:firstLine="480"/>
        <w:rPr>
          <w:rFonts w:hint="eastAsia" w:hAnsi="宋体" w:cs="宋体"/>
          <w:highlight w:val="none"/>
        </w:rPr>
      </w:pPr>
      <w:r>
        <w:rPr>
          <w:rFonts w:hint="eastAsia" w:hAnsi="宋体" w:cs="宋体"/>
          <w:highlight w:val="none"/>
        </w:rPr>
        <w:t>2.3地块交通组织应便捷、经济、合理组织人流和车流，有利安全防卫，道路网络层次适当，架构清晰，衔接合理。主要出入口、公共交通组织及公共服务设施应考虑无障碍设计。</w:t>
      </w:r>
    </w:p>
    <w:p w14:paraId="557BA722">
      <w:pPr>
        <w:pStyle w:val="24"/>
        <w:ind w:firstLine="480"/>
        <w:rPr>
          <w:rFonts w:hint="eastAsia" w:hAnsi="宋体" w:cs="宋体"/>
          <w:highlight w:val="none"/>
        </w:rPr>
      </w:pPr>
      <w:r>
        <w:rPr>
          <w:rFonts w:hint="eastAsia" w:hAnsi="宋体" w:cs="宋体"/>
          <w:highlight w:val="none"/>
        </w:rPr>
        <w:t>2.4 设置与居民人口相对应的公共活动中心，综合考虑公共活动场地与步行系统的设置，注重塑造有利于居民交流的公共活动空间。</w:t>
      </w:r>
    </w:p>
    <w:p w14:paraId="03C7A763">
      <w:pPr>
        <w:pStyle w:val="24"/>
        <w:ind w:firstLine="480"/>
        <w:rPr>
          <w:rFonts w:hint="eastAsia" w:hAnsi="宋体" w:cs="宋体"/>
          <w:highlight w:val="none"/>
        </w:rPr>
      </w:pPr>
      <w:r>
        <w:rPr>
          <w:rFonts w:hint="eastAsia" w:hAnsi="宋体" w:cs="宋体"/>
          <w:highlight w:val="none"/>
        </w:rPr>
        <w:t>2.5 应充分利用地形、地貌和环境，合理布置建筑和绿化景观，丰富空间，美化环境，体现地方特色，体现实用性，同时应注重景观的均好性。</w:t>
      </w:r>
    </w:p>
    <w:p w14:paraId="1D6D20E3">
      <w:pPr>
        <w:pStyle w:val="24"/>
        <w:ind w:firstLine="480"/>
        <w:rPr>
          <w:rFonts w:hint="eastAsia" w:hAnsi="宋体" w:cs="宋体"/>
          <w:highlight w:val="none"/>
        </w:rPr>
      </w:pPr>
      <w:r>
        <w:rPr>
          <w:rFonts w:hint="eastAsia" w:hAnsi="宋体" w:cs="宋体"/>
          <w:highlight w:val="none"/>
        </w:rPr>
        <w:t>2.6 建筑间距、道路宽度和绿地率应遵循集约节约用地的原则，应充分利用土地，容积率可按相应区域控制指标的上限取值。</w:t>
      </w:r>
    </w:p>
    <w:p w14:paraId="7E936679">
      <w:pPr>
        <w:pStyle w:val="24"/>
        <w:ind w:firstLine="480"/>
        <w:rPr>
          <w:rFonts w:hint="eastAsia" w:hAnsi="宋体" w:cs="宋体"/>
          <w:highlight w:val="none"/>
        </w:rPr>
      </w:pPr>
      <w:r>
        <w:rPr>
          <w:rFonts w:hint="eastAsia" w:hAnsi="宋体" w:cs="宋体"/>
          <w:highlight w:val="none"/>
        </w:rPr>
        <w:t>2.7 地下室顶板覆土的厚度在设计中应考虑植物生长的最小土层厚度。集中绿地部分覆土厚度建议不小于1.5m，需种植高大乔木处应局部加大至2.0m深。地下室顶板覆土种植应增设疏水排水系统。</w:t>
      </w:r>
    </w:p>
    <w:p w14:paraId="77CF3121">
      <w:pPr>
        <w:pStyle w:val="24"/>
        <w:ind w:firstLine="480"/>
        <w:rPr>
          <w:rFonts w:hint="eastAsia" w:hAnsi="宋体" w:cs="宋体"/>
          <w:highlight w:val="none"/>
        </w:rPr>
      </w:pPr>
      <w:r>
        <w:rPr>
          <w:rFonts w:hint="eastAsia" w:hAnsi="宋体" w:cs="宋体"/>
          <w:highlight w:val="none"/>
        </w:rPr>
        <w:t>2.8 合理设置公共服务设施，避免烟气、粉尘及噪声对居民的污染和干扰。</w:t>
      </w:r>
    </w:p>
    <w:p w14:paraId="629CC4E2">
      <w:pPr>
        <w:pStyle w:val="2"/>
        <w:keepNext w:val="0"/>
        <w:keepLines w:val="0"/>
        <w:snapToGrid/>
        <w:spacing w:line="360" w:lineRule="auto"/>
        <w:ind w:firstLine="482" w:firstLineChars="200"/>
        <w:rPr>
          <w:rFonts w:hint="eastAsia" w:ascii="宋体" w:hAnsi="宋体" w:eastAsia="宋体" w:cs="宋体"/>
          <w:color w:val="auto"/>
          <w:sz w:val="24"/>
          <w:szCs w:val="32"/>
          <w:highlight w:val="none"/>
        </w:rPr>
      </w:pPr>
      <w:bookmarkStart w:id="141" w:name="_Toc31610"/>
      <w:bookmarkStart w:id="142" w:name="_Toc104581712"/>
      <w:bookmarkStart w:id="143" w:name="_Toc14182"/>
      <w:bookmarkStart w:id="144" w:name="_Toc7003"/>
      <w:bookmarkStart w:id="145" w:name="_Toc3972"/>
      <w:r>
        <w:rPr>
          <w:rFonts w:hint="eastAsia" w:ascii="宋体" w:hAnsi="宋体" w:eastAsia="宋体" w:cs="宋体"/>
          <w:color w:val="auto"/>
          <w:sz w:val="24"/>
          <w:szCs w:val="32"/>
          <w:highlight w:val="none"/>
        </w:rPr>
        <w:t>3、空间组织和景观特色要求</w:t>
      </w:r>
      <w:bookmarkEnd w:id="141"/>
      <w:bookmarkEnd w:id="142"/>
      <w:bookmarkEnd w:id="143"/>
      <w:bookmarkEnd w:id="144"/>
      <w:bookmarkEnd w:id="145"/>
    </w:p>
    <w:p w14:paraId="333A02B8">
      <w:pPr>
        <w:pStyle w:val="24"/>
        <w:ind w:firstLine="480"/>
        <w:rPr>
          <w:rFonts w:hint="eastAsia" w:hAnsi="宋体" w:cs="宋体"/>
          <w:highlight w:val="none"/>
        </w:rPr>
      </w:pPr>
      <w:bookmarkStart w:id="146" w:name="_Toc104581713"/>
      <w:bookmarkStart w:id="147" w:name="_Toc4091"/>
      <w:bookmarkStart w:id="148" w:name="_Toc19852"/>
      <w:bookmarkStart w:id="149" w:name="_Toc15706"/>
      <w:bookmarkStart w:id="150" w:name="_Toc26558"/>
      <w:r>
        <w:rPr>
          <w:rFonts w:hint="eastAsia" w:hAnsi="宋体" w:cs="宋体"/>
          <w:highlight w:val="none"/>
        </w:rPr>
        <w:t>3.1 规划布局和建筑设计应体现岭南建筑的特色，与周边环境相协调。</w:t>
      </w:r>
    </w:p>
    <w:p w14:paraId="538726E8">
      <w:pPr>
        <w:pStyle w:val="24"/>
        <w:ind w:firstLine="480"/>
        <w:rPr>
          <w:rFonts w:hint="eastAsia" w:hAnsi="宋体" w:cs="宋体"/>
          <w:highlight w:val="none"/>
        </w:rPr>
      </w:pPr>
      <w:r>
        <w:rPr>
          <w:rFonts w:hint="eastAsia" w:hAnsi="宋体" w:cs="宋体"/>
          <w:highlight w:val="none"/>
        </w:rPr>
        <w:t>3.2 建筑风格应结合所在地域的气候特性和绿色建筑要求，尽量减少无功能作用的造型装饰构件。建筑构件与建筑空间、建筑造型进行一体化设计，既作为立面设计的元素，又起到遮阳隔热、通风降温的作用。</w:t>
      </w:r>
    </w:p>
    <w:p w14:paraId="02EC78DD">
      <w:pPr>
        <w:pStyle w:val="24"/>
        <w:ind w:firstLine="480"/>
        <w:rPr>
          <w:rFonts w:hint="eastAsia" w:hAnsi="宋体" w:cs="宋体"/>
          <w:highlight w:val="none"/>
        </w:rPr>
      </w:pPr>
      <w:r>
        <w:rPr>
          <w:rFonts w:hint="eastAsia" w:hAnsi="宋体" w:cs="宋体"/>
          <w:highlight w:val="none"/>
        </w:rPr>
        <w:t>3.3 宜结合架空层、景观小品布置有岭南特色的园林环境空间，商业及其他服务网点宜设置在裙楼，使住宅与主要公建配套设施连接设施连接，方便出行。</w:t>
      </w:r>
    </w:p>
    <w:p w14:paraId="44E55CF3">
      <w:pPr>
        <w:pStyle w:val="24"/>
        <w:ind w:firstLine="480"/>
        <w:rPr>
          <w:rFonts w:hint="eastAsia" w:hAnsi="宋体" w:cs="宋体"/>
          <w:highlight w:val="none"/>
        </w:rPr>
      </w:pPr>
      <w:r>
        <w:rPr>
          <w:rFonts w:hint="eastAsia" w:hAnsi="宋体" w:cs="宋体"/>
          <w:highlight w:val="none"/>
        </w:rPr>
        <w:t>3.4 建筑造型宜简洁大方，富有时代气息，适当借鉴岭南建筑与亚热带建筑手法，提取具有岭南地域特色的设计元素，赋予建筑形态以可识别性，强化建筑的地域性。</w:t>
      </w:r>
    </w:p>
    <w:p w14:paraId="2E2BA5A1">
      <w:pPr>
        <w:pStyle w:val="24"/>
        <w:ind w:firstLine="480"/>
        <w:rPr>
          <w:rFonts w:hint="eastAsia" w:hAnsi="宋体" w:cs="宋体"/>
          <w:highlight w:val="none"/>
        </w:rPr>
      </w:pPr>
      <w:r>
        <w:rPr>
          <w:rFonts w:hint="eastAsia" w:hAnsi="宋体" w:cs="宋体"/>
          <w:highlight w:val="none"/>
        </w:rPr>
        <w:t>3.5 建筑设计风格应与周边建筑协调，同时又要有自身的特色，以适度变化的建筑色彩和文化内涵，丰富居住区的整体效果。</w:t>
      </w:r>
    </w:p>
    <w:p w14:paraId="5B7DE9AD">
      <w:pPr>
        <w:pStyle w:val="2"/>
        <w:keepNext w:val="0"/>
        <w:keepLines w:val="0"/>
        <w:snapToGrid/>
        <w:spacing w:line="360" w:lineRule="auto"/>
        <w:ind w:firstLine="482" w:firstLineChars="200"/>
        <w:rPr>
          <w:rFonts w:hint="eastAsia" w:ascii="宋体" w:hAnsi="宋体" w:eastAsia="宋体" w:cs="宋体"/>
          <w:color w:val="auto"/>
          <w:sz w:val="24"/>
          <w:szCs w:val="32"/>
          <w:highlight w:val="none"/>
        </w:rPr>
      </w:pPr>
      <w:r>
        <w:rPr>
          <w:rFonts w:hint="eastAsia" w:ascii="宋体" w:hAnsi="宋体" w:eastAsia="宋体" w:cs="宋体"/>
          <w:color w:val="auto"/>
          <w:sz w:val="24"/>
          <w:szCs w:val="32"/>
          <w:highlight w:val="none"/>
        </w:rPr>
        <w:t>4、公共配套服务设施</w:t>
      </w:r>
      <w:bookmarkEnd w:id="146"/>
      <w:bookmarkEnd w:id="147"/>
      <w:bookmarkEnd w:id="148"/>
      <w:bookmarkEnd w:id="149"/>
      <w:bookmarkEnd w:id="150"/>
    </w:p>
    <w:p w14:paraId="087A8A09">
      <w:pPr>
        <w:pStyle w:val="24"/>
        <w:ind w:firstLine="480"/>
        <w:rPr>
          <w:rFonts w:hint="eastAsia" w:hAnsi="宋体" w:cs="宋体"/>
          <w:highlight w:val="none"/>
        </w:rPr>
      </w:pPr>
      <w:bookmarkStart w:id="151" w:name="_Toc27612"/>
      <w:bookmarkStart w:id="152" w:name="_Toc104581714"/>
      <w:bookmarkStart w:id="153" w:name="_Toc14934"/>
      <w:bookmarkStart w:id="154" w:name="_Toc15643"/>
      <w:bookmarkStart w:id="155" w:name="_Toc23964"/>
      <w:r>
        <w:rPr>
          <w:rFonts w:hint="eastAsia" w:hAnsi="宋体" w:cs="宋体"/>
          <w:highlight w:val="none"/>
        </w:rPr>
        <w:t>4.1 配套公建的配建水平，应与居住人口规模相对应，公共服务设施布点应与居住区规划结构相适应。</w:t>
      </w:r>
    </w:p>
    <w:p w14:paraId="600E3C3B">
      <w:pPr>
        <w:pStyle w:val="24"/>
        <w:ind w:firstLine="480"/>
        <w:rPr>
          <w:rFonts w:hint="eastAsia" w:hAnsi="宋体" w:cs="宋体"/>
          <w:strike/>
          <w:highlight w:val="none"/>
        </w:rPr>
      </w:pPr>
      <w:r>
        <w:rPr>
          <w:rFonts w:hint="eastAsia" w:hAnsi="宋体" w:cs="宋体"/>
          <w:highlight w:val="none"/>
        </w:rPr>
        <w:t>4.2 餐饮等，对住户卫生及噪声干扰较大的公建配套用房，不应直接布置在住宅楼标准层的投影范围内。</w:t>
      </w:r>
    </w:p>
    <w:p w14:paraId="1D298FC8">
      <w:pPr>
        <w:pStyle w:val="24"/>
        <w:ind w:firstLine="480"/>
        <w:rPr>
          <w:rFonts w:hint="eastAsia" w:hAnsi="宋体" w:cs="宋体"/>
          <w:highlight w:val="none"/>
        </w:rPr>
      </w:pPr>
      <w:r>
        <w:rPr>
          <w:rFonts w:hint="eastAsia" w:hAnsi="宋体" w:cs="宋体"/>
          <w:highlight w:val="none"/>
        </w:rPr>
        <w:t>4.3 配套公建应与住宅同步规划、设计，同步建设和同时投入使用。</w:t>
      </w:r>
    </w:p>
    <w:p w14:paraId="5E7DB828">
      <w:pPr>
        <w:pStyle w:val="24"/>
        <w:ind w:firstLine="480"/>
        <w:rPr>
          <w:rFonts w:hint="eastAsia" w:hAnsi="宋体" w:cs="宋体"/>
          <w:highlight w:val="none"/>
        </w:rPr>
      </w:pPr>
      <w:r>
        <w:rPr>
          <w:rFonts w:hint="eastAsia" w:hAnsi="宋体" w:cs="宋体"/>
          <w:highlight w:val="none"/>
        </w:rPr>
        <w:t>4.4 停车场设置原则：</w:t>
      </w:r>
    </w:p>
    <w:p w14:paraId="180EC1D5">
      <w:pPr>
        <w:pStyle w:val="24"/>
        <w:ind w:firstLine="480"/>
        <w:rPr>
          <w:rFonts w:hint="eastAsia" w:hAnsi="宋体" w:cs="宋体"/>
          <w:highlight w:val="none"/>
        </w:rPr>
      </w:pPr>
      <w:r>
        <w:rPr>
          <w:rFonts w:hint="eastAsia" w:hAnsi="宋体" w:cs="宋体"/>
          <w:highlight w:val="none"/>
        </w:rPr>
        <w:t>4.4.1 居住小区停车场设置应满足各组团人车分流的要求；</w:t>
      </w:r>
    </w:p>
    <w:p w14:paraId="092EC00E">
      <w:pPr>
        <w:pStyle w:val="24"/>
        <w:ind w:firstLine="480"/>
        <w:rPr>
          <w:rFonts w:hint="eastAsia" w:hAnsi="宋体" w:cs="宋体"/>
          <w:highlight w:val="none"/>
        </w:rPr>
      </w:pPr>
      <w:r>
        <w:rPr>
          <w:rFonts w:hint="eastAsia" w:hAnsi="宋体" w:cs="宋体"/>
          <w:highlight w:val="none"/>
        </w:rPr>
        <w:t>4.4.2 车位宜按照“地下停车设计”的原则设置；</w:t>
      </w:r>
    </w:p>
    <w:p w14:paraId="618A8AFD">
      <w:pPr>
        <w:pStyle w:val="24"/>
        <w:ind w:firstLine="480"/>
        <w:rPr>
          <w:rFonts w:hint="eastAsia" w:hAnsi="宋体" w:cs="宋体"/>
          <w:highlight w:val="none"/>
        </w:rPr>
      </w:pPr>
      <w:r>
        <w:rPr>
          <w:rFonts w:hint="eastAsia" w:hAnsi="宋体" w:cs="宋体"/>
          <w:highlight w:val="none"/>
        </w:rPr>
        <w:t>4.5 在车位满足规划配置要求的情况下，应结合地块地形条件布置地下车库和设备房，以降低工程造价。</w:t>
      </w:r>
    </w:p>
    <w:p w14:paraId="1B02E4B4">
      <w:pPr>
        <w:pStyle w:val="24"/>
        <w:ind w:firstLine="480"/>
        <w:rPr>
          <w:rFonts w:hint="eastAsia" w:hAnsi="宋体" w:cs="宋体"/>
          <w:highlight w:val="none"/>
        </w:rPr>
      </w:pPr>
      <w:r>
        <w:rPr>
          <w:rFonts w:hint="eastAsia" w:hAnsi="宋体" w:cs="宋体"/>
          <w:highlight w:val="none"/>
        </w:rPr>
        <w:t>4.7 垃圾收集站、垃圾压缩站应独立用地，周边绿化隔离带，与住宅的距离不宜小于14m，且宜利用假山等绿化措施对垃圾收集站、垃圾压缩站进行遮蔽设计；垃圾收集站宜与环卫工人休息场所、环卫工具房合设，服务半径不宜超过800m；站前区布置应满足垃圾收集小车和垃圾运输车通行和安全作业的需要，站内配备给排水设施。</w:t>
      </w:r>
    </w:p>
    <w:p w14:paraId="590C8A3B">
      <w:pPr>
        <w:pStyle w:val="24"/>
        <w:ind w:firstLine="480"/>
        <w:rPr>
          <w:rFonts w:hint="eastAsia" w:hAnsi="宋体" w:cs="宋体"/>
          <w:highlight w:val="none"/>
        </w:rPr>
      </w:pPr>
      <w:r>
        <w:rPr>
          <w:rFonts w:hint="eastAsia" w:hAnsi="宋体" w:cs="宋体"/>
          <w:highlight w:val="none"/>
        </w:rPr>
        <w:t>4.8 110kV变电站与住宅楼的水平距离不宜小于25m。</w:t>
      </w:r>
    </w:p>
    <w:p w14:paraId="511FE627">
      <w:pPr>
        <w:pStyle w:val="24"/>
        <w:ind w:firstLine="480"/>
        <w:rPr>
          <w:rFonts w:hint="eastAsia" w:hAnsi="宋体" w:cs="宋体"/>
          <w:highlight w:val="none"/>
        </w:rPr>
      </w:pPr>
      <w:r>
        <w:rPr>
          <w:rFonts w:hint="eastAsia" w:hAnsi="宋体" w:cs="宋体"/>
          <w:highlight w:val="none"/>
        </w:rPr>
        <w:t>4.9 餐饮建筑应预留集中排烟道，并采取高空排放；排烟道的高温与油渍不能对相邻住户产生影响，不得直接利用相邻住户砖墙做烟道壁，排烟道顶部应做防雨措施。</w:t>
      </w:r>
    </w:p>
    <w:p w14:paraId="4FCD5583">
      <w:pPr>
        <w:pStyle w:val="2"/>
        <w:keepNext w:val="0"/>
        <w:keepLines w:val="0"/>
        <w:snapToGrid/>
        <w:spacing w:line="360" w:lineRule="auto"/>
        <w:ind w:firstLine="482" w:firstLineChars="200"/>
        <w:rPr>
          <w:rFonts w:hint="eastAsia" w:ascii="宋体" w:hAnsi="宋体" w:eastAsia="宋体" w:cs="宋体"/>
          <w:color w:val="auto"/>
          <w:sz w:val="24"/>
          <w:szCs w:val="32"/>
          <w:highlight w:val="none"/>
        </w:rPr>
      </w:pPr>
      <w:r>
        <w:rPr>
          <w:rFonts w:hint="eastAsia" w:ascii="宋体" w:hAnsi="宋体" w:eastAsia="宋体" w:cs="宋体"/>
          <w:color w:val="auto"/>
          <w:sz w:val="24"/>
          <w:szCs w:val="32"/>
          <w:highlight w:val="none"/>
        </w:rPr>
        <w:t>5.道路交通组织</w:t>
      </w:r>
      <w:bookmarkEnd w:id="151"/>
      <w:bookmarkEnd w:id="152"/>
      <w:bookmarkEnd w:id="153"/>
      <w:bookmarkEnd w:id="154"/>
      <w:bookmarkEnd w:id="155"/>
    </w:p>
    <w:p w14:paraId="13565949">
      <w:pPr>
        <w:pStyle w:val="24"/>
        <w:ind w:firstLine="480"/>
        <w:rPr>
          <w:rFonts w:hint="eastAsia" w:hAnsi="宋体" w:cs="宋体"/>
          <w:highlight w:val="none"/>
        </w:rPr>
      </w:pPr>
      <w:r>
        <w:rPr>
          <w:rFonts w:hint="eastAsia" w:hAnsi="宋体" w:cs="宋体"/>
          <w:highlight w:val="none"/>
        </w:rPr>
        <w:t>5.1 合理组织地块对外交通关系：注意协调住宅地块及周边道路的标高关系，处理好各类车流的出入口与城市道路的关系。</w:t>
      </w:r>
    </w:p>
    <w:p w14:paraId="72ABFF10">
      <w:pPr>
        <w:pStyle w:val="24"/>
        <w:ind w:firstLine="480"/>
        <w:rPr>
          <w:rFonts w:hint="eastAsia" w:hAnsi="宋体" w:cs="宋体"/>
          <w:highlight w:val="none"/>
        </w:rPr>
      </w:pPr>
      <w:r>
        <w:rPr>
          <w:rFonts w:hint="eastAsia" w:hAnsi="宋体" w:cs="宋体"/>
          <w:highlight w:val="none"/>
        </w:rPr>
        <w:t>5.2 居住小区内道路交通组织注意人车分流，组织好地块内交通流线，便捷通畅，并有利于居住小区封闭式物业管理。道路系统满足交通、消防等方面的要求，并符合无障碍设计原则。</w:t>
      </w:r>
    </w:p>
    <w:p w14:paraId="4B64F5D5">
      <w:pPr>
        <w:pStyle w:val="24"/>
        <w:ind w:firstLine="480"/>
        <w:rPr>
          <w:rFonts w:hint="eastAsia" w:hAnsi="宋体" w:cs="宋体"/>
          <w:highlight w:val="none"/>
        </w:rPr>
      </w:pPr>
      <w:r>
        <w:rPr>
          <w:rFonts w:hint="eastAsia" w:hAnsi="宋体" w:cs="宋体"/>
          <w:highlight w:val="none"/>
        </w:rPr>
        <w:t>5.3 室内机动车和非机动车位宜按照需要集中设置。室外停车位可结合居住小区内道路停车带和其它场地设置。</w:t>
      </w:r>
    </w:p>
    <w:p w14:paraId="7B37D14E">
      <w:pPr>
        <w:pStyle w:val="24"/>
        <w:ind w:firstLine="480"/>
        <w:rPr>
          <w:rFonts w:hint="eastAsia" w:hAnsi="宋体" w:cs="宋体"/>
          <w:highlight w:val="none"/>
        </w:rPr>
      </w:pPr>
      <w:r>
        <w:rPr>
          <w:rFonts w:hint="eastAsia" w:hAnsi="宋体" w:cs="宋体"/>
          <w:highlight w:val="none"/>
        </w:rPr>
        <w:t>5.4 总图中应做好消防车道及消防登高面设计，在满足消防规范的同时，尽量减少对环境的影响。</w:t>
      </w:r>
    </w:p>
    <w:p w14:paraId="276590E1">
      <w:pPr>
        <w:pStyle w:val="24"/>
        <w:ind w:firstLine="480"/>
        <w:rPr>
          <w:rFonts w:hint="eastAsia" w:hAnsi="宋体" w:cs="宋体"/>
          <w:highlight w:val="none"/>
        </w:rPr>
      </w:pPr>
      <w:r>
        <w:rPr>
          <w:rFonts w:hint="eastAsia" w:hAnsi="宋体" w:cs="宋体"/>
          <w:highlight w:val="none"/>
        </w:rPr>
        <w:t>5.5 地下车库的出入口应选位适当，减少汽车行驶对上部建筑的影响，出入口坡道地面处理除符合行车需要外，还应避免表面过于粗糙引致的行车噪音对周边住宅产生不良影响。</w:t>
      </w:r>
    </w:p>
    <w:p w14:paraId="7E73BECF">
      <w:pPr>
        <w:pStyle w:val="24"/>
        <w:ind w:firstLine="480"/>
        <w:rPr>
          <w:rFonts w:hint="eastAsia" w:hAnsi="宋体" w:cs="宋体"/>
          <w:highlight w:val="none"/>
        </w:rPr>
      </w:pPr>
      <w:r>
        <w:rPr>
          <w:rFonts w:hint="eastAsia" w:hAnsi="宋体" w:cs="宋体"/>
          <w:highlight w:val="none"/>
        </w:rPr>
        <w:t>5.6 小区机动车出入口距城市主干道交叉口不应小于70m。宜将城市公共交通线路引入小区边缘地区，并设置相应停靠站。</w:t>
      </w:r>
    </w:p>
    <w:p w14:paraId="396BF872">
      <w:pPr>
        <w:pStyle w:val="2"/>
        <w:keepNext w:val="0"/>
        <w:keepLines w:val="0"/>
        <w:snapToGrid/>
        <w:spacing w:line="360" w:lineRule="auto"/>
        <w:ind w:firstLine="482" w:firstLineChars="200"/>
        <w:rPr>
          <w:rFonts w:hint="eastAsia" w:ascii="宋体" w:hAnsi="宋体" w:eastAsia="宋体" w:cs="宋体"/>
          <w:color w:val="auto"/>
          <w:sz w:val="24"/>
          <w:szCs w:val="32"/>
          <w:highlight w:val="none"/>
        </w:rPr>
      </w:pPr>
      <w:bookmarkStart w:id="156" w:name="_Toc18780"/>
      <w:bookmarkStart w:id="157" w:name="_Toc2421"/>
      <w:bookmarkStart w:id="158" w:name="_Toc104581715"/>
      <w:bookmarkStart w:id="159" w:name="_Toc13658"/>
      <w:bookmarkStart w:id="160" w:name="_Toc19255"/>
      <w:r>
        <w:rPr>
          <w:rFonts w:hint="eastAsia" w:ascii="宋体" w:hAnsi="宋体" w:eastAsia="宋体" w:cs="宋体"/>
          <w:color w:val="auto"/>
          <w:sz w:val="24"/>
          <w:szCs w:val="32"/>
          <w:highlight w:val="none"/>
        </w:rPr>
        <w:t>6.竖向规划原则</w:t>
      </w:r>
      <w:bookmarkEnd w:id="156"/>
      <w:bookmarkEnd w:id="157"/>
      <w:bookmarkEnd w:id="158"/>
      <w:bookmarkEnd w:id="159"/>
      <w:bookmarkEnd w:id="160"/>
    </w:p>
    <w:p w14:paraId="7E2700F5">
      <w:pPr>
        <w:pStyle w:val="24"/>
        <w:ind w:firstLine="480"/>
        <w:rPr>
          <w:rFonts w:hint="eastAsia" w:hAnsi="宋体" w:cs="宋体"/>
          <w:highlight w:val="none"/>
        </w:rPr>
      </w:pPr>
      <w:r>
        <w:rPr>
          <w:rFonts w:hint="eastAsia" w:hAnsi="宋体" w:cs="宋体"/>
          <w:highlight w:val="none"/>
        </w:rPr>
        <w:t>6.1 因地制宜地利用现状地形，结合居住小区中的景观水体填挖，尽量实现社区内或地块内土方平衡。对于地形复杂的场地，凡是地形变标高处，均应进行详细竖向设计。</w:t>
      </w:r>
    </w:p>
    <w:p w14:paraId="395CA526">
      <w:pPr>
        <w:pStyle w:val="24"/>
        <w:ind w:firstLine="480"/>
        <w:rPr>
          <w:rFonts w:hint="eastAsia" w:hAnsi="宋体" w:cs="宋体"/>
          <w:highlight w:val="none"/>
        </w:rPr>
      </w:pPr>
      <w:r>
        <w:rPr>
          <w:rFonts w:hint="eastAsia" w:hAnsi="宋体" w:cs="宋体"/>
          <w:highlight w:val="none"/>
        </w:rPr>
        <w:t>6.2 充分了解周围市政设施、综合管线规划和建设情况，对本项目内综合管线（供水、雨水、污水、电力、燃气、电信）进行有机的组织和布局，并考虑合理的接驳位置。</w:t>
      </w:r>
    </w:p>
    <w:p w14:paraId="32387D3F">
      <w:pPr>
        <w:pStyle w:val="24"/>
        <w:ind w:firstLine="480"/>
        <w:rPr>
          <w:rFonts w:hint="eastAsia" w:hAnsi="宋体" w:cs="宋体"/>
          <w:highlight w:val="none"/>
        </w:rPr>
      </w:pPr>
      <w:r>
        <w:rPr>
          <w:rFonts w:hint="eastAsia" w:hAnsi="宋体" w:cs="宋体"/>
          <w:highlight w:val="none"/>
        </w:rPr>
        <w:t>6.3 需对场地的标高进行详细的设计，结合地形及其他相关因素确定场地的标高，做到经济、合理。需对场地的排水进行综合设计，做到通畅简洁；尽量使用暗沟组织场地的排水系统，确需使用明沟时，需减少对环境的影响。</w:t>
      </w:r>
      <w:bookmarkStart w:id="161" w:name="_Toc104581716"/>
      <w:bookmarkStart w:id="162" w:name="_Toc27352"/>
      <w:bookmarkStart w:id="163" w:name="_Toc11842"/>
      <w:bookmarkStart w:id="164" w:name="_Toc13171"/>
    </w:p>
    <w:p w14:paraId="3C299694">
      <w:pPr>
        <w:pStyle w:val="2"/>
        <w:keepNext w:val="0"/>
        <w:keepLines w:val="0"/>
        <w:snapToGrid/>
        <w:spacing w:line="360" w:lineRule="auto"/>
        <w:ind w:firstLine="482" w:firstLineChars="200"/>
        <w:rPr>
          <w:rFonts w:hint="eastAsia" w:ascii="宋体" w:hAnsi="宋体" w:eastAsia="宋体" w:cs="宋体"/>
          <w:color w:val="auto"/>
          <w:sz w:val="24"/>
          <w:szCs w:val="32"/>
          <w:highlight w:val="none"/>
        </w:rPr>
      </w:pPr>
      <w:bookmarkStart w:id="165" w:name="_Toc804"/>
      <w:r>
        <w:rPr>
          <w:rFonts w:hint="eastAsia" w:ascii="宋体" w:hAnsi="宋体" w:eastAsia="宋体" w:cs="宋体"/>
          <w:color w:val="auto"/>
          <w:sz w:val="24"/>
          <w:szCs w:val="32"/>
          <w:highlight w:val="none"/>
        </w:rPr>
        <w:t>7.控高要求</w:t>
      </w:r>
      <w:bookmarkEnd w:id="161"/>
      <w:bookmarkEnd w:id="162"/>
      <w:bookmarkEnd w:id="163"/>
      <w:bookmarkEnd w:id="164"/>
      <w:bookmarkEnd w:id="165"/>
    </w:p>
    <w:p w14:paraId="22828A8D">
      <w:pPr>
        <w:pStyle w:val="24"/>
        <w:ind w:firstLine="480"/>
        <w:rPr>
          <w:rFonts w:hint="eastAsia" w:hAnsi="宋体" w:cs="宋体"/>
          <w:highlight w:val="none"/>
        </w:rPr>
      </w:pPr>
      <w:bookmarkStart w:id="166" w:name="_Toc20500"/>
      <w:bookmarkStart w:id="167" w:name="_Toc104581717"/>
      <w:bookmarkStart w:id="168" w:name="_Toc2119"/>
      <w:bookmarkStart w:id="169" w:name="_Toc11743"/>
      <w:bookmarkStart w:id="170" w:name="_Toc5309"/>
      <w:r>
        <w:rPr>
          <w:rFonts w:hint="eastAsia" w:hAnsi="宋体" w:cs="宋体"/>
          <w:highlight w:val="none"/>
        </w:rPr>
        <w:t>建筑限高65米，建筑高度须满足岑村机场净空控制要求。建筑物最高点（包括避雷针等任何构件）不得超过航空限高。</w:t>
      </w:r>
    </w:p>
    <w:bookmarkEnd w:id="127"/>
    <w:bookmarkEnd w:id="128"/>
    <w:bookmarkEnd w:id="129"/>
    <w:bookmarkEnd w:id="130"/>
    <w:bookmarkEnd w:id="166"/>
    <w:bookmarkEnd w:id="167"/>
    <w:bookmarkEnd w:id="168"/>
    <w:bookmarkEnd w:id="169"/>
    <w:bookmarkEnd w:id="170"/>
    <w:p w14:paraId="050A1473">
      <w:pPr>
        <w:pStyle w:val="2"/>
        <w:keepNext w:val="0"/>
        <w:keepLines w:val="0"/>
        <w:snapToGrid/>
        <w:spacing w:line="360" w:lineRule="auto"/>
        <w:ind w:firstLine="482" w:firstLineChars="200"/>
        <w:rPr>
          <w:rFonts w:hint="eastAsia" w:ascii="宋体" w:hAnsi="宋体" w:eastAsia="宋体" w:cs="宋体"/>
          <w:color w:val="auto"/>
          <w:sz w:val="24"/>
          <w:szCs w:val="32"/>
          <w:highlight w:val="none"/>
        </w:rPr>
      </w:pPr>
      <w:r>
        <w:rPr>
          <w:rFonts w:hint="eastAsia" w:ascii="宋体" w:hAnsi="宋体" w:eastAsia="宋体" w:cs="宋体"/>
          <w:color w:val="auto"/>
          <w:sz w:val="24"/>
          <w:szCs w:val="32"/>
          <w:highlight w:val="none"/>
        </w:rPr>
        <w:t>8.居住小区管理要求</w:t>
      </w:r>
    </w:p>
    <w:p w14:paraId="6EBF2F5B">
      <w:pPr>
        <w:pStyle w:val="24"/>
        <w:ind w:firstLine="480"/>
        <w:rPr>
          <w:rFonts w:hint="eastAsia" w:hAnsi="宋体" w:cs="宋体"/>
          <w:highlight w:val="none"/>
        </w:rPr>
      </w:pPr>
      <w:r>
        <w:rPr>
          <w:rFonts w:hint="eastAsia" w:hAnsi="宋体" w:cs="宋体"/>
          <w:highlight w:val="none"/>
        </w:rPr>
        <w:t>8.1 居住小区以自然村为单位进行小区管理。</w:t>
      </w:r>
    </w:p>
    <w:p w14:paraId="37889D03">
      <w:pPr>
        <w:pStyle w:val="24"/>
        <w:ind w:firstLine="480"/>
        <w:rPr>
          <w:rFonts w:hint="eastAsia" w:hAnsi="宋体" w:cs="宋体"/>
          <w:highlight w:val="none"/>
        </w:rPr>
      </w:pPr>
      <w:r>
        <w:rPr>
          <w:rFonts w:hint="eastAsia" w:hAnsi="宋体" w:cs="宋体"/>
          <w:highlight w:val="none"/>
        </w:rPr>
        <w:t>8.2 居住小区按智能化标准规划，设置物业管理中心，建设设计应提供必要的管理用房。物业管理服务中心对居住小区进行智能化集中管理，包括设置居住小区火灾自动报警系统及保安监控管理中心。</w:t>
      </w:r>
    </w:p>
    <w:p w14:paraId="0EFC45BF">
      <w:pPr>
        <w:pStyle w:val="24"/>
        <w:ind w:firstLine="480"/>
        <w:rPr>
          <w:rFonts w:hint="eastAsia" w:hAnsi="宋体" w:cs="宋体"/>
          <w:highlight w:val="none"/>
        </w:rPr>
      </w:pPr>
      <w:r>
        <w:rPr>
          <w:rFonts w:hint="eastAsia" w:hAnsi="宋体" w:cs="宋体"/>
          <w:highlight w:val="none"/>
        </w:rPr>
        <w:t>8.3 居住小区建立封闭式管理模式，采用外围、单元门等层次封闭管理。出入口设置岗亭或门禁系统：单元门(大堂)设智能可视对讲。</w:t>
      </w:r>
    </w:p>
    <w:p w14:paraId="7F0C7910">
      <w:pPr>
        <w:widowControl/>
        <w:rPr>
          <w:rFonts w:hint="eastAsia" w:ascii="宋体" w:hAnsi="宋体" w:eastAsia="宋体" w:cs="宋体"/>
          <w:b/>
          <w:color w:val="auto"/>
          <w:kern w:val="44"/>
          <w:sz w:val="32"/>
          <w:szCs w:val="32"/>
          <w:highlight w:val="none"/>
        </w:rPr>
      </w:pPr>
      <w:r>
        <w:rPr>
          <w:rFonts w:hint="eastAsia" w:ascii="宋体" w:hAnsi="宋体" w:eastAsia="宋体" w:cs="宋体"/>
          <w:color w:val="auto"/>
          <w:sz w:val="32"/>
          <w:szCs w:val="32"/>
          <w:highlight w:val="none"/>
        </w:rPr>
        <w:br w:type="page"/>
      </w:r>
    </w:p>
    <w:bookmarkEnd w:id="14"/>
    <w:bookmarkEnd w:id="15"/>
    <w:p w14:paraId="1C8D625C">
      <w:pPr>
        <w:pStyle w:val="2"/>
        <w:keepNext w:val="0"/>
        <w:keepLines w:val="0"/>
        <w:snapToGrid/>
        <w:spacing w:line="360" w:lineRule="auto"/>
        <w:jc w:val="both"/>
        <w:rPr>
          <w:rFonts w:hint="eastAsia" w:ascii="宋体" w:hAnsi="宋体" w:eastAsia="宋体" w:cs="宋体"/>
          <w:color w:val="auto"/>
          <w:highlight w:val="none"/>
        </w:rPr>
      </w:pPr>
      <w:bookmarkStart w:id="171" w:name="_Toc69826371"/>
      <w:bookmarkEnd w:id="171"/>
      <w:bookmarkStart w:id="172" w:name="_Toc30697"/>
      <w:bookmarkStart w:id="173" w:name="_Toc12395"/>
      <w:bookmarkStart w:id="174" w:name="_Toc19285"/>
      <w:bookmarkStart w:id="175" w:name="_Toc16356"/>
      <w:bookmarkStart w:id="176" w:name="_Toc104581718"/>
      <w:r>
        <w:rPr>
          <w:rFonts w:hint="eastAsia" w:ascii="宋体" w:hAnsi="宋体" w:eastAsia="宋体" w:cs="宋体"/>
          <w:color w:val="auto"/>
          <w:highlight w:val="none"/>
        </w:rPr>
        <w:t>三、设计工作要求</w:t>
      </w:r>
      <w:bookmarkEnd w:id="172"/>
      <w:bookmarkEnd w:id="173"/>
      <w:bookmarkEnd w:id="174"/>
      <w:bookmarkEnd w:id="175"/>
      <w:bookmarkEnd w:id="176"/>
    </w:p>
    <w:p w14:paraId="77032D86">
      <w:pPr>
        <w:spacing w:line="360" w:lineRule="auto"/>
        <w:ind w:firstLine="480" w:firstLineChars="200"/>
        <w:rPr>
          <w:rFonts w:hint="eastAsia" w:ascii="宋体" w:hAnsi="宋体" w:eastAsia="宋体" w:cs="宋体"/>
          <w:color w:val="auto"/>
          <w:sz w:val="24"/>
          <w:szCs w:val="24"/>
          <w:highlight w:val="none"/>
        </w:rPr>
      </w:pPr>
      <w:bookmarkStart w:id="177" w:name="_Toc308181984"/>
      <w:r>
        <w:rPr>
          <w:rFonts w:hint="eastAsia" w:ascii="宋体" w:hAnsi="宋体" w:eastAsia="宋体" w:cs="宋体"/>
          <w:color w:val="auto"/>
          <w:sz w:val="24"/>
          <w:szCs w:val="24"/>
          <w:highlight w:val="none"/>
        </w:rPr>
        <w:t>承包人应参照政府固定资产投资应当坚持估算控制概算，概算控制预算，预算控制决算的原则，参照《广州市政府投资管理条例》、《广州市财政投资评审监督管理办法》做好限额设计。</w:t>
      </w:r>
      <w:bookmarkStart w:id="178" w:name="_Toc444182766"/>
      <w:bookmarkStart w:id="179" w:name="_Toc15281"/>
      <w:bookmarkStart w:id="180" w:name="_Toc104581719"/>
      <w:bookmarkStart w:id="181" w:name="_Toc28516"/>
      <w:bookmarkStart w:id="182" w:name="_Toc50537206"/>
      <w:bookmarkStart w:id="183" w:name="_Toc6837"/>
    </w:p>
    <w:p w14:paraId="4FF6602B">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1.设计目标</w:t>
      </w:r>
      <w:bookmarkEnd w:id="178"/>
      <w:bookmarkEnd w:id="179"/>
      <w:bookmarkEnd w:id="180"/>
      <w:bookmarkEnd w:id="181"/>
      <w:bookmarkEnd w:id="182"/>
      <w:bookmarkEnd w:id="183"/>
    </w:p>
    <w:p w14:paraId="39D44071">
      <w:pPr>
        <w:spacing w:line="360" w:lineRule="auto"/>
        <w:ind w:firstLine="482" w:firstLineChars="200"/>
        <w:rPr>
          <w:rFonts w:hint="eastAsia" w:ascii="宋体" w:hAnsi="宋体" w:eastAsia="宋体"/>
          <w:b/>
          <w:color w:val="auto"/>
          <w:sz w:val="24"/>
          <w:szCs w:val="24"/>
          <w:highlight w:val="none"/>
        </w:rPr>
      </w:pPr>
      <w:bookmarkStart w:id="184" w:name="_Toc23013"/>
      <w:bookmarkStart w:id="185" w:name="_Toc475397308"/>
      <w:bookmarkStart w:id="186" w:name="_Toc50537207"/>
      <w:bookmarkStart w:id="187" w:name="_Toc16302"/>
      <w:bookmarkStart w:id="188" w:name="_Toc22908"/>
      <w:bookmarkStart w:id="189" w:name="_Toc104581720"/>
      <w:r>
        <w:rPr>
          <w:rFonts w:hint="eastAsia" w:ascii="宋体" w:hAnsi="宋体" w:eastAsia="宋体"/>
          <w:b/>
          <w:color w:val="auto"/>
          <w:sz w:val="24"/>
          <w:szCs w:val="24"/>
          <w:highlight w:val="none"/>
        </w:rPr>
        <w:t>建设规模详见合同和招标公告。</w:t>
      </w:r>
    </w:p>
    <w:p w14:paraId="1EB8FB55">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2.设计原则及理念</w:t>
      </w:r>
      <w:bookmarkEnd w:id="184"/>
      <w:bookmarkEnd w:id="185"/>
      <w:bookmarkEnd w:id="186"/>
      <w:bookmarkEnd w:id="187"/>
      <w:bookmarkEnd w:id="188"/>
      <w:bookmarkEnd w:id="189"/>
    </w:p>
    <w:p w14:paraId="398E9BE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2.1 满足国家关于建筑设计的规范标准的要求及设计行业相关技术规范条文的要求，严格执行国家工程建设标准强制性条文。“以人为本”的设计原则，考虑到使用者的使用需求。</w:t>
      </w:r>
    </w:p>
    <w:p w14:paraId="2EFFFDA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 项目设计应符合城市总体规划要求，满足规划部门的规划设计要点，同时满足业主关于项目投资控制的目标。</w:t>
      </w:r>
    </w:p>
    <w:p w14:paraId="2DB3D35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 合理利用土地，确保满足功能使用需求，对城市景观、邻里空间，商业价值、节约用地。做到认真深入细致研究，设计思路清晰，规划布局合理。</w:t>
      </w:r>
    </w:p>
    <w:p w14:paraId="66C0070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2.4 正确处理使用、辅助、交通三大部分关系，对建筑空间进行合理组合，优化设计。</w:t>
      </w:r>
    </w:p>
    <w:p w14:paraId="6FDB520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2.5 建筑设计考虑节能要求，建筑单体平面控制建筑的体型系数，建筑立面设计应考虑工程造价及施工难度。</w:t>
      </w:r>
    </w:p>
    <w:p w14:paraId="4BE64A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2.6 规划与建筑设计应满足建筑功能的要求，在使用上应具有较大的适应性和灵活性，各功能分区既要相对独立，又要有机联系，便于统一管理。</w:t>
      </w:r>
    </w:p>
    <w:p w14:paraId="5CC7010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2.7 在保证设计质量的前提下，本项目必须按照政府主管部门确定的投资额度和要求严格控制，实行投资控制，严格控制施工图设计的变更，确保工程预算不突破投资目标。</w:t>
      </w:r>
    </w:p>
    <w:bookmarkEnd w:id="177"/>
    <w:p w14:paraId="597F4268">
      <w:pPr>
        <w:spacing w:line="360" w:lineRule="auto"/>
        <w:ind w:firstLine="482" w:firstLineChars="200"/>
        <w:rPr>
          <w:rFonts w:hint="eastAsia" w:ascii="宋体" w:hAnsi="宋体" w:eastAsia="宋体" w:cs="宋体"/>
          <w:b/>
          <w:bCs/>
          <w:color w:val="auto"/>
          <w:sz w:val="24"/>
          <w:szCs w:val="24"/>
          <w:highlight w:val="none"/>
        </w:rPr>
      </w:pPr>
      <w:bookmarkStart w:id="190" w:name="_Toc19399"/>
      <w:bookmarkStart w:id="191" w:name="_Toc571"/>
      <w:bookmarkStart w:id="192" w:name="_Toc50537208"/>
      <w:bookmarkStart w:id="193" w:name="_Toc444182768"/>
      <w:bookmarkStart w:id="194" w:name="_Toc29416"/>
      <w:bookmarkStart w:id="195" w:name="_Toc104581721"/>
      <w:r>
        <w:rPr>
          <w:rFonts w:hint="eastAsia" w:ascii="宋体" w:hAnsi="宋体" w:eastAsia="宋体" w:cs="宋体"/>
          <w:b/>
          <w:bCs/>
          <w:color w:val="auto"/>
          <w:sz w:val="24"/>
          <w:szCs w:val="24"/>
          <w:highlight w:val="none"/>
        </w:rPr>
        <w:t>3.设计各专业要求</w:t>
      </w:r>
      <w:bookmarkEnd w:id="190"/>
      <w:bookmarkEnd w:id="191"/>
      <w:bookmarkEnd w:id="192"/>
      <w:bookmarkEnd w:id="193"/>
      <w:bookmarkEnd w:id="194"/>
      <w:bookmarkEnd w:id="195"/>
    </w:p>
    <w:p w14:paraId="022379F5">
      <w:pPr>
        <w:spacing w:line="360" w:lineRule="auto"/>
        <w:ind w:firstLine="480" w:firstLineChars="200"/>
        <w:rPr>
          <w:rFonts w:hint="eastAsia" w:ascii="宋体" w:hAnsi="宋体" w:eastAsia="宋体" w:cs="宋体"/>
          <w:color w:val="auto"/>
          <w:sz w:val="24"/>
          <w:szCs w:val="24"/>
          <w:highlight w:val="none"/>
        </w:rPr>
      </w:pPr>
      <w:bookmarkStart w:id="196" w:name="_Toc6927"/>
      <w:bookmarkStart w:id="197" w:name="_Toc20284"/>
      <w:bookmarkStart w:id="198" w:name="_Toc421"/>
      <w:r>
        <w:rPr>
          <w:rFonts w:hint="eastAsia" w:ascii="宋体" w:hAnsi="宋体" w:eastAsia="宋体" w:cs="宋体"/>
          <w:color w:val="auto"/>
          <w:sz w:val="24"/>
          <w:szCs w:val="24"/>
          <w:highlight w:val="none"/>
        </w:rPr>
        <w:t>3.1 对设计与法律、法规、规章、规范、标准的符合性要求</w:t>
      </w:r>
      <w:bookmarkEnd w:id="196"/>
      <w:bookmarkEnd w:id="197"/>
      <w:bookmarkEnd w:id="198"/>
    </w:p>
    <w:p w14:paraId="260A6E3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3.1.1 承包人交付的设计文件应符合中华人民共和国现行的有关法律、行政法规和相关的工程设计技术规范、规定及标准，必须执行国家规定的工程建设标准强制性条文要求。在项目设计、建设期间，若有由国家、省、市有关部门颁发的新规范、标准、规定等，承包人必须按要求落实到设计和设计变更中。</w:t>
      </w:r>
    </w:p>
    <w:p w14:paraId="793409E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3.1.2 承包人应在设计文件中列出设计采用的主要技术标准名称、编号与版本。如引用标准图集，除标明出处外，要求将引用图绘制在施工图中。</w:t>
      </w:r>
    </w:p>
    <w:p w14:paraId="5C6BE6E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3.1.3 由于工程设计的特殊需要对设计规范、规程中非强制性的条文，允许稍有选择和突破，但承包人必须提出充分的理由，提交充分的质量保证措施，并经建设管理单位论证同意后以文件形式认可。</w:t>
      </w:r>
    </w:p>
    <w:p w14:paraId="3286615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3.1.4 项目选用的工程材料、工程构配件和设备，其质量标准必须符合中华人民共和国国家规范、标准要求。</w:t>
      </w:r>
      <w:bookmarkStart w:id="199" w:name="_Toc9287"/>
      <w:bookmarkStart w:id="200" w:name="_Toc7791"/>
      <w:bookmarkStart w:id="201" w:name="_Toc27054"/>
    </w:p>
    <w:p w14:paraId="6850571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 规划设计要求</w:t>
      </w:r>
      <w:bookmarkEnd w:id="199"/>
      <w:bookmarkEnd w:id="200"/>
      <w:bookmarkEnd w:id="201"/>
    </w:p>
    <w:p w14:paraId="6D2AC29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3.2.1 符合城市规划的要求，综合考虑建筑性质、建筑造型、建筑立面特征等与周围环境的关系，在满足安全与功能的前提下，应符合国家有关节约用地、节能节水节材和保护环境等规定。</w:t>
      </w:r>
    </w:p>
    <w:p w14:paraId="1C77C02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3.2.2 符合现有地形特征，尽量利用地形，以充分考虑经济性为基础，合理确定建筑的总体布局与功能设置。</w:t>
      </w:r>
    </w:p>
    <w:p w14:paraId="39141D2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3.2.3 整体性强。建筑组合应紧凑、集中，主要建筑之间有联系。</w:t>
      </w:r>
    </w:p>
    <w:p w14:paraId="53AEE10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3.2.4 总体规划要求功能齐全、分区明确，满足基本功能要求及规模需求，并充分考虑其所处地理位置的特点及其他配套功能设置。</w:t>
      </w:r>
    </w:p>
    <w:p w14:paraId="76FB48B7">
      <w:pPr>
        <w:spacing w:line="360" w:lineRule="auto"/>
        <w:ind w:firstLine="480" w:firstLineChars="200"/>
        <w:rPr>
          <w:rFonts w:hint="eastAsia" w:ascii="宋体" w:hAnsi="宋体" w:eastAsia="宋体" w:cs="宋体"/>
          <w:color w:val="auto"/>
          <w:sz w:val="24"/>
          <w:szCs w:val="24"/>
          <w:highlight w:val="none"/>
        </w:rPr>
      </w:pPr>
      <w:bookmarkStart w:id="202" w:name="_Toc10768"/>
      <w:bookmarkStart w:id="203" w:name="_Toc9922"/>
      <w:bookmarkStart w:id="204" w:name="_Toc6056"/>
      <w:r>
        <w:rPr>
          <w:rFonts w:hint="eastAsia" w:ascii="宋体" w:hAnsi="宋体" w:eastAsia="宋体" w:cs="宋体"/>
          <w:color w:val="auto"/>
          <w:sz w:val="24"/>
          <w:szCs w:val="24"/>
          <w:highlight w:val="none"/>
        </w:rPr>
        <w:t>3.3 建筑与室内装修设计要求</w:t>
      </w:r>
      <w:bookmarkEnd w:id="202"/>
      <w:bookmarkEnd w:id="203"/>
      <w:bookmarkEnd w:id="204"/>
    </w:p>
    <w:p w14:paraId="212194C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3.3.1 建设计划：详见第一部分。</w:t>
      </w:r>
    </w:p>
    <w:p w14:paraId="2054AF1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3.3.2 总配建车位（包括室内、室外）符合国家及省市相关城乡技术规定。</w:t>
      </w:r>
    </w:p>
    <w:p w14:paraId="6BCEE72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3.3.3 总平面竖向设计及场地设施（含防洪排涝设计）等需充分考虑现状地形、地貌。</w:t>
      </w:r>
    </w:p>
    <w:p w14:paraId="7B872B3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3.3.4 建筑材料要求：在满足建筑功能要求的前提下，所有建筑材料（含涂料）需满足绿色环保的要求，并进行生命周期评价和环境影响评价，尽量减少使用氯基塑料产品。</w:t>
      </w:r>
    </w:p>
    <w:p w14:paraId="0B91F20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3.3.4.1 走廊、过道、楼梯等与室外直接连通的部位，地面不应采用抛光砖等不适合岭南地区返潮、湿滑气候特点的材料。</w:t>
      </w:r>
    </w:p>
    <w:p w14:paraId="78FE41D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3.3.4.2 提倡使用永久性天然材料，不得使用影响安全的挂板作为装饰面板。墙面石材建议不采用干挂形式。</w:t>
      </w:r>
    </w:p>
    <w:p w14:paraId="4D31C74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3.3.4.3 室外广场石与侧平石等采用石材,按《广州市政府投资项目天然石材应用指引》要求设计施工。广场石铺贴方案要求大方、整体性强，不宜采用拼花形式；若采用非石材或采用拼花形式，应专题报招标人同意。石材铺装厚度：车行的采用10cm，人行的采用5cm。室外铺装详细方案图须单独报招标人确认。</w:t>
      </w:r>
    </w:p>
    <w:p w14:paraId="09B5C7C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3.3.4.4 建筑设计中要求标明所有门均为成品门进场，不采用施工现场制作门，并在施工图中标明成品门选材、配件、剖面详图、技术要求等。</w:t>
      </w:r>
    </w:p>
    <w:p w14:paraId="1DBDFBD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3.3.5 泛光照明需进行方案比较，报招标人确认。</w:t>
      </w:r>
    </w:p>
    <w:p w14:paraId="1C73BCE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3.3.6 必须提供相应阶段需要的包括并不限于鸟瞰、各立面、主要出入口、大堂、电梯厅、客厅、厨房、卫生间、房间、园林景观等效果图供项目决策，格式为PSD或PDF电子版文件，精度要求：分辨率不低于4k×4k。</w:t>
      </w:r>
    </w:p>
    <w:p w14:paraId="1F21BFA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3.3.7 承包人应在施工图设计中以单独篇章提交标志标识系统、装饰装修工程、园林景观工程、泛光照明工程等设计成果。</w:t>
      </w:r>
    </w:p>
    <w:p w14:paraId="6CC35C0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3.3.8 无障碍方案：在用地范围内的人行道都应按照规定设定道路纵坡、路口的坡道及提示盲道等。建筑入口、入口平台、候梯厅、电梯轿箱及公共走道等地方均需充分考虑残障人士行动的要求，便于轮椅及拄杖者的通行，公厕设置残障人士轮椅标准厕位。</w:t>
      </w:r>
    </w:p>
    <w:p w14:paraId="1DAEBFB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3.3.9 本项目建设标准详见附件一。且满足《建筑内部装修设计防火规范》GB50222-2017及广州市相关规范的要求。</w:t>
      </w:r>
      <w:bookmarkStart w:id="205" w:name="_Toc20662"/>
      <w:bookmarkStart w:id="206" w:name="_Toc7001"/>
      <w:bookmarkStart w:id="207" w:name="_Toc18849"/>
    </w:p>
    <w:p w14:paraId="53FD2EB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 结构设计要求</w:t>
      </w:r>
      <w:bookmarkEnd w:id="205"/>
      <w:bookmarkEnd w:id="206"/>
      <w:bookmarkEnd w:id="207"/>
    </w:p>
    <w:p w14:paraId="32F6D40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3.4.1 结构总体设计原则：</w:t>
      </w:r>
    </w:p>
    <w:p w14:paraId="4231532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3.4.1.1 结构设计应安全可靠，经济合理；应采用经过实践检验的新工艺、新材料，以节约资金；应满足国家及地方的相应规范、规程及要求，采用可靠的结构体系，先进的工艺和技术。</w:t>
      </w:r>
    </w:p>
    <w:p w14:paraId="794F0E7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3.4.1.2 抗震设计应遵循现行的国家规范、规程与广州市地方标准。</w:t>
      </w:r>
    </w:p>
    <w:p w14:paraId="68EB30F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3.4.1.3 永久建筑应以钢筋混凝土结构为主，临时建筑应以钢结构为主。临时建筑的主要结构构件应考虑重复利用的可能性。</w:t>
      </w:r>
    </w:p>
    <w:p w14:paraId="21C25B0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3.4.1.4 地下室长、宽超出规范伸缩缝最大间距要求时，宜首选采用后浇带或加强带等抗裂措施，同时设计院应提交抗裂措施多方案比选报告。</w:t>
      </w:r>
    </w:p>
    <w:p w14:paraId="382C146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3.4.2 基础设计：</w:t>
      </w:r>
    </w:p>
    <w:p w14:paraId="0E18B2D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根据地质情况选取基础型式，同时提交基础选型的经济技术多方案比选专题报告。</w:t>
      </w:r>
    </w:p>
    <w:p w14:paraId="649133F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3.4.3 基坑设计：</w:t>
      </w:r>
    </w:p>
    <w:p w14:paraId="3182CF5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基坑支护和地基处理设计，应同时提交选型的经济技术多方案比选专题报告。</w:t>
      </w:r>
      <w:bookmarkStart w:id="208" w:name="_Toc1581"/>
      <w:bookmarkStart w:id="209" w:name="_Toc10823"/>
      <w:bookmarkStart w:id="210" w:name="_Toc27599"/>
    </w:p>
    <w:p w14:paraId="0258085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3.5给排水设计要求</w:t>
      </w:r>
      <w:bookmarkEnd w:id="208"/>
      <w:bookmarkEnd w:id="209"/>
      <w:bookmarkEnd w:id="210"/>
    </w:p>
    <w:p w14:paraId="0644574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 雨水径流控制应从建设项目全局出发，妥善处理防洪排涝、雨水资源化利用和初雨污染的关系，满足《广州市水务管理条例》、《广州市排水管理办法》、《广州市建设项目雨水径流控制管理办法》等法规的要求。根据《广州市建设项目雨水径流控制管理办法》（广州市人民政府令第107号），要求雨水径流控制设施需与建设项目主体工程同时设计，初步设计、施工图设计等文件应包括其内容。</w:t>
      </w:r>
    </w:p>
    <w:p w14:paraId="06D62E8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3.5.2 给、排水系统设计应具有先进性、可靠性，同时根据项目的性质、规模进行技术、经济、环境等多项指标综合比较，力求做到安全、环保、节水、节能、节地、经济，应充分利用市政供水压力直接供水。</w:t>
      </w:r>
    </w:p>
    <w:p w14:paraId="61C467D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3.5.3 应采取雨水、粪便污水、废水分流排水系统，生活污水经室内管道（污、废分流）收集后排入室外污水管道。雨水系统应合理考虑就地入渗和收集回用，尽量减少对市政管网的排水负担。</w:t>
      </w:r>
    </w:p>
    <w:p w14:paraId="46D0C6D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3.5.4 实现对水资源的合理分配和利用，做到优质优用、低质低用、水尽其用。</w:t>
      </w:r>
    </w:p>
    <w:p w14:paraId="5269760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3.5.5 应采用节水器材、器具。</w:t>
      </w:r>
    </w:p>
    <w:p w14:paraId="32E1ECC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3.5.6 给水系统应按供水部门的相关技术规范要求设计。</w:t>
      </w:r>
    </w:p>
    <w:p w14:paraId="20450F9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3.5.7 给水方式和分区应根据市政水压及地形标高，并结合市政设计综合考虑。</w:t>
      </w:r>
    </w:p>
    <w:p w14:paraId="14730AE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3.5.8 给水立管敷设于管井内，管井尺寸应满足管道安装。</w:t>
      </w:r>
    </w:p>
    <w:p w14:paraId="1C757EC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3.5.9 室外绿化喷洒给水系统应结合园林统一考虑。灌溉形式宜采用喷灌、微灌等高效节水灌溉方式。配水点宜采用插接式给水接口，不采用自动喷洒（特殊要求除外）。</w:t>
      </w:r>
    </w:p>
    <w:p w14:paraId="628E849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3.5.10 给水管材：（具体按水务管理部门要求）给水管材及管件必须满足国家生活饮用水卫生标准。</w:t>
      </w:r>
    </w:p>
    <w:p w14:paraId="10819A4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3.5.11 污水管材：具体按水务管理部门要求。</w:t>
      </w:r>
    </w:p>
    <w:p w14:paraId="5709691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3.5.12 室内消防箱宜选用消火栓和灭火器一体化的消防箱，标准层暗敷。</w:t>
      </w:r>
    </w:p>
    <w:p w14:paraId="1F109D0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3.5.13 生活和消防水泵出水总管上应安装不锈钢水锤吸纳器，消防水泵出水总管上应安装泄压阀或持压阀。</w:t>
      </w:r>
    </w:p>
    <w:p w14:paraId="5B63CB1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3.5.14 公共卫生间的洗手盆龙头采用扳手式或抬启式龙头。</w:t>
      </w:r>
    </w:p>
    <w:p w14:paraId="1E72ECC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3.5.15 公共卫生间的大便器宜用脚踏式冲洗阀（冲洗阀应有空气隔断装置），定量冲洗；小便器采用感应冲洗阀，每次冲洗水量不大于3升；大便器水箱容积不大于6L。</w:t>
      </w:r>
    </w:p>
    <w:p w14:paraId="39F2435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3.5.16 给水水嘴应采用陶瓷芯等密封性能好的、能限制出流的节水水嘴。</w:t>
      </w:r>
    </w:p>
    <w:p w14:paraId="1E0E518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3.5.17 室内、外管道应绘制管线综合图。</w:t>
      </w:r>
    </w:p>
    <w:p w14:paraId="265A514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3.5.18 室外场地、屋面的暴雨重现期宜按5年，地下车库坡道出入口、下沉式广场等暴雨重现期宜按50年。建筑屋面雨水排水工程应设置溢流口，重力流屋面雨水排水工程与溢流设施的总排水能力不小于50年重现期的雨水量。</w:t>
      </w:r>
    </w:p>
    <w:p w14:paraId="71EC00B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3.5.19 生活水池可采用不锈钢水箱、并应有卫生部门的检测报告及许可证。</w:t>
      </w:r>
      <w:bookmarkStart w:id="211" w:name="_Toc30166"/>
      <w:bookmarkStart w:id="212" w:name="_Toc30261"/>
      <w:bookmarkStart w:id="213" w:name="_Toc23086"/>
    </w:p>
    <w:p w14:paraId="05E3EE4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 电气工程（含变配电）设计要求</w:t>
      </w:r>
      <w:bookmarkEnd w:id="211"/>
      <w:bookmarkEnd w:id="212"/>
      <w:bookmarkEnd w:id="213"/>
    </w:p>
    <w:p w14:paraId="1439016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3.6.1 强电系统设计应满足运营基本要求，包含本项目高低压变配电的所有设计，具体包含：建筑高低压变配电系统、动力照明系统、消防等，室外照明（含道路照明）及与供电部门提供的区域高压供电接驳和路由设计、临电接驳和路由设计（含临时、永久供电报装、路由情况摸查及变配电工程施工图通过供电局审查）等。</w:t>
      </w:r>
    </w:p>
    <w:p w14:paraId="69F847BA">
      <w:pPr>
        <w:spacing w:line="360" w:lineRule="auto"/>
        <w:ind w:firstLine="480" w:firstLineChars="200"/>
        <w:rPr>
          <w:rFonts w:hint="eastAsia" w:ascii="宋体" w:hAnsi="宋体" w:eastAsia="宋体" w:cs="宋体"/>
          <w:color w:val="auto"/>
          <w:sz w:val="24"/>
          <w:szCs w:val="24"/>
          <w:highlight w:val="none"/>
        </w:rPr>
      </w:pPr>
    </w:p>
    <w:p w14:paraId="74E48CF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3.6.2 认真贯彻执行国家和行业规范，根据本工程用电特点，因地制宜地搞好服务区配电系统的规划，确保服务区供配电网架安全可靠、经济合理。</w:t>
      </w:r>
    </w:p>
    <w:p w14:paraId="7F003312">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3.6.</w:t>
      </w:r>
      <w:r>
        <w:rPr>
          <w:rFonts w:hint="eastAsia" w:ascii="宋体" w:hAnsi="宋体" w:eastAsia="宋体" w:cs="宋体"/>
          <w:color w:val="auto"/>
          <w:sz w:val="24"/>
          <w:szCs w:val="24"/>
          <w:highlight w:val="none"/>
        </w:rPr>
        <w:t>3了解南方电网、广东电网及当地供电部门的最新要求，不限于提前与主管部门沟通、掌握最新的业扩资料、了解最近的当地项目情况的方式。</w:t>
      </w:r>
    </w:p>
    <w:p w14:paraId="45B42FD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3.6.4 规划用地红线外的供电工程须结合相关规范及相关主管部门的要求进行设计,以满足本项目的使用要求。</w:t>
      </w:r>
    </w:p>
    <w:p w14:paraId="2C9C90D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3.6.5 变配电所选址按照接近负荷中心、允许供电半径、进出线方便的原则进行布置，降低电能损耗，节约有色金属，减少电压损失，提高供电质量。</w:t>
      </w:r>
    </w:p>
    <w:p w14:paraId="0D6D6F5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3.6.6 负荷预测采用单位建筑面积负荷指标法，定性、定量地预测出合理的用电负荷。</w:t>
      </w:r>
    </w:p>
    <w:p w14:paraId="3A55DB7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3.6.7 消防系统（结合需要安排水喷淋系统与非水喷淋灭火系统）.</w:t>
      </w:r>
    </w:p>
    <w:p w14:paraId="0AD0285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3.6.8 机房工程（须按照业使用主需求及专业相关规范和行业标准进行设计，机电、消防、装修配合设计）。</w:t>
      </w:r>
    </w:p>
    <w:p w14:paraId="6EA7499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3.6.9 中心内设置设备监控系统，对其内部的动力、电力、空调、照明、给排水、电梯、停车库等机电设备进行监视、控制、协调、运行管理。</w:t>
      </w:r>
    </w:p>
    <w:p w14:paraId="22C03A5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3.6.10 室外室内照明采用节能灯。</w:t>
      </w:r>
    </w:p>
    <w:p w14:paraId="438A227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3.6.11 电气照明分正常照明和事故照明。</w:t>
      </w:r>
    </w:p>
    <w:p w14:paraId="2558544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3.6.11.1 在建筑物内事故照明和正常照明同时使用，照明电源自动切换。在楼梯间出入口、疏散通道设疏散与诱导照明。</w:t>
      </w:r>
    </w:p>
    <w:p w14:paraId="48A5A14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3.6.11.2照明应根据各建筑物的设施和用途，按照设计规范而定。走道、厕所等公共位置的照明灯具采用节能光源；门诊室等采用荧光灯；设备用房采用白炽灯或荧光灯；对有特殊照明要求的地方，可采用局部照明。选择光源和灯具，要注意考虑实用、经济、美观、节能、易维修保养等方面因素。</w:t>
      </w:r>
      <w:bookmarkStart w:id="214" w:name="_Toc14498"/>
      <w:bookmarkStart w:id="215" w:name="_Toc22722"/>
      <w:bookmarkStart w:id="216" w:name="_Toc1272"/>
    </w:p>
    <w:p w14:paraId="1528DBD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3.7建筑智能化专业</w:t>
      </w:r>
      <w:bookmarkEnd w:id="214"/>
      <w:bookmarkEnd w:id="215"/>
      <w:bookmarkEnd w:id="216"/>
    </w:p>
    <w:p w14:paraId="5B867FA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3.7.1 有线电视系统</w:t>
      </w:r>
    </w:p>
    <w:p w14:paraId="51DCEF0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3.7.2 信息网络系统</w:t>
      </w:r>
    </w:p>
    <w:p w14:paraId="23C9ED6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3.7.3 综合布线系统</w:t>
      </w:r>
    </w:p>
    <w:p w14:paraId="14A6564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3.7.4 视频安防监控系统</w:t>
      </w:r>
    </w:p>
    <w:p w14:paraId="4C498A6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3.7.5 访客对讲系统</w:t>
      </w:r>
    </w:p>
    <w:p w14:paraId="3C50A29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3.7.6 停车场管理系统</w:t>
      </w:r>
    </w:p>
    <w:p w14:paraId="7C7A1B4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3.7.7 通信接入及电话交换系统</w:t>
      </w:r>
    </w:p>
    <w:p w14:paraId="7376256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3.7.8 广播系统</w:t>
      </w:r>
    </w:p>
    <w:p w14:paraId="16859E6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3.7.9 火灾报警与消防联动系统</w:t>
      </w:r>
    </w:p>
    <w:p w14:paraId="1F19F7D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3.7.10 电子巡更系统</w:t>
      </w:r>
    </w:p>
    <w:p w14:paraId="4245853D">
      <w:pPr>
        <w:spacing w:line="360" w:lineRule="auto"/>
        <w:ind w:firstLine="480" w:firstLineChars="200"/>
        <w:rPr>
          <w:rFonts w:hint="eastAsia"/>
          <w:color w:val="auto"/>
          <w:highlight w:val="none"/>
        </w:rPr>
      </w:pPr>
      <w:r>
        <w:rPr>
          <w:rFonts w:hint="eastAsia" w:ascii="宋体" w:hAnsi="宋体" w:eastAsia="宋体" w:cs="宋体"/>
          <w:color w:val="auto"/>
          <w:sz w:val="24"/>
          <w:szCs w:val="24"/>
          <w:highlight w:val="none"/>
        </w:rPr>
        <w:t>3.7.11  室内5G信号覆盖系统</w:t>
      </w:r>
    </w:p>
    <w:p w14:paraId="00154D5B">
      <w:pPr>
        <w:pStyle w:val="3"/>
        <w:ind w:firstLine="210"/>
        <w:rPr>
          <w:highlight w:val="none"/>
        </w:rPr>
      </w:pPr>
    </w:p>
    <w:p w14:paraId="4C454784">
      <w:pPr>
        <w:spacing w:line="360" w:lineRule="auto"/>
        <w:ind w:firstLine="480" w:firstLineChars="200"/>
        <w:rPr>
          <w:rFonts w:hint="eastAsia" w:ascii="宋体" w:hAnsi="宋体" w:eastAsia="宋体" w:cs="宋体"/>
          <w:color w:val="auto"/>
          <w:sz w:val="24"/>
          <w:szCs w:val="24"/>
          <w:highlight w:val="none"/>
        </w:rPr>
      </w:pPr>
      <w:bookmarkStart w:id="217" w:name="_Toc9699"/>
      <w:bookmarkStart w:id="218" w:name="_Toc3194"/>
      <w:bookmarkStart w:id="219" w:name="_Toc5207"/>
      <w:r>
        <w:rPr>
          <w:rFonts w:hint="eastAsia" w:ascii="宋体" w:hAnsi="宋体" w:eastAsia="宋体" w:cs="宋体"/>
          <w:color w:val="auto"/>
          <w:sz w:val="24"/>
          <w:szCs w:val="24"/>
          <w:highlight w:val="none"/>
        </w:rPr>
        <w:t>3.8 空调与暖通专业设计要求</w:t>
      </w:r>
      <w:bookmarkEnd w:id="217"/>
      <w:bookmarkEnd w:id="218"/>
      <w:bookmarkEnd w:id="219"/>
    </w:p>
    <w:p w14:paraId="18D57A4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3.8.1 通风、空调、防排烟系统按相关规范要求设置，结合绿色建筑要求，充分利用自然通风，并充分考虑平时利用，以求得到最佳设计方案。</w:t>
      </w:r>
    </w:p>
    <w:p w14:paraId="50C0EFC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3.8.2 地下汽车库及设备用房应设置机械送、排风系统，公共卫生间及电梯机房应设置机械排风系统。</w:t>
      </w:r>
    </w:p>
    <w:p w14:paraId="14BB740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3.8.3 消防控制中心、电梯机房、值班室等需要满足人员舒适性的区域应考虑设置空调。</w:t>
      </w:r>
    </w:p>
    <w:p w14:paraId="765FA02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3.8.4 设置分体空调的应保持空调室外机的通风顺畅，空调冷凝水应集中排放。空调室外机搁板的位置应考虑尺寸合适和安装方便。</w:t>
      </w:r>
    </w:p>
    <w:p w14:paraId="4D9040C0">
      <w:pPr>
        <w:pStyle w:val="3"/>
        <w:ind w:firstLine="480" w:firstLineChars="200"/>
        <w:rPr>
          <w:rFonts w:hint="eastAsia" w:ascii="宋体" w:hAnsi="宋体" w:cs="宋体"/>
          <w:sz w:val="24"/>
          <w:szCs w:val="24"/>
          <w:highlight w:val="none"/>
        </w:rPr>
      </w:pPr>
      <w:r>
        <w:rPr>
          <w:rFonts w:hint="eastAsia" w:ascii="宋体" w:hAnsi="宋体" w:cs="宋体"/>
          <w:sz w:val="24"/>
          <w:szCs w:val="24"/>
          <w:highlight w:val="none"/>
        </w:rPr>
        <w:t>3.8.5设置中央空调系统的系统选型配置应符合安全、舒适、高效、节能的理念。</w:t>
      </w:r>
    </w:p>
    <w:p w14:paraId="3210E955">
      <w:pPr>
        <w:spacing w:line="360" w:lineRule="auto"/>
        <w:ind w:firstLine="480" w:firstLineChars="200"/>
        <w:rPr>
          <w:rFonts w:hint="eastAsia" w:ascii="宋体" w:hAnsi="宋体" w:eastAsia="宋体" w:cs="宋体"/>
          <w:color w:val="auto"/>
          <w:sz w:val="24"/>
          <w:szCs w:val="24"/>
          <w:highlight w:val="none"/>
        </w:rPr>
      </w:pPr>
      <w:bookmarkStart w:id="220" w:name="_Hlk196573914"/>
      <w:r>
        <w:rPr>
          <w:rFonts w:ascii="宋体" w:hAnsi="宋体" w:eastAsia="宋体" w:cs="宋体"/>
          <w:color w:val="auto"/>
          <w:sz w:val="24"/>
          <w:szCs w:val="24"/>
          <w:highlight w:val="none"/>
        </w:rPr>
        <w:t xml:space="preserve">3.9 </w:t>
      </w:r>
      <w:r>
        <w:rPr>
          <w:rFonts w:hint="eastAsia" w:ascii="宋体" w:hAnsi="宋体" w:eastAsia="宋体" w:cs="宋体"/>
          <w:color w:val="auto"/>
          <w:sz w:val="24"/>
          <w:szCs w:val="24"/>
          <w:highlight w:val="none"/>
        </w:rPr>
        <w:t>燃气专业设计要求</w:t>
      </w:r>
    </w:p>
    <w:p w14:paraId="4DD424B7">
      <w:pPr>
        <w:rPr>
          <w:rFonts w:hint="eastAsia"/>
          <w:color w:val="auto"/>
          <w:highlight w:val="none"/>
        </w:rPr>
      </w:pPr>
      <w:r>
        <w:rPr>
          <w:rFonts w:hint="eastAsia" w:ascii="宋体" w:hAnsi="宋体" w:eastAsia="宋体" w:cs="宋体"/>
          <w:color w:val="auto"/>
          <w:sz w:val="24"/>
          <w:szCs w:val="24"/>
          <w:highlight w:val="none"/>
        </w:rPr>
        <w:t>满足《城镇燃气设计规范(2020年版)》GB 50028-2006、广州燃气集团的相关设计要求，并满足相关验收要求。</w:t>
      </w:r>
    </w:p>
    <w:bookmarkEnd w:id="220"/>
    <w:p w14:paraId="5E915B38">
      <w:pPr>
        <w:pStyle w:val="3"/>
        <w:ind w:firstLine="210"/>
        <w:rPr>
          <w:highlight w:val="none"/>
        </w:rPr>
      </w:pPr>
    </w:p>
    <w:p w14:paraId="09654BE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3.9 室外工程设计要求</w:t>
      </w:r>
    </w:p>
    <w:p w14:paraId="0E1DF7F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3.9.1 设计范围包括园林景观设计（含绿化、广场、道路、停车场、园林小品、围墙、屋顶花园等）、标识系统、室外照明（泛光照明、景观照明）、市政管线综合等。</w:t>
      </w:r>
    </w:p>
    <w:p w14:paraId="2EBDD1A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3.9.2 建筑物与周边环境要协调统一，充分协调好与周边环境的位置关系，使建筑物合理地融入景观环境中，通过绿化环境营造出大气和庄重的效果。</w:t>
      </w:r>
    </w:p>
    <w:p w14:paraId="4320221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3.9.3 必须保证内部交通流线顺畅，与外部交通流线连接自然。路缘石采用石材，人行道铺设人行道砖。</w:t>
      </w:r>
    </w:p>
    <w:p w14:paraId="42C7EDC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3.9.4 室外广场石与侧平石均采用石材。广场石要求大方、整体性强，不宜采用拼花形式；若采用非石材或采用拼花形式，应专题报建设单位同意。石材铺装厚度：车行的采用10cm，人行的采用5cm。室外铺装详细方案图应单独报甲方确认。</w:t>
      </w:r>
    </w:p>
    <w:p w14:paraId="0AFA7C1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3.9.5 室外苗木采用岭南植物，并应避免掉皮等影响景观的现象。</w:t>
      </w:r>
      <w:bookmarkStart w:id="221" w:name="_Toc30785"/>
      <w:bookmarkStart w:id="222" w:name="_Toc18588"/>
      <w:bookmarkStart w:id="223" w:name="_Toc12822"/>
    </w:p>
    <w:p w14:paraId="4677FF36">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szCs w:val="24"/>
          <w:highlight w:val="none"/>
        </w:rPr>
        <w:t xml:space="preserve">3.10 </w:t>
      </w:r>
      <w:r>
        <w:rPr>
          <w:rFonts w:hint="eastAsia" w:ascii="宋体" w:hAnsi="宋体" w:eastAsia="宋体" w:cs="宋体"/>
          <w:color w:val="auto"/>
          <w:sz w:val="24"/>
          <w:highlight w:val="none"/>
        </w:rPr>
        <w:t>垂直交通系统设计要求</w:t>
      </w:r>
      <w:bookmarkEnd w:id="221"/>
      <w:bookmarkEnd w:id="222"/>
      <w:bookmarkEnd w:id="223"/>
    </w:p>
    <w:p w14:paraId="04868793">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3.10.1 垂直交通主要包括电梯和楼梯来解决。</w:t>
      </w:r>
    </w:p>
    <w:p w14:paraId="380BB46C">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3.10.2 根据各座楼房的层高、层数和建筑面积、功能、人流状况设置电梯。</w:t>
      </w:r>
    </w:p>
    <w:p w14:paraId="3415588B">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3.10.3 电梯的型号和厢门材料、结构、上升速度、设置数量，均应在规划设计阶段配合建筑类型和装饰标准考虑。</w:t>
      </w:r>
    </w:p>
    <w:p w14:paraId="31F2A703">
      <w:pPr>
        <w:spacing w:line="360" w:lineRule="auto"/>
        <w:ind w:firstLine="480" w:firstLineChars="200"/>
        <w:rPr>
          <w:rFonts w:hint="eastAsia" w:ascii="宋体" w:hAnsi="宋体" w:eastAsia="宋体" w:cs="宋体"/>
          <w:color w:val="auto"/>
          <w:sz w:val="24"/>
          <w:highlight w:val="none"/>
        </w:rPr>
      </w:pPr>
      <w:bookmarkStart w:id="224" w:name="_Toc31376"/>
      <w:bookmarkStart w:id="225" w:name="_Toc2090"/>
      <w:bookmarkStart w:id="226" w:name="_Toc5364"/>
      <w:r>
        <w:rPr>
          <w:rFonts w:hint="eastAsia" w:ascii="宋体" w:hAnsi="宋体" w:eastAsia="宋体" w:cs="宋体"/>
          <w:color w:val="auto"/>
          <w:sz w:val="24"/>
          <w:highlight w:val="none"/>
        </w:rPr>
        <w:t>3.11 建筑防火设计要求</w:t>
      </w:r>
      <w:bookmarkEnd w:id="224"/>
      <w:bookmarkEnd w:id="225"/>
      <w:bookmarkEnd w:id="226"/>
    </w:p>
    <w:p w14:paraId="44FDE1C0">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消防系统设计应满足国家现行消防设计规范的要求，包括以下内容：室内外消火栓系统、自动喷水灭火系统、气体灭火系统、建筑灭火器配置等；消防水池及消防泵房应设置在地下室内。</w:t>
      </w:r>
    </w:p>
    <w:p w14:paraId="5ACA5D69">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3.11.1 室内外消火栓系统：</w:t>
      </w:r>
    </w:p>
    <w:p w14:paraId="206E7D1B">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室内外消火栓系统应严格按照现行《建筑设计防火规范》、《消防给水及消火栓系统技术规范》进行设计。</w:t>
      </w:r>
    </w:p>
    <w:p w14:paraId="49C2473B">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当市政管网条件无法满足规范要求时，室外消防用水量应贮存在消防水池内，并应按照规范要求设置吸水井供消防车取水用。</w:t>
      </w:r>
    </w:p>
    <w:p w14:paraId="3D3374C8">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建筑内每层均应设置室内消火栓系统，室内消火栓箱体宜采用暗装形式，条件许可的情况下，可考虑一体式消防箱，用以放置建筑灭火器。</w:t>
      </w:r>
    </w:p>
    <w:p w14:paraId="7A13E808">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3.11.2 自动喷水灭火系统</w:t>
      </w:r>
    </w:p>
    <w:p w14:paraId="68B970C4">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建筑内除规范规定不宜用水扑灭的部位外，所有公共场所均设置自动喷淋。</w:t>
      </w:r>
    </w:p>
    <w:p w14:paraId="2D2804C4">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3.11.3 地下室发电机房、变配电房、主要信息机房等不宜用水灭火的房间应设置气体灭火系统。</w:t>
      </w:r>
    </w:p>
    <w:p w14:paraId="734BACD1">
      <w:pPr>
        <w:spacing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highlight w:val="none"/>
        </w:rPr>
        <w:t>3.11.4 建筑灭火器系统：应根据不同功能性质确定危险等级进行建筑灭火器系统设计，并根据规范于室内各区域明显且易于取用的地点设置手提式磷酸铵盐干粉灭火器。</w:t>
      </w:r>
    </w:p>
    <w:p w14:paraId="3931B10F">
      <w:pPr>
        <w:spacing w:line="360" w:lineRule="auto"/>
        <w:ind w:firstLine="480" w:firstLineChars="200"/>
        <w:rPr>
          <w:rFonts w:hint="eastAsia" w:ascii="宋体" w:hAnsi="宋体" w:eastAsia="宋体" w:cs="宋体"/>
          <w:color w:val="auto"/>
          <w:sz w:val="24"/>
          <w:highlight w:val="none"/>
        </w:rPr>
      </w:pPr>
      <w:bookmarkStart w:id="227" w:name="_Toc10737"/>
      <w:bookmarkStart w:id="228" w:name="_Toc21912"/>
      <w:bookmarkStart w:id="229" w:name="_Toc18844"/>
      <w:r>
        <w:rPr>
          <w:rFonts w:hint="eastAsia" w:ascii="宋体" w:hAnsi="宋体" w:eastAsia="宋体" w:cs="宋体"/>
          <w:color w:val="auto"/>
          <w:sz w:val="24"/>
          <w:highlight w:val="none"/>
        </w:rPr>
        <w:t>3.12 地下室防渗措施</w:t>
      </w:r>
      <w:bookmarkEnd w:id="227"/>
      <w:bookmarkEnd w:id="228"/>
      <w:bookmarkEnd w:id="229"/>
    </w:p>
    <w:p w14:paraId="42624BEA">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地下室建设过程中，混凝土工程经常会出现裂缝，导致工程渗水，影响了工程的美观和工程的持久性。为了控制地下室混凝土工程的质量，防止工程出现裂缝和渗漏，必须在设计施工及养护时采取防渗措施。</w:t>
      </w:r>
    </w:p>
    <w:p w14:paraId="50072414">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设计中应充分考虑混凝土构件的收缩变形，构造钢筋的配置和作用力对构件施加的预应力等影响。施工及养护阶段防渗措施：控制原材料质量，减少混凝土的收缩；对地下室底板、墙板混凝土进行温度监控，掌握混凝土内外的温差变化情况，及时采取措施进行温差控制；完善施工工艺，做好养护工作，防止混凝土结构开裂。</w:t>
      </w:r>
    </w:p>
    <w:p w14:paraId="3CFFE576">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3.13 </w:t>
      </w:r>
      <w:r>
        <w:rPr>
          <w:rFonts w:hint="eastAsia" w:ascii="宋体" w:hAnsi="宋体" w:eastAsia="宋体" w:cs="宋体"/>
          <w:color w:val="auto"/>
          <w:sz w:val="24"/>
          <w:szCs w:val="20"/>
          <w:highlight w:val="none"/>
        </w:rPr>
        <w:t>人防工程</w:t>
      </w:r>
    </w:p>
    <w:p w14:paraId="4012C3AC">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防空地下室的位置、规模、战时及平时的用途，应根据城市的人防工程规划以及地面建筑规模、地下与地上综合考虑，统筹安排。</w:t>
      </w:r>
    </w:p>
    <w:p w14:paraId="2AE9753A">
      <w:pPr>
        <w:spacing w:line="360" w:lineRule="auto"/>
        <w:ind w:firstLine="480" w:firstLineChars="200"/>
        <w:rPr>
          <w:rFonts w:hint="eastAsia" w:ascii="宋体" w:hAnsi="宋体" w:eastAsia="宋体" w:cs="宋体"/>
          <w:color w:val="auto"/>
          <w:sz w:val="24"/>
          <w:highlight w:val="none"/>
        </w:rPr>
      </w:pPr>
      <w:bookmarkStart w:id="230" w:name="_Toc18476"/>
      <w:bookmarkStart w:id="231" w:name="_Toc32572"/>
      <w:bookmarkStart w:id="232" w:name="_Toc31278"/>
      <w:r>
        <w:rPr>
          <w:rFonts w:hint="eastAsia" w:ascii="宋体" w:hAnsi="宋体" w:eastAsia="宋体" w:cs="宋体"/>
          <w:color w:val="auto"/>
          <w:sz w:val="24"/>
          <w:highlight w:val="none"/>
        </w:rPr>
        <w:t>3.14 绿色建筑设计要求</w:t>
      </w:r>
      <w:bookmarkEnd w:id="230"/>
      <w:bookmarkEnd w:id="231"/>
      <w:bookmarkEnd w:id="232"/>
    </w:p>
    <w:p w14:paraId="59430072">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广州市建筑节能与墙材革新管理办公室关于新建建筑全面实施绿色建筑标准贯彻落实意见的函（穗墙建函【2017】90号）》“全市范围内的新建、改建、扩建民用建筑及工业用地范围内用于办公、居住等民用建筑功能的建筑应全面执行绿色标准。”</w:t>
      </w:r>
    </w:p>
    <w:p w14:paraId="7A74EF1A">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按《广州市城建领导小组办公室关于明确绿色建筑标准执行有关事项的通知》，政府投资公益性建筑和大型公共建筑应当按照二星级及以上绿色建筑标准进行建设；建筑面积大于10万平方米的居住小区按照一星级及以上绿色建筑标准进行建设。根据天河区经济发展现状和本项目建设的实际情况，本项目确定与建设项目相适宜的绿色建筑级别为国标二星级标准（执行标准为《绿色建筑评价标准》GB/T50378-2019），在工程规划、勘察设计、施工、验收及备案等环节严格执行建筑节能和绿色建筑二星级别的相关技术标准、规范及技术措施。（项目内需要执行绿色建筑相关要求的楼栋以初步设计批复结果为准）。</w:t>
      </w:r>
    </w:p>
    <w:p w14:paraId="7305A28A">
      <w:pPr>
        <w:pStyle w:val="4"/>
        <w:rPr>
          <w:highlight w:val="none"/>
        </w:rPr>
      </w:pPr>
    </w:p>
    <w:p w14:paraId="3A399021">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当总得分70分且应满足二星级绿色建筑的技术要求时，绿色建筑等级为二星级。另外，承包人必须按照广州市绿色建筑和建筑节能管理规定对本项目实行绿色二星标准的可能性组织专项论证。节能、绿色建筑咨询和评估工作以及绿色建筑设计费用包含在设计费中。</w:t>
      </w:r>
    </w:p>
    <w:p w14:paraId="4D5B0F8A">
      <w:pPr>
        <w:spacing w:line="360" w:lineRule="auto"/>
        <w:ind w:firstLine="480" w:firstLineChars="200"/>
        <w:rPr>
          <w:rFonts w:hint="eastAsia" w:ascii="宋体" w:hAnsi="宋体" w:eastAsia="宋体" w:cs="宋体"/>
          <w:color w:val="auto"/>
          <w:sz w:val="24"/>
          <w:highlight w:val="none"/>
        </w:rPr>
      </w:pPr>
      <w:bookmarkStart w:id="233" w:name="_Toc27139"/>
      <w:bookmarkStart w:id="234" w:name="_Toc2486"/>
      <w:bookmarkStart w:id="235" w:name="_Toc14999"/>
      <w:r>
        <w:rPr>
          <w:rFonts w:hint="eastAsia" w:ascii="宋体" w:hAnsi="宋体" w:eastAsia="宋体" w:cs="宋体"/>
          <w:color w:val="auto"/>
          <w:sz w:val="24"/>
          <w:highlight w:val="none"/>
        </w:rPr>
        <w:t>3.15 装配式建筑设计要求</w:t>
      </w:r>
      <w:bookmarkEnd w:id="233"/>
      <w:bookmarkEnd w:id="234"/>
      <w:bookmarkEnd w:id="235"/>
    </w:p>
    <w:p w14:paraId="396FFAE6">
      <w:pPr>
        <w:spacing w:line="360" w:lineRule="auto"/>
        <w:ind w:firstLine="480" w:firstLineChars="200"/>
        <w:jc w:val="both"/>
        <w:rPr>
          <w:rFonts w:hint="eastAsia" w:ascii="宋体" w:hAnsi="宋体" w:eastAsia="宋体" w:cs="宋体"/>
          <w:color w:val="auto"/>
          <w:sz w:val="24"/>
          <w:highlight w:val="none"/>
        </w:rPr>
      </w:pPr>
      <w:bookmarkStart w:id="236" w:name="_Toc23683"/>
      <w:bookmarkStart w:id="237" w:name="_Toc3569"/>
      <w:bookmarkStart w:id="238" w:name="_Toc17875"/>
      <w:r>
        <w:rPr>
          <w:rFonts w:hint="eastAsia" w:ascii="宋体" w:hAnsi="宋体" w:eastAsia="宋体" w:cs="宋体"/>
          <w:color w:val="auto"/>
          <w:sz w:val="24"/>
          <w:highlight w:val="none"/>
        </w:rPr>
        <w:t xml:space="preserve">根据《广州市人民政府办公厅关于大力发展装配式建筑加快推进建筑产业现代化的实施意见》（穗府办规〔2017〕14号），到2020年，实现装配式建筑占新建建筑的面积比例不低于30％；到2025年，实现装配式建筑占新建建筑的面积比例不低于50％。本项目全面按装配式建筑标准进行建设，住宅部分和公建部分至少应满足广东省《装配式建筑评价标准》（DBJ/T15-163-2019）基本级或者广州市《装配式建筑评价标准》（DB4401/T 151—2022）基本级的要求，并应满足智能建造与建筑工业化协同发展要求。 </w:t>
      </w:r>
    </w:p>
    <w:p w14:paraId="17F91443">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合同签订之后15天内承包方应将标准选用认证材料报送发包人及全过程咨询单位进行评估认定。</w:t>
      </w:r>
    </w:p>
    <w:p w14:paraId="498B057D">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3.16 海绵城市设计要求</w:t>
      </w:r>
      <w:bookmarkEnd w:id="236"/>
      <w:bookmarkEnd w:id="237"/>
      <w:bookmarkEnd w:id="238"/>
    </w:p>
    <w:p w14:paraId="755E5A42">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本项目设计要满足海绵城市设计要求。具体设计方案应满足《广州市建设项目雨水径流控制办法》、《广州市海绵城市规划设计导则》、《广州市海绵城市建设技术指引及标准图集（试行）》等规定的要求。</w:t>
      </w:r>
    </w:p>
    <w:p w14:paraId="3FB98B9D">
      <w:pPr>
        <w:spacing w:line="360" w:lineRule="auto"/>
        <w:ind w:firstLine="480" w:firstLineChars="200"/>
        <w:rPr>
          <w:rFonts w:hint="eastAsia" w:ascii="宋体" w:hAnsi="宋体" w:eastAsia="宋体" w:cs="宋体"/>
          <w:color w:val="auto"/>
          <w:sz w:val="24"/>
          <w:highlight w:val="none"/>
        </w:rPr>
      </w:pPr>
      <w:bookmarkStart w:id="239" w:name="_Toc7741"/>
      <w:bookmarkStart w:id="240" w:name="_Toc24746"/>
      <w:bookmarkStart w:id="241" w:name="_Toc13342"/>
      <w:r>
        <w:rPr>
          <w:rFonts w:hint="eastAsia" w:ascii="宋体" w:hAnsi="宋体" w:eastAsia="宋体" w:cs="宋体"/>
          <w:color w:val="auto"/>
          <w:sz w:val="24"/>
          <w:highlight w:val="none"/>
        </w:rPr>
        <w:t>3.17 BIM设计要求</w:t>
      </w:r>
      <w:bookmarkEnd w:id="239"/>
      <w:bookmarkEnd w:id="240"/>
      <w:bookmarkEnd w:id="241"/>
    </w:p>
    <w:p w14:paraId="4C2DE6C4">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本工程全专业（包括建筑、结构、装修、给排水、电气、消防、通风、空调、弱电等）均需进行BIM设计，应用阶段包括设计阶段、施工阶段。承包人提交的BIM模型应能在管线综合、施工重点难点等方面进行模拟和合理排布，以达到减少错误损失和返工的可能性。</w:t>
      </w:r>
      <w:r>
        <w:rPr>
          <w:rFonts w:hint="eastAsia" w:ascii="宋体" w:hAnsi="宋体" w:cs="宋体"/>
          <w:color w:val="auto"/>
          <w:sz w:val="24"/>
          <w:szCs w:val="24"/>
          <w:highlight w:val="none"/>
        </w:rPr>
        <w:t>BIM模型交付深度应满足广州市BIM、CIM相关标准要求。</w:t>
      </w:r>
      <w:r>
        <w:rPr>
          <w:rFonts w:hint="eastAsia" w:ascii="宋体" w:hAnsi="宋体" w:eastAsia="宋体" w:cs="宋体"/>
          <w:color w:val="auto"/>
          <w:sz w:val="24"/>
          <w:highlight w:val="none"/>
        </w:rPr>
        <w:t>并通过整合完整的工地模型和数据库，为今后的建筑运营维护提供数字化基础。</w:t>
      </w:r>
    </w:p>
    <w:p w14:paraId="17FADA27">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3.17.1</w:t>
      </w:r>
      <w:r>
        <w:rPr>
          <w:rFonts w:hint="eastAsia" w:ascii="宋体" w:hAnsi="宋体" w:eastAsia="宋体" w:cs="宋体"/>
          <w:color w:val="auto"/>
          <w:sz w:val="24"/>
          <w:szCs w:val="24"/>
          <w:highlight w:val="none"/>
        </w:rPr>
        <w:t xml:space="preserve"> 施工图设计阶段，建立施工图阶段BIM模型，提供的BIM设计模型应满足审查要求（包括但不限于建设单位、行政主管部门相关施工图三维数字化审查等）。</w:t>
      </w:r>
    </w:p>
    <w:p w14:paraId="0D8FC1B1">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3.17.</w:t>
      </w:r>
      <w:r>
        <w:rPr>
          <w:rFonts w:hint="eastAsia" w:ascii="宋体" w:hAnsi="宋体" w:eastAsia="宋体" w:cs="宋体"/>
          <w:color w:val="auto"/>
          <w:sz w:val="24"/>
          <w:szCs w:val="24"/>
          <w:highlight w:val="none"/>
        </w:rPr>
        <w:t>2 在施工阶段，利用BIM技术进行交底，辅助、配合施工单位，建立BIM施工模型，实现工程项目施工过程可视化模拟、施工方案优化、施工进度和成本的动态管控。</w:t>
      </w:r>
    </w:p>
    <w:p w14:paraId="5F066DA1">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3.18设计品质控制要求</w:t>
      </w:r>
    </w:p>
    <w:p w14:paraId="14A89A86">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3.18.1总图</w:t>
      </w:r>
    </w:p>
    <w:p w14:paraId="233CC2C6">
      <w:pPr>
        <w:pStyle w:val="63"/>
        <w:ind w:firstLine="480"/>
        <w:rPr>
          <w:rFonts w:hint="eastAsia" w:ascii="宋体" w:hAnsi="宋体" w:eastAsia="宋体" w:cs="宋体"/>
          <w:color w:val="auto"/>
          <w:kern w:val="0"/>
          <w:sz w:val="24"/>
          <w:szCs w:val="24"/>
          <w:highlight w:val="none"/>
        </w:rPr>
      </w:pPr>
      <w:r>
        <w:rPr>
          <w:rFonts w:hint="eastAsia" w:ascii="宋体" w:hAnsi="宋体" w:eastAsia="宋体" w:cs="宋体"/>
          <w:color w:val="auto"/>
          <w:sz w:val="24"/>
          <w:szCs w:val="24"/>
          <w:highlight w:val="none"/>
        </w:rPr>
        <w:t>3.18.1.1</w:t>
      </w:r>
      <w:r>
        <w:rPr>
          <w:rFonts w:hint="eastAsia" w:ascii="宋体" w:hAnsi="宋体" w:eastAsia="宋体" w:cs="宋体"/>
          <w:color w:val="auto"/>
          <w:kern w:val="0"/>
          <w:sz w:val="24"/>
          <w:szCs w:val="24"/>
          <w:highlight w:val="none"/>
        </w:rPr>
        <w:t>合理控制出入口位置和数量，及主次入口尺度，应避免超配并尽量使商业价值最大化；对于入口处的人行流线、机动车流线进行精细化设计，保证安全，方便管理。</w:t>
      </w:r>
    </w:p>
    <w:p w14:paraId="6D08F354">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3.18.1.2总图规划及景观应强调空间序列感。</w:t>
      </w:r>
    </w:p>
    <w:p w14:paraId="0B6BCFB6">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3.18.1.3主楼需内退裙房一定距离，尽量避免主楼外墙与裙房外墙齐平。</w:t>
      </w:r>
    </w:p>
    <w:p w14:paraId="420C25B3">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3.18.1.4围墙边界应在总图上表达清晰，确保园区边界的完整性及管理的独立性。</w:t>
      </w:r>
    </w:p>
    <w:p w14:paraId="670F20C9">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3.18.1.5消防应急车道、消防登高场地及消防回车场的布置应结合景观设计统筹布置。</w:t>
      </w:r>
    </w:p>
    <w:p w14:paraId="4A69BA47">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3.18.1.6车行出入口应结合园区景观设计统一考虑布置。 </w:t>
      </w:r>
    </w:p>
    <w:p w14:paraId="551C07EA">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3.18.1.7建筑入口室内外高差需考虑无障碍，同时结合景观放坡进行处理，室外园区不得出现一级台阶。</w:t>
      </w:r>
    </w:p>
    <w:p w14:paraId="2F6878D8">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3.18.1.8</w:t>
      </w:r>
      <w:r>
        <w:rPr>
          <w:rFonts w:hint="eastAsia" w:ascii="宋体" w:hAnsi="宋体" w:eastAsia="宋体" w:cs="宋体"/>
          <w:color w:val="auto"/>
          <w:kern w:val="0"/>
          <w:sz w:val="24"/>
          <w:szCs w:val="24"/>
          <w:highlight w:val="none"/>
        </w:rPr>
        <w:t>关注商业位置的合理性。应结合交通、社区出入口、周边人流方向等合理布置。底商尽量规整，避免毫无理由的的凹凸退进，尽量满足均好性，避免损失商业价值。</w:t>
      </w:r>
    </w:p>
    <w:p w14:paraId="55F0D254">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3.18.1.9商铺的设置应避免对首层门厅及架空层采光通风造成影响，同时不应出现三面维和或封闭的架空空间。</w:t>
      </w:r>
    </w:p>
    <w:p w14:paraId="12C1D4E2">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3.18.1.10变配电房不应出现在沿街面，，同时不应离主入口过近，如当地允许尽量放置地下。</w:t>
      </w:r>
    </w:p>
    <w:p w14:paraId="311098F3">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3.18.1.11总图中需明确垃圾收集方式及垃圾房的位置，其位置应对住户干扰最小，并便于垃圾车清运。</w:t>
      </w:r>
    </w:p>
    <w:p w14:paraId="64C87A9E">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3.18.1.12燃气调压柜应设计在隐蔽区域，不应设置在景观主轴及主要商业人行区域。</w:t>
      </w:r>
    </w:p>
    <w:p w14:paraId="7A14DF27">
      <w:pPr>
        <w:pStyle w:val="24"/>
        <w:ind w:firstLine="480"/>
        <w:rPr>
          <w:rFonts w:hint="eastAsia" w:hAnsi="宋体"/>
          <w:sz w:val="21"/>
          <w:szCs w:val="21"/>
          <w:highlight w:val="none"/>
          <w:u w:val="single"/>
        </w:rPr>
      </w:pPr>
      <w:r>
        <w:rPr>
          <w:rFonts w:hint="eastAsia" w:hAnsi="宋体" w:cs="宋体"/>
          <w:szCs w:val="24"/>
          <w:highlight w:val="none"/>
        </w:rPr>
        <w:t>3.18.1.13</w:t>
      </w:r>
      <w:r>
        <w:rPr>
          <w:rFonts w:hint="eastAsia" w:hAnsi="宋体" w:cs="宋体"/>
          <w:highlight w:val="none"/>
        </w:rPr>
        <w:t>化粪池不得正对且距离商铺门口，优先布置在下风向。</w:t>
      </w:r>
    </w:p>
    <w:p w14:paraId="0DC1E09E">
      <w:pPr>
        <w:pStyle w:val="63"/>
        <w:ind w:firstLine="480"/>
        <w:rPr>
          <w:rFonts w:hint="eastAsia" w:ascii="宋体" w:hAnsi="宋体" w:eastAsia="宋体"/>
          <w:color w:val="auto"/>
          <w:sz w:val="21"/>
          <w:szCs w:val="21"/>
          <w:highlight w:val="none"/>
          <w:u w:val="single"/>
        </w:rPr>
      </w:pPr>
      <w:r>
        <w:rPr>
          <w:rFonts w:hint="eastAsia" w:ascii="宋体" w:hAnsi="宋体" w:eastAsia="宋体" w:cs="宋体"/>
          <w:color w:val="auto"/>
          <w:sz w:val="24"/>
          <w:szCs w:val="24"/>
          <w:highlight w:val="none"/>
        </w:rPr>
        <w:t>3.18.1.14</w:t>
      </w:r>
      <w:r>
        <w:rPr>
          <w:rFonts w:hint="eastAsia" w:ascii="宋体" w:hAnsi="宋体" w:eastAsia="宋体"/>
          <w:color w:val="auto"/>
          <w:sz w:val="24"/>
          <w:szCs w:val="24"/>
          <w:highlight w:val="none"/>
        </w:rPr>
        <w:t>室外消火栓及消火栓箱应结合外立面和景观处理。</w:t>
      </w:r>
    </w:p>
    <w:p w14:paraId="61D2D434">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3.18.2地下车库</w:t>
      </w:r>
    </w:p>
    <w:p w14:paraId="7023C1AE">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3.18.2.1同等面积下，地下室首选方正矩形轮廓，避免异形和长条形轮廓；避免外墙多余凹凸，外墙周长越小越好。</w:t>
      </w:r>
    </w:p>
    <w:p w14:paraId="26CA148B">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3.18.2.2地下室电梯门厅前应避免“车堵门”问题。</w:t>
      </w:r>
    </w:p>
    <w:p w14:paraId="3182D45D">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3.18.2.3人防区域应优先在最底层集中靠边靠墙设置,应布置在车位无效区域（如：非机动车库或车位无货值区域）、车位低效区域;有多层地库时，尽量布置在相同平面位置，贴外墙布置，减少结构成本;在人防总建筑面积一定的条件下，控制减少临空墙的长度，优选对平时功能影响最小，通行方便，停车效率高，平战转换量少的人防地下室方案;</w:t>
      </w:r>
      <w:r>
        <w:rPr>
          <w:rFonts w:hint="eastAsia" w:ascii="宋体" w:hAnsi="宋体" w:eastAsia="宋体" w:cs="宋体"/>
          <w:color w:val="auto"/>
          <w:spacing w:val="-3"/>
          <w:sz w:val="24"/>
          <w:szCs w:val="24"/>
          <w:highlight w:val="none"/>
        </w:rPr>
        <w:t>地下室消防、人防疏散应用足主楼（塔楼及其他地面建筑）楼梯及机动车坡道，避免额外设置独立出地面疏散口;</w:t>
      </w:r>
      <w:r>
        <w:rPr>
          <w:rFonts w:hint="eastAsia" w:ascii="宋体" w:hAnsi="宋体" w:eastAsia="宋体" w:cs="宋体"/>
          <w:color w:val="auto"/>
          <w:sz w:val="24"/>
          <w:szCs w:val="24"/>
          <w:highlight w:val="none"/>
        </w:rPr>
        <w:t>人防区防火分区轮廓宜尽量和人防单元轮廓线重合，减少排烟系统及设备穿人防隔墙套路数量。</w:t>
      </w:r>
    </w:p>
    <w:p w14:paraId="0319D2A6">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3.18.2.4①在不影响地面品质的情况下，应尽量设置地面非机动车车位；②利用塔楼投影范围内布置非机动车停车库，应充分利用层高设置多层非机动车库；上述①、②不足规划指标要求时，再利用地库内机动车位停放无效或低效区布置非机动车库。</w:t>
      </w:r>
    </w:p>
    <w:p w14:paraId="10B2DC23">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3.18.2.5消防水池优先设置在地下室塔楼投影范围内停车效率低的区域，同时不应毗邻电气用房或在其下方。</w:t>
      </w:r>
    </w:p>
    <w:p w14:paraId="38B3D62D">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3.18.2.6地下室消火栓优先设置在非停车位区域或不规则停车位墙体上，消火栓的设置不应影响车位的停放及车门的开启。</w:t>
      </w:r>
    </w:p>
    <w:p w14:paraId="662C5450">
      <w:pPr>
        <w:pStyle w:val="63"/>
        <w:spacing w:before="163" w:after="163" w:line="360" w:lineRule="auto"/>
        <w:ind w:firstLine="480"/>
        <w:rPr>
          <w:rFonts w:hint="eastAsia" w:ascii="宋体" w:hAnsi="宋体" w:eastAsia="宋体"/>
          <w:color w:val="auto"/>
          <w:sz w:val="24"/>
          <w:szCs w:val="24"/>
          <w:highlight w:val="none"/>
        </w:rPr>
      </w:pPr>
      <w:r>
        <w:rPr>
          <w:rFonts w:hint="eastAsia" w:ascii="宋体" w:hAnsi="宋体" w:eastAsia="宋体" w:cs="宋体"/>
          <w:color w:val="auto"/>
          <w:sz w:val="24"/>
          <w:szCs w:val="24"/>
          <w:highlight w:val="none"/>
        </w:rPr>
        <w:t>3.18.2.7地下车库风机房位置避免主风管出机房即为主车道、地下电梯厅出入口区域或其他专业主要设备用房；</w:t>
      </w:r>
      <w:r>
        <w:rPr>
          <w:rFonts w:hint="eastAsia" w:ascii="宋体" w:hAnsi="宋体" w:eastAsia="宋体"/>
          <w:color w:val="auto"/>
          <w:sz w:val="24"/>
          <w:szCs w:val="24"/>
          <w:highlight w:val="none"/>
        </w:rPr>
        <w:t>地下车库通风、排烟干管尽量避免设置在车道上方，宜集中布置于车位上方，主管高度不宜超过400mm，车行道净高不宜小于2.4m，停车位净高不应小于2.2m。</w:t>
      </w:r>
    </w:p>
    <w:p w14:paraId="4DAB6458">
      <w:pPr>
        <w:pStyle w:val="63"/>
        <w:spacing w:before="163" w:after="163"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3.18.2.8</w:t>
      </w:r>
      <w:r>
        <w:rPr>
          <w:rFonts w:hint="eastAsia" w:ascii="宋体" w:hAnsi="宋体" w:eastAsia="宋体"/>
          <w:color w:val="auto"/>
          <w:sz w:val="21"/>
          <w:szCs w:val="21"/>
          <w:highlight w:val="none"/>
        </w:rPr>
        <w:t>发</w:t>
      </w:r>
      <w:r>
        <w:rPr>
          <w:rFonts w:hint="eastAsia" w:ascii="宋体" w:hAnsi="宋体" w:eastAsia="宋体"/>
          <w:color w:val="auto"/>
          <w:sz w:val="24"/>
          <w:szCs w:val="24"/>
          <w:highlight w:val="none"/>
        </w:rPr>
        <w:t>电机房不应设置于地下室最底层；宜与变电所贴邻或临近，不应布置在人员密集场所的上一层、下一层或贴邻。</w:t>
      </w:r>
    </w:p>
    <w:p w14:paraId="4335514B">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3.18.2.9集水坑尽量避免出现在停车位区域，集水坑立管及控制箱不应影响车位的停放及车门的开启。</w:t>
      </w:r>
    </w:p>
    <w:p w14:paraId="6F7C9577">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3.18.2.10地下室功能用房开门不应影响车位使用且不应直接开向车道范围内，应预留≥1000mm的开启空间。</w:t>
      </w:r>
    </w:p>
    <w:p w14:paraId="197EF3AA">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3.18.3建筑单体</w:t>
      </w:r>
    </w:p>
    <w:p w14:paraId="365676EF">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3.18.3.1厨房排气道优先设置在内侧，避免烟道出屋面时与女儿墙冲突影响外立面，出屋面烟道的高度应严格控制，不应因为高度超过规定要求导致计容或计算建筑面积的问题。</w:t>
      </w:r>
    </w:p>
    <w:p w14:paraId="2E1D6ED0">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3.18.3.2开窗洞口宽度应结合户型平面、立面设计、装配式的要求综合考虑；外立面窗开启扇的宽度尺寸外平开单扇尺寸≤800mm；推拉窗或双扇开启洞口宽度至少≥1200mm；外窗宜有不小于100mm净宽的窗垛，避免外窗洞口直接贴墙边。</w:t>
      </w:r>
    </w:p>
    <w:p w14:paraId="3A31000C">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3.18.3.3分体空调设备平台净尺寸应满足空调外机及管线布置尺寸的要求，同时土建尺寸不应因尺寸过大导致计算容积率的面积问题。</w:t>
      </w:r>
    </w:p>
    <w:p w14:paraId="04DBA813">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3.18.3.4①对于竖向叠放设置分体空调室外机或设置中央空调室外机的空调机位，应校核安装后设备不得遮挡外窗视线。②空调机位检修门窗应设置于角落。</w:t>
      </w:r>
    </w:p>
    <w:p w14:paraId="79CBA0F6">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3.18.3.5空调机位不得设置需临空达到或需采用吊装机械才能完成运输、安装、维修的空调机位。</w:t>
      </w:r>
    </w:p>
    <w:p w14:paraId="13EB0930">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3.18.3.6内天井处的设备平台应避免跟外连廊相邻，如无法避免，应做好防盗措施（格栅隔断），避免可通过设备平台攀爬至屋内。</w:t>
      </w:r>
    </w:p>
    <w:p w14:paraId="3ACC27D1">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3.18.3.7商业空间内尽量不设置明露排水横管，确需设置时，排水横管应敷设在靠墙边 400mm 内，高度控制在吊顶内。立管在墙角做管井包裹。</w:t>
      </w:r>
    </w:p>
    <w:p w14:paraId="45204B4D">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3.18.3.8商业空间处消火栓尽量安装在相对隐蔽位置，不正对电梯。消火栓不应放置在商业主要立面上。</w:t>
      </w:r>
    </w:p>
    <w:p w14:paraId="02F5A2AA">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3.18.3.9消火栓优先布置在楼梯间内，前室消火栓优先布置在管道井墙上。</w:t>
      </w:r>
    </w:p>
    <w:p w14:paraId="246E177F">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3.18.3.10高低压配电房和发电机房不应与人员密集场所或左右贴邻。</w:t>
      </w:r>
    </w:p>
    <w:p w14:paraId="2E881E69">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3.18.3.11门洞高度：①同一公共区域各类洞口顶部标高一致；②管井建议门高1900mm，门槛高度300mm。</w:t>
      </w:r>
    </w:p>
    <w:p w14:paraId="37036043">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3.18.3.12商铺应避免因楼梯布置不合理占据较多商业适用空间，影响商铺实际使用面积。</w:t>
      </w:r>
    </w:p>
    <w:p w14:paraId="1790B412">
      <w:pPr>
        <w:pStyle w:val="63"/>
        <w:spacing w:before="163" w:after="163" w:line="360" w:lineRule="auto"/>
        <w:ind w:firstLine="480"/>
        <w:rPr>
          <w:rFonts w:hint="eastAsia" w:ascii="宋体" w:hAnsi="宋体" w:eastAsia="宋体"/>
          <w:color w:val="auto"/>
          <w:sz w:val="24"/>
          <w:szCs w:val="24"/>
          <w:highlight w:val="none"/>
        </w:rPr>
      </w:pPr>
      <w:r>
        <w:rPr>
          <w:rFonts w:hint="eastAsia" w:ascii="宋体" w:hAnsi="宋体" w:eastAsia="宋体" w:cs="宋体"/>
          <w:color w:val="auto"/>
          <w:sz w:val="24"/>
          <w:szCs w:val="24"/>
          <w:highlight w:val="none"/>
        </w:rPr>
        <w:t>3.18.3.13</w:t>
      </w:r>
      <w:r>
        <w:rPr>
          <w:rFonts w:hint="eastAsia" w:ascii="宋体" w:hAnsi="宋体" w:eastAsia="宋体"/>
          <w:color w:val="auto"/>
          <w:sz w:val="24"/>
          <w:szCs w:val="24"/>
          <w:highlight w:val="none"/>
        </w:rPr>
        <w:t>多联机和屋面风机等设备应采取隔声降噪措施。多联机外机摆放在半室外空间时应充分结合机型散热方向考虑散热效率。</w:t>
      </w:r>
    </w:p>
    <w:p w14:paraId="2558E631">
      <w:pPr>
        <w:pStyle w:val="63"/>
        <w:spacing w:before="163" w:after="163" w:line="360" w:lineRule="auto"/>
        <w:ind w:firstLine="480"/>
        <w:rPr>
          <w:rFonts w:hint="eastAsia" w:ascii="宋体" w:hAnsi="宋体" w:eastAsia="宋体"/>
          <w:color w:val="auto"/>
          <w:sz w:val="24"/>
          <w:szCs w:val="24"/>
          <w:highlight w:val="none"/>
        </w:rPr>
      </w:pPr>
      <w:r>
        <w:rPr>
          <w:rFonts w:hint="eastAsia" w:ascii="宋体" w:hAnsi="宋体" w:eastAsia="宋体" w:cs="宋体"/>
          <w:color w:val="auto"/>
          <w:sz w:val="24"/>
          <w:szCs w:val="24"/>
          <w:highlight w:val="none"/>
        </w:rPr>
        <w:t>3.18.3.14</w:t>
      </w:r>
      <w:r>
        <w:rPr>
          <w:rFonts w:hint="eastAsia" w:ascii="宋体" w:hAnsi="宋体" w:eastAsia="宋体"/>
          <w:color w:val="auto"/>
          <w:sz w:val="24"/>
          <w:szCs w:val="24"/>
          <w:highlight w:val="none"/>
        </w:rPr>
        <w:t>电梯专项设计应充分考虑机电设备定位及轿厢装修要求，包括机柜，外露设备面板，以及按键面板均需要土建精装进行复核，美化。电梯门洞两侧不设置剪力墙，以留足深化调整空间。</w:t>
      </w:r>
    </w:p>
    <w:p w14:paraId="5E839C7F">
      <w:pPr>
        <w:pStyle w:val="63"/>
        <w:spacing w:before="163" w:after="163" w:line="360" w:lineRule="auto"/>
        <w:ind w:firstLine="480"/>
        <w:rPr>
          <w:rFonts w:hint="eastAsia" w:ascii="宋体" w:hAnsi="宋体" w:eastAsia="宋体"/>
          <w:color w:val="auto"/>
          <w:sz w:val="24"/>
          <w:szCs w:val="24"/>
          <w:highlight w:val="none"/>
        </w:rPr>
      </w:pPr>
      <w:r>
        <w:rPr>
          <w:rFonts w:hint="eastAsia" w:ascii="宋体" w:hAnsi="宋体" w:eastAsia="宋体" w:cs="宋体"/>
          <w:color w:val="auto"/>
          <w:sz w:val="24"/>
          <w:szCs w:val="24"/>
          <w:highlight w:val="none"/>
        </w:rPr>
        <w:t>3.18.3.15</w:t>
      </w:r>
      <w:r>
        <w:rPr>
          <w:rFonts w:hint="eastAsia" w:ascii="宋体" w:hAnsi="宋体" w:eastAsia="宋体"/>
          <w:color w:val="auto"/>
          <w:sz w:val="24"/>
          <w:szCs w:val="24"/>
          <w:highlight w:val="none"/>
        </w:rPr>
        <w:t>落地窗需设置不低于5</w:t>
      </w:r>
      <w:r>
        <w:rPr>
          <w:rFonts w:ascii="宋体" w:hAnsi="宋体" w:eastAsia="宋体"/>
          <w:color w:val="auto"/>
          <w:sz w:val="24"/>
          <w:szCs w:val="24"/>
          <w:highlight w:val="none"/>
        </w:rPr>
        <w:t>0</w:t>
      </w:r>
      <w:r>
        <w:rPr>
          <w:rFonts w:hint="eastAsia" w:ascii="宋体" w:hAnsi="宋体" w:eastAsia="宋体"/>
          <w:color w:val="auto"/>
          <w:sz w:val="24"/>
          <w:szCs w:val="24"/>
          <w:highlight w:val="none"/>
        </w:rPr>
        <w:t>mm的反坎高出内外完成面</w:t>
      </w:r>
    </w:p>
    <w:p w14:paraId="7A17A4E7">
      <w:pPr>
        <w:pStyle w:val="63"/>
        <w:spacing w:before="163" w:after="163"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3.18.3.16</w:t>
      </w:r>
      <w:r>
        <w:rPr>
          <w:rFonts w:hint="eastAsia" w:ascii="宋体" w:hAnsi="宋体" w:eastAsia="宋体"/>
          <w:color w:val="auto"/>
          <w:sz w:val="24"/>
          <w:szCs w:val="24"/>
          <w:highlight w:val="none"/>
        </w:rPr>
        <w:t>公共建筑内走廊在2米高度以下或无防撞措施情况下禁止采用平开窗、上/下悬开窗。</w:t>
      </w:r>
    </w:p>
    <w:p w14:paraId="781E19EA">
      <w:pPr>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3.18.4建筑立面</w:t>
      </w:r>
    </w:p>
    <w:p w14:paraId="35D52AB5">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3.18.4.1沿街商业面店招、雨棚等应与建筑一体化设计，预留不小于900mm高的店招位置,并预留电线。</w:t>
      </w:r>
    </w:p>
    <w:p w14:paraId="4DD42F9B">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3.18.4.2排水立管优先设置在建筑凹槽外墙处，如影响立面效果则设置在室内卫生间管道井内，冷凝水及冷媒管线应避免在建筑立面上外露。</w:t>
      </w:r>
    </w:p>
    <w:p w14:paraId="60331C95">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3.18.4.3非石材外立面线条尽量采用现浇结构，不应采用EPS、GRC等预制材料。</w:t>
      </w:r>
    </w:p>
    <w:p w14:paraId="23DC60B7">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3.18.4.4沿街面在满足排烟条件下，建议尽量设置大面固定扇，减少玻璃分隔，如必须开窗，需满足开启扇开启后的高度不影响人员通行。</w:t>
      </w:r>
    </w:p>
    <w:p w14:paraId="58770520">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3.18.4.5开闭所、变配电房和垃圾房等独立设置的用房，应与裙房脱开，不建议采用石材幕墙和铝线条，可采用涂料，尽量简化设计，周边应采用高绿化进行软化遮蔽。</w:t>
      </w:r>
    </w:p>
    <w:p w14:paraId="690C82C0">
      <w:pPr>
        <w:pStyle w:val="63"/>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3.18.4.6</w:t>
      </w:r>
      <w:r>
        <w:rPr>
          <w:rFonts w:hint="eastAsia" w:ascii="宋体" w:hAnsi="宋体" w:eastAsia="宋体"/>
          <w:color w:val="auto"/>
          <w:sz w:val="24"/>
          <w:szCs w:val="24"/>
          <w:highlight w:val="none"/>
        </w:rPr>
        <w:t>独立公建配套建筑的设计风格应与周边建筑协调，同时又要有自身的特色，以适度变化的建筑色彩和文化内涵，丰富住区的整体效果。</w:t>
      </w:r>
    </w:p>
    <w:p w14:paraId="2000EFB2">
      <w:pPr>
        <w:pStyle w:val="3"/>
        <w:ind w:firstLine="240"/>
        <w:rPr>
          <w:highlight w:val="none"/>
        </w:rPr>
      </w:pPr>
      <w:r>
        <w:rPr>
          <w:rFonts w:hint="eastAsia" w:ascii="宋体" w:hAnsi="宋体" w:cs="宋体"/>
          <w:sz w:val="24"/>
          <w:szCs w:val="24"/>
          <w:highlight w:val="none"/>
        </w:rPr>
        <w:t>3.18.4.7</w:t>
      </w:r>
      <w:r>
        <w:rPr>
          <w:rFonts w:hint="eastAsia" w:ascii="宋体" w:hAnsi="宋体"/>
          <w:sz w:val="24"/>
          <w:szCs w:val="24"/>
          <w:highlight w:val="none"/>
        </w:rPr>
        <w:t>建筑外立面禁止大面积使用白色平涂。</w:t>
      </w:r>
    </w:p>
    <w:p w14:paraId="5EF84160">
      <w:pPr>
        <w:spacing w:line="360" w:lineRule="auto"/>
        <w:ind w:firstLine="482" w:firstLineChars="200"/>
        <w:rPr>
          <w:rFonts w:hint="eastAsia" w:ascii="宋体" w:hAnsi="宋体" w:eastAsia="宋体" w:cs="宋体"/>
          <w:b/>
          <w:bCs/>
          <w:color w:val="auto"/>
          <w:sz w:val="24"/>
          <w:szCs w:val="24"/>
          <w:highlight w:val="none"/>
        </w:rPr>
      </w:pPr>
      <w:bookmarkStart w:id="242" w:name="_Toc104581722"/>
      <w:bookmarkStart w:id="243" w:name="_Toc28607"/>
      <w:bookmarkStart w:id="244" w:name="_Toc13508"/>
      <w:bookmarkStart w:id="245" w:name="_Toc50537209"/>
      <w:bookmarkStart w:id="246" w:name="_Toc2360"/>
      <w:bookmarkStart w:id="247" w:name="_Toc444182769"/>
      <w:r>
        <w:rPr>
          <w:rFonts w:hint="eastAsia" w:ascii="宋体" w:hAnsi="宋体" w:eastAsia="宋体" w:cs="宋体"/>
          <w:b/>
          <w:bCs/>
          <w:color w:val="auto"/>
          <w:sz w:val="24"/>
          <w:szCs w:val="24"/>
          <w:highlight w:val="none"/>
        </w:rPr>
        <w:t>4.对各阶段设计文件设计深度的要求</w:t>
      </w:r>
      <w:bookmarkEnd w:id="242"/>
      <w:bookmarkEnd w:id="243"/>
      <w:bookmarkEnd w:id="244"/>
      <w:bookmarkEnd w:id="245"/>
      <w:bookmarkEnd w:id="246"/>
      <w:bookmarkEnd w:id="247"/>
    </w:p>
    <w:p w14:paraId="74F0E52D">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应符合中华人民共和国建设部颁发的《建筑工程设计文件编制深度的规定》（最新版）以及建设管理单位编制的项目设计文件深度规定中对各阶段、各专业设计文件编制深度的要求。</w:t>
      </w:r>
    </w:p>
    <w:p w14:paraId="5894DF5D">
      <w:pPr>
        <w:spacing w:line="360" w:lineRule="auto"/>
        <w:ind w:firstLine="482" w:firstLineChars="200"/>
        <w:rPr>
          <w:rFonts w:hint="eastAsia" w:ascii="宋体" w:hAnsi="宋体" w:eastAsia="宋体" w:cs="宋体"/>
          <w:b/>
          <w:bCs/>
          <w:color w:val="auto"/>
          <w:sz w:val="24"/>
          <w:szCs w:val="24"/>
          <w:highlight w:val="none"/>
        </w:rPr>
      </w:pPr>
      <w:bookmarkStart w:id="248" w:name="_Toc31811"/>
      <w:bookmarkStart w:id="249" w:name="_Toc21086"/>
      <w:bookmarkStart w:id="250" w:name="_Toc444182770"/>
      <w:bookmarkStart w:id="251" w:name="_Toc50537210"/>
      <w:bookmarkStart w:id="252" w:name="_Toc20415"/>
      <w:bookmarkStart w:id="253" w:name="_Toc104581723"/>
      <w:r>
        <w:rPr>
          <w:rFonts w:hint="eastAsia" w:ascii="宋体" w:hAnsi="宋体" w:eastAsia="宋体" w:cs="宋体"/>
          <w:b/>
          <w:bCs/>
          <w:color w:val="auto"/>
          <w:sz w:val="24"/>
          <w:szCs w:val="24"/>
          <w:highlight w:val="none"/>
        </w:rPr>
        <w:t>5.对设计质量的要求</w:t>
      </w:r>
      <w:bookmarkEnd w:id="248"/>
      <w:bookmarkEnd w:id="249"/>
      <w:bookmarkEnd w:id="250"/>
      <w:bookmarkEnd w:id="251"/>
      <w:bookmarkEnd w:id="252"/>
      <w:bookmarkEnd w:id="253"/>
    </w:p>
    <w:p w14:paraId="6249E1E7">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5.1 设计应体现本项目的建设意图，满足本项目的功能需求，在控制投资的同时，做到美观、适用、安全、经济，并具备良好的环保特性，取得良好的社会效益。</w:t>
      </w:r>
    </w:p>
    <w:p w14:paraId="476C4311">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5.2 设计范围和内容必须符合本设计任务书的规定。</w:t>
      </w:r>
    </w:p>
    <w:p w14:paraId="1F55CF73">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5.3 承包人保证每次按合同规定的期限交付的设计文件是完整的、正确的、清晰的。</w:t>
      </w:r>
    </w:p>
    <w:p w14:paraId="3A043450">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5.3.1“完整”是指每次交付的设计文件是合同及附件中规定的全部设计文件。</w:t>
      </w:r>
    </w:p>
    <w:p w14:paraId="4E57AA1E">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5.3.2 “正确”是指每次交付的设计文件均符合本章1.1条关于法律、法规、规范、标准的规定；本章1.2条关于各阶段设计文件内容与设计深度的规定；同时保证设计输入的基础资料完整、正确，设计单位法、计算方法与结果、技术参数的选用正确，构造合理，图面表达清楚、文字叙述准确，各专业设计协调统一。</w:t>
      </w:r>
    </w:p>
    <w:p w14:paraId="14261E90">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5.3.3“清晰”是指每次交付的设计文件中的图样、线条、术语、符号、尺寸标准、文字说明等清楚准确。</w:t>
      </w:r>
    </w:p>
    <w:p w14:paraId="156F2FBD">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5.4 承包人应根据上级主管部门及建设管理单位对设计文件的审核意见，在原定设计范围内对设计进行必要的修改。</w:t>
      </w:r>
    </w:p>
    <w:p w14:paraId="65872CB1">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5.5 当承包人提交的设计文件，不符合本章3.3条要求时，承包人应在收到建设管理单位通知5天内，将符合规定的设计文件交付建设管理单位。</w:t>
      </w:r>
    </w:p>
    <w:p w14:paraId="0DCA63A3">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5.6 设计文件的计量单位均应采用国际标准计量单位。长度单位：总平面图标注尺寸以米（m）为单位；施工图设计图标注尺寸以毫米（mm）为单位，标高以米（m）为单位；面积均以平方米（㎡）为单位；体积均以立方米（m3）为单位。</w:t>
      </w:r>
    </w:p>
    <w:p w14:paraId="285D15D2">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5.7 设计文件中的坐标系统和高程系统：采用广州2000平面坐标系统和高程系统。</w:t>
      </w:r>
    </w:p>
    <w:p w14:paraId="161AD635">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5.8 设计图纸必须依照中华人民共和国有关工程图纸规格的规定以及建设管理单位组织编制的设计文件制图标准绘制，保持同类图纸规格统一。</w:t>
      </w:r>
    </w:p>
    <w:p w14:paraId="1E987C95">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5.9 承包人应当优先采用标准设计，提高设计质量。同时设计还必须考虑工程的实施条件，采用较为合理的方案，确保工程能够按设计实施。超越目前国内施工单位平均技术水平的设计方案、施工方法，承包人应提出合理理由和可行的实施方案。</w:t>
      </w:r>
    </w:p>
    <w:p w14:paraId="5AF024FD">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5.10承包人应当建立健全质量保证制度和责任追究制度。</w:t>
      </w:r>
    </w:p>
    <w:p w14:paraId="49C7D4FA">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承包人的下列人员按照国家有关规定承担相应的质量责任：</w:t>
      </w:r>
    </w:p>
    <w:p w14:paraId="12425736">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5.10.1承包人的法定代表人对本单位编制的设计文件全面负责；</w:t>
      </w:r>
    </w:p>
    <w:p w14:paraId="161864AC">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5.10.2 承包人的项目负责人对其负责项目的设计文件负责；</w:t>
      </w:r>
    </w:p>
    <w:p w14:paraId="40DADAD9">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5.10.3 承包人的技术负责人、项目审核人、项目审定人对其负责审核、审定的设计文件负责；</w:t>
      </w:r>
    </w:p>
    <w:p w14:paraId="270A91CC">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5.11 为防止承包人对项目基本情况掌握不全面，导致设计闭门造车，分析不完善，设计成果与现场情况不符的情况发生，要求承包人在方案设计阶段对现场情况进行详细摸查和评估，并向建设单位提交书面评估报告。报告应就可能影响下一步设计工作的各方面情况进行说明和分析，并提出建议解决办法。</w:t>
      </w:r>
    </w:p>
    <w:p w14:paraId="5B880637">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5.12 承包人应加强设计人员的内部管理，特别是确保各专业间进行充分提资、反复校对，避免由于提资和校核不充分导致各专业图纸间存在矛盾的情况发生。</w:t>
      </w:r>
    </w:p>
    <w:p w14:paraId="0C635449">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5.13 在项目开展施工图设计前，本阶段承包人应在建设部门的组织下向施工图设计单位和监理单位进行技术交底，详细说明建设工程设计中的技术关键点，说明和解释初步设计文件，配合完成后续装配式构建的深化设计。</w:t>
      </w:r>
    </w:p>
    <w:p w14:paraId="59A52200">
      <w:pPr>
        <w:spacing w:line="360" w:lineRule="auto"/>
        <w:ind w:firstLine="482" w:firstLineChars="200"/>
        <w:rPr>
          <w:rFonts w:hint="eastAsia" w:ascii="宋体" w:hAnsi="宋体" w:eastAsia="宋体" w:cs="宋体"/>
          <w:b/>
          <w:bCs/>
          <w:color w:val="auto"/>
          <w:sz w:val="24"/>
          <w:szCs w:val="24"/>
          <w:highlight w:val="none"/>
        </w:rPr>
      </w:pPr>
      <w:bookmarkStart w:id="254" w:name="_Toc104581724"/>
      <w:bookmarkStart w:id="255" w:name="_Toc24347"/>
      <w:bookmarkStart w:id="256" w:name="_Toc50537211"/>
      <w:bookmarkStart w:id="257" w:name="_Toc1356"/>
      <w:bookmarkStart w:id="258" w:name="_Toc444182771"/>
      <w:bookmarkStart w:id="259" w:name="_Toc18687"/>
      <w:r>
        <w:rPr>
          <w:rFonts w:hint="eastAsia" w:ascii="宋体" w:hAnsi="宋体" w:eastAsia="宋体" w:cs="宋体"/>
          <w:b/>
          <w:bCs/>
          <w:color w:val="auto"/>
          <w:sz w:val="24"/>
          <w:szCs w:val="24"/>
          <w:highlight w:val="none"/>
        </w:rPr>
        <w:t>6.对设计与设备、材料选型，装配式构件深化配合方面的要求</w:t>
      </w:r>
      <w:bookmarkEnd w:id="254"/>
      <w:bookmarkEnd w:id="255"/>
      <w:bookmarkEnd w:id="256"/>
      <w:bookmarkEnd w:id="257"/>
      <w:bookmarkEnd w:id="258"/>
      <w:bookmarkEnd w:id="259"/>
    </w:p>
    <w:p w14:paraId="2F163DA8">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6.1 承包人应负责编制设备、材料采购的技术文件，内容包括设备、材料采购清单、技术要求、必要的附图、技术参数表、采购说明和采购时间表等，并包含施工要求、安装说明，并对国内规范以外设计文件所涉及的内容提出验收标准。除有特殊要求的建筑材料、专用设备和工艺生产线可推荐三家以上品牌或按照建设管理单位具体要求外，承包人不得指定材料、构配件、设备的品牌、生产厂、供应商；严禁选用国家明令禁止或者不符合质量标准的材料、构配件、设备。</w:t>
      </w:r>
    </w:p>
    <w:p w14:paraId="03481FD7">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6.2 设计文件对于工艺、技术、材料、设备的选用应该满足施工工期的要求，充分考虑设计的可实施性，重视和吸收施工单位对施工安装提出的意见，并充分考虑中国承建商的施工能力。</w:t>
      </w:r>
    </w:p>
    <w:p w14:paraId="00FA2B5D">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6.3 设计质量应符合国际通用的ISO—9000质量保证体系所规定的标准及质量要求。</w:t>
      </w:r>
    </w:p>
    <w:p w14:paraId="185E415E">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6.4 设计所选用的建筑材料及设备（包括各专业采用的材料、设备），在进行性能价格的分析比较后，原则上采用建设单位品牌库中中档以上国内产品。国内没有的建筑材料和设备或国内材料和设备性能无法达到设计要求以及价格高于进口价格时，才采用进口材料和设备。设计中采用的材料和设备均须按中华人民共和国、广东省、广州市有关法律、行政法规和规章的要求，提供明确的技术资料（包括性能指标、规格、型号等方面的资料）。</w:t>
      </w:r>
    </w:p>
    <w:p w14:paraId="72FE6E8F">
      <w:pPr>
        <w:spacing w:line="360" w:lineRule="auto"/>
        <w:ind w:firstLine="482" w:firstLineChars="200"/>
        <w:rPr>
          <w:rFonts w:hint="eastAsia" w:ascii="宋体" w:hAnsi="宋体" w:eastAsia="宋体" w:cs="宋体"/>
          <w:b/>
          <w:bCs/>
          <w:color w:val="auto"/>
          <w:sz w:val="24"/>
          <w:szCs w:val="24"/>
          <w:highlight w:val="none"/>
        </w:rPr>
      </w:pPr>
      <w:bookmarkStart w:id="260" w:name="_Toc104581725"/>
      <w:bookmarkStart w:id="261" w:name="_Toc11409"/>
      <w:bookmarkStart w:id="262" w:name="_Toc23585"/>
      <w:bookmarkStart w:id="263" w:name="_Toc444182772"/>
      <w:bookmarkStart w:id="264" w:name="_Toc50537212"/>
      <w:bookmarkStart w:id="265" w:name="_Toc2768"/>
      <w:r>
        <w:rPr>
          <w:rFonts w:hint="eastAsia" w:ascii="宋体" w:hAnsi="宋体" w:eastAsia="宋体" w:cs="宋体"/>
          <w:b/>
          <w:bCs/>
          <w:color w:val="auto"/>
          <w:sz w:val="24"/>
          <w:szCs w:val="24"/>
          <w:highlight w:val="none"/>
        </w:rPr>
        <w:t>7.投资控制</w:t>
      </w:r>
      <w:bookmarkEnd w:id="260"/>
      <w:bookmarkEnd w:id="261"/>
      <w:bookmarkEnd w:id="262"/>
      <w:bookmarkEnd w:id="263"/>
      <w:bookmarkEnd w:id="264"/>
      <w:bookmarkEnd w:id="265"/>
    </w:p>
    <w:p w14:paraId="25E4529A">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7.1 限额设计：承包人在保证设计质量的前提下，应遵循功能适用、标准合理、经济合理的原则开展设计工作，实行限额设计，确保工程概预算不突破批复可研立项总投资的限额目标：</w:t>
      </w:r>
    </w:p>
    <w:p w14:paraId="4341A427">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7.1.1 在投资限额目标的基础上结合项目设计内容进一步分解投资，明确投资控制主要指标，在编制设计概、预算时逐步细化落实。</w:t>
      </w:r>
    </w:p>
    <w:p w14:paraId="48434D93">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7.1.2 承包人在限额设计范围内，应充分运用性价比分析、多方案（不少于2个）技术经济比较等手段，对设计方案进行优化。在所有方案比较的过程中，必须进行相应深度的投资估算比较，确保方案的可比性，并提供相应的工程数量表、主要材料表、主要设备清单等。</w:t>
      </w:r>
    </w:p>
    <w:p w14:paraId="5903DF56">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7.1.3 承包人有关设计的任何修改、变动或由于修改设计所引起的工艺、技术、材料、设备的变更，须经过设计审查单位、建设管理单位和投资方的审批同意。</w:t>
      </w:r>
    </w:p>
    <w:p w14:paraId="049BC568">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7.2 设计优化和技术经济分析论证：</w:t>
      </w:r>
    </w:p>
    <w:p w14:paraId="66F0CE1E">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7.2.1 设计方案必须进行技术经济分析。通过对设计方案、工艺、设备等进行全面的评价，在满足功能要求的前提下，采用技术经济优化、可以有效控制工程投资的方案。</w:t>
      </w:r>
    </w:p>
    <w:p w14:paraId="3F203C99">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7.2.2 在保证方案的可实施和可操作性前提下，设计中凡能进行定量分析的设计内容，应通过计算，用数据说明其技术经济的合理性。同时向项目建设管理单位提供各阶段技术经济分析资料，以力求各阶段设计成果能充分体现设计优化的原则。</w:t>
      </w:r>
    </w:p>
    <w:p w14:paraId="52C1A268">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7.2.3 承包人必须对技术方案进行多方案比较和优化，比较方案应具有可比性。各个阶段的技术方案比较必须通过技术经济分析，完成单体或单项工程的造价分析文件编制，确保设计深度能够满足对应阶段编制工程造价文件的需要。</w:t>
      </w:r>
    </w:p>
    <w:p w14:paraId="69804E0A">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7.2.4 为确保设计优化和投资控制，承包人必须对主要基础形式、主体结构选型、建筑装修方案、景观园林方案、大宗建材（单项总投资额100万元以上）使用、主要设备（单项投资额10万元以上或总投资额50万元以上）选型等对建成使用和建设投资有重大影响的因素进行经济技术多方案比选和性价比分析，并提交正式的书面报告。</w:t>
      </w:r>
    </w:p>
    <w:p w14:paraId="7A3EC2CD">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7.2.5 承包人进行经济指标分析时，应提出所采用经济分析的单项指标、综合指标及相应的依据、理由，对主要设备、材料的选用，应经过充分的询价、分析，积累技术经济资料，推荐选用的设备、材料，应注明规格、型号、性能、技术指标等，并提出质量、功能方面的要求，确保投资概算的合理与稳定。</w:t>
      </w:r>
    </w:p>
    <w:p w14:paraId="54C42543">
      <w:pPr>
        <w:numPr>
          <w:ilvl w:val="255"/>
          <w:numId w:val="0"/>
        </w:numPr>
        <w:ind w:left="440" w:left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7.3 预算：按合同约定执行。</w:t>
      </w:r>
    </w:p>
    <w:p w14:paraId="03D65FAC">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7.4 在项目实施阶段，若出现大幅增加工程造价重大设计变更或新增工程实施内容，导致工程造价超出批复概算，承包人须配合项目建设管理单位及时申报概算调整。</w:t>
      </w:r>
    </w:p>
    <w:p w14:paraId="52210547">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7.5 承包人应当严格执行工程立项及可行性研究批准的估算，不得擅自增加工程量和工程造价提高设计费。</w:t>
      </w:r>
    </w:p>
    <w:p w14:paraId="57D44CAF">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7.6 承包人应当按照合同约定进行设计。未按合同约定设计而项目建设管理单位要求纠正的，承包人应当及时修改，不得另行收取费用。</w:t>
      </w:r>
    </w:p>
    <w:p w14:paraId="068EB1E4">
      <w:pPr>
        <w:spacing w:line="360" w:lineRule="auto"/>
        <w:ind w:firstLine="482" w:firstLineChars="200"/>
        <w:rPr>
          <w:rFonts w:hint="eastAsia" w:ascii="宋体" w:hAnsi="宋体" w:eastAsia="宋体" w:cs="宋体"/>
          <w:b/>
          <w:bCs/>
          <w:color w:val="auto"/>
          <w:sz w:val="24"/>
          <w:szCs w:val="24"/>
          <w:highlight w:val="none"/>
        </w:rPr>
      </w:pPr>
      <w:bookmarkStart w:id="266" w:name="_Toc30766"/>
      <w:bookmarkStart w:id="267" w:name="_Toc104581726"/>
      <w:bookmarkStart w:id="268" w:name="_Toc50537213"/>
      <w:bookmarkStart w:id="269" w:name="_Toc444182773"/>
      <w:bookmarkStart w:id="270" w:name="_Toc6873"/>
      <w:bookmarkStart w:id="271" w:name="_Toc12908"/>
      <w:r>
        <w:rPr>
          <w:rFonts w:hint="eastAsia" w:ascii="宋体" w:hAnsi="宋体" w:eastAsia="宋体" w:cs="宋体"/>
          <w:b/>
          <w:bCs/>
          <w:color w:val="auto"/>
          <w:sz w:val="24"/>
          <w:szCs w:val="24"/>
          <w:highlight w:val="none"/>
        </w:rPr>
        <w:t>8.关于设计变更</w:t>
      </w:r>
      <w:bookmarkEnd w:id="266"/>
      <w:bookmarkEnd w:id="267"/>
      <w:bookmarkEnd w:id="268"/>
      <w:bookmarkEnd w:id="269"/>
      <w:bookmarkEnd w:id="270"/>
      <w:bookmarkEnd w:id="271"/>
    </w:p>
    <w:p w14:paraId="2B4B22EA">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8.1 由于承包人设计错误、对设计基础资料选用不当、专业间接口出现矛盾等情况造成的设计更改，承包人应根据建设单位规定的时间提交设计变更，发包人不对此增加设计费用。</w:t>
      </w:r>
    </w:p>
    <w:p w14:paraId="7C872F7D">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8.2 遇到国家设计规范发生修订时，承包人依照修订后的规范进行修改，发包人不对此增加设计费用。</w:t>
      </w:r>
    </w:p>
    <w:p w14:paraId="6935CF5C">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8.3 承包人应充分考虑我国国内的施工安装条件和水平、材料供应的条件（即充分考虑设计与施工的衔接），若由于设计自身过错导致无法施工或采购材料，承包人应无条件修改或重新设计。</w:t>
      </w:r>
    </w:p>
    <w:p w14:paraId="5060ED7D">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8.4 对新材料及特殊结构应提供国际权威机构或国内有关部门的试验报告。</w:t>
      </w:r>
    </w:p>
    <w:p w14:paraId="3183B1EC">
      <w:pPr>
        <w:rPr>
          <w:rFonts w:hint="eastAsia" w:ascii="宋体" w:hAnsi="宋体" w:eastAsia="宋体" w:cs="宋体"/>
          <w:color w:val="auto"/>
          <w:highlight w:val="none"/>
        </w:rPr>
        <w:sectPr>
          <w:footerReference r:id="rId11" w:type="default"/>
          <w:pgSz w:w="11906" w:h="16838"/>
          <w:pgMar w:top="1440" w:right="1440" w:bottom="1440" w:left="1440" w:header="851" w:footer="992" w:gutter="0"/>
          <w:cols w:space="425" w:num="1"/>
          <w:docGrid w:type="lines" w:linePitch="312" w:charSpace="0"/>
        </w:sectPr>
      </w:pPr>
    </w:p>
    <w:p w14:paraId="244D7896">
      <w:pPr>
        <w:pStyle w:val="2"/>
        <w:keepNext w:val="0"/>
        <w:keepLines w:val="0"/>
        <w:snapToGrid/>
        <w:spacing w:line="360" w:lineRule="auto"/>
        <w:rPr>
          <w:rFonts w:hint="eastAsia" w:ascii="宋体" w:hAnsi="宋体" w:eastAsia="宋体" w:cs="宋体"/>
          <w:color w:val="auto"/>
          <w:highlight w:val="none"/>
        </w:rPr>
      </w:pPr>
      <w:bookmarkStart w:id="272" w:name="_Toc16811"/>
      <w:bookmarkStart w:id="273" w:name="_Toc104581727"/>
      <w:bookmarkStart w:id="274" w:name="_Toc27988"/>
      <w:bookmarkStart w:id="275" w:name="_Toc970"/>
      <w:bookmarkStart w:id="276" w:name="_Toc14935"/>
      <w:r>
        <w:rPr>
          <w:rFonts w:hint="eastAsia" w:ascii="宋体" w:hAnsi="宋体" w:eastAsia="宋体" w:cs="宋体"/>
          <w:color w:val="auto"/>
          <w:highlight w:val="none"/>
        </w:rPr>
        <w:t>四、关键技术指标</w:t>
      </w:r>
      <w:bookmarkEnd w:id="272"/>
      <w:bookmarkEnd w:id="273"/>
      <w:bookmarkEnd w:id="274"/>
      <w:bookmarkEnd w:id="275"/>
      <w:bookmarkEnd w:id="276"/>
    </w:p>
    <w:p w14:paraId="4B17E1C4">
      <w:pPr>
        <w:pStyle w:val="5"/>
        <w:keepNext w:val="0"/>
        <w:keepLines w:val="0"/>
        <w:snapToGrid/>
        <w:spacing w:before="156" w:beforeLines="50" w:after="0"/>
        <w:ind w:firstLine="482" w:firstLineChars="200"/>
        <w:rPr>
          <w:rFonts w:hint="eastAsia" w:ascii="宋体" w:hAnsi="宋体" w:eastAsia="宋体" w:cs="宋体"/>
          <w:color w:val="auto"/>
          <w:sz w:val="24"/>
          <w:szCs w:val="28"/>
          <w:highlight w:val="none"/>
        </w:rPr>
      </w:pPr>
      <w:bookmarkStart w:id="277" w:name="_Toc27115"/>
      <w:bookmarkStart w:id="278" w:name="_Toc104581728"/>
      <w:bookmarkStart w:id="279" w:name="_Toc5262"/>
      <w:bookmarkStart w:id="280" w:name="_Toc24160"/>
      <w:r>
        <w:rPr>
          <w:rFonts w:hint="eastAsia" w:ascii="宋体" w:hAnsi="宋体" w:eastAsia="宋体" w:cs="宋体"/>
          <w:color w:val="auto"/>
          <w:sz w:val="24"/>
          <w:szCs w:val="28"/>
          <w:highlight w:val="none"/>
        </w:rPr>
        <w:t>1.建筑设计</w:t>
      </w:r>
      <w:bookmarkEnd w:id="277"/>
      <w:bookmarkEnd w:id="278"/>
      <w:bookmarkEnd w:id="279"/>
      <w:bookmarkEnd w:id="280"/>
    </w:p>
    <w:p w14:paraId="6E3CFCC8">
      <w:pPr>
        <w:pStyle w:val="6"/>
        <w:keepNext w:val="0"/>
        <w:keepLines w:val="0"/>
        <w:snapToGrid/>
        <w:spacing w:before="156" w:beforeLines="50"/>
        <w:ind w:firstLine="482" w:firstLineChars="200"/>
        <w:rPr>
          <w:rFonts w:hint="eastAsia" w:ascii="宋体" w:hAnsi="宋体" w:eastAsia="宋体" w:cs="宋体"/>
          <w:color w:val="auto"/>
          <w:sz w:val="24"/>
          <w:highlight w:val="none"/>
        </w:rPr>
      </w:pPr>
      <w:bookmarkStart w:id="281" w:name="_Toc21237"/>
      <w:bookmarkStart w:id="282" w:name="_Toc13485"/>
      <w:bookmarkStart w:id="283" w:name="_Toc104581729"/>
      <w:bookmarkStart w:id="284" w:name="_Toc30782"/>
      <w:r>
        <w:rPr>
          <w:rFonts w:hint="eastAsia" w:ascii="宋体" w:hAnsi="宋体" w:eastAsia="宋体" w:cs="宋体"/>
          <w:color w:val="auto"/>
          <w:sz w:val="24"/>
          <w:highlight w:val="none"/>
        </w:rPr>
        <w:t>1.1 设计依据</w:t>
      </w:r>
      <w:bookmarkEnd w:id="281"/>
      <w:bookmarkEnd w:id="282"/>
      <w:bookmarkEnd w:id="283"/>
      <w:bookmarkEnd w:id="284"/>
    </w:p>
    <w:p w14:paraId="34BA8A08">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1.1.1 在限额设计的基础上保障安置区规划设计基本住房条件和功能质量，使设计满足安全、卫生、适用、经济等性能要求。</w:t>
      </w:r>
    </w:p>
    <w:p w14:paraId="734E14AB">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1.1.2 制定各控制指标项，实现安置区设计的标准化。</w:t>
      </w:r>
    </w:p>
    <w:p w14:paraId="157BD411">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1.1.3 国家现行的主要设计规范及标准：</w:t>
      </w:r>
    </w:p>
    <w:p w14:paraId="4A83520A">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《民用建筑设计统一标准》                        GB50352-2019</w:t>
      </w:r>
    </w:p>
    <w:p w14:paraId="2AEF1683">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《无障碍设计规范》                              GB50763-2012</w:t>
      </w:r>
    </w:p>
    <w:p w14:paraId="313F6101">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《工程建设标准强制性条文（房屋建筑部分）》      （2013年版）</w:t>
      </w:r>
    </w:p>
    <w:p w14:paraId="67792CCA">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《住宅项目规范》                                GB55038-2025</w:t>
      </w:r>
    </w:p>
    <w:p w14:paraId="2EB841E3">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《托儿所、幼儿园建筑设计规范》               JGJ39-2016（2019年版）</w:t>
      </w:r>
    </w:p>
    <w:p w14:paraId="6DC468A5">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《车库建筑设计规范》                            JGJ100-2015</w:t>
      </w:r>
    </w:p>
    <w:p w14:paraId="22EF7136">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《电动汽车充电基础设施建设技术规程》            DBJ/T 15-150-2018</w:t>
      </w:r>
    </w:p>
    <w:p w14:paraId="56D6F46A">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《建筑设计防火规范》                       GB50016-2014 (2018年版)</w:t>
      </w:r>
    </w:p>
    <w:p w14:paraId="0F6B7182">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《汽车库、修车库、停车场设计防火规范》          GB50067-2014</w:t>
      </w:r>
    </w:p>
    <w:p w14:paraId="27EE4A64">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《建筑内部装修设计防火规范》                    GB50222-2017</w:t>
      </w:r>
    </w:p>
    <w:p w14:paraId="7BA8A0B6">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highlight w:val="none"/>
        </w:rPr>
        <w:t>《人民防空地下室设计规范》                      GB50038-2005</w:t>
      </w:r>
      <w:r>
        <w:rPr>
          <w:rFonts w:hint="eastAsia" w:ascii="宋体" w:hAnsi="宋体" w:eastAsia="宋体" w:cs="宋体"/>
          <w:color w:val="auto"/>
          <w:sz w:val="24"/>
          <w:szCs w:val="24"/>
          <w:highlight w:val="none"/>
        </w:rPr>
        <w:t>(2023年版)</w:t>
      </w:r>
    </w:p>
    <w:p w14:paraId="0F2A63C6">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《人民防空工程设计防火规范》                    GB50098—2009</w:t>
      </w:r>
    </w:p>
    <w:p w14:paraId="68426DEE">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《建筑防火通用规范》                            GB 55037-2022</w:t>
      </w:r>
    </w:p>
    <w:p w14:paraId="57803CD8">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《消防设施通用规范》                            GB 55036-2022</w:t>
      </w:r>
    </w:p>
    <w:p w14:paraId="6DAB0E32">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《建筑节能与可再生能源利用通用规范》 GB 55015-2021</w:t>
      </w:r>
    </w:p>
    <w:p w14:paraId="564C8B4D">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广州市城乡规划技术规定（168号令）</w:t>
      </w:r>
    </w:p>
    <w:p w14:paraId="5188DB9E">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《广州市历史建筑消防性能提升策略与技术指引》</w:t>
      </w:r>
    </w:p>
    <w:p w14:paraId="0A5E23A7">
      <w:pPr>
        <w:pStyle w:val="3"/>
        <w:ind w:firstLine="240"/>
        <w:rPr>
          <w:rFonts w:hint="eastAsia" w:ascii="宋体" w:hAnsi="宋体" w:cs="宋体"/>
          <w:sz w:val="24"/>
          <w:szCs w:val="22"/>
          <w:highlight w:val="none"/>
        </w:rPr>
      </w:pPr>
      <w:r>
        <w:rPr>
          <w:rFonts w:hint="eastAsia" w:ascii="宋体" w:hAnsi="宋体" w:cs="宋体"/>
          <w:sz w:val="24"/>
          <w:szCs w:val="22"/>
          <w:highlight w:val="none"/>
        </w:rPr>
        <w:t>《建筑与市政工程无障碍通用规范》                            GB 55019-2021</w:t>
      </w:r>
    </w:p>
    <w:p w14:paraId="588A7CAE">
      <w:pPr>
        <w:pStyle w:val="3"/>
        <w:ind w:firstLine="240"/>
        <w:rPr>
          <w:rFonts w:hint="eastAsia" w:ascii="宋体" w:hAnsi="宋体" w:cs="宋体"/>
          <w:sz w:val="24"/>
          <w:szCs w:val="22"/>
          <w:highlight w:val="none"/>
        </w:rPr>
      </w:pPr>
      <w:r>
        <w:rPr>
          <w:rFonts w:hint="eastAsia" w:ascii="宋体" w:hAnsi="宋体" w:cs="宋体"/>
          <w:sz w:val="24"/>
          <w:szCs w:val="22"/>
          <w:highlight w:val="none"/>
        </w:rPr>
        <w:t>《建筑与市政工程防水通用规范》                               GB 55030-2022</w:t>
      </w:r>
    </w:p>
    <w:p w14:paraId="53DE1632">
      <w:pPr>
        <w:pStyle w:val="3"/>
        <w:ind w:firstLine="240"/>
        <w:rPr>
          <w:rFonts w:hint="eastAsia" w:ascii="宋体" w:hAnsi="宋体" w:cs="宋体"/>
          <w:sz w:val="24"/>
          <w:szCs w:val="22"/>
          <w:highlight w:val="none"/>
        </w:rPr>
      </w:pPr>
      <w:r>
        <w:rPr>
          <w:rFonts w:hint="eastAsia" w:ascii="宋体" w:hAnsi="宋体" w:cs="宋体"/>
          <w:sz w:val="24"/>
          <w:szCs w:val="22"/>
          <w:highlight w:val="none"/>
        </w:rPr>
        <w:t>《建筑防火通用规范》                                         GB 55037-2022</w:t>
      </w:r>
    </w:p>
    <w:p w14:paraId="0A066717">
      <w:pPr>
        <w:pStyle w:val="3"/>
        <w:ind w:firstLine="240"/>
        <w:rPr>
          <w:rFonts w:hint="eastAsia" w:ascii="宋体" w:hAnsi="宋体" w:cs="宋体"/>
          <w:sz w:val="24"/>
          <w:szCs w:val="22"/>
          <w:highlight w:val="none"/>
        </w:rPr>
      </w:pPr>
      <w:r>
        <w:rPr>
          <w:rFonts w:hint="eastAsia" w:ascii="宋体" w:hAnsi="宋体" w:cs="宋体"/>
          <w:sz w:val="24"/>
          <w:szCs w:val="22"/>
          <w:highlight w:val="none"/>
        </w:rPr>
        <w:t>《建筑内部装修设计防火规范》                                 GB 50222-2017</w:t>
      </w:r>
    </w:p>
    <w:p w14:paraId="32AD988D">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1.1.4 包括国家、广东省以及广州市颁发的现行有关规范、规定其他与本工程相关规范、规定、技术措施及相关图集</w:t>
      </w:r>
    </w:p>
    <w:p w14:paraId="48C21FBB">
      <w:pPr>
        <w:pStyle w:val="6"/>
        <w:keepNext w:val="0"/>
        <w:keepLines w:val="0"/>
        <w:snapToGrid/>
        <w:spacing w:before="156" w:beforeLines="50"/>
        <w:ind w:firstLine="482" w:firstLineChars="200"/>
        <w:rPr>
          <w:rFonts w:hint="eastAsia" w:ascii="宋体" w:hAnsi="宋体" w:eastAsia="宋体" w:cs="宋体"/>
          <w:color w:val="auto"/>
          <w:sz w:val="24"/>
          <w:szCs w:val="24"/>
          <w:highlight w:val="none"/>
        </w:rPr>
      </w:pPr>
      <w:bookmarkStart w:id="285" w:name="_Toc23181"/>
      <w:bookmarkStart w:id="286" w:name="_Toc31222"/>
      <w:bookmarkStart w:id="287" w:name="_Toc14446"/>
      <w:bookmarkStart w:id="288" w:name="_Toc104581730"/>
      <w:r>
        <w:rPr>
          <w:rFonts w:hint="eastAsia" w:ascii="宋体" w:hAnsi="宋体" w:eastAsia="宋体" w:cs="宋体"/>
          <w:color w:val="auto"/>
          <w:sz w:val="24"/>
          <w:szCs w:val="24"/>
          <w:highlight w:val="none"/>
        </w:rPr>
        <w:t>1.2 关键指标</w:t>
      </w:r>
      <w:bookmarkEnd w:id="285"/>
      <w:bookmarkEnd w:id="286"/>
      <w:bookmarkEnd w:id="287"/>
      <w:bookmarkEnd w:id="288"/>
    </w:p>
    <w:p w14:paraId="5A481FD9">
      <w:pPr>
        <w:pStyle w:val="7"/>
        <w:spacing w:before="156" w:beforeLines="50"/>
        <w:ind w:left="442" w:leftChars="201" w:firstLine="14" w:firstLineChars="6"/>
        <w:jc w:val="left"/>
        <w:rPr>
          <w:rFonts w:hint="eastAsia" w:ascii="宋体" w:hAnsi="宋体" w:cs="宋体"/>
          <w:b w:val="0"/>
          <w:szCs w:val="24"/>
          <w:highlight w:val="none"/>
        </w:rPr>
      </w:pPr>
      <w:bookmarkStart w:id="289" w:name="_Toc104581732"/>
      <w:bookmarkStart w:id="290" w:name="_Toc15050"/>
      <w:bookmarkStart w:id="291" w:name="_Toc29582"/>
      <w:bookmarkStart w:id="292" w:name="_Toc69826384"/>
      <w:bookmarkStart w:id="293" w:name="_Toc530497337"/>
      <w:bookmarkStart w:id="294" w:name="_Toc12436"/>
      <w:bookmarkStart w:id="295" w:name="_Toc72337762"/>
      <w:r>
        <w:rPr>
          <w:rFonts w:hint="eastAsia" w:ascii="宋体" w:hAnsi="宋体" w:cs="宋体"/>
          <w:b w:val="0"/>
          <w:szCs w:val="24"/>
          <w:highlight w:val="none"/>
        </w:rPr>
        <w:t>1.2.1 地下室建设规模：</w:t>
      </w:r>
    </w:p>
    <w:p w14:paraId="1BFABCA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严格控制层数，节约成本，满铺完成负一层后才设置负二层，严禁出现地下三层的设计情况。</w:t>
      </w:r>
    </w:p>
    <w:p w14:paraId="7D23E698">
      <w:pP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1.2.2 地下室层高</w:t>
      </w:r>
    </w:p>
    <w:tbl>
      <w:tblPr>
        <w:tblStyle w:val="42"/>
        <w:tblW w:w="8296" w:type="dxa"/>
        <w:jc w:val="center"/>
        <w:tblLayout w:type="fixed"/>
        <w:tblCellMar>
          <w:top w:w="0" w:type="dxa"/>
          <w:left w:w="108" w:type="dxa"/>
          <w:bottom w:w="0" w:type="dxa"/>
          <w:right w:w="108" w:type="dxa"/>
        </w:tblCellMar>
      </w:tblPr>
      <w:tblGrid>
        <w:gridCol w:w="1887"/>
        <w:gridCol w:w="1923"/>
        <w:gridCol w:w="1762"/>
        <w:gridCol w:w="2724"/>
      </w:tblGrid>
      <w:tr w14:paraId="317F19DA">
        <w:tblPrEx>
          <w:tblCellMar>
            <w:top w:w="0" w:type="dxa"/>
            <w:left w:w="108" w:type="dxa"/>
            <w:bottom w:w="0" w:type="dxa"/>
            <w:right w:w="108" w:type="dxa"/>
          </w:tblCellMar>
        </w:tblPrEx>
        <w:trPr>
          <w:jc w:val="center"/>
        </w:trPr>
        <w:tc>
          <w:tcPr>
            <w:tcW w:w="1887" w:type="dxa"/>
            <w:tcBorders>
              <w:top w:val="single" w:color="auto" w:sz="4" w:space="0"/>
              <w:left w:val="single" w:color="auto" w:sz="4" w:space="0"/>
              <w:bottom w:val="single" w:color="auto" w:sz="4" w:space="0"/>
              <w:right w:val="single" w:color="auto" w:sz="4" w:space="0"/>
            </w:tcBorders>
          </w:tcPr>
          <w:p w14:paraId="6552618F">
            <w:pPr>
              <w:widowControl/>
              <w:spacing w:line="360" w:lineRule="auto"/>
              <w:jc w:val="center"/>
              <w:textAlignment w:val="center"/>
              <w:rPr>
                <w:rFonts w:hint="eastAsia" w:ascii="宋体" w:hAnsi="宋体" w:eastAsia="宋体" w:cs="宋体"/>
                <w:color w:val="auto"/>
                <w:kern w:val="0"/>
                <w:sz w:val="21"/>
                <w:szCs w:val="21"/>
                <w:highlight w:val="none"/>
              </w:rPr>
            </w:pPr>
          </w:p>
        </w:tc>
        <w:tc>
          <w:tcPr>
            <w:tcW w:w="1923" w:type="dxa"/>
            <w:tcBorders>
              <w:top w:val="single" w:color="auto" w:sz="4" w:space="0"/>
              <w:left w:val="single" w:color="auto" w:sz="4" w:space="0"/>
              <w:bottom w:val="single" w:color="auto" w:sz="4" w:space="0"/>
              <w:right w:val="single" w:color="auto" w:sz="4" w:space="0"/>
            </w:tcBorders>
          </w:tcPr>
          <w:p w14:paraId="24758D08">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s="宋体"/>
                <w:color w:val="auto"/>
                <w:kern w:val="0"/>
                <w:sz w:val="21"/>
                <w:szCs w:val="21"/>
                <w:highlight w:val="none"/>
              </w:rPr>
              <w:t>地下室非人防区</w:t>
            </w:r>
          </w:p>
        </w:tc>
        <w:tc>
          <w:tcPr>
            <w:tcW w:w="1762" w:type="dxa"/>
            <w:tcBorders>
              <w:top w:val="single" w:color="auto" w:sz="4" w:space="0"/>
              <w:left w:val="single" w:color="auto" w:sz="4" w:space="0"/>
              <w:bottom w:val="single" w:color="auto" w:sz="4" w:space="0"/>
              <w:right w:val="single" w:color="auto" w:sz="4" w:space="0"/>
            </w:tcBorders>
          </w:tcPr>
          <w:p w14:paraId="4CB03CD4">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s="宋体"/>
                <w:color w:val="auto"/>
                <w:kern w:val="0"/>
                <w:sz w:val="21"/>
                <w:szCs w:val="21"/>
                <w:highlight w:val="none"/>
              </w:rPr>
              <w:t>地下室人防区</w:t>
            </w:r>
          </w:p>
        </w:tc>
        <w:tc>
          <w:tcPr>
            <w:tcW w:w="2724" w:type="dxa"/>
            <w:tcBorders>
              <w:top w:val="single" w:color="auto" w:sz="4" w:space="0"/>
              <w:left w:val="single" w:color="auto" w:sz="4" w:space="0"/>
              <w:bottom w:val="single" w:color="auto" w:sz="4" w:space="0"/>
              <w:right w:val="single" w:color="auto" w:sz="4" w:space="0"/>
            </w:tcBorders>
          </w:tcPr>
          <w:p w14:paraId="201A7173">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olor w:val="auto"/>
                <w:highlight w:val="none"/>
              </w:rPr>
              <w:t>备注</w:t>
            </w:r>
          </w:p>
        </w:tc>
      </w:tr>
      <w:tr w14:paraId="1C22753A">
        <w:tblPrEx>
          <w:tblCellMar>
            <w:top w:w="0" w:type="dxa"/>
            <w:left w:w="108" w:type="dxa"/>
            <w:bottom w:w="0" w:type="dxa"/>
            <w:right w:w="108" w:type="dxa"/>
          </w:tblCellMar>
        </w:tblPrEx>
        <w:trPr>
          <w:jc w:val="center"/>
        </w:trPr>
        <w:tc>
          <w:tcPr>
            <w:tcW w:w="1887" w:type="dxa"/>
            <w:tcBorders>
              <w:top w:val="single" w:color="auto" w:sz="4" w:space="0"/>
              <w:left w:val="single" w:color="auto" w:sz="4" w:space="0"/>
              <w:bottom w:val="single" w:color="auto" w:sz="4" w:space="0"/>
              <w:right w:val="single" w:color="auto" w:sz="4" w:space="0"/>
            </w:tcBorders>
          </w:tcPr>
          <w:p w14:paraId="740F8833">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负一层（m）</w:t>
            </w:r>
          </w:p>
        </w:tc>
        <w:tc>
          <w:tcPr>
            <w:tcW w:w="1923" w:type="dxa"/>
            <w:tcBorders>
              <w:top w:val="single" w:color="auto" w:sz="4" w:space="0"/>
              <w:left w:val="single" w:color="auto" w:sz="4" w:space="0"/>
              <w:bottom w:val="single" w:color="auto" w:sz="4" w:space="0"/>
              <w:right w:val="single" w:color="auto" w:sz="4" w:space="0"/>
            </w:tcBorders>
          </w:tcPr>
          <w:p w14:paraId="12E8FBB9">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olor w:val="auto"/>
                <w:highlight w:val="none"/>
              </w:rPr>
              <w:t>3.5</w:t>
            </w:r>
          </w:p>
        </w:tc>
        <w:tc>
          <w:tcPr>
            <w:tcW w:w="1762" w:type="dxa"/>
            <w:tcBorders>
              <w:top w:val="single" w:color="auto" w:sz="4" w:space="0"/>
              <w:left w:val="single" w:color="auto" w:sz="4" w:space="0"/>
              <w:bottom w:val="single" w:color="auto" w:sz="4" w:space="0"/>
              <w:right w:val="single" w:color="auto" w:sz="4" w:space="0"/>
            </w:tcBorders>
          </w:tcPr>
          <w:p w14:paraId="0F0DB0F7">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olor w:val="auto"/>
                <w:highlight w:val="none"/>
              </w:rPr>
              <w:t>3.7</w:t>
            </w:r>
          </w:p>
        </w:tc>
        <w:tc>
          <w:tcPr>
            <w:tcW w:w="2724" w:type="dxa"/>
            <w:tcBorders>
              <w:top w:val="single" w:color="auto" w:sz="4" w:space="0"/>
              <w:left w:val="single" w:color="auto" w:sz="4" w:space="0"/>
              <w:bottom w:val="single" w:color="auto" w:sz="4" w:space="0"/>
              <w:right w:val="single" w:color="auto" w:sz="4" w:space="0"/>
            </w:tcBorders>
          </w:tcPr>
          <w:p w14:paraId="1B4AB585">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olor w:val="auto"/>
                <w:highlight w:val="none"/>
              </w:rPr>
              <w:t>建筑面层到顶板标高</w:t>
            </w:r>
          </w:p>
        </w:tc>
      </w:tr>
      <w:tr w14:paraId="5B4613AF">
        <w:tblPrEx>
          <w:tblCellMar>
            <w:top w:w="0" w:type="dxa"/>
            <w:left w:w="108" w:type="dxa"/>
            <w:bottom w:w="0" w:type="dxa"/>
            <w:right w:w="108" w:type="dxa"/>
          </w:tblCellMar>
        </w:tblPrEx>
        <w:trPr>
          <w:jc w:val="center"/>
        </w:trPr>
        <w:tc>
          <w:tcPr>
            <w:tcW w:w="1887" w:type="dxa"/>
            <w:tcBorders>
              <w:top w:val="single" w:color="auto" w:sz="4" w:space="0"/>
              <w:left w:val="single" w:color="auto" w:sz="4" w:space="0"/>
              <w:bottom w:val="single" w:color="auto" w:sz="4" w:space="0"/>
              <w:right w:val="single" w:color="auto" w:sz="4" w:space="0"/>
            </w:tcBorders>
          </w:tcPr>
          <w:p w14:paraId="70F7F79A">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负二层（m）</w:t>
            </w:r>
          </w:p>
        </w:tc>
        <w:tc>
          <w:tcPr>
            <w:tcW w:w="1923" w:type="dxa"/>
            <w:tcBorders>
              <w:top w:val="single" w:color="auto" w:sz="4" w:space="0"/>
              <w:left w:val="single" w:color="auto" w:sz="4" w:space="0"/>
              <w:bottom w:val="single" w:color="auto" w:sz="4" w:space="0"/>
              <w:right w:val="single" w:color="auto" w:sz="4" w:space="0"/>
            </w:tcBorders>
          </w:tcPr>
          <w:p w14:paraId="73E2BE5C">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olor w:val="auto"/>
                <w:highlight w:val="none"/>
              </w:rPr>
              <w:t>3.5</w:t>
            </w:r>
          </w:p>
        </w:tc>
        <w:tc>
          <w:tcPr>
            <w:tcW w:w="1762" w:type="dxa"/>
            <w:tcBorders>
              <w:top w:val="single" w:color="auto" w:sz="4" w:space="0"/>
              <w:left w:val="single" w:color="auto" w:sz="4" w:space="0"/>
              <w:bottom w:val="single" w:color="auto" w:sz="4" w:space="0"/>
              <w:right w:val="single" w:color="auto" w:sz="4" w:space="0"/>
            </w:tcBorders>
          </w:tcPr>
          <w:p w14:paraId="5CADD385">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olor w:val="auto"/>
                <w:highlight w:val="none"/>
              </w:rPr>
              <w:t>3.7</w:t>
            </w:r>
          </w:p>
        </w:tc>
        <w:tc>
          <w:tcPr>
            <w:tcW w:w="2724" w:type="dxa"/>
            <w:tcBorders>
              <w:top w:val="single" w:color="auto" w:sz="4" w:space="0"/>
              <w:left w:val="single" w:color="auto" w:sz="4" w:space="0"/>
              <w:bottom w:val="single" w:color="auto" w:sz="4" w:space="0"/>
              <w:right w:val="single" w:color="auto" w:sz="4" w:space="0"/>
            </w:tcBorders>
          </w:tcPr>
          <w:p w14:paraId="13987826">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olor w:val="auto"/>
                <w:highlight w:val="none"/>
              </w:rPr>
              <w:t>建筑面层到建筑面层</w:t>
            </w:r>
          </w:p>
        </w:tc>
      </w:tr>
      <w:tr w14:paraId="418875B0">
        <w:tblPrEx>
          <w:tblCellMar>
            <w:top w:w="0" w:type="dxa"/>
            <w:left w:w="108" w:type="dxa"/>
            <w:bottom w:w="0" w:type="dxa"/>
            <w:right w:w="108" w:type="dxa"/>
          </w:tblCellMar>
        </w:tblPrEx>
        <w:trPr>
          <w:jc w:val="center"/>
        </w:trPr>
        <w:tc>
          <w:tcPr>
            <w:tcW w:w="1887" w:type="dxa"/>
            <w:tcBorders>
              <w:top w:val="single" w:color="auto" w:sz="4" w:space="0"/>
              <w:left w:val="single" w:color="auto" w:sz="4" w:space="0"/>
              <w:bottom w:val="single" w:color="auto" w:sz="4" w:space="0"/>
              <w:right w:val="single" w:color="auto" w:sz="4" w:space="0"/>
            </w:tcBorders>
          </w:tcPr>
          <w:p w14:paraId="2A6DFE29">
            <w:pPr>
              <w:widowControl/>
              <w:spacing w:line="36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负三层（m）（如有）</w:t>
            </w:r>
          </w:p>
        </w:tc>
        <w:tc>
          <w:tcPr>
            <w:tcW w:w="1923" w:type="dxa"/>
            <w:tcBorders>
              <w:top w:val="single" w:color="auto" w:sz="4" w:space="0"/>
              <w:left w:val="single" w:color="auto" w:sz="4" w:space="0"/>
              <w:bottom w:val="single" w:color="auto" w:sz="4" w:space="0"/>
              <w:right w:val="single" w:color="auto" w:sz="4" w:space="0"/>
            </w:tcBorders>
          </w:tcPr>
          <w:p w14:paraId="58BC3FB6">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olor w:val="auto"/>
                <w:highlight w:val="none"/>
              </w:rPr>
              <w:t>3.5</w:t>
            </w:r>
          </w:p>
        </w:tc>
        <w:tc>
          <w:tcPr>
            <w:tcW w:w="1762" w:type="dxa"/>
            <w:tcBorders>
              <w:top w:val="single" w:color="auto" w:sz="4" w:space="0"/>
              <w:left w:val="single" w:color="auto" w:sz="4" w:space="0"/>
              <w:bottom w:val="single" w:color="auto" w:sz="4" w:space="0"/>
              <w:right w:val="single" w:color="auto" w:sz="4" w:space="0"/>
            </w:tcBorders>
          </w:tcPr>
          <w:p w14:paraId="48E51AA2">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olor w:val="auto"/>
                <w:highlight w:val="none"/>
              </w:rPr>
              <w:t>3.7</w:t>
            </w:r>
          </w:p>
        </w:tc>
        <w:tc>
          <w:tcPr>
            <w:tcW w:w="2724" w:type="dxa"/>
            <w:tcBorders>
              <w:top w:val="single" w:color="auto" w:sz="4" w:space="0"/>
              <w:left w:val="single" w:color="auto" w:sz="4" w:space="0"/>
              <w:bottom w:val="single" w:color="auto" w:sz="4" w:space="0"/>
              <w:right w:val="single" w:color="auto" w:sz="4" w:space="0"/>
            </w:tcBorders>
          </w:tcPr>
          <w:p w14:paraId="183B99D0">
            <w:pPr>
              <w:widowControl/>
              <w:spacing w:line="360" w:lineRule="auto"/>
              <w:jc w:val="center"/>
              <w:textAlignment w:val="center"/>
              <w:rPr>
                <w:rFonts w:hint="eastAsia" w:ascii="宋体" w:hAnsi="宋体" w:eastAsia="宋体"/>
                <w:color w:val="auto"/>
                <w:highlight w:val="none"/>
              </w:rPr>
            </w:pPr>
            <w:r>
              <w:rPr>
                <w:rFonts w:hint="eastAsia" w:ascii="宋体" w:hAnsi="宋体" w:eastAsia="宋体"/>
                <w:color w:val="auto"/>
                <w:highlight w:val="none"/>
              </w:rPr>
              <w:t>建筑面层到建筑面层</w:t>
            </w:r>
          </w:p>
        </w:tc>
      </w:tr>
    </w:tbl>
    <w:p w14:paraId="2B17B276">
      <w:pPr>
        <w:pStyle w:val="80"/>
        <w:spacing w:line="360" w:lineRule="auto"/>
        <w:ind w:firstLineChars="0"/>
        <w:rPr>
          <w:rFonts w:hint="eastAsia" w:ascii="宋体" w:hAnsi="宋体" w:cs="宋体"/>
          <w:highlight w:val="none"/>
        </w:rPr>
      </w:pPr>
      <w:r>
        <w:rPr>
          <w:rFonts w:hint="eastAsia" w:ascii="宋体" w:hAnsi="宋体" w:cs="宋体"/>
          <w:highlight w:val="none"/>
        </w:rPr>
        <w:t>注：</w:t>
      </w:r>
    </w:p>
    <w:p w14:paraId="47262452">
      <w:pPr>
        <w:pStyle w:val="80"/>
        <w:spacing w:line="360" w:lineRule="auto"/>
        <w:ind w:firstLineChars="0"/>
        <w:rPr>
          <w:rFonts w:hint="eastAsia" w:ascii="宋体" w:hAnsi="宋体" w:cs="宋体"/>
          <w:highlight w:val="none"/>
        </w:rPr>
      </w:pPr>
      <w:r>
        <w:rPr>
          <w:rFonts w:hint="eastAsia" w:ascii="宋体" w:hAnsi="宋体" w:cs="宋体"/>
          <w:highlight w:val="none"/>
        </w:rPr>
        <w:t>1.不计容前提下尽量抬高地下室顶板标高，人防防护等级需要局部增加层高另做要求。</w:t>
      </w:r>
    </w:p>
    <w:p w14:paraId="1D4C3442">
      <w:pPr>
        <w:pStyle w:val="80"/>
        <w:spacing w:line="360" w:lineRule="auto"/>
        <w:ind w:firstLineChars="0"/>
        <w:rPr>
          <w:rFonts w:hint="eastAsia" w:ascii="宋体" w:hAnsi="宋体" w:cs="宋体"/>
          <w:highlight w:val="none"/>
        </w:rPr>
      </w:pPr>
      <w:r>
        <w:rPr>
          <w:rFonts w:hint="eastAsia" w:ascii="宋体" w:hAnsi="宋体" w:cs="宋体"/>
          <w:highlight w:val="none"/>
        </w:rPr>
        <w:t>2.边界不规则或边界条件复杂等特殊地块可以适当增加层高，但因控制总体造价最优。</w:t>
      </w:r>
    </w:p>
    <w:p w14:paraId="0F7D92FC">
      <w:pPr>
        <w:pStyle w:val="7"/>
        <w:spacing w:before="156" w:beforeLines="50"/>
        <w:ind w:firstLine="480" w:firstLineChars="200"/>
        <w:jc w:val="left"/>
        <w:rPr>
          <w:rFonts w:hint="eastAsia" w:ascii="宋体" w:hAnsi="宋体" w:cs="宋体"/>
          <w:b w:val="0"/>
          <w:szCs w:val="24"/>
          <w:highlight w:val="none"/>
        </w:rPr>
      </w:pPr>
      <w:r>
        <w:rPr>
          <w:rFonts w:hint="eastAsia" w:ascii="宋体" w:hAnsi="宋体" w:cs="宋体"/>
          <w:b w:val="0"/>
          <w:szCs w:val="24"/>
          <w:highlight w:val="none"/>
        </w:rPr>
        <w:t>1.2.3 顶板标高设计</w:t>
      </w:r>
    </w:p>
    <w:p w14:paraId="5F7C7A3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地下室顶板标高结合海绵城市验收要求具体设计。</w:t>
      </w:r>
    </w:p>
    <w:p w14:paraId="4569009F">
      <w:pPr>
        <w:pStyle w:val="7"/>
        <w:spacing w:before="156" w:beforeLines="50"/>
        <w:ind w:left="442" w:leftChars="201" w:firstLine="14" w:firstLineChars="6"/>
        <w:jc w:val="left"/>
        <w:rPr>
          <w:rFonts w:hint="eastAsia" w:ascii="宋体" w:hAnsi="宋体" w:cs="宋体"/>
          <w:b w:val="0"/>
          <w:szCs w:val="24"/>
          <w:highlight w:val="none"/>
        </w:rPr>
      </w:pPr>
      <w:r>
        <w:rPr>
          <w:rFonts w:hint="eastAsia" w:ascii="宋体" w:hAnsi="宋体" w:cs="宋体"/>
          <w:b w:val="0"/>
          <w:szCs w:val="24"/>
          <w:highlight w:val="none"/>
        </w:rPr>
        <w:t>1.2.4 地下室停车区域柱网</w:t>
      </w:r>
    </w:p>
    <w:p w14:paraId="6849A48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地下室停车区域柱网跨度不宜超8.0m。</w:t>
      </w:r>
    </w:p>
    <w:p w14:paraId="6C39EE43">
      <w:pPr>
        <w:pStyle w:val="7"/>
        <w:spacing w:before="156" w:beforeLines="50"/>
        <w:ind w:left="442" w:leftChars="201" w:firstLine="14" w:firstLineChars="6"/>
        <w:jc w:val="left"/>
        <w:rPr>
          <w:rFonts w:hint="eastAsia" w:ascii="宋体" w:hAnsi="宋体" w:cs="宋体"/>
          <w:b w:val="0"/>
          <w:szCs w:val="24"/>
          <w:highlight w:val="none"/>
        </w:rPr>
      </w:pPr>
      <w:r>
        <w:rPr>
          <w:rFonts w:hint="eastAsia" w:ascii="宋体" w:hAnsi="宋体" w:cs="宋体"/>
          <w:b w:val="0"/>
          <w:szCs w:val="24"/>
          <w:highlight w:val="none"/>
        </w:rPr>
        <w:t>1.2.5 充电车位</w:t>
      </w:r>
    </w:p>
    <w:p w14:paraId="05768006">
      <w:pPr>
        <w:pStyle w:val="6"/>
        <w:keepNext w:val="0"/>
        <w:keepLines w:val="0"/>
        <w:snapToGrid/>
        <w:spacing w:before="156" w:beforeLines="50"/>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1.2.5.1 按要求设置地下室充电车位防火分隔；</w:t>
      </w:r>
    </w:p>
    <w:p w14:paraId="2E1A0713">
      <w:pPr>
        <w:pStyle w:val="6"/>
        <w:keepNext w:val="0"/>
        <w:keepLines w:val="0"/>
        <w:snapToGrid/>
        <w:spacing w:before="156" w:beforeLines="50"/>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1.2.5.2 对停车位充电桩安装区域不做预留设计。</w:t>
      </w:r>
    </w:p>
    <w:p w14:paraId="378E33C7">
      <w:pPr>
        <w:pStyle w:val="6"/>
        <w:keepNext w:val="0"/>
        <w:keepLines w:val="0"/>
        <w:snapToGrid/>
        <w:spacing w:before="156" w:beforeLines="50"/>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1.2.5.3 非机动车位设计室外充电桩位置。</w:t>
      </w:r>
    </w:p>
    <w:p w14:paraId="656524E5">
      <w:pPr>
        <w:pStyle w:val="6"/>
        <w:keepNext w:val="0"/>
        <w:keepLines w:val="0"/>
        <w:snapToGrid/>
        <w:spacing w:before="156" w:beforeLines="50"/>
        <w:ind w:firstLine="482" w:firstLineChars="200"/>
        <w:rPr>
          <w:rFonts w:hint="eastAsia" w:ascii="宋体" w:hAnsi="宋体" w:eastAsia="宋体" w:cs="宋体"/>
          <w:color w:val="auto"/>
          <w:sz w:val="24"/>
          <w:szCs w:val="24"/>
          <w:highlight w:val="none"/>
        </w:rPr>
      </w:pPr>
      <w:bookmarkStart w:id="296" w:name="_Toc25437"/>
      <w:r>
        <w:rPr>
          <w:rFonts w:hint="eastAsia" w:ascii="宋体" w:hAnsi="宋体" w:eastAsia="宋体" w:cs="宋体"/>
          <w:color w:val="auto"/>
          <w:sz w:val="24"/>
          <w:szCs w:val="24"/>
          <w:highlight w:val="none"/>
        </w:rPr>
        <w:t>1.3通用指标</w:t>
      </w:r>
      <w:bookmarkEnd w:id="289"/>
      <w:bookmarkEnd w:id="290"/>
      <w:bookmarkEnd w:id="291"/>
      <w:bookmarkEnd w:id="296"/>
    </w:p>
    <w:p w14:paraId="74454998">
      <w:pPr>
        <w:pStyle w:val="6"/>
        <w:keepNext w:val="0"/>
        <w:keepLines w:val="0"/>
        <w:snapToGrid/>
        <w:spacing w:before="156" w:beforeLines="50"/>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1.3.1材料选型</w:t>
      </w:r>
    </w:p>
    <w:p w14:paraId="2125355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1.3.1.1 外墙材料可采用通体砖、釉面砖或外墙涂料，面砖尺寸大小根据立面效果选择，涂料材质及颜色根据。</w:t>
      </w:r>
    </w:p>
    <w:p w14:paraId="2B7C44D1">
      <w:pPr>
        <w:spacing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szCs w:val="24"/>
          <w:highlight w:val="none"/>
        </w:rPr>
        <w:t>1.3.</w:t>
      </w:r>
      <w:r>
        <w:rPr>
          <w:rFonts w:ascii="宋体" w:hAnsi="宋体" w:eastAsia="宋体" w:cs="宋体"/>
          <w:color w:val="auto"/>
          <w:sz w:val="24"/>
          <w:szCs w:val="24"/>
          <w:highlight w:val="none"/>
        </w:rPr>
        <w:t>1</w:t>
      </w:r>
      <w:r>
        <w:rPr>
          <w:rFonts w:hint="eastAsia" w:ascii="宋体" w:hAnsi="宋体" w:eastAsia="宋体" w:cs="宋体"/>
          <w:color w:val="auto"/>
          <w:sz w:val="24"/>
          <w:szCs w:val="24"/>
          <w:highlight w:val="none"/>
        </w:rPr>
        <w:t>.2 内装饰材料参考表：</w:t>
      </w:r>
    </w:p>
    <w:tbl>
      <w:tblPr>
        <w:tblStyle w:val="42"/>
        <w:tblW w:w="8177" w:type="dxa"/>
        <w:tblInd w:w="250" w:type="dxa"/>
        <w:tblLayout w:type="fixed"/>
        <w:tblCellMar>
          <w:top w:w="0" w:type="dxa"/>
          <w:left w:w="108" w:type="dxa"/>
          <w:bottom w:w="0" w:type="dxa"/>
          <w:right w:w="108" w:type="dxa"/>
        </w:tblCellMar>
      </w:tblPr>
      <w:tblGrid>
        <w:gridCol w:w="375"/>
        <w:gridCol w:w="1610"/>
        <w:gridCol w:w="1559"/>
        <w:gridCol w:w="1417"/>
        <w:gridCol w:w="1911"/>
        <w:gridCol w:w="1305"/>
      </w:tblGrid>
      <w:tr w14:paraId="42CD7A1B">
        <w:tblPrEx>
          <w:tblCellMar>
            <w:top w:w="0" w:type="dxa"/>
            <w:left w:w="108" w:type="dxa"/>
            <w:bottom w:w="0" w:type="dxa"/>
            <w:right w:w="108" w:type="dxa"/>
          </w:tblCellMar>
        </w:tblPrEx>
        <w:trPr>
          <w:trHeight w:val="321" w:hRule="atLeast"/>
        </w:trPr>
        <w:tc>
          <w:tcPr>
            <w:tcW w:w="1985" w:type="dxa"/>
            <w:gridSpan w:val="2"/>
            <w:tcBorders>
              <w:top w:val="single" w:color="000000" w:sz="4" w:space="0"/>
              <w:left w:val="single" w:color="000000" w:sz="4" w:space="0"/>
              <w:bottom w:val="single" w:color="000000" w:sz="4" w:space="0"/>
              <w:right w:val="single" w:color="000000" w:sz="4" w:space="0"/>
            </w:tcBorders>
            <w:noWrap/>
            <w:vAlign w:val="center"/>
          </w:tcPr>
          <w:p w14:paraId="5968C337">
            <w:pPr>
              <w:snapToGrid/>
              <w:spacing w:before="0" w:after="0" w:line="240" w:lineRule="auto"/>
              <w:jc w:val="center"/>
              <w:rPr>
                <w:rFonts w:hint="eastAsia" w:ascii="宋体" w:hAnsi="宋体" w:eastAsia="宋体" w:cs="宋体"/>
                <w:color w:val="auto"/>
                <w:sz w:val="21"/>
                <w:szCs w:val="21"/>
                <w:highlight w:val="none"/>
              </w:rPr>
            </w:pPr>
          </w:p>
        </w:tc>
        <w:tc>
          <w:tcPr>
            <w:tcW w:w="1559" w:type="dxa"/>
            <w:tcBorders>
              <w:top w:val="single" w:color="000000" w:sz="4" w:space="0"/>
              <w:left w:val="single" w:color="000000" w:sz="4" w:space="0"/>
              <w:bottom w:val="single" w:color="000000" w:sz="4" w:space="0"/>
              <w:right w:val="single" w:color="000000" w:sz="4" w:space="0"/>
            </w:tcBorders>
            <w:noWrap/>
            <w:vAlign w:val="center"/>
          </w:tcPr>
          <w:p w14:paraId="23160526">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顶 棚</w:t>
            </w:r>
          </w:p>
        </w:tc>
        <w:tc>
          <w:tcPr>
            <w:tcW w:w="1417" w:type="dxa"/>
            <w:tcBorders>
              <w:top w:val="single" w:color="000000" w:sz="4" w:space="0"/>
              <w:left w:val="single" w:color="000000" w:sz="4" w:space="0"/>
              <w:bottom w:val="single" w:color="000000" w:sz="4" w:space="0"/>
              <w:right w:val="single" w:color="000000" w:sz="4" w:space="0"/>
            </w:tcBorders>
            <w:noWrap/>
            <w:vAlign w:val="center"/>
          </w:tcPr>
          <w:p w14:paraId="1ED0596D">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内 墙 面</w:t>
            </w:r>
          </w:p>
        </w:tc>
        <w:tc>
          <w:tcPr>
            <w:tcW w:w="1911" w:type="dxa"/>
            <w:tcBorders>
              <w:top w:val="single" w:color="000000" w:sz="4" w:space="0"/>
              <w:left w:val="single" w:color="000000" w:sz="4" w:space="0"/>
              <w:bottom w:val="single" w:color="000000" w:sz="4" w:space="0"/>
              <w:right w:val="single" w:color="000000" w:sz="4" w:space="0"/>
            </w:tcBorders>
            <w:noWrap/>
            <w:vAlign w:val="center"/>
          </w:tcPr>
          <w:p w14:paraId="3A035D2D">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地（楼）面</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2E1A5221">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踢脚（墙裙）</w:t>
            </w:r>
          </w:p>
        </w:tc>
      </w:tr>
      <w:tr w14:paraId="2761F640">
        <w:tblPrEx>
          <w:tblCellMar>
            <w:top w:w="0" w:type="dxa"/>
            <w:left w:w="108" w:type="dxa"/>
            <w:bottom w:w="0" w:type="dxa"/>
            <w:right w:w="108" w:type="dxa"/>
          </w:tblCellMar>
        </w:tblPrEx>
        <w:trPr>
          <w:trHeight w:val="632" w:hRule="atLeast"/>
        </w:trPr>
        <w:tc>
          <w:tcPr>
            <w:tcW w:w="375" w:type="dxa"/>
            <w:vMerge w:val="restart"/>
            <w:tcBorders>
              <w:top w:val="single" w:color="000000" w:sz="4" w:space="0"/>
              <w:left w:val="single" w:color="000000" w:sz="4" w:space="0"/>
              <w:bottom w:val="single" w:color="000000" w:sz="4" w:space="0"/>
              <w:right w:val="single" w:color="000000" w:sz="4" w:space="0"/>
            </w:tcBorders>
            <w:vAlign w:val="center"/>
          </w:tcPr>
          <w:p w14:paraId="5FD22789">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住宅</w:t>
            </w:r>
          </w:p>
        </w:tc>
        <w:tc>
          <w:tcPr>
            <w:tcW w:w="1610" w:type="dxa"/>
            <w:tcBorders>
              <w:top w:val="single" w:color="000000" w:sz="4" w:space="0"/>
              <w:left w:val="single" w:color="000000" w:sz="4" w:space="0"/>
              <w:bottom w:val="single" w:color="000000" w:sz="4" w:space="0"/>
              <w:right w:val="single" w:color="000000" w:sz="4" w:space="0"/>
            </w:tcBorders>
            <w:vAlign w:val="center"/>
          </w:tcPr>
          <w:p w14:paraId="1C43A8C9">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首层大堂、门厅、标准层电梯厅及合用前室</w:t>
            </w:r>
          </w:p>
        </w:tc>
        <w:tc>
          <w:tcPr>
            <w:tcW w:w="1559" w:type="dxa"/>
            <w:tcBorders>
              <w:top w:val="single" w:color="000000" w:sz="4" w:space="0"/>
              <w:left w:val="single" w:color="000000" w:sz="4" w:space="0"/>
              <w:bottom w:val="single" w:color="000000" w:sz="4" w:space="0"/>
              <w:right w:val="single" w:color="000000" w:sz="4" w:space="0"/>
            </w:tcBorders>
            <w:vAlign w:val="center"/>
          </w:tcPr>
          <w:p w14:paraId="6AAEDDB7">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石膏板吊顶</w:t>
            </w:r>
          </w:p>
        </w:tc>
        <w:tc>
          <w:tcPr>
            <w:tcW w:w="1417" w:type="dxa"/>
            <w:tcBorders>
              <w:top w:val="single" w:color="000000" w:sz="4" w:space="0"/>
              <w:left w:val="single" w:color="000000" w:sz="4" w:space="0"/>
              <w:bottom w:val="single" w:color="000000" w:sz="4" w:space="0"/>
              <w:right w:val="single" w:color="000000" w:sz="4" w:space="0"/>
            </w:tcBorders>
            <w:vAlign w:val="center"/>
          </w:tcPr>
          <w:p w14:paraId="517CA63F">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ascii="宋体" w:hAnsi="宋体" w:eastAsia="宋体" w:cs="宋体"/>
                <w:color w:val="auto"/>
                <w:kern w:val="0"/>
                <w:sz w:val="21"/>
                <w:szCs w:val="21"/>
                <w:highlight w:val="none"/>
              </w:rPr>
              <w:t>40</w:t>
            </w:r>
            <w:r>
              <w:rPr>
                <w:rFonts w:hint="eastAsia" w:ascii="宋体" w:hAnsi="宋体" w:eastAsia="宋体" w:cs="宋体"/>
                <w:color w:val="auto"/>
                <w:kern w:val="0"/>
                <w:sz w:val="21"/>
                <w:szCs w:val="21"/>
                <w:highlight w:val="none"/>
              </w:rPr>
              <w:t>0*</w:t>
            </w:r>
            <w:r>
              <w:rPr>
                <w:rFonts w:ascii="宋体" w:hAnsi="宋体" w:eastAsia="宋体" w:cs="宋体"/>
                <w:color w:val="auto"/>
                <w:kern w:val="0"/>
                <w:sz w:val="21"/>
                <w:szCs w:val="21"/>
                <w:highlight w:val="none"/>
              </w:rPr>
              <w:t>80</w:t>
            </w:r>
            <w:r>
              <w:rPr>
                <w:rFonts w:hint="eastAsia" w:ascii="宋体" w:hAnsi="宋体" w:eastAsia="宋体" w:cs="宋体"/>
                <w:color w:val="auto"/>
                <w:kern w:val="0"/>
                <w:sz w:val="21"/>
                <w:szCs w:val="21"/>
                <w:highlight w:val="none"/>
              </w:rPr>
              <w:t>0抛釉砖至吊顶</w:t>
            </w:r>
          </w:p>
        </w:tc>
        <w:tc>
          <w:tcPr>
            <w:tcW w:w="1911" w:type="dxa"/>
            <w:tcBorders>
              <w:top w:val="single" w:color="000000" w:sz="4" w:space="0"/>
              <w:left w:val="single" w:color="000000" w:sz="4" w:space="0"/>
              <w:bottom w:val="single" w:color="000000" w:sz="4" w:space="0"/>
              <w:right w:val="single" w:color="000000" w:sz="4" w:space="0"/>
            </w:tcBorders>
            <w:vAlign w:val="center"/>
          </w:tcPr>
          <w:p w14:paraId="3602A6E3">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800*800防滑、抛釉砖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1EC930CD">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不锈钢脚线</w:t>
            </w:r>
          </w:p>
        </w:tc>
      </w:tr>
      <w:tr w14:paraId="16D82D39">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7430BD8E">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0CE4D54B">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标准层走道</w:t>
            </w:r>
          </w:p>
        </w:tc>
        <w:tc>
          <w:tcPr>
            <w:tcW w:w="1559" w:type="dxa"/>
            <w:tcBorders>
              <w:top w:val="single" w:color="000000" w:sz="4" w:space="0"/>
              <w:left w:val="single" w:color="000000" w:sz="4" w:space="0"/>
              <w:bottom w:val="single" w:color="000000" w:sz="4" w:space="0"/>
              <w:right w:val="single" w:color="000000" w:sz="4" w:space="0"/>
            </w:tcBorders>
            <w:vAlign w:val="center"/>
          </w:tcPr>
          <w:p w14:paraId="41D75684">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7D1EEF99">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300*600抛釉砖至吊顶</w:t>
            </w:r>
          </w:p>
        </w:tc>
        <w:tc>
          <w:tcPr>
            <w:tcW w:w="1911" w:type="dxa"/>
            <w:tcBorders>
              <w:top w:val="single" w:color="000000" w:sz="4" w:space="0"/>
              <w:left w:val="single" w:color="000000" w:sz="4" w:space="0"/>
              <w:bottom w:val="single" w:color="000000" w:sz="4" w:space="0"/>
              <w:right w:val="single" w:color="000000" w:sz="4" w:space="0"/>
            </w:tcBorders>
            <w:vAlign w:val="center"/>
          </w:tcPr>
          <w:p w14:paraId="26DAC522">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600*600防滑、抛釉砖</w:t>
            </w:r>
          </w:p>
        </w:tc>
        <w:tc>
          <w:tcPr>
            <w:tcW w:w="1305" w:type="dxa"/>
            <w:tcBorders>
              <w:top w:val="single" w:color="000000" w:sz="4" w:space="0"/>
              <w:left w:val="single" w:color="000000" w:sz="4" w:space="0"/>
              <w:bottom w:val="single" w:color="000000" w:sz="4" w:space="0"/>
              <w:right w:val="single" w:color="000000" w:sz="4" w:space="0"/>
            </w:tcBorders>
            <w:vAlign w:val="center"/>
          </w:tcPr>
          <w:p w14:paraId="31C96944">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不锈钢脚线</w:t>
            </w:r>
          </w:p>
        </w:tc>
      </w:tr>
      <w:tr w14:paraId="4BC08ADC">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7E4B9D2C">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35D9AD67">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客厅、饭厅（与其连通的走道）</w:t>
            </w:r>
          </w:p>
        </w:tc>
        <w:tc>
          <w:tcPr>
            <w:tcW w:w="1559" w:type="dxa"/>
            <w:tcBorders>
              <w:top w:val="single" w:color="000000" w:sz="4" w:space="0"/>
              <w:left w:val="single" w:color="000000" w:sz="4" w:space="0"/>
              <w:bottom w:val="single" w:color="000000" w:sz="4" w:space="0"/>
              <w:right w:val="single" w:color="000000" w:sz="4" w:space="0"/>
            </w:tcBorders>
            <w:vAlign w:val="center"/>
          </w:tcPr>
          <w:p w14:paraId="7ADE0B2D">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335FB77B">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7A0EC684">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800*800抛釉砖</w:t>
            </w:r>
          </w:p>
        </w:tc>
        <w:tc>
          <w:tcPr>
            <w:tcW w:w="1305" w:type="dxa"/>
            <w:tcBorders>
              <w:top w:val="single" w:color="000000" w:sz="4" w:space="0"/>
              <w:left w:val="single" w:color="000000" w:sz="4" w:space="0"/>
              <w:bottom w:val="single" w:color="000000" w:sz="4" w:space="0"/>
              <w:right w:val="single" w:color="000000" w:sz="4" w:space="0"/>
            </w:tcBorders>
            <w:vAlign w:val="center"/>
          </w:tcPr>
          <w:p w14:paraId="23E2B82E">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800*100抛釉砖（明贴）</w:t>
            </w:r>
          </w:p>
        </w:tc>
      </w:tr>
      <w:tr w14:paraId="0B6B1403">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349C0512">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607B53A3">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卧室、书房</w:t>
            </w:r>
          </w:p>
        </w:tc>
        <w:tc>
          <w:tcPr>
            <w:tcW w:w="1559" w:type="dxa"/>
            <w:tcBorders>
              <w:top w:val="single" w:color="000000" w:sz="4" w:space="0"/>
              <w:left w:val="single" w:color="000000" w:sz="4" w:space="0"/>
              <w:bottom w:val="single" w:color="000000" w:sz="4" w:space="0"/>
              <w:right w:val="single" w:color="000000" w:sz="4" w:space="0"/>
            </w:tcBorders>
            <w:vAlign w:val="center"/>
          </w:tcPr>
          <w:p w14:paraId="764474B8">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3B3EB540">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6FBC1C35">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600*600抛釉砖</w:t>
            </w:r>
          </w:p>
        </w:tc>
        <w:tc>
          <w:tcPr>
            <w:tcW w:w="1305" w:type="dxa"/>
            <w:tcBorders>
              <w:top w:val="single" w:color="000000" w:sz="4" w:space="0"/>
              <w:left w:val="single" w:color="000000" w:sz="4" w:space="0"/>
              <w:bottom w:val="single" w:color="000000" w:sz="4" w:space="0"/>
              <w:right w:val="single" w:color="000000" w:sz="4" w:space="0"/>
            </w:tcBorders>
            <w:vAlign w:val="center"/>
          </w:tcPr>
          <w:p w14:paraId="1E9313CB">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600*100抛釉砖（明贴）</w:t>
            </w:r>
          </w:p>
        </w:tc>
      </w:tr>
      <w:tr w14:paraId="01679C67">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25EB7296">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5497A082">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厨房</w:t>
            </w:r>
          </w:p>
        </w:tc>
        <w:tc>
          <w:tcPr>
            <w:tcW w:w="1559" w:type="dxa"/>
            <w:tcBorders>
              <w:top w:val="single" w:color="000000" w:sz="4" w:space="0"/>
              <w:left w:val="single" w:color="000000" w:sz="4" w:space="0"/>
              <w:bottom w:val="single" w:color="000000" w:sz="4" w:space="0"/>
              <w:right w:val="single" w:color="000000" w:sz="4" w:space="0"/>
            </w:tcBorders>
            <w:vAlign w:val="center"/>
          </w:tcPr>
          <w:p w14:paraId="57F58805">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300*300铝扣板</w:t>
            </w:r>
          </w:p>
        </w:tc>
        <w:tc>
          <w:tcPr>
            <w:tcW w:w="1417" w:type="dxa"/>
            <w:tcBorders>
              <w:top w:val="single" w:color="000000" w:sz="4" w:space="0"/>
              <w:left w:val="single" w:color="000000" w:sz="4" w:space="0"/>
              <w:bottom w:val="single" w:color="000000" w:sz="4" w:space="0"/>
              <w:right w:val="single" w:color="000000" w:sz="4" w:space="0"/>
            </w:tcBorders>
            <w:vAlign w:val="center"/>
          </w:tcPr>
          <w:p w14:paraId="01701E22">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300*600釉面砖至吊顶</w:t>
            </w:r>
          </w:p>
        </w:tc>
        <w:tc>
          <w:tcPr>
            <w:tcW w:w="1911" w:type="dxa"/>
            <w:tcBorders>
              <w:top w:val="single" w:color="000000" w:sz="4" w:space="0"/>
              <w:left w:val="single" w:color="000000" w:sz="4" w:space="0"/>
              <w:bottom w:val="single" w:color="000000" w:sz="4" w:space="0"/>
              <w:right w:val="single" w:color="000000" w:sz="4" w:space="0"/>
            </w:tcBorders>
            <w:vAlign w:val="center"/>
          </w:tcPr>
          <w:p w14:paraId="4540AA8F">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300*300防滑地砖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5CDC103B">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r>
      <w:tr w14:paraId="68DF4EA7">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7EE7BD48">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1B557742">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卫生间</w:t>
            </w:r>
          </w:p>
        </w:tc>
        <w:tc>
          <w:tcPr>
            <w:tcW w:w="1559" w:type="dxa"/>
            <w:tcBorders>
              <w:top w:val="single" w:color="000000" w:sz="4" w:space="0"/>
              <w:left w:val="single" w:color="000000" w:sz="4" w:space="0"/>
              <w:bottom w:val="single" w:color="000000" w:sz="4" w:space="0"/>
              <w:right w:val="single" w:color="000000" w:sz="4" w:space="0"/>
            </w:tcBorders>
            <w:vAlign w:val="center"/>
          </w:tcPr>
          <w:p w14:paraId="38CCE6FC">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300*300铝扣板</w:t>
            </w:r>
          </w:p>
        </w:tc>
        <w:tc>
          <w:tcPr>
            <w:tcW w:w="1417" w:type="dxa"/>
            <w:tcBorders>
              <w:top w:val="single" w:color="000000" w:sz="4" w:space="0"/>
              <w:left w:val="single" w:color="000000" w:sz="4" w:space="0"/>
              <w:bottom w:val="single" w:color="000000" w:sz="4" w:space="0"/>
              <w:right w:val="single" w:color="000000" w:sz="4" w:space="0"/>
            </w:tcBorders>
            <w:vAlign w:val="center"/>
          </w:tcPr>
          <w:p w14:paraId="27C61A61">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300*600釉面砖至吊顶上100</w:t>
            </w:r>
          </w:p>
        </w:tc>
        <w:tc>
          <w:tcPr>
            <w:tcW w:w="1911" w:type="dxa"/>
            <w:tcBorders>
              <w:top w:val="single" w:color="000000" w:sz="4" w:space="0"/>
              <w:left w:val="single" w:color="000000" w:sz="4" w:space="0"/>
              <w:bottom w:val="single" w:color="000000" w:sz="4" w:space="0"/>
              <w:right w:val="single" w:color="000000" w:sz="4" w:space="0"/>
            </w:tcBorders>
            <w:vAlign w:val="center"/>
          </w:tcPr>
          <w:p w14:paraId="75EEC3FE">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300*300防滑地砖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63E1CF6C">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r>
      <w:tr w14:paraId="61EA7953">
        <w:tblPrEx>
          <w:tblCellMar>
            <w:top w:w="0" w:type="dxa"/>
            <w:left w:w="108" w:type="dxa"/>
            <w:bottom w:w="0" w:type="dxa"/>
            <w:right w:w="108" w:type="dxa"/>
          </w:tblCellMar>
        </w:tblPrEx>
        <w:trPr>
          <w:trHeight w:val="489"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59D95680">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01D853AE">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阳台</w:t>
            </w:r>
          </w:p>
        </w:tc>
        <w:tc>
          <w:tcPr>
            <w:tcW w:w="1559" w:type="dxa"/>
            <w:tcBorders>
              <w:top w:val="single" w:color="000000" w:sz="4" w:space="0"/>
              <w:left w:val="single" w:color="000000" w:sz="4" w:space="0"/>
              <w:bottom w:val="single" w:color="000000" w:sz="4" w:space="0"/>
              <w:right w:val="single" w:color="000000" w:sz="4" w:space="0"/>
            </w:tcBorders>
            <w:vAlign w:val="center"/>
          </w:tcPr>
          <w:p w14:paraId="630EF241">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4F70A2B9">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外墙面砖</w:t>
            </w:r>
          </w:p>
        </w:tc>
        <w:tc>
          <w:tcPr>
            <w:tcW w:w="1911" w:type="dxa"/>
            <w:tcBorders>
              <w:top w:val="single" w:color="000000" w:sz="4" w:space="0"/>
              <w:left w:val="single" w:color="000000" w:sz="4" w:space="0"/>
              <w:bottom w:val="single" w:color="000000" w:sz="4" w:space="0"/>
              <w:right w:val="single" w:color="000000" w:sz="4" w:space="0"/>
            </w:tcBorders>
            <w:vAlign w:val="center"/>
          </w:tcPr>
          <w:p w14:paraId="2F1F6E65">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300*300防滑地砖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63DAF4B4">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r>
      <w:tr w14:paraId="0D1B3BAB">
        <w:tblPrEx>
          <w:tblCellMar>
            <w:top w:w="0" w:type="dxa"/>
            <w:left w:w="108" w:type="dxa"/>
            <w:bottom w:w="0" w:type="dxa"/>
            <w:right w:w="108" w:type="dxa"/>
          </w:tblCellMar>
        </w:tblPrEx>
        <w:trPr>
          <w:trHeight w:val="489"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7B3D607B">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7CAB4E22">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飘窗台</w:t>
            </w:r>
          </w:p>
        </w:tc>
        <w:tc>
          <w:tcPr>
            <w:tcW w:w="1559" w:type="dxa"/>
            <w:tcBorders>
              <w:top w:val="single" w:color="000000" w:sz="4" w:space="0"/>
              <w:left w:val="single" w:color="000000" w:sz="4" w:space="0"/>
              <w:bottom w:val="single" w:color="000000" w:sz="4" w:space="0"/>
              <w:right w:val="single" w:color="000000" w:sz="4" w:space="0"/>
            </w:tcBorders>
            <w:vAlign w:val="center"/>
          </w:tcPr>
          <w:p w14:paraId="52E16D81">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2D32D125">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118E45C5">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人造石材</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1A175B6E">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r>
      <w:tr w14:paraId="242CDE71">
        <w:tblPrEx>
          <w:tblCellMar>
            <w:top w:w="0" w:type="dxa"/>
            <w:left w:w="108" w:type="dxa"/>
            <w:bottom w:w="0" w:type="dxa"/>
            <w:right w:w="108" w:type="dxa"/>
          </w:tblCellMar>
        </w:tblPrEx>
        <w:trPr>
          <w:trHeight w:val="321"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68CCC524">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12B3F4DC">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楼梯间(预制件）</w:t>
            </w:r>
          </w:p>
        </w:tc>
        <w:tc>
          <w:tcPr>
            <w:tcW w:w="1559" w:type="dxa"/>
            <w:tcBorders>
              <w:top w:val="single" w:color="000000" w:sz="4" w:space="0"/>
              <w:left w:val="single" w:color="000000" w:sz="4" w:space="0"/>
              <w:bottom w:val="single" w:color="000000" w:sz="4" w:space="0"/>
              <w:right w:val="single" w:color="000000" w:sz="4" w:space="0"/>
            </w:tcBorders>
            <w:vAlign w:val="center"/>
          </w:tcPr>
          <w:p w14:paraId="1CC55C4A">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5A72377B">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6AC75727">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7C675B77">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灰色油漆</w:t>
            </w:r>
          </w:p>
        </w:tc>
      </w:tr>
      <w:tr w14:paraId="30CBE1D2">
        <w:tblPrEx>
          <w:tblCellMar>
            <w:top w:w="0" w:type="dxa"/>
            <w:left w:w="108" w:type="dxa"/>
            <w:bottom w:w="0" w:type="dxa"/>
            <w:right w:w="108" w:type="dxa"/>
          </w:tblCellMar>
        </w:tblPrEx>
        <w:trPr>
          <w:trHeight w:val="321"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685E526A">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058CA3A6">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楼梯间（现浇）</w:t>
            </w:r>
          </w:p>
        </w:tc>
        <w:tc>
          <w:tcPr>
            <w:tcW w:w="1559" w:type="dxa"/>
            <w:tcBorders>
              <w:top w:val="single" w:color="000000" w:sz="4" w:space="0"/>
              <w:left w:val="single" w:color="000000" w:sz="4" w:space="0"/>
              <w:bottom w:val="single" w:color="000000" w:sz="4" w:space="0"/>
              <w:right w:val="single" w:color="000000" w:sz="4" w:space="0"/>
            </w:tcBorders>
            <w:vAlign w:val="center"/>
          </w:tcPr>
          <w:p w14:paraId="7F6EC36F">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574C7900">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2BCAE29F">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水泥砂浆面压光，踏步边缘设置两条凹槽</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2164BDA3">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灰色油漆</w:t>
            </w:r>
          </w:p>
        </w:tc>
      </w:tr>
      <w:tr w14:paraId="591CD92A">
        <w:tblPrEx>
          <w:tblCellMar>
            <w:top w:w="0" w:type="dxa"/>
            <w:left w:w="108" w:type="dxa"/>
            <w:bottom w:w="0" w:type="dxa"/>
            <w:right w:w="108" w:type="dxa"/>
          </w:tblCellMar>
        </w:tblPrEx>
        <w:trPr>
          <w:trHeight w:val="632"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18A2F355">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3E5DC6A4">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管道井</w:t>
            </w:r>
          </w:p>
        </w:tc>
        <w:tc>
          <w:tcPr>
            <w:tcW w:w="1559" w:type="dxa"/>
            <w:tcBorders>
              <w:top w:val="single" w:color="000000" w:sz="4" w:space="0"/>
              <w:left w:val="single" w:color="000000" w:sz="4" w:space="0"/>
              <w:bottom w:val="single" w:color="000000" w:sz="4" w:space="0"/>
              <w:right w:val="single" w:color="000000" w:sz="4" w:space="0"/>
            </w:tcBorders>
            <w:vAlign w:val="center"/>
          </w:tcPr>
          <w:p w14:paraId="2E9A5559">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c>
          <w:tcPr>
            <w:tcW w:w="1417" w:type="dxa"/>
            <w:tcBorders>
              <w:top w:val="single" w:color="000000" w:sz="4" w:space="0"/>
              <w:left w:val="single" w:color="000000" w:sz="4" w:space="0"/>
              <w:bottom w:val="single" w:color="000000" w:sz="4" w:space="0"/>
              <w:right w:val="single" w:color="000000" w:sz="4" w:space="0"/>
            </w:tcBorders>
            <w:vAlign w:val="center"/>
          </w:tcPr>
          <w:p w14:paraId="71C91404">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水泥砂浆抹面</w:t>
            </w:r>
          </w:p>
        </w:tc>
        <w:tc>
          <w:tcPr>
            <w:tcW w:w="1911" w:type="dxa"/>
            <w:tcBorders>
              <w:top w:val="single" w:color="000000" w:sz="4" w:space="0"/>
              <w:left w:val="single" w:color="000000" w:sz="4" w:space="0"/>
              <w:bottom w:val="single" w:color="000000" w:sz="4" w:space="0"/>
              <w:right w:val="single" w:color="000000" w:sz="4" w:space="0"/>
            </w:tcBorders>
            <w:vAlign w:val="center"/>
          </w:tcPr>
          <w:p w14:paraId="4A11D1BE">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水泥砂浆抹面</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28A83C45">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r>
      <w:tr w14:paraId="5E73B752">
        <w:tblPrEx>
          <w:tblCellMar>
            <w:top w:w="0" w:type="dxa"/>
            <w:left w:w="108" w:type="dxa"/>
            <w:bottom w:w="0" w:type="dxa"/>
            <w:right w:w="108" w:type="dxa"/>
          </w:tblCellMar>
        </w:tblPrEx>
        <w:trPr>
          <w:trHeight w:val="321" w:hRule="atLeast"/>
        </w:trPr>
        <w:tc>
          <w:tcPr>
            <w:tcW w:w="375" w:type="dxa"/>
            <w:vMerge w:val="continue"/>
            <w:tcBorders>
              <w:top w:val="single" w:color="000000" w:sz="4" w:space="0"/>
              <w:left w:val="single" w:color="000000" w:sz="4" w:space="0"/>
              <w:bottom w:val="single" w:color="000000" w:sz="4" w:space="0"/>
              <w:right w:val="single" w:color="000000" w:sz="4" w:space="0"/>
            </w:tcBorders>
            <w:vAlign w:val="center"/>
          </w:tcPr>
          <w:p w14:paraId="42C3FFA4">
            <w:pPr>
              <w:snapToGrid/>
              <w:spacing w:before="0" w:after="0" w:line="240" w:lineRule="auto"/>
              <w:jc w:val="center"/>
              <w:rPr>
                <w:rFonts w:hint="eastAsia" w:ascii="宋体" w:hAnsi="宋体" w:eastAsia="宋体" w:cs="宋体"/>
                <w:color w:val="auto"/>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7433192E">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架空层</w:t>
            </w:r>
          </w:p>
        </w:tc>
        <w:tc>
          <w:tcPr>
            <w:tcW w:w="1559" w:type="dxa"/>
            <w:tcBorders>
              <w:top w:val="single" w:color="000000" w:sz="4" w:space="0"/>
              <w:left w:val="single" w:color="000000" w:sz="4" w:space="0"/>
              <w:bottom w:val="single" w:color="000000" w:sz="4" w:space="0"/>
              <w:right w:val="single" w:color="000000" w:sz="4" w:space="0"/>
            </w:tcBorders>
            <w:vAlign w:val="center"/>
          </w:tcPr>
          <w:p w14:paraId="6759FB69">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无机外墙涂料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020ED52C">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外墙面砖</w:t>
            </w:r>
          </w:p>
        </w:tc>
        <w:tc>
          <w:tcPr>
            <w:tcW w:w="1911" w:type="dxa"/>
            <w:tcBorders>
              <w:top w:val="single" w:color="000000" w:sz="4" w:space="0"/>
              <w:left w:val="single" w:color="000000" w:sz="4" w:space="0"/>
              <w:bottom w:val="single" w:color="000000" w:sz="4" w:space="0"/>
              <w:right w:val="single" w:color="000000" w:sz="4" w:space="0"/>
            </w:tcBorders>
            <w:vAlign w:val="center"/>
          </w:tcPr>
          <w:p w14:paraId="0E14AD4A">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600*600防滑砖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4A489B1E">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r>
      <w:tr w14:paraId="6A6CC2EA">
        <w:tblPrEx>
          <w:tblCellMar>
            <w:top w:w="0" w:type="dxa"/>
            <w:left w:w="108" w:type="dxa"/>
            <w:bottom w:w="0" w:type="dxa"/>
            <w:right w:w="108" w:type="dxa"/>
          </w:tblCellMar>
        </w:tblPrEx>
        <w:trPr>
          <w:trHeight w:val="632" w:hRule="atLeast"/>
        </w:trPr>
        <w:tc>
          <w:tcPr>
            <w:tcW w:w="375" w:type="dxa"/>
            <w:vMerge w:val="restart"/>
            <w:tcBorders>
              <w:top w:val="single" w:color="000000" w:sz="4" w:space="0"/>
              <w:left w:val="single" w:color="000000" w:sz="4" w:space="0"/>
              <w:right w:val="single" w:color="000000" w:sz="4" w:space="0"/>
            </w:tcBorders>
            <w:vAlign w:val="center"/>
          </w:tcPr>
          <w:p w14:paraId="184CB46F">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商业住宅公配</w:t>
            </w:r>
          </w:p>
        </w:tc>
        <w:tc>
          <w:tcPr>
            <w:tcW w:w="1610" w:type="dxa"/>
            <w:tcBorders>
              <w:top w:val="single" w:color="000000" w:sz="4" w:space="0"/>
              <w:left w:val="single" w:color="000000" w:sz="4" w:space="0"/>
              <w:bottom w:val="single" w:color="000000" w:sz="4" w:space="0"/>
              <w:right w:val="single" w:color="000000" w:sz="4" w:space="0"/>
            </w:tcBorders>
            <w:vAlign w:val="center"/>
          </w:tcPr>
          <w:p w14:paraId="51B2D287">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住宅商铺</w:t>
            </w:r>
          </w:p>
        </w:tc>
        <w:tc>
          <w:tcPr>
            <w:tcW w:w="1559" w:type="dxa"/>
            <w:tcBorders>
              <w:top w:val="single" w:color="000000" w:sz="4" w:space="0"/>
              <w:left w:val="single" w:color="000000" w:sz="4" w:space="0"/>
              <w:bottom w:val="single" w:color="000000" w:sz="4" w:space="0"/>
              <w:right w:val="single" w:color="000000" w:sz="4" w:space="0"/>
            </w:tcBorders>
            <w:vAlign w:val="center"/>
          </w:tcPr>
          <w:p w14:paraId="54435477">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360C47C0">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水泥砂浆抹面</w:t>
            </w:r>
          </w:p>
        </w:tc>
        <w:tc>
          <w:tcPr>
            <w:tcW w:w="1911" w:type="dxa"/>
            <w:tcBorders>
              <w:top w:val="single" w:color="000000" w:sz="4" w:space="0"/>
              <w:left w:val="single" w:color="000000" w:sz="4" w:space="0"/>
              <w:bottom w:val="single" w:color="000000" w:sz="4" w:space="0"/>
              <w:right w:val="single" w:color="000000" w:sz="4" w:space="0"/>
            </w:tcBorders>
            <w:vAlign w:val="center"/>
          </w:tcPr>
          <w:p w14:paraId="10296785">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水泥砂浆抹面</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1F7519D5">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w:t>
            </w:r>
          </w:p>
        </w:tc>
      </w:tr>
      <w:tr w14:paraId="102A48EB">
        <w:tblPrEx>
          <w:tblCellMar>
            <w:top w:w="0" w:type="dxa"/>
            <w:left w:w="108" w:type="dxa"/>
            <w:bottom w:w="0" w:type="dxa"/>
            <w:right w:w="108" w:type="dxa"/>
          </w:tblCellMar>
        </w:tblPrEx>
        <w:trPr>
          <w:trHeight w:val="727" w:hRule="atLeast"/>
        </w:trPr>
        <w:tc>
          <w:tcPr>
            <w:tcW w:w="375" w:type="dxa"/>
            <w:vMerge w:val="continue"/>
            <w:tcBorders>
              <w:left w:val="single" w:color="000000" w:sz="4" w:space="0"/>
              <w:right w:val="single" w:color="000000" w:sz="4" w:space="0"/>
            </w:tcBorders>
            <w:vAlign w:val="center"/>
          </w:tcPr>
          <w:p w14:paraId="697E703C">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32A496D9">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住宅公配</w:t>
            </w:r>
          </w:p>
        </w:tc>
        <w:tc>
          <w:tcPr>
            <w:tcW w:w="1559" w:type="dxa"/>
            <w:tcBorders>
              <w:top w:val="single" w:color="000000" w:sz="4" w:space="0"/>
              <w:left w:val="single" w:color="000000" w:sz="4" w:space="0"/>
              <w:bottom w:val="single" w:color="000000" w:sz="4" w:space="0"/>
              <w:right w:val="single" w:color="000000" w:sz="4" w:space="0"/>
            </w:tcBorders>
            <w:vAlign w:val="center"/>
          </w:tcPr>
          <w:p w14:paraId="6F3BCFA2">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64995AA8">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6A37D2F1">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600*600抛釉砖</w:t>
            </w:r>
          </w:p>
        </w:tc>
        <w:tc>
          <w:tcPr>
            <w:tcW w:w="1305" w:type="dxa"/>
            <w:tcBorders>
              <w:top w:val="single" w:color="000000" w:sz="4" w:space="0"/>
              <w:left w:val="single" w:color="000000" w:sz="4" w:space="0"/>
              <w:bottom w:val="single" w:color="000000" w:sz="4" w:space="0"/>
              <w:right w:val="single" w:color="000000" w:sz="4" w:space="0"/>
            </w:tcBorders>
            <w:vAlign w:val="center"/>
          </w:tcPr>
          <w:p w14:paraId="7AA467AD">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600*100抛釉砖（明贴）</w:t>
            </w:r>
          </w:p>
        </w:tc>
      </w:tr>
      <w:tr w14:paraId="1ACBB72A">
        <w:tblPrEx>
          <w:tblCellMar>
            <w:top w:w="0" w:type="dxa"/>
            <w:left w:w="108" w:type="dxa"/>
            <w:bottom w:w="0" w:type="dxa"/>
            <w:right w:w="108" w:type="dxa"/>
          </w:tblCellMar>
        </w:tblPrEx>
        <w:trPr>
          <w:trHeight w:val="727" w:hRule="atLeast"/>
        </w:trPr>
        <w:tc>
          <w:tcPr>
            <w:tcW w:w="375" w:type="dxa"/>
            <w:vMerge w:val="continue"/>
            <w:tcBorders>
              <w:left w:val="single" w:color="000000" w:sz="4" w:space="0"/>
              <w:bottom w:val="single" w:color="000000" w:sz="4" w:space="0"/>
              <w:right w:val="single" w:color="000000" w:sz="4" w:space="0"/>
            </w:tcBorders>
            <w:vAlign w:val="center"/>
          </w:tcPr>
          <w:p w14:paraId="413C1698">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393B9A0A">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楼梯间（现浇、公配部分）</w:t>
            </w:r>
          </w:p>
        </w:tc>
        <w:tc>
          <w:tcPr>
            <w:tcW w:w="1559" w:type="dxa"/>
            <w:tcBorders>
              <w:top w:val="single" w:color="000000" w:sz="4" w:space="0"/>
              <w:left w:val="single" w:color="000000" w:sz="4" w:space="0"/>
              <w:bottom w:val="single" w:color="000000" w:sz="4" w:space="0"/>
              <w:right w:val="single" w:color="000000" w:sz="4" w:space="0"/>
            </w:tcBorders>
            <w:vAlign w:val="center"/>
          </w:tcPr>
          <w:p w14:paraId="3E913CC9">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64D5CBFA">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911" w:type="dxa"/>
            <w:tcBorders>
              <w:top w:val="single" w:color="000000" w:sz="4" w:space="0"/>
              <w:left w:val="single" w:color="000000" w:sz="4" w:space="0"/>
              <w:bottom w:val="single" w:color="000000" w:sz="4" w:space="0"/>
              <w:right w:val="single" w:color="000000" w:sz="4" w:space="0"/>
            </w:tcBorders>
            <w:vAlign w:val="center"/>
          </w:tcPr>
          <w:p w14:paraId="78FF114E">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600*300防滑砖（开防滑槽）</w:t>
            </w:r>
          </w:p>
        </w:tc>
        <w:tc>
          <w:tcPr>
            <w:tcW w:w="1305" w:type="dxa"/>
            <w:tcBorders>
              <w:top w:val="single" w:color="000000" w:sz="4" w:space="0"/>
              <w:left w:val="single" w:color="000000" w:sz="4" w:space="0"/>
              <w:bottom w:val="single" w:color="000000" w:sz="4" w:space="0"/>
              <w:right w:val="single" w:color="000000" w:sz="4" w:space="0"/>
            </w:tcBorders>
            <w:vAlign w:val="center"/>
          </w:tcPr>
          <w:p w14:paraId="6C47D538">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600*100抛釉砖（明贴）</w:t>
            </w:r>
          </w:p>
        </w:tc>
      </w:tr>
      <w:tr w14:paraId="4FF0A4CF">
        <w:tblPrEx>
          <w:tblCellMar>
            <w:top w:w="0" w:type="dxa"/>
            <w:left w:w="108" w:type="dxa"/>
            <w:bottom w:w="0" w:type="dxa"/>
            <w:right w:w="108" w:type="dxa"/>
          </w:tblCellMar>
        </w:tblPrEx>
        <w:trPr>
          <w:trHeight w:val="321" w:hRule="atLeast"/>
        </w:trPr>
        <w:tc>
          <w:tcPr>
            <w:tcW w:w="375" w:type="dxa"/>
            <w:vMerge w:val="restart"/>
            <w:tcBorders>
              <w:top w:val="single" w:color="000000" w:sz="4" w:space="0"/>
              <w:left w:val="single" w:color="000000" w:sz="4" w:space="0"/>
              <w:right w:val="single" w:color="000000" w:sz="4" w:space="0"/>
            </w:tcBorders>
            <w:vAlign w:val="center"/>
          </w:tcPr>
          <w:p w14:paraId="143E7671">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地下室</w:t>
            </w:r>
          </w:p>
        </w:tc>
        <w:tc>
          <w:tcPr>
            <w:tcW w:w="1610" w:type="dxa"/>
            <w:tcBorders>
              <w:top w:val="single" w:color="000000" w:sz="4" w:space="0"/>
              <w:left w:val="single" w:color="000000" w:sz="4" w:space="0"/>
              <w:bottom w:val="single" w:color="000000" w:sz="4" w:space="0"/>
              <w:right w:val="single" w:color="000000" w:sz="4" w:space="0"/>
            </w:tcBorders>
            <w:vAlign w:val="center"/>
          </w:tcPr>
          <w:p w14:paraId="3B5278A9">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地下车库</w:t>
            </w:r>
          </w:p>
        </w:tc>
        <w:tc>
          <w:tcPr>
            <w:tcW w:w="1559" w:type="dxa"/>
            <w:tcBorders>
              <w:top w:val="single" w:color="000000" w:sz="4" w:space="0"/>
              <w:left w:val="single" w:color="000000" w:sz="4" w:space="0"/>
              <w:bottom w:val="single" w:color="000000" w:sz="4" w:space="0"/>
              <w:right w:val="single" w:color="000000" w:sz="4" w:space="0"/>
            </w:tcBorders>
            <w:vAlign w:val="center"/>
          </w:tcPr>
          <w:p w14:paraId="65EBBA4B">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灰色防潮防霉无机涂料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1F56B35A">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防潮防霉无机涂</w:t>
            </w:r>
          </w:p>
        </w:tc>
        <w:tc>
          <w:tcPr>
            <w:tcW w:w="1911" w:type="dxa"/>
            <w:tcBorders>
              <w:top w:val="single" w:color="000000" w:sz="4" w:space="0"/>
              <w:left w:val="single" w:color="000000" w:sz="4" w:space="0"/>
              <w:bottom w:val="single" w:color="000000" w:sz="4" w:space="0"/>
              <w:right w:val="single" w:color="000000" w:sz="4" w:space="0"/>
            </w:tcBorders>
            <w:vAlign w:val="center"/>
          </w:tcPr>
          <w:p w14:paraId="5C2B50F2">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环氧树脂地坪漆</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04CD382C">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灰色无机涂料</w:t>
            </w:r>
          </w:p>
        </w:tc>
      </w:tr>
      <w:tr w14:paraId="133928B4">
        <w:tblPrEx>
          <w:tblCellMar>
            <w:top w:w="0" w:type="dxa"/>
            <w:left w:w="108" w:type="dxa"/>
            <w:bottom w:w="0" w:type="dxa"/>
            <w:right w:w="108" w:type="dxa"/>
          </w:tblCellMar>
        </w:tblPrEx>
        <w:trPr>
          <w:trHeight w:val="632" w:hRule="atLeast"/>
        </w:trPr>
        <w:tc>
          <w:tcPr>
            <w:tcW w:w="375" w:type="dxa"/>
            <w:vMerge w:val="continue"/>
            <w:tcBorders>
              <w:left w:val="single" w:color="000000" w:sz="4" w:space="0"/>
              <w:right w:val="single" w:color="000000" w:sz="4" w:space="0"/>
            </w:tcBorders>
            <w:vAlign w:val="center"/>
          </w:tcPr>
          <w:p w14:paraId="5DEF7536">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4670748E">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地下室设备用房</w:t>
            </w:r>
          </w:p>
        </w:tc>
        <w:tc>
          <w:tcPr>
            <w:tcW w:w="1559" w:type="dxa"/>
            <w:tcBorders>
              <w:top w:val="single" w:color="000000" w:sz="4" w:space="0"/>
              <w:left w:val="single" w:color="000000" w:sz="4" w:space="0"/>
              <w:bottom w:val="single" w:color="000000" w:sz="4" w:space="0"/>
              <w:right w:val="single" w:color="000000" w:sz="4" w:space="0"/>
            </w:tcBorders>
            <w:vAlign w:val="center"/>
          </w:tcPr>
          <w:p w14:paraId="6334408E">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防潮防霉无机涂料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669D60AC">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防潮防霉无机涂料</w:t>
            </w:r>
          </w:p>
        </w:tc>
        <w:tc>
          <w:tcPr>
            <w:tcW w:w="1911" w:type="dxa"/>
            <w:tcBorders>
              <w:top w:val="single" w:color="000000" w:sz="4" w:space="0"/>
              <w:left w:val="single" w:color="000000" w:sz="4" w:space="0"/>
              <w:bottom w:val="single" w:color="000000" w:sz="4" w:space="0"/>
              <w:right w:val="single" w:color="000000" w:sz="4" w:space="0"/>
            </w:tcBorders>
            <w:noWrap/>
            <w:vAlign w:val="center"/>
          </w:tcPr>
          <w:p w14:paraId="3E92A590">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水泥砂浆面压光</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1AE6618D">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水泥砂浆面压光</w:t>
            </w:r>
          </w:p>
        </w:tc>
      </w:tr>
      <w:tr w14:paraId="50D239EA">
        <w:tblPrEx>
          <w:tblCellMar>
            <w:top w:w="0" w:type="dxa"/>
            <w:left w:w="108" w:type="dxa"/>
            <w:bottom w:w="0" w:type="dxa"/>
            <w:right w:w="108" w:type="dxa"/>
          </w:tblCellMar>
        </w:tblPrEx>
        <w:trPr>
          <w:trHeight w:val="703" w:hRule="atLeast"/>
        </w:trPr>
        <w:tc>
          <w:tcPr>
            <w:tcW w:w="375" w:type="dxa"/>
            <w:vMerge w:val="continue"/>
            <w:tcBorders>
              <w:left w:val="single" w:color="000000" w:sz="4" w:space="0"/>
              <w:right w:val="single" w:color="000000" w:sz="4" w:space="0"/>
            </w:tcBorders>
            <w:vAlign w:val="center"/>
          </w:tcPr>
          <w:p w14:paraId="12DB4A00">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01B295DB">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电梯厅及合用前室</w:t>
            </w:r>
          </w:p>
        </w:tc>
        <w:tc>
          <w:tcPr>
            <w:tcW w:w="1559" w:type="dxa"/>
            <w:tcBorders>
              <w:top w:val="single" w:color="000000" w:sz="4" w:space="0"/>
              <w:left w:val="single" w:color="000000" w:sz="4" w:space="0"/>
              <w:bottom w:val="single" w:color="000000" w:sz="4" w:space="0"/>
              <w:right w:val="single" w:color="000000" w:sz="4" w:space="0"/>
            </w:tcBorders>
            <w:vAlign w:val="center"/>
          </w:tcPr>
          <w:p w14:paraId="3B2B9A59">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铝合金格栅</w:t>
            </w:r>
          </w:p>
        </w:tc>
        <w:tc>
          <w:tcPr>
            <w:tcW w:w="1417" w:type="dxa"/>
            <w:tcBorders>
              <w:top w:val="single" w:color="000000" w:sz="4" w:space="0"/>
              <w:left w:val="single" w:color="000000" w:sz="4" w:space="0"/>
              <w:bottom w:val="single" w:color="000000" w:sz="4" w:space="0"/>
              <w:right w:val="single" w:color="000000" w:sz="4" w:space="0"/>
            </w:tcBorders>
            <w:vAlign w:val="center"/>
          </w:tcPr>
          <w:p w14:paraId="12CD0D1F">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300*600釉面砖至吊顶</w:t>
            </w:r>
          </w:p>
        </w:tc>
        <w:tc>
          <w:tcPr>
            <w:tcW w:w="1911" w:type="dxa"/>
            <w:tcBorders>
              <w:top w:val="single" w:color="000000" w:sz="4" w:space="0"/>
              <w:left w:val="single" w:color="000000" w:sz="4" w:space="0"/>
              <w:bottom w:val="single" w:color="000000" w:sz="4" w:space="0"/>
              <w:right w:val="single" w:color="000000" w:sz="4" w:space="0"/>
            </w:tcBorders>
            <w:noWrap/>
            <w:vAlign w:val="center"/>
          </w:tcPr>
          <w:p w14:paraId="5F7D1F00">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600*600防滑抛釉砖</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5E1B1A71">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600*100抛釉砖（明贴）</w:t>
            </w:r>
          </w:p>
        </w:tc>
      </w:tr>
      <w:tr w14:paraId="018F961D">
        <w:tblPrEx>
          <w:tblCellMar>
            <w:top w:w="0" w:type="dxa"/>
            <w:left w:w="108" w:type="dxa"/>
            <w:bottom w:w="0" w:type="dxa"/>
            <w:right w:w="108" w:type="dxa"/>
          </w:tblCellMar>
        </w:tblPrEx>
        <w:trPr>
          <w:trHeight w:val="632" w:hRule="atLeast"/>
        </w:trPr>
        <w:tc>
          <w:tcPr>
            <w:tcW w:w="375" w:type="dxa"/>
            <w:vMerge w:val="continue"/>
            <w:tcBorders>
              <w:left w:val="single" w:color="000000" w:sz="4" w:space="0"/>
              <w:bottom w:val="single" w:color="000000" w:sz="4" w:space="0"/>
              <w:right w:val="single" w:color="000000" w:sz="4" w:space="0"/>
            </w:tcBorders>
            <w:vAlign w:val="center"/>
          </w:tcPr>
          <w:p w14:paraId="2C04B02F">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p>
        </w:tc>
        <w:tc>
          <w:tcPr>
            <w:tcW w:w="1610" w:type="dxa"/>
            <w:tcBorders>
              <w:top w:val="single" w:color="000000" w:sz="4" w:space="0"/>
              <w:left w:val="single" w:color="000000" w:sz="4" w:space="0"/>
              <w:bottom w:val="single" w:color="000000" w:sz="4" w:space="0"/>
              <w:right w:val="single" w:color="000000" w:sz="4" w:space="0"/>
            </w:tcBorders>
            <w:vAlign w:val="center"/>
          </w:tcPr>
          <w:p w14:paraId="4AE7BD4F">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楼梯间（现浇）</w:t>
            </w:r>
          </w:p>
        </w:tc>
        <w:tc>
          <w:tcPr>
            <w:tcW w:w="1559" w:type="dxa"/>
            <w:tcBorders>
              <w:top w:val="single" w:color="000000" w:sz="4" w:space="0"/>
              <w:left w:val="single" w:color="000000" w:sz="4" w:space="0"/>
              <w:bottom w:val="single" w:color="000000" w:sz="4" w:space="0"/>
              <w:right w:val="single" w:color="000000" w:sz="4" w:space="0"/>
            </w:tcBorders>
            <w:vAlign w:val="center"/>
          </w:tcPr>
          <w:p w14:paraId="37566F6B">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417" w:type="dxa"/>
            <w:tcBorders>
              <w:top w:val="single" w:color="000000" w:sz="4" w:space="0"/>
              <w:left w:val="single" w:color="000000" w:sz="4" w:space="0"/>
              <w:bottom w:val="single" w:color="000000" w:sz="4" w:space="0"/>
              <w:right w:val="single" w:color="000000" w:sz="4" w:space="0"/>
            </w:tcBorders>
            <w:vAlign w:val="center"/>
          </w:tcPr>
          <w:p w14:paraId="09FD2F0C">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无机涂料</w:t>
            </w:r>
          </w:p>
        </w:tc>
        <w:tc>
          <w:tcPr>
            <w:tcW w:w="1911" w:type="dxa"/>
            <w:tcBorders>
              <w:top w:val="single" w:color="000000" w:sz="4" w:space="0"/>
              <w:left w:val="single" w:color="000000" w:sz="4" w:space="0"/>
              <w:bottom w:val="single" w:color="000000" w:sz="4" w:space="0"/>
              <w:right w:val="single" w:color="000000" w:sz="4" w:space="0"/>
            </w:tcBorders>
            <w:noWrap/>
            <w:vAlign w:val="center"/>
          </w:tcPr>
          <w:p w14:paraId="5102844C">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水泥砂浆面压光，踏步边缘设置两条凹槽</w:t>
            </w:r>
          </w:p>
        </w:tc>
        <w:tc>
          <w:tcPr>
            <w:tcW w:w="1305" w:type="dxa"/>
            <w:tcBorders>
              <w:top w:val="single" w:color="000000" w:sz="4" w:space="0"/>
              <w:left w:val="single" w:color="000000" w:sz="4" w:space="0"/>
              <w:bottom w:val="single" w:color="000000" w:sz="4" w:space="0"/>
              <w:right w:val="single" w:color="000000" w:sz="4" w:space="0"/>
            </w:tcBorders>
            <w:noWrap/>
            <w:vAlign w:val="center"/>
          </w:tcPr>
          <w:p w14:paraId="689A4680">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灰色无机涂料</w:t>
            </w:r>
          </w:p>
        </w:tc>
      </w:tr>
    </w:tbl>
    <w:p w14:paraId="7C7E8271">
      <w:pPr>
        <w:spacing w:line="44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备注：</w:t>
      </w:r>
    </w:p>
    <w:p w14:paraId="1C5F13D4">
      <w:pPr>
        <w:spacing w:line="440" w:lineRule="exact"/>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1、标准层电梯厅及合用前室吊顶装修区域以防火门位置作为分隔控制线；</w:t>
      </w:r>
    </w:p>
    <w:p w14:paraId="068864E4">
      <w:pPr>
        <w:spacing w:line="440" w:lineRule="exact"/>
        <w:ind w:firstLine="420" w:firstLineChars="200"/>
        <w:rPr>
          <w:rFonts w:hint="eastAsia" w:ascii="宋体" w:hAnsi="宋体" w:eastAsia="宋体" w:cs="宋体"/>
          <w:b/>
          <w:color w:val="auto"/>
          <w:sz w:val="21"/>
          <w:szCs w:val="21"/>
          <w:highlight w:val="none"/>
        </w:rPr>
      </w:pPr>
      <w:r>
        <w:rPr>
          <w:rFonts w:hint="eastAsia" w:ascii="宋体" w:hAnsi="宋体" w:eastAsia="宋体" w:cs="宋体"/>
          <w:color w:val="auto"/>
          <w:sz w:val="21"/>
          <w:szCs w:val="21"/>
          <w:highlight w:val="none"/>
        </w:rPr>
        <w:t>2、首层电梯门套按装修确定，地下室与标准层电梯门套采用产家拉丝不锈钢成品门套。</w:t>
      </w:r>
    </w:p>
    <w:p w14:paraId="39932D22">
      <w:pPr>
        <w:pStyle w:val="6"/>
        <w:keepNext w:val="0"/>
        <w:keepLines w:val="0"/>
        <w:snapToGrid/>
        <w:spacing w:before="156" w:beforeLines="50"/>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1.3.2 构造做法</w:t>
      </w:r>
    </w:p>
    <w:p w14:paraId="5E3754E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highlight w:val="none"/>
        </w:rPr>
        <w:t>详见附件1：</w:t>
      </w:r>
      <w:r>
        <w:rPr>
          <w:rFonts w:hint="eastAsia" w:ascii="宋体" w:hAnsi="宋体" w:eastAsia="宋体" w:cs="宋体"/>
          <w:color w:val="auto"/>
          <w:sz w:val="24"/>
          <w:szCs w:val="24"/>
          <w:highlight w:val="none"/>
        </w:rPr>
        <w:t>建筑统一构造做法表。</w:t>
      </w:r>
      <w:r>
        <w:rPr>
          <w:rFonts w:hint="eastAsia" w:ascii="宋体" w:hAnsi="宋体" w:eastAsia="宋体" w:cs="宋体"/>
          <w:color w:val="auto"/>
          <w:sz w:val="24"/>
          <w:highlight w:val="none"/>
        </w:rPr>
        <w:t>此构造做法为主要部位的通用构造做法</w:t>
      </w:r>
      <w:r>
        <w:rPr>
          <w:rFonts w:hint="eastAsia" w:ascii="宋体" w:hAnsi="宋体" w:eastAsia="宋体" w:cs="宋体"/>
          <w:color w:val="auto"/>
          <w:sz w:val="24"/>
          <w:szCs w:val="24"/>
          <w:highlight w:val="none"/>
        </w:rPr>
        <w:t>，未涉及部分由设计单位按照经济合理的原则，根据项目实际情况进行调整。如有更新，按最新标准执行。</w:t>
      </w:r>
    </w:p>
    <w:p w14:paraId="0BC217AA">
      <w:pPr>
        <w:pStyle w:val="6"/>
        <w:keepNext w:val="0"/>
        <w:keepLines w:val="0"/>
        <w:snapToGrid/>
        <w:spacing w:before="156" w:beforeLines="50"/>
        <w:ind w:firstLine="480" w:firstLineChars="20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1.3.3 防水材料选用</w:t>
      </w:r>
    </w:p>
    <w:p w14:paraId="30128922">
      <w:pPr>
        <w:pStyle w:val="8"/>
        <w:numPr>
          <w:ilvl w:val="3"/>
          <w:numId w:val="0"/>
        </w:numPr>
        <w:tabs>
          <w:tab w:val="left" w:pos="0"/>
        </w:tabs>
        <w:ind w:firstLine="562" w:firstLineChars="200"/>
        <w:rPr>
          <w:rStyle w:val="81"/>
          <w:rFonts w:hint="eastAsia" w:ascii="宋体" w:hAnsi="宋体" w:cs="宋体"/>
          <w:szCs w:val="24"/>
          <w:highlight w:val="none"/>
        </w:rPr>
      </w:pPr>
      <w:r>
        <w:rPr>
          <w:rStyle w:val="81"/>
          <w:rFonts w:hint="eastAsia" w:ascii="宋体" w:hAnsi="宋体" w:cs="宋体"/>
          <w:szCs w:val="24"/>
          <w:highlight w:val="none"/>
        </w:rPr>
        <w:t>防水材料选用表</w:t>
      </w:r>
    </w:p>
    <w:tbl>
      <w:tblPr>
        <w:tblStyle w:val="42"/>
        <w:tblW w:w="8659" w:type="dxa"/>
        <w:tblInd w:w="96" w:type="dxa"/>
        <w:tblLayout w:type="fixed"/>
        <w:tblCellMar>
          <w:top w:w="0" w:type="dxa"/>
          <w:left w:w="108" w:type="dxa"/>
          <w:bottom w:w="0" w:type="dxa"/>
          <w:right w:w="108" w:type="dxa"/>
        </w:tblCellMar>
      </w:tblPr>
      <w:tblGrid>
        <w:gridCol w:w="1212"/>
        <w:gridCol w:w="1346"/>
        <w:gridCol w:w="4860"/>
        <w:gridCol w:w="1241"/>
      </w:tblGrid>
      <w:tr w14:paraId="3423476F">
        <w:tblPrEx>
          <w:tblCellMar>
            <w:top w:w="0" w:type="dxa"/>
            <w:left w:w="108" w:type="dxa"/>
            <w:bottom w:w="0" w:type="dxa"/>
            <w:right w:w="108" w:type="dxa"/>
          </w:tblCellMar>
        </w:tblPrEx>
        <w:trPr>
          <w:trHeight w:val="312" w:hRule="atLeast"/>
        </w:trPr>
        <w:tc>
          <w:tcPr>
            <w:tcW w:w="1212" w:type="dxa"/>
            <w:tcBorders>
              <w:top w:val="single" w:color="000000" w:sz="4" w:space="0"/>
              <w:left w:val="single" w:color="000000" w:sz="4" w:space="0"/>
              <w:bottom w:val="single" w:color="000000" w:sz="4" w:space="0"/>
              <w:right w:val="single" w:color="000000" w:sz="4" w:space="0"/>
            </w:tcBorders>
            <w:noWrap/>
            <w:vAlign w:val="center"/>
          </w:tcPr>
          <w:p w14:paraId="5223B5EB">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功能区</w:t>
            </w: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3F06C6AC">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部位</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02008736">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防水材料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694FC41C">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备注</w:t>
            </w:r>
          </w:p>
        </w:tc>
      </w:tr>
      <w:tr w14:paraId="3C7891CD">
        <w:tblPrEx>
          <w:tblCellMar>
            <w:top w:w="0" w:type="dxa"/>
            <w:left w:w="108" w:type="dxa"/>
            <w:bottom w:w="0" w:type="dxa"/>
            <w:right w:w="108" w:type="dxa"/>
          </w:tblCellMar>
        </w:tblPrEx>
        <w:trPr>
          <w:trHeight w:val="754" w:hRule="atLeast"/>
        </w:trPr>
        <w:tc>
          <w:tcPr>
            <w:tcW w:w="1212" w:type="dxa"/>
            <w:vMerge w:val="restart"/>
            <w:tcBorders>
              <w:top w:val="single" w:color="000000" w:sz="4" w:space="0"/>
              <w:left w:val="single" w:color="000000" w:sz="4" w:space="0"/>
              <w:bottom w:val="single" w:color="000000" w:sz="4" w:space="0"/>
              <w:right w:val="single" w:color="000000" w:sz="4" w:space="0"/>
            </w:tcBorders>
            <w:noWrap/>
            <w:vAlign w:val="center"/>
          </w:tcPr>
          <w:p w14:paraId="48782EF6">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地下室</w:t>
            </w: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45AE71B4">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顶板（有种植覆土）</w:t>
            </w:r>
          </w:p>
        </w:tc>
        <w:tc>
          <w:tcPr>
            <w:tcW w:w="4860" w:type="dxa"/>
            <w:tcBorders>
              <w:top w:val="single" w:color="000000" w:sz="4" w:space="0"/>
              <w:left w:val="single" w:color="000000" w:sz="4" w:space="0"/>
              <w:bottom w:val="single" w:color="000000" w:sz="4" w:space="0"/>
              <w:right w:val="single" w:color="000000" w:sz="4" w:space="0"/>
            </w:tcBorders>
            <w:vAlign w:val="center"/>
          </w:tcPr>
          <w:p w14:paraId="504CD42A">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4厚SBS改性沥青耐根穿刺防水卷材（上表面材料为聚乙烯膜0.4厚，保留作为隔离层）+2厚非固化橡胶沥青防水涂料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2E743DEE">
            <w:pPr>
              <w:jc w:val="center"/>
              <w:rPr>
                <w:rFonts w:hint="eastAsia" w:ascii="宋体" w:hAnsi="宋体" w:eastAsia="宋体" w:cs="宋体"/>
                <w:color w:val="auto"/>
                <w:highlight w:val="none"/>
              </w:rPr>
            </w:pPr>
          </w:p>
        </w:tc>
      </w:tr>
      <w:tr w14:paraId="1944AC7D">
        <w:tblPrEx>
          <w:tblCellMar>
            <w:top w:w="0" w:type="dxa"/>
            <w:left w:w="108" w:type="dxa"/>
            <w:bottom w:w="0" w:type="dxa"/>
            <w:right w:w="108" w:type="dxa"/>
          </w:tblCellMar>
        </w:tblPrEx>
        <w:trPr>
          <w:trHeight w:val="754" w:hRule="atLeast"/>
        </w:trPr>
        <w:tc>
          <w:tcPr>
            <w:tcW w:w="1212" w:type="dxa"/>
            <w:vMerge w:val="continue"/>
            <w:tcBorders>
              <w:left w:val="single" w:color="000000" w:sz="4" w:space="0"/>
              <w:right w:val="single" w:color="000000" w:sz="4" w:space="0"/>
            </w:tcBorders>
            <w:noWrap/>
            <w:vAlign w:val="center"/>
          </w:tcPr>
          <w:p w14:paraId="787E441B">
            <w:pPr>
              <w:widowControl/>
              <w:jc w:val="center"/>
              <w:textAlignment w:val="center"/>
              <w:rPr>
                <w:rFonts w:hint="eastAsia" w:ascii="宋体" w:hAnsi="宋体" w:eastAsia="宋体" w:cs="宋体"/>
                <w:color w:val="auto"/>
                <w:kern w:val="0"/>
                <w:highlight w:val="none"/>
              </w:rPr>
            </w:pP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1F07A976">
            <w:pPr>
              <w:widowControl/>
              <w:tabs>
                <w:tab w:val="left" w:pos="492"/>
              </w:tabs>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ab/>
            </w:r>
            <w:r>
              <w:rPr>
                <w:rFonts w:hint="eastAsia" w:ascii="宋体" w:hAnsi="宋体" w:eastAsia="宋体" w:cs="宋体"/>
                <w:color w:val="auto"/>
                <w:kern w:val="0"/>
                <w:highlight w:val="none"/>
              </w:rPr>
              <w:t>顶板二（无覆土无保温层）</w:t>
            </w:r>
          </w:p>
        </w:tc>
        <w:tc>
          <w:tcPr>
            <w:tcW w:w="4860" w:type="dxa"/>
            <w:tcBorders>
              <w:top w:val="single" w:color="000000" w:sz="4" w:space="0"/>
              <w:left w:val="single" w:color="000000" w:sz="4" w:space="0"/>
              <w:bottom w:val="single" w:color="000000" w:sz="4" w:space="0"/>
              <w:right w:val="single" w:color="000000" w:sz="4" w:space="0"/>
            </w:tcBorders>
            <w:vAlign w:val="center"/>
          </w:tcPr>
          <w:p w14:paraId="03FCCBD8">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1.5厚自粘聚合物改性沥青防水卷材（上表面材料为聚乙烯膜0.4厚，保留作为隔离层）+2.0厚非固化橡胶沥青防水涂料</w:t>
            </w:r>
          </w:p>
          <w:p w14:paraId="1424C4E2">
            <w:pPr>
              <w:rPr>
                <w:rFonts w:hint="eastAsia"/>
                <w:color w:val="auto"/>
                <w:highlight w:val="none"/>
              </w:rPr>
            </w:pP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61A1DA68">
            <w:pPr>
              <w:jc w:val="center"/>
              <w:rPr>
                <w:rFonts w:hint="eastAsia" w:ascii="宋体" w:hAnsi="宋体" w:eastAsia="宋体" w:cs="宋体"/>
                <w:color w:val="auto"/>
                <w:highlight w:val="none"/>
              </w:rPr>
            </w:pPr>
          </w:p>
        </w:tc>
      </w:tr>
      <w:tr w14:paraId="3E15C156">
        <w:tblPrEx>
          <w:tblCellMar>
            <w:top w:w="0" w:type="dxa"/>
            <w:left w:w="108" w:type="dxa"/>
            <w:bottom w:w="0" w:type="dxa"/>
            <w:right w:w="108" w:type="dxa"/>
          </w:tblCellMar>
        </w:tblPrEx>
        <w:trPr>
          <w:trHeight w:val="312" w:hRule="atLeast"/>
        </w:trPr>
        <w:tc>
          <w:tcPr>
            <w:tcW w:w="1212" w:type="dxa"/>
            <w:vMerge w:val="continue"/>
            <w:tcBorders>
              <w:top w:val="single" w:color="000000" w:sz="4" w:space="0"/>
              <w:left w:val="single" w:color="000000" w:sz="4" w:space="0"/>
              <w:bottom w:val="single" w:color="000000" w:sz="4" w:space="0"/>
              <w:right w:val="single" w:color="000000" w:sz="4" w:space="0"/>
            </w:tcBorders>
            <w:noWrap/>
            <w:vAlign w:val="center"/>
          </w:tcPr>
          <w:p w14:paraId="7A99EFAE">
            <w:pPr>
              <w:jc w:val="center"/>
              <w:rPr>
                <w:rFonts w:hint="eastAsia" w:ascii="宋体" w:hAnsi="宋体" w:eastAsia="宋体" w:cs="宋体"/>
                <w:color w:val="auto"/>
                <w:highlight w:val="none"/>
              </w:rPr>
            </w:pP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7E8CCFDB">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侧壁</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7B0F0941">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1.5厚自粘聚合物改性沥青防水卷材</w:t>
            </w:r>
          </w:p>
          <w:p w14:paraId="0AE2F6D5">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+2.0厚(高粘抗滑)水性橡胶沥青防水涂料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4023F25D">
            <w:pPr>
              <w:widowControl/>
              <w:jc w:val="center"/>
              <w:textAlignment w:val="center"/>
              <w:rPr>
                <w:rFonts w:hint="eastAsia" w:ascii="宋体" w:hAnsi="宋体" w:eastAsia="宋体" w:cs="宋体"/>
                <w:color w:val="auto"/>
                <w:kern w:val="0"/>
                <w:highlight w:val="none"/>
              </w:rPr>
            </w:pPr>
          </w:p>
        </w:tc>
      </w:tr>
      <w:tr w14:paraId="3F369402">
        <w:tblPrEx>
          <w:tblCellMar>
            <w:top w:w="0" w:type="dxa"/>
            <w:left w:w="108" w:type="dxa"/>
            <w:bottom w:w="0" w:type="dxa"/>
            <w:right w:w="108" w:type="dxa"/>
          </w:tblCellMar>
        </w:tblPrEx>
        <w:trPr>
          <w:trHeight w:val="312" w:hRule="atLeast"/>
        </w:trPr>
        <w:tc>
          <w:tcPr>
            <w:tcW w:w="1212" w:type="dxa"/>
            <w:vMerge w:val="continue"/>
            <w:tcBorders>
              <w:top w:val="single" w:color="000000" w:sz="4" w:space="0"/>
              <w:left w:val="single" w:color="000000" w:sz="4" w:space="0"/>
              <w:bottom w:val="single" w:color="000000" w:sz="4" w:space="0"/>
              <w:right w:val="single" w:color="000000" w:sz="4" w:space="0"/>
            </w:tcBorders>
            <w:noWrap/>
            <w:vAlign w:val="center"/>
          </w:tcPr>
          <w:p w14:paraId="63A6DB21">
            <w:pPr>
              <w:jc w:val="center"/>
              <w:rPr>
                <w:rFonts w:hint="eastAsia" w:ascii="宋体" w:hAnsi="宋体" w:eastAsia="宋体" w:cs="宋体"/>
                <w:color w:val="auto"/>
                <w:highlight w:val="none"/>
              </w:rPr>
            </w:pP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1331677E">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底板</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695C12D4">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1.2厚高分子自粘胶膜预铺防水卷材（P类）（预铺反粘法）+1.5厚自粘聚合物改性沥青防水卷材</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0C4B48DA">
            <w:pPr>
              <w:widowControl/>
              <w:jc w:val="center"/>
              <w:textAlignment w:val="center"/>
              <w:rPr>
                <w:rFonts w:hint="eastAsia" w:ascii="宋体" w:hAnsi="宋体" w:eastAsia="宋体" w:cs="宋体"/>
                <w:color w:val="auto"/>
                <w:kern w:val="0"/>
                <w:highlight w:val="none"/>
              </w:rPr>
            </w:pPr>
          </w:p>
        </w:tc>
      </w:tr>
      <w:tr w14:paraId="415B8A89">
        <w:tblPrEx>
          <w:tblCellMar>
            <w:top w:w="0" w:type="dxa"/>
            <w:left w:w="108" w:type="dxa"/>
            <w:bottom w:w="0" w:type="dxa"/>
            <w:right w:w="108" w:type="dxa"/>
          </w:tblCellMar>
        </w:tblPrEx>
        <w:trPr>
          <w:trHeight w:val="624" w:hRule="atLeast"/>
        </w:trPr>
        <w:tc>
          <w:tcPr>
            <w:tcW w:w="1212" w:type="dxa"/>
            <w:vMerge w:val="restart"/>
            <w:tcBorders>
              <w:top w:val="single" w:color="000000" w:sz="4" w:space="0"/>
              <w:left w:val="single" w:color="000000" w:sz="4" w:space="0"/>
              <w:right w:val="single" w:color="000000" w:sz="4" w:space="0"/>
            </w:tcBorders>
            <w:noWrap/>
            <w:vAlign w:val="center"/>
          </w:tcPr>
          <w:p w14:paraId="2BD8EF23">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卫生间</w:t>
            </w: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3C5AE676">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地面</w:t>
            </w:r>
          </w:p>
        </w:tc>
        <w:tc>
          <w:tcPr>
            <w:tcW w:w="4860" w:type="dxa"/>
            <w:tcBorders>
              <w:top w:val="single" w:color="000000" w:sz="4" w:space="0"/>
              <w:left w:val="single" w:color="000000" w:sz="4" w:space="0"/>
              <w:bottom w:val="single" w:color="000000" w:sz="4" w:space="0"/>
              <w:right w:val="single" w:color="000000" w:sz="4" w:space="0"/>
            </w:tcBorders>
            <w:vAlign w:val="center"/>
          </w:tcPr>
          <w:p w14:paraId="0648010E">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方案一：2厚聚合物水泥基防水涂料(II型）+2厚聚合物水泥基防水涂料(II型）</w:t>
            </w:r>
          </w:p>
          <w:p w14:paraId="135D34CE">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方案二：1.5厚聚氨酯防水涂料+1.5厚聚氨酯防水涂料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79BF7795">
            <w:pPr>
              <w:widowControl/>
              <w:jc w:val="center"/>
              <w:textAlignment w:val="center"/>
              <w:rPr>
                <w:rFonts w:hint="eastAsia" w:ascii="宋体" w:hAnsi="宋体" w:eastAsia="宋体" w:cs="宋体"/>
                <w:color w:val="auto"/>
                <w:kern w:val="0"/>
                <w:highlight w:val="none"/>
              </w:rPr>
            </w:pPr>
          </w:p>
        </w:tc>
      </w:tr>
      <w:tr w14:paraId="66C503D5">
        <w:tblPrEx>
          <w:tblCellMar>
            <w:top w:w="0" w:type="dxa"/>
            <w:left w:w="108" w:type="dxa"/>
            <w:bottom w:w="0" w:type="dxa"/>
            <w:right w:w="108" w:type="dxa"/>
          </w:tblCellMar>
        </w:tblPrEx>
        <w:trPr>
          <w:trHeight w:val="312" w:hRule="atLeast"/>
        </w:trPr>
        <w:tc>
          <w:tcPr>
            <w:tcW w:w="1212" w:type="dxa"/>
            <w:vMerge w:val="continue"/>
            <w:tcBorders>
              <w:left w:val="single" w:color="000000" w:sz="4" w:space="0"/>
              <w:right w:val="single" w:color="000000" w:sz="4" w:space="0"/>
            </w:tcBorders>
            <w:noWrap/>
            <w:vAlign w:val="center"/>
          </w:tcPr>
          <w:p w14:paraId="6FDE89E6">
            <w:pPr>
              <w:jc w:val="center"/>
              <w:rPr>
                <w:rFonts w:hint="eastAsia" w:ascii="宋体" w:hAnsi="宋体" w:eastAsia="宋体" w:cs="宋体"/>
                <w:color w:val="auto"/>
                <w:highlight w:val="none"/>
              </w:rPr>
            </w:pPr>
          </w:p>
        </w:tc>
        <w:tc>
          <w:tcPr>
            <w:tcW w:w="1346" w:type="dxa"/>
            <w:vMerge w:val="restart"/>
            <w:tcBorders>
              <w:top w:val="single" w:color="000000" w:sz="4" w:space="0"/>
              <w:left w:val="single" w:color="000000" w:sz="4" w:space="0"/>
              <w:right w:val="single" w:color="000000" w:sz="4" w:space="0"/>
            </w:tcBorders>
            <w:noWrap/>
            <w:vAlign w:val="center"/>
          </w:tcPr>
          <w:p w14:paraId="475D3E7B">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墙面</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5F32CD52">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2厚聚合物水泥基防水涂料（II型）</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3AFBBE6C">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1.8米以下</w:t>
            </w:r>
          </w:p>
        </w:tc>
      </w:tr>
      <w:tr w14:paraId="5EDBA9A0">
        <w:tblPrEx>
          <w:tblCellMar>
            <w:top w:w="0" w:type="dxa"/>
            <w:left w:w="108" w:type="dxa"/>
            <w:bottom w:w="0" w:type="dxa"/>
            <w:right w:w="108" w:type="dxa"/>
          </w:tblCellMar>
        </w:tblPrEx>
        <w:trPr>
          <w:trHeight w:val="312" w:hRule="atLeast"/>
        </w:trPr>
        <w:tc>
          <w:tcPr>
            <w:tcW w:w="1212" w:type="dxa"/>
            <w:vMerge w:val="continue"/>
            <w:tcBorders>
              <w:left w:val="single" w:color="000000" w:sz="4" w:space="0"/>
              <w:bottom w:val="single" w:color="000000" w:sz="4" w:space="0"/>
              <w:right w:val="single" w:color="000000" w:sz="4" w:space="0"/>
            </w:tcBorders>
            <w:noWrap/>
            <w:vAlign w:val="center"/>
          </w:tcPr>
          <w:p w14:paraId="2F30F0F9">
            <w:pPr>
              <w:jc w:val="center"/>
              <w:rPr>
                <w:rFonts w:hint="eastAsia" w:ascii="宋体" w:hAnsi="宋体" w:eastAsia="宋体" w:cs="宋体"/>
                <w:color w:val="auto"/>
                <w:highlight w:val="none"/>
              </w:rPr>
            </w:pPr>
          </w:p>
        </w:tc>
        <w:tc>
          <w:tcPr>
            <w:tcW w:w="1346" w:type="dxa"/>
            <w:vMerge w:val="continue"/>
            <w:tcBorders>
              <w:left w:val="single" w:color="000000" w:sz="4" w:space="0"/>
              <w:bottom w:val="single" w:color="000000" w:sz="4" w:space="0"/>
              <w:right w:val="single" w:color="000000" w:sz="4" w:space="0"/>
            </w:tcBorders>
            <w:noWrap/>
            <w:vAlign w:val="center"/>
          </w:tcPr>
          <w:p w14:paraId="03995E32">
            <w:pPr>
              <w:widowControl/>
              <w:jc w:val="center"/>
              <w:textAlignment w:val="center"/>
              <w:rPr>
                <w:rFonts w:hint="eastAsia" w:ascii="宋体" w:hAnsi="宋体" w:eastAsia="宋体" w:cs="宋体"/>
                <w:color w:val="auto"/>
                <w:kern w:val="0"/>
                <w:highlight w:val="none"/>
              </w:rPr>
            </w:pP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2DBF608F">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1.2厚聚合物水泥基防水涂料（II型）</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21E810DD">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1.8米以上</w:t>
            </w:r>
          </w:p>
        </w:tc>
      </w:tr>
      <w:tr w14:paraId="4C861482">
        <w:tblPrEx>
          <w:tblCellMar>
            <w:top w:w="0" w:type="dxa"/>
            <w:left w:w="108" w:type="dxa"/>
            <w:bottom w:w="0" w:type="dxa"/>
            <w:right w:w="108" w:type="dxa"/>
          </w:tblCellMar>
        </w:tblPrEx>
        <w:trPr>
          <w:trHeight w:val="312" w:hRule="atLeast"/>
        </w:trPr>
        <w:tc>
          <w:tcPr>
            <w:tcW w:w="1212" w:type="dxa"/>
            <w:vMerge w:val="restart"/>
            <w:tcBorders>
              <w:top w:val="single" w:color="000000" w:sz="4" w:space="0"/>
              <w:left w:val="single" w:color="000000" w:sz="4" w:space="0"/>
              <w:bottom w:val="single" w:color="000000" w:sz="4" w:space="0"/>
              <w:right w:val="single" w:color="000000" w:sz="4" w:space="0"/>
            </w:tcBorders>
            <w:noWrap/>
            <w:vAlign w:val="center"/>
          </w:tcPr>
          <w:p w14:paraId="2C0759EF">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厨房</w:t>
            </w: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3111F480">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地面</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18DDA1B4">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方案一：2厚聚合物水泥基防水涂料(II型）+2厚聚合物水泥防水涂料(II型）</w:t>
            </w:r>
          </w:p>
          <w:p w14:paraId="099129A5">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方案二：1.5厚聚氨酯防水涂料+1.5厚聚氨酯防水涂料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20F75BB6">
            <w:pPr>
              <w:widowControl/>
              <w:jc w:val="center"/>
              <w:textAlignment w:val="center"/>
              <w:rPr>
                <w:rFonts w:hint="eastAsia" w:ascii="宋体" w:hAnsi="宋体" w:eastAsia="宋体" w:cs="宋体"/>
                <w:color w:val="auto"/>
                <w:kern w:val="0"/>
                <w:highlight w:val="none"/>
              </w:rPr>
            </w:pPr>
          </w:p>
        </w:tc>
      </w:tr>
      <w:tr w14:paraId="0A9517DA">
        <w:tblPrEx>
          <w:tblCellMar>
            <w:top w:w="0" w:type="dxa"/>
            <w:left w:w="108" w:type="dxa"/>
            <w:bottom w:w="0" w:type="dxa"/>
            <w:right w:w="108" w:type="dxa"/>
          </w:tblCellMar>
        </w:tblPrEx>
        <w:trPr>
          <w:trHeight w:val="312" w:hRule="atLeast"/>
        </w:trPr>
        <w:tc>
          <w:tcPr>
            <w:tcW w:w="1212" w:type="dxa"/>
            <w:vMerge w:val="continue"/>
            <w:tcBorders>
              <w:top w:val="single" w:color="000000" w:sz="4" w:space="0"/>
              <w:left w:val="single" w:color="000000" w:sz="4" w:space="0"/>
              <w:bottom w:val="single" w:color="000000" w:sz="4" w:space="0"/>
              <w:right w:val="single" w:color="000000" w:sz="4" w:space="0"/>
            </w:tcBorders>
            <w:noWrap/>
            <w:vAlign w:val="center"/>
          </w:tcPr>
          <w:p w14:paraId="4ECD8C54">
            <w:pPr>
              <w:jc w:val="center"/>
              <w:rPr>
                <w:rFonts w:hint="eastAsia" w:ascii="宋体" w:hAnsi="宋体" w:eastAsia="宋体" w:cs="宋体"/>
                <w:color w:val="auto"/>
                <w:highlight w:val="none"/>
              </w:rPr>
            </w:pP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3E8D48D5">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墙面</w:t>
            </w:r>
          </w:p>
        </w:tc>
        <w:tc>
          <w:tcPr>
            <w:tcW w:w="4860" w:type="dxa"/>
            <w:tcBorders>
              <w:top w:val="single" w:color="000000" w:sz="4" w:space="0"/>
              <w:left w:val="single" w:color="000000" w:sz="4" w:space="0"/>
              <w:bottom w:val="single" w:color="000000" w:sz="4" w:space="0"/>
              <w:right w:val="single" w:color="000000" w:sz="4" w:space="0"/>
            </w:tcBorders>
            <w:noWrap/>
            <w:vAlign w:val="center"/>
          </w:tcPr>
          <w:p w14:paraId="4D2FF6CF">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2厚聚合物水泥基防水涂料（II型）</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441C3E76">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1.2米以下</w:t>
            </w:r>
          </w:p>
        </w:tc>
      </w:tr>
      <w:tr w14:paraId="58411AC4">
        <w:tblPrEx>
          <w:tblCellMar>
            <w:top w:w="0" w:type="dxa"/>
            <w:left w:w="108" w:type="dxa"/>
            <w:bottom w:w="0" w:type="dxa"/>
            <w:right w:w="108" w:type="dxa"/>
          </w:tblCellMar>
        </w:tblPrEx>
        <w:trPr>
          <w:trHeight w:val="624" w:hRule="atLeast"/>
        </w:trPr>
        <w:tc>
          <w:tcPr>
            <w:tcW w:w="1212" w:type="dxa"/>
            <w:tcBorders>
              <w:top w:val="single" w:color="000000" w:sz="4" w:space="0"/>
              <w:left w:val="single" w:color="000000" w:sz="4" w:space="0"/>
              <w:bottom w:val="single" w:color="000000" w:sz="4" w:space="0"/>
              <w:right w:val="single" w:color="000000" w:sz="4" w:space="0"/>
            </w:tcBorders>
            <w:noWrap/>
            <w:vAlign w:val="center"/>
          </w:tcPr>
          <w:p w14:paraId="14C0B7A7">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屋顶</w:t>
            </w:r>
          </w:p>
        </w:tc>
        <w:tc>
          <w:tcPr>
            <w:tcW w:w="1346" w:type="dxa"/>
            <w:tcBorders>
              <w:top w:val="single" w:color="000000" w:sz="4" w:space="0"/>
              <w:left w:val="single" w:color="000000" w:sz="4" w:space="0"/>
              <w:bottom w:val="single" w:color="000000" w:sz="4" w:space="0"/>
              <w:right w:val="single" w:color="000000" w:sz="4" w:space="0"/>
            </w:tcBorders>
            <w:noWrap/>
            <w:vAlign w:val="center"/>
          </w:tcPr>
          <w:p w14:paraId="405230A6">
            <w:pPr>
              <w:widowControl/>
              <w:jc w:val="center"/>
              <w:textAlignment w:val="center"/>
              <w:rPr>
                <w:rFonts w:hint="eastAsia" w:ascii="宋体" w:hAnsi="宋体" w:eastAsia="宋体" w:cs="宋体"/>
                <w:color w:val="auto"/>
                <w:highlight w:val="none"/>
              </w:rPr>
            </w:pPr>
            <w:r>
              <w:rPr>
                <w:rFonts w:hint="eastAsia" w:ascii="宋体" w:hAnsi="宋体" w:eastAsia="宋体" w:cs="宋体"/>
                <w:color w:val="auto"/>
                <w:kern w:val="0"/>
                <w:highlight w:val="none"/>
              </w:rPr>
              <w:t>地面</w:t>
            </w:r>
          </w:p>
        </w:tc>
        <w:tc>
          <w:tcPr>
            <w:tcW w:w="4860" w:type="dxa"/>
            <w:tcBorders>
              <w:top w:val="single" w:color="000000" w:sz="4" w:space="0"/>
              <w:left w:val="single" w:color="000000" w:sz="4" w:space="0"/>
              <w:bottom w:val="single" w:color="000000" w:sz="4" w:space="0"/>
              <w:right w:val="single" w:color="000000" w:sz="4" w:space="0"/>
            </w:tcBorders>
            <w:vAlign w:val="center"/>
          </w:tcPr>
          <w:p w14:paraId="2C2125E0">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1.5厚自粘聚合物改性沥青防水卷材各1道共2道</w:t>
            </w:r>
          </w:p>
          <w:p w14:paraId="0EB6C67D">
            <w:pPr>
              <w:widowControl/>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+2厚非固化橡胶沥青防水涂料</w:t>
            </w:r>
          </w:p>
        </w:tc>
        <w:tc>
          <w:tcPr>
            <w:tcW w:w="1241" w:type="dxa"/>
            <w:tcBorders>
              <w:top w:val="single" w:color="000000" w:sz="4" w:space="0"/>
              <w:left w:val="single" w:color="000000" w:sz="4" w:space="0"/>
              <w:bottom w:val="single" w:color="000000" w:sz="4" w:space="0"/>
              <w:right w:val="single" w:color="000000" w:sz="4" w:space="0"/>
            </w:tcBorders>
            <w:noWrap/>
            <w:vAlign w:val="center"/>
          </w:tcPr>
          <w:p w14:paraId="14E96129">
            <w:pPr>
              <w:widowControl/>
              <w:jc w:val="center"/>
              <w:textAlignment w:val="center"/>
              <w:rPr>
                <w:rFonts w:hint="eastAsia" w:ascii="宋体" w:hAnsi="宋体" w:eastAsia="宋体" w:cs="宋体"/>
                <w:color w:val="auto"/>
                <w:kern w:val="0"/>
                <w:highlight w:val="none"/>
              </w:rPr>
            </w:pPr>
          </w:p>
        </w:tc>
      </w:tr>
    </w:tbl>
    <w:p w14:paraId="54ACA5DF">
      <w:pPr>
        <w:rPr>
          <w:rFonts w:hint="eastAsia"/>
          <w:color w:val="auto"/>
          <w:highlight w:val="none"/>
        </w:rPr>
      </w:pPr>
    </w:p>
    <w:p w14:paraId="7E643F97">
      <w:pPr>
        <w:pStyle w:val="24"/>
        <w:ind w:firstLine="480"/>
        <w:rPr>
          <w:rFonts w:hint="eastAsia" w:hAnsi="宋体" w:cs="宋体"/>
          <w:szCs w:val="24"/>
          <w:highlight w:val="none"/>
        </w:rPr>
      </w:pPr>
      <w:r>
        <w:rPr>
          <w:rFonts w:hint="eastAsia" w:hAnsi="宋体" w:cs="宋体"/>
          <w:szCs w:val="24"/>
          <w:highlight w:val="none"/>
        </w:rPr>
        <w:t>1.3.4 电梯选型</w:t>
      </w:r>
    </w:p>
    <w:tbl>
      <w:tblPr>
        <w:tblStyle w:val="42"/>
        <w:tblW w:w="894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1"/>
        <w:gridCol w:w="1511"/>
        <w:gridCol w:w="1559"/>
        <w:gridCol w:w="1275"/>
        <w:gridCol w:w="851"/>
        <w:gridCol w:w="851"/>
        <w:gridCol w:w="850"/>
        <w:gridCol w:w="1008"/>
      </w:tblGrid>
      <w:tr w14:paraId="03B8F2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552" w:type="dxa"/>
            <w:gridSpan w:val="2"/>
            <w:shd w:val="clear" w:color="auto" w:fill="auto"/>
            <w:vAlign w:val="center"/>
          </w:tcPr>
          <w:p w14:paraId="66E86D0E">
            <w:pPr>
              <w:pStyle w:val="80"/>
              <w:adjustRightInd w:val="0"/>
              <w:snapToGrid w:val="0"/>
              <w:ind w:firstLine="0" w:firstLineChars="0"/>
              <w:jc w:val="center"/>
              <w:rPr>
                <w:kern w:val="0"/>
                <w:sz w:val="22"/>
                <w:szCs w:val="22"/>
                <w:highlight w:val="none"/>
              </w:rPr>
            </w:pPr>
          </w:p>
        </w:tc>
        <w:tc>
          <w:tcPr>
            <w:tcW w:w="1559" w:type="dxa"/>
            <w:shd w:val="clear" w:color="auto" w:fill="auto"/>
            <w:vAlign w:val="center"/>
          </w:tcPr>
          <w:p w14:paraId="7DAC8CD2">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井道尺寸（mm）</w:t>
            </w:r>
          </w:p>
        </w:tc>
        <w:tc>
          <w:tcPr>
            <w:tcW w:w="1275" w:type="dxa"/>
            <w:shd w:val="clear" w:color="auto" w:fill="auto"/>
            <w:vAlign w:val="center"/>
          </w:tcPr>
          <w:p w14:paraId="5FA35337">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轿厢尺寸（mm）</w:t>
            </w:r>
          </w:p>
        </w:tc>
        <w:tc>
          <w:tcPr>
            <w:tcW w:w="851" w:type="dxa"/>
            <w:shd w:val="clear" w:color="auto" w:fill="auto"/>
            <w:vAlign w:val="center"/>
          </w:tcPr>
          <w:p w14:paraId="17BC59CC">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顶层高度（mm）</w:t>
            </w:r>
          </w:p>
        </w:tc>
        <w:tc>
          <w:tcPr>
            <w:tcW w:w="851" w:type="dxa"/>
            <w:shd w:val="clear" w:color="auto" w:fill="auto"/>
            <w:vAlign w:val="center"/>
          </w:tcPr>
          <w:p w14:paraId="2FCDA168">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底坑深度（mm）</w:t>
            </w:r>
          </w:p>
        </w:tc>
        <w:tc>
          <w:tcPr>
            <w:tcW w:w="850" w:type="dxa"/>
            <w:shd w:val="clear" w:color="auto" w:fill="auto"/>
            <w:vAlign w:val="center"/>
          </w:tcPr>
          <w:p w14:paraId="7EB5D264">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载重（kg）</w:t>
            </w:r>
          </w:p>
        </w:tc>
        <w:tc>
          <w:tcPr>
            <w:tcW w:w="1008" w:type="dxa"/>
            <w:shd w:val="clear" w:color="auto" w:fill="auto"/>
            <w:vAlign w:val="center"/>
          </w:tcPr>
          <w:p w14:paraId="20554EB3">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速度（m/s）</w:t>
            </w:r>
          </w:p>
        </w:tc>
      </w:tr>
      <w:tr w14:paraId="13452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552" w:type="dxa"/>
            <w:gridSpan w:val="2"/>
            <w:shd w:val="clear" w:color="auto" w:fill="auto"/>
            <w:vAlign w:val="center"/>
          </w:tcPr>
          <w:p w14:paraId="694E6BBC">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高层住宅塔楼（＞54m）</w:t>
            </w:r>
          </w:p>
        </w:tc>
        <w:tc>
          <w:tcPr>
            <w:tcW w:w="1559" w:type="dxa"/>
            <w:shd w:val="clear" w:color="auto" w:fill="auto"/>
            <w:vAlign w:val="center"/>
          </w:tcPr>
          <w:p w14:paraId="0088025D">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2200x2200</w:t>
            </w:r>
          </w:p>
        </w:tc>
        <w:tc>
          <w:tcPr>
            <w:tcW w:w="1275" w:type="dxa"/>
            <w:shd w:val="clear" w:color="auto" w:fill="auto"/>
            <w:vAlign w:val="center"/>
          </w:tcPr>
          <w:p w14:paraId="7CCF4EF2">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1600*1500</w:t>
            </w:r>
          </w:p>
        </w:tc>
        <w:tc>
          <w:tcPr>
            <w:tcW w:w="851" w:type="dxa"/>
            <w:shd w:val="clear" w:color="auto" w:fill="auto"/>
            <w:vAlign w:val="center"/>
          </w:tcPr>
          <w:p w14:paraId="38149DB7">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5700</w:t>
            </w:r>
          </w:p>
        </w:tc>
        <w:tc>
          <w:tcPr>
            <w:tcW w:w="851" w:type="dxa"/>
            <w:shd w:val="clear" w:color="auto" w:fill="auto"/>
            <w:vAlign w:val="center"/>
          </w:tcPr>
          <w:p w14:paraId="09F347FB">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2000</w:t>
            </w:r>
          </w:p>
        </w:tc>
        <w:tc>
          <w:tcPr>
            <w:tcW w:w="850" w:type="dxa"/>
            <w:shd w:val="clear" w:color="auto" w:fill="auto"/>
            <w:vAlign w:val="center"/>
          </w:tcPr>
          <w:p w14:paraId="551D1B22">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1050</w:t>
            </w:r>
          </w:p>
        </w:tc>
        <w:tc>
          <w:tcPr>
            <w:tcW w:w="1008" w:type="dxa"/>
            <w:shd w:val="clear" w:color="auto" w:fill="auto"/>
            <w:vAlign w:val="center"/>
          </w:tcPr>
          <w:p w14:paraId="58A6D4F8">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2.0</w:t>
            </w:r>
          </w:p>
        </w:tc>
      </w:tr>
      <w:tr w14:paraId="2B78B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41" w:type="dxa"/>
            <w:vMerge w:val="restart"/>
            <w:shd w:val="clear" w:color="auto" w:fill="auto"/>
            <w:vAlign w:val="center"/>
          </w:tcPr>
          <w:p w14:paraId="5E8F9C7B">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小高层住宅塔楼（≤54m）</w:t>
            </w:r>
          </w:p>
        </w:tc>
        <w:tc>
          <w:tcPr>
            <w:tcW w:w="1511" w:type="dxa"/>
            <w:shd w:val="clear" w:color="auto" w:fill="auto"/>
          </w:tcPr>
          <w:p w14:paraId="4672FF16">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有机房电梯</w:t>
            </w:r>
          </w:p>
        </w:tc>
        <w:tc>
          <w:tcPr>
            <w:tcW w:w="1559" w:type="dxa"/>
            <w:shd w:val="clear" w:color="auto" w:fill="auto"/>
            <w:vAlign w:val="center"/>
          </w:tcPr>
          <w:p w14:paraId="44B0D81E">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2200x2200</w:t>
            </w:r>
          </w:p>
        </w:tc>
        <w:tc>
          <w:tcPr>
            <w:tcW w:w="1275" w:type="dxa"/>
            <w:shd w:val="clear" w:color="auto" w:fill="auto"/>
            <w:vAlign w:val="center"/>
          </w:tcPr>
          <w:p w14:paraId="4F5FCAAB">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1600*1500</w:t>
            </w:r>
          </w:p>
        </w:tc>
        <w:tc>
          <w:tcPr>
            <w:tcW w:w="851" w:type="dxa"/>
            <w:shd w:val="clear" w:color="auto" w:fill="auto"/>
            <w:vAlign w:val="center"/>
          </w:tcPr>
          <w:p w14:paraId="28EEDECF">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5700</w:t>
            </w:r>
          </w:p>
        </w:tc>
        <w:tc>
          <w:tcPr>
            <w:tcW w:w="851" w:type="dxa"/>
            <w:shd w:val="clear" w:color="auto" w:fill="auto"/>
            <w:vAlign w:val="center"/>
          </w:tcPr>
          <w:p w14:paraId="6EE6791F">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2000</w:t>
            </w:r>
          </w:p>
        </w:tc>
        <w:tc>
          <w:tcPr>
            <w:tcW w:w="850" w:type="dxa"/>
            <w:shd w:val="clear" w:color="auto" w:fill="auto"/>
            <w:vAlign w:val="center"/>
          </w:tcPr>
          <w:p w14:paraId="1AC196DF">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1000</w:t>
            </w:r>
          </w:p>
        </w:tc>
        <w:tc>
          <w:tcPr>
            <w:tcW w:w="1008" w:type="dxa"/>
            <w:shd w:val="clear" w:color="auto" w:fill="auto"/>
            <w:vAlign w:val="center"/>
          </w:tcPr>
          <w:p w14:paraId="0FC59F30">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1.5</w:t>
            </w:r>
          </w:p>
        </w:tc>
      </w:tr>
      <w:tr w14:paraId="1A7D0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41" w:type="dxa"/>
            <w:vMerge w:val="continue"/>
            <w:shd w:val="clear" w:color="auto" w:fill="auto"/>
            <w:vAlign w:val="center"/>
          </w:tcPr>
          <w:p w14:paraId="50AE9815">
            <w:pPr>
              <w:widowControl/>
              <w:adjustRightInd w:val="0"/>
              <w:jc w:val="center"/>
              <w:textAlignment w:val="center"/>
              <w:rPr>
                <w:rFonts w:hint="eastAsia" w:ascii="宋体" w:hAnsi="宋体" w:eastAsia="宋体" w:cs="宋体"/>
                <w:color w:val="auto"/>
                <w:kern w:val="0"/>
                <w:highlight w:val="none"/>
              </w:rPr>
            </w:pPr>
          </w:p>
        </w:tc>
        <w:tc>
          <w:tcPr>
            <w:tcW w:w="1511" w:type="dxa"/>
            <w:shd w:val="clear" w:color="auto" w:fill="auto"/>
            <w:vAlign w:val="center"/>
          </w:tcPr>
          <w:p w14:paraId="550D3957">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无机房电梯</w:t>
            </w:r>
          </w:p>
        </w:tc>
        <w:tc>
          <w:tcPr>
            <w:tcW w:w="1559" w:type="dxa"/>
            <w:shd w:val="clear" w:color="auto" w:fill="auto"/>
            <w:vAlign w:val="center"/>
          </w:tcPr>
          <w:p w14:paraId="775DA508">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2200x2200</w:t>
            </w:r>
          </w:p>
        </w:tc>
        <w:tc>
          <w:tcPr>
            <w:tcW w:w="1275" w:type="dxa"/>
            <w:shd w:val="clear" w:color="auto" w:fill="auto"/>
            <w:vAlign w:val="center"/>
          </w:tcPr>
          <w:p w14:paraId="5E91095C">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1600*1500</w:t>
            </w:r>
          </w:p>
        </w:tc>
        <w:tc>
          <w:tcPr>
            <w:tcW w:w="851" w:type="dxa"/>
            <w:shd w:val="clear" w:color="auto" w:fill="auto"/>
            <w:vAlign w:val="center"/>
          </w:tcPr>
          <w:p w14:paraId="7D20E629">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w:t>
            </w:r>
          </w:p>
        </w:tc>
        <w:tc>
          <w:tcPr>
            <w:tcW w:w="851" w:type="dxa"/>
            <w:shd w:val="clear" w:color="auto" w:fill="auto"/>
            <w:vAlign w:val="center"/>
          </w:tcPr>
          <w:p w14:paraId="722AA7A1">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2000</w:t>
            </w:r>
          </w:p>
        </w:tc>
        <w:tc>
          <w:tcPr>
            <w:tcW w:w="850" w:type="dxa"/>
            <w:shd w:val="clear" w:color="auto" w:fill="auto"/>
            <w:vAlign w:val="center"/>
          </w:tcPr>
          <w:p w14:paraId="696DCBB0">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1000</w:t>
            </w:r>
          </w:p>
        </w:tc>
        <w:tc>
          <w:tcPr>
            <w:tcW w:w="1008" w:type="dxa"/>
            <w:shd w:val="clear" w:color="auto" w:fill="auto"/>
            <w:vAlign w:val="center"/>
          </w:tcPr>
          <w:p w14:paraId="342C170C">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1.5</w:t>
            </w:r>
          </w:p>
        </w:tc>
      </w:tr>
      <w:tr w14:paraId="5401A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41" w:type="dxa"/>
            <w:vMerge w:val="restart"/>
            <w:shd w:val="clear" w:color="auto" w:fill="auto"/>
            <w:vAlign w:val="center"/>
          </w:tcPr>
          <w:p w14:paraId="499DE7F3">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裙楼、独立多层公建</w:t>
            </w:r>
          </w:p>
        </w:tc>
        <w:tc>
          <w:tcPr>
            <w:tcW w:w="1511" w:type="dxa"/>
            <w:shd w:val="clear" w:color="auto" w:fill="auto"/>
          </w:tcPr>
          <w:p w14:paraId="49D82167">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有机房电梯</w:t>
            </w:r>
          </w:p>
        </w:tc>
        <w:tc>
          <w:tcPr>
            <w:tcW w:w="1559" w:type="dxa"/>
            <w:shd w:val="clear" w:color="auto" w:fill="auto"/>
            <w:vAlign w:val="center"/>
          </w:tcPr>
          <w:p w14:paraId="03865B3E">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2200x2200</w:t>
            </w:r>
          </w:p>
        </w:tc>
        <w:tc>
          <w:tcPr>
            <w:tcW w:w="1275" w:type="dxa"/>
            <w:shd w:val="clear" w:color="auto" w:fill="auto"/>
            <w:vAlign w:val="center"/>
          </w:tcPr>
          <w:p w14:paraId="5466FF70">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1600*1500</w:t>
            </w:r>
          </w:p>
        </w:tc>
        <w:tc>
          <w:tcPr>
            <w:tcW w:w="851" w:type="dxa"/>
            <w:shd w:val="clear" w:color="auto" w:fill="auto"/>
            <w:vAlign w:val="center"/>
          </w:tcPr>
          <w:p w14:paraId="0E624215">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5500</w:t>
            </w:r>
          </w:p>
        </w:tc>
        <w:tc>
          <w:tcPr>
            <w:tcW w:w="851" w:type="dxa"/>
            <w:shd w:val="clear" w:color="auto" w:fill="auto"/>
            <w:vAlign w:val="center"/>
          </w:tcPr>
          <w:p w14:paraId="6A8DE3A9">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1800</w:t>
            </w:r>
          </w:p>
        </w:tc>
        <w:tc>
          <w:tcPr>
            <w:tcW w:w="850" w:type="dxa"/>
            <w:shd w:val="clear" w:color="auto" w:fill="auto"/>
            <w:vAlign w:val="center"/>
          </w:tcPr>
          <w:p w14:paraId="6063C7E6">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1000</w:t>
            </w:r>
          </w:p>
        </w:tc>
        <w:tc>
          <w:tcPr>
            <w:tcW w:w="1008" w:type="dxa"/>
            <w:shd w:val="clear" w:color="auto" w:fill="auto"/>
            <w:vAlign w:val="center"/>
          </w:tcPr>
          <w:p w14:paraId="6EF8A5E8">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1.5</w:t>
            </w:r>
          </w:p>
        </w:tc>
      </w:tr>
      <w:tr w14:paraId="392B4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41" w:type="dxa"/>
            <w:vMerge w:val="continue"/>
            <w:shd w:val="clear" w:color="auto" w:fill="auto"/>
            <w:vAlign w:val="center"/>
          </w:tcPr>
          <w:p w14:paraId="5FC7715D">
            <w:pPr>
              <w:widowControl/>
              <w:adjustRightInd w:val="0"/>
              <w:jc w:val="center"/>
              <w:textAlignment w:val="center"/>
              <w:rPr>
                <w:rFonts w:hint="eastAsia" w:ascii="宋体" w:hAnsi="宋体" w:eastAsia="宋体" w:cs="宋体"/>
                <w:color w:val="auto"/>
                <w:kern w:val="0"/>
                <w:highlight w:val="none"/>
              </w:rPr>
            </w:pPr>
          </w:p>
        </w:tc>
        <w:tc>
          <w:tcPr>
            <w:tcW w:w="1511" w:type="dxa"/>
            <w:shd w:val="clear" w:color="auto" w:fill="auto"/>
          </w:tcPr>
          <w:p w14:paraId="0154DB33">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无机房电梯</w:t>
            </w:r>
          </w:p>
        </w:tc>
        <w:tc>
          <w:tcPr>
            <w:tcW w:w="1559" w:type="dxa"/>
            <w:shd w:val="clear" w:color="auto" w:fill="auto"/>
            <w:vAlign w:val="center"/>
          </w:tcPr>
          <w:p w14:paraId="2F69E1E9">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2200x2200</w:t>
            </w:r>
          </w:p>
        </w:tc>
        <w:tc>
          <w:tcPr>
            <w:tcW w:w="1275" w:type="dxa"/>
            <w:shd w:val="clear" w:color="auto" w:fill="auto"/>
            <w:vAlign w:val="center"/>
          </w:tcPr>
          <w:p w14:paraId="0C0C6BD5">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1600*1500</w:t>
            </w:r>
          </w:p>
        </w:tc>
        <w:tc>
          <w:tcPr>
            <w:tcW w:w="851" w:type="dxa"/>
            <w:shd w:val="clear" w:color="auto" w:fill="auto"/>
            <w:vAlign w:val="center"/>
          </w:tcPr>
          <w:p w14:paraId="53919498">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w:t>
            </w:r>
          </w:p>
        </w:tc>
        <w:tc>
          <w:tcPr>
            <w:tcW w:w="851" w:type="dxa"/>
            <w:shd w:val="clear" w:color="auto" w:fill="auto"/>
            <w:vAlign w:val="center"/>
          </w:tcPr>
          <w:p w14:paraId="12FE74FC">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1800</w:t>
            </w:r>
          </w:p>
        </w:tc>
        <w:tc>
          <w:tcPr>
            <w:tcW w:w="850" w:type="dxa"/>
            <w:shd w:val="clear" w:color="auto" w:fill="auto"/>
            <w:vAlign w:val="center"/>
          </w:tcPr>
          <w:p w14:paraId="46DA969A">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1000</w:t>
            </w:r>
          </w:p>
        </w:tc>
        <w:tc>
          <w:tcPr>
            <w:tcW w:w="1008" w:type="dxa"/>
            <w:shd w:val="clear" w:color="auto" w:fill="auto"/>
            <w:vAlign w:val="center"/>
          </w:tcPr>
          <w:p w14:paraId="4AD06E7B">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1.5</w:t>
            </w:r>
          </w:p>
        </w:tc>
      </w:tr>
      <w:tr w14:paraId="1402A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041" w:type="dxa"/>
            <w:vMerge w:val="continue"/>
            <w:shd w:val="clear" w:color="auto" w:fill="auto"/>
            <w:vAlign w:val="center"/>
          </w:tcPr>
          <w:p w14:paraId="4CEA76C1">
            <w:pPr>
              <w:widowControl/>
              <w:adjustRightInd w:val="0"/>
              <w:jc w:val="center"/>
              <w:textAlignment w:val="center"/>
              <w:rPr>
                <w:rFonts w:hint="eastAsia" w:ascii="宋体" w:hAnsi="宋体" w:eastAsia="宋体" w:cs="宋体"/>
                <w:color w:val="auto"/>
                <w:kern w:val="0"/>
                <w:highlight w:val="none"/>
              </w:rPr>
            </w:pPr>
          </w:p>
        </w:tc>
        <w:tc>
          <w:tcPr>
            <w:tcW w:w="1511" w:type="dxa"/>
            <w:shd w:val="clear" w:color="auto" w:fill="auto"/>
          </w:tcPr>
          <w:p w14:paraId="59DAA5D3">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货梯</w:t>
            </w:r>
          </w:p>
        </w:tc>
        <w:tc>
          <w:tcPr>
            <w:tcW w:w="1559" w:type="dxa"/>
            <w:shd w:val="clear" w:color="auto" w:fill="auto"/>
            <w:vAlign w:val="center"/>
          </w:tcPr>
          <w:p w14:paraId="34187615">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按实际需要</w:t>
            </w:r>
          </w:p>
        </w:tc>
        <w:tc>
          <w:tcPr>
            <w:tcW w:w="1275" w:type="dxa"/>
            <w:shd w:val="clear" w:color="auto" w:fill="auto"/>
            <w:vAlign w:val="center"/>
          </w:tcPr>
          <w:p w14:paraId="2976C2B8">
            <w:pPr>
              <w:widowControl/>
              <w:adjustRightInd w:val="0"/>
              <w:jc w:val="center"/>
              <w:textAlignment w:val="center"/>
              <w:rPr>
                <w:rFonts w:hint="eastAsia" w:ascii="宋体" w:hAnsi="宋体" w:eastAsia="宋体" w:cs="宋体"/>
                <w:color w:val="auto"/>
                <w:kern w:val="0"/>
                <w:highlight w:val="none"/>
              </w:rPr>
            </w:pPr>
          </w:p>
        </w:tc>
        <w:tc>
          <w:tcPr>
            <w:tcW w:w="851" w:type="dxa"/>
            <w:shd w:val="clear" w:color="auto" w:fill="auto"/>
            <w:vAlign w:val="center"/>
          </w:tcPr>
          <w:p w14:paraId="4C18E46F">
            <w:pPr>
              <w:widowControl/>
              <w:adjustRightInd w:val="0"/>
              <w:jc w:val="center"/>
              <w:textAlignment w:val="center"/>
              <w:rPr>
                <w:rFonts w:hint="eastAsia" w:ascii="宋体" w:hAnsi="宋体" w:eastAsia="宋体" w:cs="宋体"/>
                <w:color w:val="auto"/>
                <w:kern w:val="0"/>
                <w:highlight w:val="none"/>
              </w:rPr>
            </w:pPr>
          </w:p>
        </w:tc>
        <w:tc>
          <w:tcPr>
            <w:tcW w:w="851" w:type="dxa"/>
            <w:shd w:val="clear" w:color="auto" w:fill="auto"/>
            <w:vAlign w:val="center"/>
          </w:tcPr>
          <w:p w14:paraId="72005D20">
            <w:pPr>
              <w:widowControl/>
              <w:adjustRightInd w:val="0"/>
              <w:jc w:val="center"/>
              <w:textAlignment w:val="center"/>
              <w:rPr>
                <w:rFonts w:hint="eastAsia" w:ascii="宋体" w:hAnsi="宋体" w:eastAsia="宋体" w:cs="宋体"/>
                <w:color w:val="auto"/>
                <w:kern w:val="0"/>
                <w:highlight w:val="none"/>
              </w:rPr>
            </w:pPr>
          </w:p>
        </w:tc>
        <w:tc>
          <w:tcPr>
            <w:tcW w:w="850" w:type="dxa"/>
            <w:shd w:val="clear" w:color="auto" w:fill="auto"/>
            <w:vAlign w:val="center"/>
          </w:tcPr>
          <w:p w14:paraId="1301768F">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2000</w:t>
            </w:r>
          </w:p>
        </w:tc>
        <w:tc>
          <w:tcPr>
            <w:tcW w:w="1008" w:type="dxa"/>
            <w:shd w:val="clear" w:color="auto" w:fill="auto"/>
            <w:vAlign w:val="center"/>
          </w:tcPr>
          <w:p w14:paraId="3A2E0F03">
            <w:pPr>
              <w:widowControl/>
              <w:adjustRightInd w:val="0"/>
              <w:jc w:val="center"/>
              <w:textAlignment w:val="center"/>
              <w:rPr>
                <w:rFonts w:hint="eastAsia" w:ascii="宋体" w:hAnsi="宋体" w:eastAsia="宋体" w:cs="宋体"/>
                <w:color w:val="auto"/>
                <w:kern w:val="0"/>
                <w:highlight w:val="none"/>
              </w:rPr>
            </w:pPr>
            <w:r>
              <w:rPr>
                <w:rFonts w:hint="eastAsia" w:ascii="宋体" w:hAnsi="宋体" w:eastAsia="宋体" w:cs="宋体"/>
                <w:color w:val="auto"/>
                <w:kern w:val="0"/>
                <w:highlight w:val="none"/>
              </w:rPr>
              <w:t>1.5</w:t>
            </w:r>
          </w:p>
        </w:tc>
      </w:tr>
    </w:tbl>
    <w:p w14:paraId="460E9BB7">
      <w:pPr>
        <w:pStyle w:val="24"/>
        <w:ind w:firstLine="480"/>
        <w:rPr>
          <w:rFonts w:hint="eastAsia" w:hAnsi="宋体" w:cs="宋体"/>
          <w:szCs w:val="24"/>
          <w:highlight w:val="none"/>
        </w:rPr>
      </w:pPr>
    </w:p>
    <w:p w14:paraId="39788AE8">
      <w:pPr>
        <w:pStyle w:val="24"/>
        <w:ind w:firstLine="480"/>
        <w:rPr>
          <w:rFonts w:hint="eastAsia" w:hAnsi="宋体" w:cs="宋体"/>
          <w:szCs w:val="24"/>
          <w:highlight w:val="none"/>
        </w:rPr>
      </w:pPr>
      <w:r>
        <w:rPr>
          <w:rFonts w:hint="eastAsia" w:hAnsi="宋体" w:cs="宋体"/>
          <w:szCs w:val="24"/>
          <w:highlight w:val="none"/>
        </w:rPr>
        <w:t>1.3.5 保温形式</w:t>
      </w:r>
    </w:p>
    <w:p w14:paraId="6075AE6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1.3.5.1 屋面保温</w:t>
      </w:r>
    </w:p>
    <w:p w14:paraId="1DB1D57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倒置式上人及不上人屋面，采用挤塑聚苯板，厚度按节能计算确定。</w:t>
      </w:r>
    </w:p>
    <w:p w14:paraId="4A56AA0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1.3.5.2 外墙及梁保温做法</w:t>
      </w:r>
    </w:p>
    <w:p w14:paraId="79C5445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1.3.5.2 外墙及梁保温做法</w:t>
      </w:r>
    </w:p>
    <w:p w14:paraId="1FDC15E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客厅、卧室、卫生间的外墙优先采用水性保温凝胶，厚度按节能计算确定。</w:t>
      </w:r>
    </w:p>
    <w:p w14:paraId="5941E7DC">
      <w:pPr>
        <w:pStyle w:val="4"/>
        <w:ind w:firstLine="480" w:firstLineChars="200"/>
        <w:rPr>
          <w:highlight w:val="none"/>
        </w:rPr>
      </w:pPr>
      <w:r>
        <w:rPr>
          <w:rFonts w:hint="eastAsia" w:ascii="宋体" w:hAnsi="宋体" w:cs="宋体"/>
          <w:sz w:val="24"/>
          <w:szCs w:val="24"/>
          <w:highlight w:val="none"/>
        </w:rPr>
        <w:t>公共区域、厨房的外墙优先采用水性保温凝胶，厚度按节能计算确定。</w:t>
      </w:r>
    </w:p>
    <w:p w14:paraId="5068B6B1">
      <w:pPr>
        <w:pStyle w:val="24"/>
        <w:ind w:firstLine="480"/>
        <w:rPr>
          <w:rFonts w:hint="eastAsia" w:hAnsi="宋体" w:cs="宋体"/>
          <w:szCs w:val="24"/>
          <w:highlight w:val="none"/>
        </w:rPr>
      </w:pPr>
      <w:r>
        <w:rPr>
          <w:rFonts w:hint="eastAsia" w:hAnsi="宋体" w:cs="宋体"/>
          <w:szCs w:val="24"/>
          <w:highlight w:val="none"/>
        </w:rPr>
        <w:t>1.3.6 门窗选用</w:t>
      </w:r>
    </w:p>
    <w:tbl>
      <w:tblPr>
        <w:tblStyle w:val="42"/>
        <w:tblW w:w="9006" w:type="dxa"/>
        <w:tblInd w:w="91" w:type="dxa"/>
        <w:tblLayout w:type="fixed"/>
        <w:tblCellMar>
          <w:top w:w="0" w:type="dxa"/>
          <w:left w:w="108" w:type="dxa"/>
          <w:bottom w:w="0" w:type="dxa"/>
          <w:right w:w="108" w:type="dxa"/>
        </w:tblCellMar>
      </w:tblPr>
      <w:tblGrid>
        <w:gridCol w:w="3140"/>
        <w:gridCol w:w="5866"/>
      </w:tblGrid>
      <w:tr w14:paraId="6944E2FC">
        <w:tblPrEx>
          <w:tblCellMar>
            <w:top w:w="0" w:type="dxa"/>
            <w:left w:w="108" w:type="dxa"/>
            <w:bottom w:w="0" w:type="dxa"/>
            <w:right w:w="108" w:type="dxa"/>
          </w:tblCellMar>
        </w:tblPrEx>
        <w:trPr>
          <w:trHeight w:val="567" w:hRule="atLeast"/>
        </w:trPr>
        <w:tc>
          <w:tcPr>
            <w:tcW w:w="3140" w:type="dxa"/>
            <w:tcBorders>
              <w:top w:val="single" w:color="auto" w:sz="8" w:space="0"/>
              <w:left w:val="single" w:color="000000" w:sz="4" w:space="0"/>
              <w:bottom w:val="single" w:color="000000" w:sz="4" w:space="0"/>
              <w:right w:val="single" w:color="000000" w:sz="4" w:space="0"/>
            </w:tcBorders>
            <w:noWrap/>
          </w:tcPr>
          <w:p w14:paraId="5C3580FC">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color w:val="auto"/>
                <w:highlight w:val="none"/>
              </w:rPr>
              <w:t>位置</w:t>
            </w:r>
          </w:p>
        </w:tc>
        <w:tc>
          <w:tcPr>
            <w:tcW w:w="5866" w:type="dxa"/>
            <w:tcBorders>
              <w:top w:val="single" w:color="auto" w:sz="8" w:space="0"/>
              <w:left w:val="nil"/>
              <w:bottom w:val="single" w:color="000000" w:sz="4" w:space="0"/>
              <w:right w:val="single" w:color="auto" w:sz="8" w:space="0"/>
            </w:tcBorders>
            <w:noWrap/>
          </w:tcPr>
          <w:p w14:paraId="0BA237D7">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color w:val="auto"/>
                <w:highlight w:val="none"/>
              </w:rPr>
              <w:t>材质</w:t>
            </w:r>
          </w:p>
        </w:tc>
      </w:tr>
      <w:tr w14:paraId="232A1AC8">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12C4BA03">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入户门（非防火门）</w:t>
            </w:r>
          </w:p>
        </w:tc>
        <w:tc>
          <w:tcPr>
            <w:tcW w:w="5866" w:type="dxa"/>
            <w:tcBorders>
              <w:top w:val="nil"/>
              <w:left w:val="nil"/>
              <w:bottom w:val="single" w:color="000000" w:sz="4" w:space="0"/>
              <w:right w:val="single" w:color="auto" w:sz="8" w:space="0"/>
            </w:tcBorders>
          </w:tcPr>
          <w:p w14:paraId="2020BE1D">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成品木色钢木复合门（带门套，有防盗功能）</w:t>
            </w:r>
          </w:p>
        </w:tc>
      </w:tr>
      <w:tr w14:paraId="626B9561">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21521FA2">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入户门（防火门）</w:t>
            </w:r>
          </w:p>
        </w:tc>
        <w:tc>
          <w:tcPr>
            <w:tcW w:w="5866" w:type="dxa"/>
            <w:tcBorders>
              <w:top w:val="nil"/>
              <w:left w:val="nil"/>
              <w:bottom w:val="single" w:color="000000" w:sz="4" w:space="0"/>
              <w:right w:val="single" w:color="auto" w:sz="8" w:space="0"/>
            </w:tcBorders>
          </w:tcPr>
          <w:p w14:paraId="66944D6F">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成品木色乙级钢木复合防火门（带门套，有防盗功能）</w:t>
            </w:r>
          </w:p>
        </w:tc>
      </w:tr>
      <w:tr w14:paraId="499C0C9C">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544EA652">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入户花园门（如有）</w:t>
            </w:r>
          </w:p>
        </w:tc>
        <w:tc>
          <w:tcPr>
            <w:tcW w:w="5866" w:type="dxa"/>
            <w:tcBorders>
              <w:top w:val="nil"/>
              <w:left w:val="nil"/>
              <w:bottom w:val="single" w:color="000000" w:sz="4" w:space="0"/>
              <w:right w:val="single" w:color="auto" w:sz="8" w:space="0"/>
            </w:tcBorders>
          </w:tcPr>
          <w:p w14:paraId="684F69D5">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成品木色钢制门（带门套）</w:t>
            </w:r>
          </w:p>
        </w:tc>
      </w:tr>
      <w:tr w14:paraId="2B305BC5">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029C9CA9">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户内房间门</w:t>
            </w:r>
          </w:p>
        </w:tc>
        <w:tc>
          <w:tcPr>
            <w:tcW w:w="5866" w:type="dxa"/>
            <w:tcBorders>
              <w:top w:val="nil"/>
              <w:left w:val="nil"/>
              <w:bottom w:val="single" w:color="000000" w:sz="4" w:space="0"/>
              <w:right w:val="single" w:color="auto" w:sz="8" w:space="0"/>
            </w:tcBorders>
          </w:tcPr>
          <w:p w14:paraId="4D32A6A8">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成品木门（带门套），其中避难间的门采用成品木制乙级防火门(带门套）</w:t>
            </w:r>
          </w:p>
        </w:tc>
      </w:tr>
      <w:tr w14:paraId="1EA0E5F5">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793D4BC9">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厅出阳台</w:t>
            </w:r>
          </w:p>
        </w:tc>
        <w:tc>
          <w:tcPr>
            <w:tcW w:w="5866" w:type="dxa"/>
            <w:tcBorders>
              <w:top w:val="nil"/>
              <w:left w:val="nil"/>
              <w:bottom w:val="single" w:color="000000" w:sz="4" w:space="0"/>
              <w:right w:val="single" w:color="auto" w:sz="8" w:space="0"/>
            </w:tcBorders>
          </w:tcPr>
          <w:p w14:paraId="3F915934">
            <w:pPr>
              <w:pStyle w:val="17"/>
              <w:rPr>
                <w:rFonts w:hint="eastAsia"/>
                <w:color w:val="auto"/>
                <w:highlight w:val="none"/>
              </w:rPr>
            </w:pPr>
            <w:r>
              <w:rPr>
                <w:rFonts w:hint="eastAsia"/>
                <w:color w:val="auto"/>
                <w:highlight w:val="none"/>
              </w:rPr>
              <w:t>成品铝合金+（6</w:t>
            </w:r>
            <w:r>
              <w:rPr>
                <w:color w:val="auto"/>
                <w:highlight w:val="none"/>
              </w:rPr>
              <w:t>LOW-</w:t>
            </w:r>
            <w:r>
              <w:rPr>
                <w:rFonts w:hint="eastAsia"/>
                <w:color w:val="auto"/>
                <w:highlight w:val="none"/>
              </w:rPr>
              <w:t>e</w:t>
            </w:r>
            <w:r>
              <w:rPr>
                <w:color w:val="auto"/>
                <w:highlight w:val="none"/>
              </w:rPr>
              <w:t>+12A</w:t>
            </w:r>
            <w:r>
              <w:rPr>
                <w:rFonts w:hint="eastAsia"/>
                <w:color w:val="auto"/>
                <w:highlight w:val="none"/>
              </w:rPr>
              <w:t>r</w:t>
            </w:r>
            <w:r>
              <w:rPr>
                <w:color w:val="auto"/>
                <w:highlight w:val="none"/>
              </w:rPr>
              <w:t>+6</w:t>
            </w:r>
            <w:r>
              <w:rPr>
                <w:rFonts w:hint="eastAsia"/>
                <w:color w:val="auto"/>
                <w:highlight w:val="none"/>
              </w:rPr>
              <w:t>）中空钢化玻璃（非临街）</w:t>
            </w:r>
          </w:p>
          <w:p w14:paraId="4617EB0B">
            <w:pPr>
              <w:pStyle w:val="17"/>
              <w:rPr>
                <w:rFonts w:hint="eastAsia" w:ascii="宋体" w:hAnsi="宋体" w:eastAsia="宋体" w:cs="宋体"/>
                <w:color w:val="auto"/>
                <w:kern w:val="0"/>
                <w:sz w:val="21"/>
                <w:szCs w:val="21"/>
                <w:highlight w:val="none"/>
              </w:rPr>
            </w:pPr>
            <w:r>
              <w:rPr>
                <w:rFonts w:hint="eastAsia"/>
                <w:color w:val="auto"/>
                <w:highlight w:val="none"/>
              </w:rPr>
              <w:t>成品铝合金+（6</w:t>
            </w:r>
            <w:r>
              <w:rPr>
                <w:color w:val="auto"/>
                <w:highlight w:val="none"/>
              </w:rPr>
              <w:t>+</w:t>
            </w:r>
            <w:r>
              <w:rPr>
                <w:rFonts w:hint="eastAsia"/>
                <w:color w:val="auto"/>
                <w:highlight w:val="none"/>
              </w:rPr>
              <w:t>6</w:t>
            </w:r>
            <w:r>
              <w:rPr>
                <w:color w:val="auto"/>
                <w:highlight w:val="none"/>
              </w:rPr>
              <w:t>LOW-</w:t>
            </w:r>
            <w:r>
              <w:rPr>
                <w:rFonts w:hint="eastAsia"/>
                <w:color w:val="auto"/>
                <w:highlight w:val="none"/>
              </w:rPr>
              <w:t>e</w:t>
            </w:r>
            <w:r>
              <w:rPr>
                <w:color w:val="auto"/>
                <w:highlight w:val="none"/>
              </w:rPr>
              <w:t>+12A+6</w:t>
            </w:r>
            <w:r>
              <w:rPr>
                <w:rFonts w:hint="eastAsia"/>
                <w:color w:val="auto"/>
                <w:highlight w:val="none"/>
              </w:rPr>
              <w:t>）中空钢化夹胶玻璃（临街）</w:t>
            </w:r>
          </w:p>
        </w:tc>
      </w:tr>
      <w:tr w14:paraId="091C890C">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1DA29D21">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厨房门</w:t>
            </w:r>
          </w:p>
        </w:tc>
        <w:tc>
          <w:tcPr>
            <w:tcW w:w="5866" w:type="dxa"/>
            <w:tcBorders>
              <w:top w:val="nil"/>
              <w:left w:val="nil"/>
              <w:bottom w:val="single" w:color="000000" w:sz="4" w:space="0"/>
              <w:right w:val="single" w:color="auto" w:sz="8" w:space="0"/>
            </w:tcBorders>
          </w:tcPr>
          <w:p w14:paraId="0272CC84">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仿木纹成品铝合金+6厚单层钢化玻璃门（带门套）</w:t>
            </w:r>
          </w:p>
        </w:tc>
      </w:tr>
      <w:tr w14:paraId="5BEA1623">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26C24178">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卫生间门</w:t>
            </w:r>
          </w:p>
        </w:tc>
        <w:tc>
          <w:tcPr>
            <w:tcW w:w="5866" w:type="dxa"/>
            <w:tcBorders>
              <w:top w:val="nil"/>
              <w:left w:val="nil"/>
              <w:bottom w:val="single" w:color="000000" w:sz="4" w:space="0"/>
              <w:right w:val="single" w:color="auto" w:sz="8" w:space="0"/>
            </w:tcBorders>
          </w:tcPr>
          <w:p w14:paraId="0556543B">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仿木纹成品铝合金+6厚单层磨砂钢化玻璃门（带门套）</w:t>
            </w:r>
          </w:p>
        </w:tc>
      </w:tr>
      <w:tr w14:paraId="36CE9DFA">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3E6035D6">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卧室窗</w:t>
            </w:r>
          </w:p>
        </w:tc>
        <w:tc>
          <w:tcPr>
            <w:tcW w:w="5866" w:type="dxa"/>
            <w:tcBorders>
              <w:top w:val="nil"/>
              <w:left w:val="nil"/>
              <w:bottom w:val="single" w:color="000000" w:sz="4" w:space="0"/>
              <w:right w:val="single" w:color="auto" w:sz="8" w:space="0"/>
            </w:tcBorders>
          </w:tcPr>
          <w:p w14:paraId="0BFE314E">
            <w:pPr>
              <w:pStyle w:val="17"/>
              <w:rPr>
                <w:rFonts w:hint="eastAsia"/>
                <w:color w:val="auto"/>
                <w:highlight w:val="none"/>
              </w:rPr>
            </w:pPr>
            <w:r>
              <w:rPr>
                <w:rFonts w:hint="eastAsia"/>
                <w:color w:val="auto"/>
                <w:highlight w:val="none"/>
              </w:rPr>
              <w:t>铝合金+（6</w:t>
            </w:r>
            <w:r>
              <w:rPr>
                <w:color w:val="auto"/>
                <w:highlight w:val="none"/>
              </w:rPr>
              <w:t>LOW-</w:t>
            </w:r>
            <w:r>
              <w:rPr>
                <w:rFonts w:hint="eastAsia"/>
                <w:color w:val="auto"/>
                <w:highlight w:val="none"/>
              </w:rPr>
              <w:t>e</w:t>
            </w:r>
            <w:r>
              <w:rPr>
                <w:color w:val="auto"/>
                <w:highlight w:val="none"/>
              </w:rPr>
              <w:t>+12A</w:t>
            </w:r>
            <w:r>
              <w:rPr>
                <w:rFonts w:hint="eastAsia"/>
                <w:color w:val="auto"/>
                <w:highlight w:val="none"/>
              </w:rPr>
              <w:t>r</w:t>
            </w:r>
            <w:r>
              <w:rPr>
                <w:color w:val="auto"/>
                <w:highlight w:val="none"/>
              </w:rPr>
              <w:t>+6</w:t>
            </w:r>
            <w:r>
              <w:rPr>
                <w:rFonts w:hint="eastAsia"/>
                <w:color w:val="auto"/>
                <w:highlight w:val="none"/>
              </w:rPr>
              <w:t>）中空钢化玻璃（非临街）</w:t>
            </w:r>
          </w:p>
          <w:p w14:paraId="31B639A8">
            <w:pPr>
              <w:pStyle w:val="17"/>
              <w:rPr>
                <w:rFonts w:hint="eastAsia" w:ascii="宋体" w:hAnsi="宋体" w:eastAsia="宋体" w:cs="宋体"/>
                <w:color w:val="auto"/>
                <w:kern w:val="0"/>
                <w:sz w:val="21"/>
                <w:szCs w:val="21"/>
                <w:highlight w:val="none"/>
              </w:rPr>
            </w:pPr>
            <w:r>
              <w:rPr>
                <w:rFonts w:hint="eastAsia"/>
                <w:color w:val="auto"/>
                <w:highlight w:val="none"/>
              </w:rPr>
              <w:t>铝合金+（6</w:t>
            </w:r>
            <w:r>
              <w:rPr>
                <w:color w:val="auto"/>
                <w:highlight w:val="none"/>
              </w:rPr>
              <w:t>+</w:t>
            </w:r>
            <w:r>
              <w:rPr>
                <w:rFonts w:hint="eastAsia"/>
                <w:color w:val="auto"/>
                <w:highlight w:val="none"/>
              </w:rPr>
              <w:t>6</w:t>
            </w:r>
            <w:r>
              <w:rPr>
                <w:color w:val="auto"/>
                <w:highlight w:val="none"/>
              </w:rPr>
              <w:t>LOW-</w:t>
            </w:r>
            <w:r>
              <w:rPr>
                <w:rFonts w:hint="eastAsia"/>
                <w:color w:val="auto"/>
                <w:highlight w:val="none"/>
              </w:rPr>
              <w:t>e</w:t>
            </w:r>
            <w:r>
              <w:rPr>
                <w:color w:val="auto"/>
                <w:highlight w:val="none"/>
              </w:rPr>
              <w:t>+12A+6</w:t>
            </w:r>
            <w:r>
              <w:rPr>
                <w:rFonts w:hint="eastAsia"/>
                <w:color w:val="auto"/>
                <w:highlight w:val="none"/>
              </w:rPr>
              <w:t>）中空钢化夹胶玻璃（临街）</w:t>
            </w:r>
          </w:p>
        </w:tc>
      </w:tr>
      <w:tr w14:paraId="0B62BC88">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2F8F3F49">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卧室兼避难间窗</w:t>
            </w:r>
          </w:p>
        </w:tc>
        <w:tc>
          <w:tcPr>
            <w:tcW w:w="5866" w:type="dxa"/>
            <w:tcBorders>
              <w:top w:val="nil"/>
              <w:left w:val="nil"/>
              <w:bottom w:val="single" w:color="000000" w:sz="4" w:space="0"/>
              <w:right w:val="single" w:color="auto" w:sz="8" w:space="0"/>
            </w:tcBorders>
          </w:tcPr>
          <w:p w14:paraId="257BA797">
            <w:pPr>
              <w:pStyle w:val="17"/>
              <w:rPr>
                <w:rFonts w:hint="eastAsia"/>
                <w:color w:val="auto"/>
                <w:highlight w:val="none"/>
              </w:rPr>
            </w:pPr>
            <w:r>
              <w:rPr>
                <w:rFonts w:hint="eastAsia"/>
                <w:color w:val="auto"/>
                <w:highlight w:val="none"/>
              </w:rPr>
              <w:t>铝合金+钢材+（6LOW-e+12Ar+6）中空钢化玻璃（耐火极限1小时）（非临街）</w:t>
            </w:r>
          </w:p>
          <w:p w14:paraId="13D91E0E">
            <w:pPr>
              <w:pStyle w:val="17"/>
              <w:rPr>
                <w:rFonts w:hint="eastAsia" w:ascii="宋体" w:hAnsi="宋体" w:eastAsia="宋体" w:cs="宋体"/>
                <w:color w:val="auto"/>
                <w:kern w:val="0"/>
                <w:sz w:val="21"/>
                <w:szCs w:val="21"/>
                <w:highlight w:val="none"/>
              </w:rPr>
            </w:pPr>
            <w:r>
              <w:rPr>
                <w:rFonts w:hint="eastAsia"/>
                <w:color w:val="auto"/>
                <w:highlight w:val="none"/>
              </w:rPr>
              <w:t>铝合金+钢材+（6+6LOW-e+12A+6）中空钢化夹胶玻璃（耐火极限1小时）（临街）</w:t>
            </w:r>
          </w:p>
        </w:tc>
      </w:tr>
      <w:tr w14:paraId="2D4FEA6A">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65E75EC8">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起居厅/餐厅</w:t>
            </w:r>
          </w:p>
        </w:tc>
        <w:tc>
          <w:tcPr>
            <w:tcW w:w="5866" w:type="dxa"/>
            <w:tcBorders>
              <w:top w:val="nil"/>
              <w:left w:val="nil"/>
              <w:bottom w:val="single" w:color="000000" w:sz="4" w:space="0"/>
              <w:right w:val="single" w:color="auto" w:sz="8" w:space="0"/>
            </w:tcBorders>
          </w:tcPr>
          <w:p w14:paraId="782C1364">
            <w:pPr>
              <w:pStyle w:val="17"/>
              <w:rPr>
                <w:rFonts w:hint="eastAsia"/>
                <w:color w:val="auto"/>
                <w:highlight w:val="none"/>
              </w:rPr>
            </w:pPr>
            <w:r>
              <w:rPr>
                <w:rFonts w:hint="eastAsia"/>
                <w:color w:val="auto"/>
                <w:highlight w:val="none"/>
              </w:rPr>
              <w:t>铝合金+（6</w:t>
            </w:r>
            <w:r>
              <w:rPr>
                <w:color w:val="auto"/>
                <w:highlight w:val="none"/>
              </w:rPr>
              <w:t>LOW-</w:t>
            </w:r>
            <w:r>
              <w:rPr>
                <w:rFonts w:hint="eastAsia"/>
                <w:color w:val="auto"/>
                <w:highlight w:val="none"/>
              </w:rPr>
              <w:t>e</w:t>
            </w:r>
            <w:r>
              <w:rPr>
                <w:color w:val="auto"/>
                <w:highlight w:val="none"/>
              </w:rPr>
              <w:t>+12A</w:t>
            </w:r>
            <w:r>
              <w:rPr>
                <w:rFonts w:hint="eastAsia"/>
                <w:color w:val="auto"/>
                <w:highlight w:val="none"/>
              </w:rPr>
              <w:t>r</w:t>
            </w:r>
            <w:r>
              <w:rPr>
                <w:color w:val="auto"/>
                <w:highlight w:val="none"/>
              </w:rPr>
              <w:t>+6</w:t>
            </w:r>
            <w:r>
              <w:rPr>
                <w:rFonts w:hint="eastAsia"/>
                <w:color w:val="auto"/>
                <w:highlight w:val="none"/>
              </w:rPr>
              <w:t>）中空钢化玻璃（非临街）</w:t>
            </w:r>
          </w:p>
          <w:p w14:paraId="4DF0E361">
            <w:pPr>
              <w:pStyle w:val="17"/>
              <w:rPr>
                <w:rFonts w:hint="eastAsia" w:ascii="宋体" w:hAnsi="宋体" w:eastAsia="宋体" w:cs="宋体"/>
                <w:color w:val="auto"/>
                <w:kern w:val="0"/>
                <w:sz w:val="21"/>
                <w:szCs w:val="21"/>
                <w:highlight w:val="none"/>
              </w:rPr>
            </w:pPr>
            <w:r>
              <w:rPr>
                <w:rFonts w:hint="eastAsia"/>
                <w:color w:val="auto"/>
                <w:highlight w:val="none"/>
              </w:rPr>
              <w:t>铝合金+（6</w:t>
            </w:r>
            <w:r>
              <w:rPr>
                <w:color w:val="auto"/>
                <w:highlight w:val="none"/>
              </w:rPr>
              <w:t>+</w:t>
            </w:r>
            <w:r>
              <w:rPr>
                <w:rFonts w:hint="eastAsia"/>
                <w:color w:val="auto"/>
                <w:highlight w:val="none"/>
              </w:rPr>
              <w:t>6</w:t>
            </w:r>
            <w:r>
              <w:rPr>
                <w:color w:val="auto"/>
                <w:highlight w:val="none"/>
              </w:rPr>
              <w:t>LOW-</w:t>
            </w:r>
            <w:r>
              <w:rPr>
                <w:rFonts w:hint="eastAsia"/>
                <w:color w:val="auto"/>
                <w:highlight w:val="none"/>
              </w:rPr>
              <w:t>e</w:t>
            </w:r>
            <w:r>
              <w:rPr>
                <w:color w:val="auto"/>
                <w:highlight w:val="none"/>
              </w:rPr>
              <w:t>+12A+6</w:t>
            </w:r>
            <w:r>
              <w:rPr>
                <w:rFonts w:hint="eastAsia"/>
                <w:color w:val="auto"/>
                <w:highlight w:val="none"/>
              </w:rPr>
              <w:t>）中空钢化夹胶玻璃（临街）</w:t>
            </w:r>
          </w:p>
        </w:tc>
      </w:tr>
      <w:tr w14:paraId="18946A46">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6DE0A6BE">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厨房外门窗</w:t>
            </w:r>
          </w:p>
        </w:tc>
        <w:tc>
          <w:tcPr>
            <w:tcW w:w="5866" w:type="dxa"/>
            <w:tcBorders>
              <w:top w:val="nil"/>
              <w:left w:val="nil"/>
              <w:bottom w:val="single" w:color="000000" w:sz="4" w:space="0"/>
              <w:right w:val="single" w:color="auto" w:sz="8" w:space="0"/>
            </w:tcBorders>
          </w:tcPr>
          <w:p w14:paraId="5E69B6BD">
            <w:pPr>
              <w:pStyle w:val="17"/>
              <w:rPr>
                <w:rFonts w:hint="eastAsia" w:ascii="宋体" w:hAnsi="宋体" w:eastAsia="宋体" w:cs="宋体"/>
                <w:color w:val="auto"/>
                <w:kern w:val="0"/>
                <w:sz w:val="21"/>
                <w:szCs w:val="21"/>
                <w:highlight w:val="none"/>
              </w:rPr>
            </w:pPr>
            <w:r>
              <w:rPr>
                <w:rFonts w:hint="eastAsia"/>
                <w:color w:val="auto"/>
                <w:highlight w:val="none"/>
              </w:rPr>
              <w:t>铝合金+（6</w:t>
            </w:r>
            <w:r>
              <w:rPr>
                <w:color w:val="auto"/>
                <w:highlight w:val="none"/>
              </w:rPr>
              <w:t>LOW-</w:t>
            </w:r>
            <w:r>
              <w:rPr>
                <w:rFonts w:hint="eastAsia"/>
                <w:color w:val="auto"/>
                <w:highlight w:val="none"/>
              </w:rPr>
              <w:t>e</w:t>
            </w:r>
            <w:r>
              <w:rPr>
                <w:color w:val="auto"/>
                <w:highlight w:val="none"/>
              </w:rPr>
              <w:t>+12A+6</w:t>
            </w:r>
            <w:r>
              <w:rPr>
                <w:rFonts w:hint="eastAsia"/>
                <w:color w:val="auto"/>
                <w:highlight w:val="none"/>
              </w:rPr>
              <w:t>）中空钢化玻璃</w:t>
            </w:r>
          </w:p>
        </w:tc>
      </w:tr>
      <w:tr w14:paraId="092B8614">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10BDAB57">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卫生间窗</w:t>
            </w:r>
          </w:p>
        </w:tc>
        <w:tc>
          <w:tcPr>
            <w:tcW w:w="5866" w:type="dxa"/>
            <w:tcBorders>
              <w:top w:val="nil"/>
              <w:left w:val="nil"/>
              <w:bottom w:val="single" w:color="000000" w:sz="4" w:space="0"/>
              <w:right w:val="single" w:color="auto" w:sz="8" w:space="0"/>
            </w:tcBorders>
          </w:tcPr>
          <w:p w14:paraId="5762ED04">
            <w:pPr>
              <w:pStyle w:val="17"/>
              <w:rPr>
                <w:rFonts w:hint="eastAsia" w:ascii="宋体" w:hAnsi="宋体" w:eastAsia="宋体" w:cs="宋体"/>
                <w:color w:val="auto"/>
                <w:kern w:val="0"/>
                <w:sz w:val="21"/>
                <w:szCs w:val="21"/>
                <w:highlight w:val="none"/>
              </w:rPr>
            </w:pPr>
            <w:r>
              <w:rPr>
                <w:rFonts w:hint="eastAsia"/>
                <w:color w:val="auto"/>
                <w:highlight w:val="none"/>
              </w:rPr>
              <w:t>铝合金+（6</w:t>
            </w:r>
            <w:r>
              <w:rPr>
                <w:color w:val="auto"/>
                <w:highlight w:val="none"/>
              </w:rPr>
              <w:t>LOW-</w:t>
            </w:r>
            <w:r>
              <w:rPr>
                <w:rFonts w:hint="eastAsia"/>
                <w:color w:val="auto"/>
                <w:highlight w:val="none"/>
              </w:rPr>
              <w:t>e</w:t>
            </w:r>
            <w:r>
              <w:rPr>
                <w:color w:val="auto"/>
                <w:highlight w:val="none"/>
              </w:rPr>
              <w:t>+12A+6</w:t>
            </w:r>
            <w:r>
              <w:rPr>
                <w:rFonts w:hint="eastAsia"/>
                <w:color w:val="auto"/>
                <w:highlight w:val="none"/>
              </w:rPr>
              <w:t>）中空钢化玻璃</w:t>
            </w:r>
          </w:p>
        </w:tc>
      </w:tr>
      <w:tr w14:paraId="1DB4903D">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65C355A6">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设备井门</w:t>
            </w:r>
          </w:p>
        </w:tc>
        <w:tc>
          <w:tcPr>
            <w:tcW w:w="5866" w:type="dxa"/>
            <w:tcBorders>
              <w:top w:val="nil"/>
              <w:left w:val="nil"/>
              <w:bottom w:val="single" w:color="000000" w:sz="4" w:space="0"/>
              <w:right w:val="single" w:color="auto" w:sz="8" w:space="0"/>
            </w:tcBorders>
          </w:tcPr>
          <w:p w14:paraId="11B9BDD7">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丙级钢制防火门</w:t>
            </w:r>
          </w:p>
        </w:tc>
      </w:tr>
      <w:tr w14:paraId="324D5EC0">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330E314E">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走道防火门</w:t>
            </w:r>
          </w:p>
        </w:tc>
        <w:tc>
          <w:tcPr>
            <w:tcW w:w="5866" w:type="dxa"/>
            <w:tcBorders>
              <w:top w:val="nil"/>
              <w:left w:val="nil"/>
              <w:bottom w:val="single" w:color="000000" w:sz="4" w:space="0"/>
              <w:right w:val="single" w:color="auto" w:sz="8" w:space="0"/>
            </w:tcBorders>
          </w:tcPr>
          <w:p w14:paraId="42863934">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乙级钢制防火门</w:t>
            </w:r>
          </w:p>
        </w:tc>
      </w:tr>
      <w:tr w14:paraId="55E411D6">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5D38C3F0">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楼梯门</w:t>
            </w:r>
          </w:p>
        </w:tc>
        <w:tc>
          <w:tcPr>
            <w:tcW w:w="5866" w:type="dxa"/>
            <w:tcBorders>
              <w:top w:val="nil"/>
              <w:left w:val="nil"/>
              <w:bottom w:val="single" w:color="000000" w:sz="4" w:space="0"/>
              <w:right w:val="single" w:color="auto" w:sz="8" w:space="0"/>
            </w:tcBorders>
          </w:tcPr>
          <w:p w14:paraId="65C1C65F">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乙级钢制防火门</w:t>
            </w:r>
          </w:p>
        </w:tc>
      </w:tr>
      <w:tr w14:paraId="57F9B0D6">
        <w:tblPrEx>
          <w:tblCellMar>
            <w:top w:w="0" w:type="dxa"/>
            <w:left w:w="108" w:type="dxa"/>
            <w:bottom w:w="0" w:type="dxa"/>
            <w:right w:w="108" w:type="dxa"/>
          </w:tblCellMar>
        </w:tblPrEx>
        <w:trPr>
          <w:trHeight w:val="567" w:hRule="atLeast"/>
        </w:trPr>
        <w:tc>
          <w:tcPr>
            <w:tcW w:w="3140" w:type="dxa"/>
            <w:tcBorders>
              <w:top w:val="nil"/>
              <w:left w:val="single" w:color="000000" w:sz="4" w:space="0"/>
              <w:bottom w:val="single" w:color="000000" w:sz="4" w:space="0"/>
              <w:right w:val="single" w:color="000000" w:sz="4" w:space="0"/>
            </w:tcBorders>
          </w:tcPr>
          <w:p w14:paraId="298D2B17">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前室、走道、楼梯间窗</w:t>
            </w:r>
          </w:p>
        </w:tc>
        <w:tc>
          <w:tcPr>
            <w:tcW w:w="5866" w:type="dxa"/>
            <w:tcBorders>
              <w:top w:val="nil"/>
              <w:left w:val="nil"/>
              <w:bottom w:val="single" w:color="000000" w:sz="4" w:space="0"/>
              <w:right w:val="single" w:color="auto" w:sz="8" w:space="0"/>
            </w:tcBorders>
          </w:tcPr>
          <w:tbl>
            <w:tblPr>
              <w:tblStyle w:val="42"/>
              <w:tblW w:w="9006" w:type="dxa"/>
              <w:tblInd w:w="91" w:type="dxa"/>
              <w:tblLayout w:type="fixed"/>
              <w:tblCellMar>
                <w:top w:w="0" w:type="dxa"/>
                <w:left w:w="108" w:type="dxa"/>
                <w:bottom w:w="0" w:type="dxa"/>
                <w:right w:w="108" w:type="dxa"/>
              </w:tblCellMar>
            </w:tblPr>
            <w:tblGrid>
              <w:gridCol w:w="9006"/>
            </w:tblGrid>
            <w:tr w14:paraId="4E938098">
              <w:tblPrEx>
                <w:tblCellMar>
                  <w:top w:w="0" w:type="dxa"/>
                  <w:left w:w="108" w:type="dxa"/>
                  <w:bottom w:w="0" w:type="dxa"/>
                  <w:right w:w="108" w:type="dxa"/>
                </w:tblCellMar>
              </w:tblPrEx>
              <w:trPr>
                <w:trHeight w:val="567" w:hRule="atLeast"/>
              </w:trPr>
              <w:tc>
                <w:tcPr>
                  <w:tcW w:w="5866" w:type="dxa"/>
                  <w:tcBorders>
                    <w:top w:val="nil"/>
                    <w:left w:val="nil"/>
                    <w:bottom w:val="single" w:color="000000" w:sz="4" w:space="0"/>
                    <w:right w:val="single" w:color="auto" w:sz="8" w:space="0"/>
                  </w:tcBorders>
                </w:tcPr>
                <w:p w14:paraId="27BADDDC">
                  <w:pPr>
                    <w:pStyle w:val="17"/>
                    <w:rPr>
                      <w:rFonts w:hint="eastAsia"/>
                      <w:color w:val="auto"/>
                      <w:highlight w:val="none"/>
                    </w:rPr>
                  </w:pPr>
                  <w:r>
                    <w:rPr>
                      <w:rFonts w:hint="eastAsia"/>
                      <w:color w:val="auto"/>
                      <w:highlight w:val="none"/>
                    </w:rPr>
                    <w:t>铝合金+（6</w:t>
                  </w:r>
                  <w:r>
                    <w:rPr>
                      <w:color w:val="auto"/>
                      <w:highlight w:val="none"/>
                    </w:rPr>
                    <w:t>LOW-</w:t>
                  </w:r>
                  <w:r>
                    <w:rPr>
                      <w:rFonts w:hint="eastAsia"/>
                      <w:color w:val="auto"/>
                      <w:highlight w:val="none"/>
                    </w:rPr>
                    <w:t>e</w:t>
                  </w:r>
                  <w:r>
                    <w:rPr>
                      <w:color w:val="auto"/>
                      <w:highlight w:val="none"/>
                    </w:rPr>
                    <w:t>+12A/Ar+6</w:t>
                  </w:r>
                  <w:r>
                    <w:rPr>
                      <w:rFonts w:hint="eastAsia"/>
                      <w:color w:val="auto"/>
                      <w:highlight w:val="none"/>
                    </w:rPr>
                    <w:t>）中空钢化玻璃</w:t>
                  </w:r>
                </w:p>
                <w:p w14:paraId="46DE05DB">
                  <w:pPr>
                    <w:widowControl/>
                    <w:jc w:val="both"/>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（联动如有）</w:t>
                  </w:r>
                </w:p>
              </w:tc>
            </w:tr>
          </w:tbl>
          <w:p w14:paraId="0BB91F7D">
            <w:pPr>
              <w:widowControl/>
              <w:jc w:val="center"/>
              <w:textAlignment w:val="center"/>
              <w:rPr>
                <w:rFonts w:hint="eastAsia" w:ascii="宋体" w:hAnsi="宋体" w:eastAsia="宋体" w:cs="宋体"/>
                <w:color w:val="auto"/>
                <w:kern w:val="0"/>
                <w:sz w:val="21"/>
                <w:szCs w:val="21"/>
                <w:highlight w:val="none"/>
              </w:rPr>
            </w:pPr>
          </w:p>
        </w:tc>
      </w:tr>
    </w:tbl>
    <w:p w14:paraId="2101E4F3">
      <w:pPr>
        <w:widowControl/>
        <w:ind w:firstLine="420" w:firstLineChars="200"/>
        <w:textAlignment w:val="center"/>
        <w:rPr>
          <w:rStyle w:val="81"/>
          <w:rFonts w:hint="eastAsia" w:ascii="宋体" w:hAnsi="宋体" w:cs="宋体"/>
          <w:color w:val="auto"/>
          <w:sz w:val="21"/>
          <w:szCs w:val="21"/>
          <w:highlight w:val="none"/>
        </w:rPr>
      </w:pPr>
      <w:r>
        <w:rPr>
          <w:rStyle w:val="81"/>
          <w:rFonts w:hint="eastAsia" w:ascii="宋体" w:hAnsi="宋体" w:cs="宋体"/>
          <w:color w:val="auto"/>
          <w:sz w:val="21"/>
          <w:szCs w:val="21"/>
          <w:highlight w:val="none"/>
        </w:rPr>
        <w:t>注：</w:t>
      </w:r>
      <w:r>
        <w:rPr>
          <w:rStyle w:val="81"/>
          <w:rFonts w:hint="eastAsia" w:ascii="宋体" w:hAnsi="宋体"/>
          <w:color w:val="auto"/>
          <w:sz w:val="21"/>
          <w:szCs w:val="21"/>
          <w:highlight w:val="none"/>
        </w:rPr>
        <w:t>上述为住宅部分的要求，仅做参考，玻璃外门窗的形式最终以送审时节能计算结果为准；公建部分根据节能计算和室内外装修效果进行选择。</w:t>
      </w:r>
    </w:p>
    <w:p w14:paraId="60B904A2">
      <w:pPr>
        <w:pStyle w:val="24"/>
        <w:ind w:firstLine="480"/>
        <w:rPr>
          <w:rFonts w:hint="eastAsia" w:hAnsi="宋体" w:cs="宋体"/>
          <w:szCs w:val="24"/>
          <w:highlight w:val="none"/>
        </w:rPr>
      </w:pPr>
      <w:r>
        <w:rPr>
          <w:rFonts w:hint="eastAsia" w:hAnsi="宋体" w:cs="宋体"/>
          <w:szCs w:val="24"/>
          <w:highlight w:val="none"/>
        </w:rPr>
        <w:t>1.3.7 栏杆</w:t>
      </w:r>
    </w:p>
    <w:p w14:paraId="34F3AA32">
      <w:pPr>
        <w:widowControl/>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住宅部分阳台采用粉末喷涂的镀锌钢管栏杆，栏杆高度距离地面不小于1.2m，并满足规范的相关要求。住宅楼梯间采用粉末喷涂的镀锌钢管栏杆，剪刀梯楼梯间，在条件允许的前提下，应优先选用靠墙扶手，并满足规范相关要求。公建部分的栏杆根据立面及装修效果选用，优先考虑粉末喷涂的镀锌钢管栏杆。</w:t>
      </w:r>
    </w:p>
    <w:p w14:paraId="02D516DC">
      <w:pPr>
        <w:pStyle w:val="24"/>
        <w:ind w:firstLine="480"/>
        <w:rPr>
          <w:rFonts w:hint="eastAsia" w:hAnsi="宋体" w:cs="宋体"/>
          <w:szCs w:val="24"/>
          <w:highlight w:val="none"/>
        </w:rPr>
      </w:pPr>
      <w:r>
        <w:rPr>
          <w:rFonts w:hint="eastAsia" w:hAnsi="宋体" w:cs="宋体"/>
          <w:szCs w:val="24"/>
          <w:highlight w:val="none"/>
        </w:rPr>
        <w:t>1.3.8 独立地块公建配套</w:t>
      </w:r>
    </w:p>
    <w:p w14:paraId="43DAAF78">
      <w:pPr>
        <w:widowControl/>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独立地块公建配套外立面装修根据设计效果确定；其内部装修按照广州市相关标准指引，并结合使用单位的相关需求进行设计。遵循经济、适用、安全、美观的设计原则，满足最基本的使用需求。</w:t>
      </w:r>
    </w:p>
    <w:p w14:paraId="378A5541">
      <w:pPr>
        <w:widowControl/>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1.3.9 临时展厅</w:t>
      </w:r>
    </w:p>
    <w:p w14:paraId="50F5741B">
      <w:pPr>
        <w:widowControl/>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幼儿园应考虑同时满足作为幼儿园和临时展厅使用的方案，建筑布局应考虑兼顾幼儿园使用功能和展览流线设计，室内空间满足幼儿园教学和展览的使用需求。</w:t>
      </w:r>
    </w:p>
    <w:p w14:paraId="73741350">
      <w:pPr>
        <w:pStyle w:val="6"/>
        <w:keepNext w:val="0"/>
        <w:keepLines w:val="0"/>
        <w:snapToGrid/>
        <w:spacing w:before="156" w:beforeLines="50"/>
        <w:ind w:firstLine="482" w:firstLineChars="200"/>
        <w:rPr>
          <w:rFonts w:hint="eastAsia" w:ascii="宋体" w:hAnsi="宋体" w:eastAsia="宋体" w:cs="宋体"/>
          <w:color w:val="auto"/>
          <w:sz w:val="24"/>
          <w:szCs w:val="24"/>
          <w:highlight w:val="none"/>
        </w:rPr>
      </w:pPr>
      <w:bookmarkStart w:id="297" w:name="_Toc15571"/>
      <w:r>
        <w:rPr>
          <w:rFonts w:hint="eastAsia" w:ascii="宋体" w:hAnsi="宋体" w:eastAsia="宋体" w:cs="宋体"/>
          <w:color w:val="auto"/>
          <w:sz w:val="24"/>
          <w:szCs w:val="24"/>
          <w:highlight w:val="none"/>
        </w:rPr>
        <w:t>1.4 选用指标</w:t>
      </w:r>
      <w:bookmarkEnd w:id="297"/>
    </w:p>
    <w:p w14:paraId="4715C64B">
      <w:pPr>
        <w:pStyle w:val="24"/>
        <w:ind w:firstLine="480"/>
        <w:rPr>
          <w:rFonts w:hint="eastAsia" w:hAnsi="宋体" w:cs="宋体"/>
          <w:szCs w:val="24"/>
          <w:highlight w:val="none"/>
        </w:rPr>
      </w:pPr>
      <w:r>
        <w:rPr>
          <w:rFonts w:hint="eastAsia" w:hAnsi="宋体" w:cs="宋体"/>
          <w:szCs w:val="24"/>
          <w:highlight w:val="none"/>
        </w:rPr>
        <w:t>1.4.1 地下室底板防水构造</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177"/>
      </w:tblGrid>
      <w:tr w14:paraId="2A86D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29650A2F">
            <w:pPr>
              <w:widowControl/>
              <w:jc w:val="center"/>
              <w:textAlignment w:val="center"/>
              <w:rPr>
                <w:rFonts w:hint="eastAsia" w:ascii="宋体" w:hAnsi="宋体" w:eastAsia="宋体" w:cs="宋体"/>
                <w:color w:val="auto"/>
                <w:kern w:val="0"/>
                <w:sz w:val="21"/>
                <w:szCs w:val="21"/>
                <w:highlight w:val="none"/>
              </w:rPr>
            </w:pPr>
          </w:p>
        </w:tc>
        <w:tc>
          <w:tcPr>
            <w:tcW w:w="4394" w:type="dxa"/>
            <w:shd w:val="clear" w:color="auto" w:fill="auto"/>
          </w:tcPr>
          <w:p w14:paraId="244465DF">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color w:val="auto"/>
                <w:highlight w:val="none"/>
              </w:rPr>
              <w:t>构造材料</w:t>
            </w:r>
          </w:p>
        </w:tc>
        <w:tc>
          <w:tcPr>
            <w:tcW w:w="2177" w:type="dxa"/>
            <w:shd w:val="clear" w:color="auto" w:fill="auto"/>
          </w:tcPr>
          <w:p w14:paraId="6F04E9B6">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color w:val="auto"/>
                <w:highlight w:val="none"/>
              </w:rPr>
              <w:t>备注</w:t>
            </w:r>
          </w:p>
        </w:tc>
      </w:tr>
      <w:tr w14:paraId="6CF55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115284C1">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方案一</w:t>
            </w:r>
          </w:p>
        </w:tc>
        <w:tc>
          <w:tcPr>
            <w:tcW w:w="4394" w:type="dxa"/>
            <w:shd w:val="clear" w:color="auto" w:fill="auto"/>
          </w:tcPr>
          <w:p w14:paraId="25BB9803">
            <w:pPr>
              <w:widowControl/>
              <w:jc w:val="center"/>
              <w:textAlignment w:val="center"/>
              <w:rPr>
                <w:rFonts w:hint="eastAsia" w:ascii="宋体" w:hAnsi="宋体" w:eastAsia="宋体" w:cs="宋体"/>
                <w:color w:val="auto"/>
                <w:kern w:val="0"/>
                <w:sz w:val="21"/>
                <w:szCs w:val="21"/>
                <w:highlight w:val="none"/>
              </w:rPr>
            </w:pPr>
            <w:r>
              <w:rPr>
                <w:rFonts w:ascii="宋体" w:hAnsi="宋体" w:eastAsia="宋体" w:cs="宋体"/>
                <w:color w:val="auto"/>
                <w:kern w:val="0"/>
                <w:highlight w:val="none"/>
              </w:rPr>
              <w:t>1.2</w:t>
            </w:r>
            <w:r>
              <w:rPr>
                <w:rFonts w:hint="eastAsia" w:ascii="宋体" w:hAnsi="宋体" w:eastAsia="宋体" w:cs="宋体"/>
                <w:color w:val="auto"/>
                <w:kern w:val="0"/>
                <w:highlight w:val="none"/>
              </w:rPr>
              <w:t>厚高分子自粘胶膜预铺防水卷材（P类）（预铺反粘法）+1.5厚自粘聚合物改性沥青防水卷材</w:t>
            </w:r>
          </w:p>
        </w:tc>
        <w:tc>
          <w:tcPr>
            <w:tcW w:w="2177" w:type="dxa"/>
            <w:shd w:val="clear" w:color="auto" w:fill="auto"/>
          </w:tcPr>
          <w:p w14:paraId="28C371E6">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常规材料</w:t>
            </w:r>
          </w:p>
        </w:tc>
      </w:tr>
    </w:tbl>
    <w:p w14:paraId="1A309184">
      <w:pPr>
        <w:widowControl/>
        <w:spacing w:line="360" w:lineRule="auto"/>
        <w:ind w:firstLine="480" w:firstLineChars="200"/>
        <w:rPr>
          <w:rFonts w:hint="eastAsia" w:ascii="宋体" w:hAnsi="宋体" w:eastAsia="宋体" w:cs="宋体"/>
          <w:color w:val="auto"/>
          <w:sz w:val="24"/>
          <w:szCs w:val="24"/>
          <w:highlight w:val="none"/>
        </w:rPr>
      </w:pPr>
    </w:p>
    <w:p w14:paraId="544B30D2">
      <w:pPr>
        <w:pStyle w:val="24"/>
        <w:ind w:firstLine="480"/>
        <w:rPr>
          <w:rFonts w:hint="eastAsia" w:hAnsi="宋体" w:cs="宋体"/>
          <w:szCs w:val="24"/>
          <w:highlight w:val="none"/>
        </w:rPr>
      </w:pPr>
      <w:r>
        <w:rPr>
          <w:rFonts w:hint="eastAsia" w:hAnsi="宋体" w:cs="宋体"/>
          <w:szCs w:val="24"/>
          <w:highlight w:val="none"/>
        </w:rPr>
        <w:t>1.4.2 地下室顶板防水构造</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177"/>
      </w:tblGrid>
      <w:tr w14:paraId="2A12C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639CC725">
            <w:pPr>
              <w:widowControl/>
              <w:jc w:val="center"/>
              <w:textAlignment w:val="center"/>
              <w:rPr>
                <w:rFonts w:hint="eastAsia" w:ascii="宋体" w:hAnsi="宋体" w:eastAsia="宋体" w:cs="宋体"/>
                <w:b/>
                <w:bCs/>
                <w:color w:val="auto"/>
                <w:kern w:val="0"/>
                <w:sz w:val="21"/>
                <w:szCs w:val="21"/>
                <w:highlight w:val="none"/>
              </w:rPr>
            </w:pPr>
          </w:p>
        </w:tc>
        <w:tc>
          <w:tcPr>
            <w:tcW w:w="4394" w:type="dxa"/>
            <w:shd w:val="clear" w:color="auto" w:fill="auto"/>
          </w:tcPr>
          <w:p w14:paraId="1090D500">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color w:val="auto"/>
                <w:highlight w:val="none"/>
              </w:rPr>
              <w:t>构造材料</w:t>
            </w:r>
          </w:p>
        </w:tc>
        <w:tc>
          <w:tcPr>
            <w:tcW w:w="2177" w:type="dxa"/>
            <w:shd w:val="clear" w:color="auto" w:fill="auto"/>
          </w:tcPr>
          <w:p w14:paraId="1F480C76">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color w:val="auto"/>
                <w:highlight w:val="none"/>
              </w:rPr>
              <w:t>备注</w:t>
            </w:r>
          </w:p>
        </w:tc>
      </w:tr>
      <w:tr w14:paraId="644E8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2E22705D">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方案一</w:t>
            </w:r>
          </w:p>
        </w:tc>
        <w:tc>
          <w:tcPr>
            <w:tcW w:w="4394" w:type="dxa"/>
            <w:shd w:val="clear" w:color="auto" w:fill="auto"/>
          </w:tcPr>
          <w:p w14:paraId="7A3D6C49">
            <w:pPr>
              <w:widowControl/>
              <w:jc w:val="center"/>
              <w:textAlignment w:val="center"/>
              <w:rPr>
                <w:rFonts w:hint="eastAsia" w:ascii="宋体" w:hAnsi="宋体" w:eastAsia="宋体" w:cs="宋体"/>
                <w:color w:val="auto"/>
                <w:kern w:val="0"/>
                <w:sz w:val="21"/>
                <w:szCs w:val="21"/>
                <w:highlight w:val="none"/>
              </w:rPr>
            </w:pPr>
            <w:r>
              <w:rPr>
                <w:rFonts w:ascii="宋体" w:hAnsi="宋体" w:eastAsia="宋体" w:cs="宋体"/>
                <w:color w:val="auto"/>
                <w:highlight w:val="none"/>
              </w:rPr>
              <w:t>4厚SBS改性沥青耐根穿刺防水卷材+2厚非固化橡胶沥青防水涂料（抗渗防水混凝土楼板结构面）</w:t>
            </w:r>
          </w:p>
        </w:tc>
        <w:tc>
          <w:tcPr>
            <w:tcW w:w="2177" w:type="dxa"/>
            <w:shd w:val="clear" w:color="auto" w:fill="auto"/>
          </w:tcPr>
          <w:p w14:paraId="217017D2">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常规材料</w:t>
            </w:r>
          </w:p>
        </w:tc>
      </w:tr>
    </w:tbl>
    <w:p w14:paraId="3435D7A2">
      <w:pPr>
        <w:widowControl/>
        <w:spacing w:line="360" w:lineRule="auto"/>
        <w:ind w:firstLine="480" w:firstLineChars="200"/>
        <w:rPr>
          <w:rFonts w:hint="eastAsia" w:ascii="宋体" w:hAnsi="宋体" w:eastAsia="宋体" w:cs="宋体"/>
          <w:color w:val="auto"/>
          <w:sz w:val="24"/>
          <w:szCs w:val="24"/>
          <w:highlight w:val="none"/>
        </w:rPr>
      </w:pPr>
    </w:p>
    <w:p w14:paraId="109E3AA5">
      <w:pPr>
        <w:pStyle w:val="24"/>
        <w:ind w:firstLine="480"/>
        <w:rPr>
          <w:rFonts w:hint="eastAsia" w:hAnsi="宋体" w:cs="宋体"/>
          <w:szCs w:val="24"/>
          <w:highlight w:val="none"/>
        </w:rPr>
      </w:pPr>
      <w:r>
        <w:rPr>
          <w:rFonts w:hint="eastAsia" w:hAnsi="宋体" w:cs="宋体"/>
          <w:szCs w:val="24"/>
          <w:highlight w:val="none"/>
        </w:rPr>
        <w:t>1.4.3 外墙保温形式</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177"/>
      </w:tblGrid>
      <w:tr w14:paraId="655B7A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vAlign w:val="center"/>
          </w:tcPr>
          <w:p w14:paraId="213C88C9">
            <w:pPr>
              <w:widowControl/>
              <w:jc w:val="center"/>
              <w:textAlignment w:val="center"/>
              <w:rPr>
                <w:rFonts w:hint="eastAsia" w:ascii="宋体" w:hAnsi="宋体" w:eastAsia="宋体" w:cs="宋体"/>
                <w:b/>
                <w:bCs/>
                <w:color w:val="auto"/>
                <w:kern w:val="0"/>
                <w:sz w:val="21"/>
                <w:szCs w:val="21"/>
                <w:highlight w:val="none"/>
              </w:rPr>
            </w:pPr>
          </w:p>
        </w:tc>
        <w:tc>
          <w:tcPr>
            <w:tcW w:w="4394" w:type="dxa"/>
            <w:shd w:val="clear" w:color="auto" w:fill="auto"/>
            <w:vAlign w:val="center"/>
          </w:tcPr>
          <w:p w14:paraId="2A584D61">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构造材料</w:t>
            </w:r>
          </w:p>
        </w:tc>
        <w:tc>
          <w:tcPr>
            <w:tcW w:w="2177" w:type="dxa"/>
            <w:shd w:val="clear" w:color="auto" w:fill="auto"/>
            <w:vAlign w:val="center"/>
          </w:tcPr>
          <w:p w14:paraId="189D4B39">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备注</w:t>
            </w:r>
          </w:p>
        </w:tc>
      </w:tr>
      <w:tr w14:paraId="3E602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vAlign w:val="center"/>
          </w:tcPr>
          <w:p w14:paraId="01658B2F">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方案一</w:t>
            </w:r>
          </w:p>
        </w:tc>
        <w:tc>
          <w:tcPr>
            <w:tcW w:w="4394" w:type="dxa"/>
            <w:shd w:val="clear" w:color="auto" w:fill="auto"/>
            <w:vAlign w:val="center"/>
          </w:tcPr>
          <w:p w14:paraId="2F992A5F">
            <w:pPr>
              <w:pStyle w:val="17"/>
              <w:ind w:firstLine="1100" w:firstLineChars="500"/>
              <w:rPr>
                <w:rFonts w:hint="eastAsia" w:ascii="宋体" w:hAnsi="宋体" w:eastAsia="宋体" w:cs="宋体"/>
                <w:color w:val="auto"/>
                <w:kern w:val="0"/>
                <w:sz w:val="21"/>
                <w:szCs w:val="21"/>
                <w:highlight w:val="none"/>
              </w:rPr>
            </w:pPr>
            <w:r>
              <w:rPr>
                <w:rFonts w:hint="eastAsia" w:ascii="宋体" w:hAnsi="宋体" w:eastAsia="宋体" w:cs="宋体"/>
                <w:color w:val="auto"/>
                <w:highlight w:val="none"/>
              </w:rPr>
              <w:t>水性保温凝胶（A级）</w:t>
            </w:r>
          </w:p>
        </w:tc>
        <w:tc>
          <w:tcPr>
            <w:tcW w:w="2177" w:type="dxa"/>
            <w:shd w:val="clear" w:color="auto" w:fill="auto"/>
            <w:vAlign w:val="center"/>
          </w:tcPr>
          <w:p w14:paraId="21FB3D01">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厚度按节能计算确定</w:t>
            </w:r>
          </w:p>
        </w:tc>
      </w:tr>
      <w:tr w14:paraId="579B6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vAlign w:val="center"/>
          </w:tcPr>
          <w:p w14:paraId="08E19F99">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方案二</w:t>
            </w:r>
          </w:p>
        </w:tc>
        <w:tc>
          <w:tcPr>
            <w:tcW w:w="4394" w:type="dxa"/>
            <w:shd w:val="clear" w:color="auto" w:fill="auto"/>
            <w:vAlign w:val="center"/>
          </w:tcPr>
          <w:p w14:paraId="52B46987">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岩棉板（A级）+12厚高强水泥板（A级）</w:t>
            </w:r>
          </w:p>
        </w:tc>
        <w:tc>
          <w:tcPr>
            <w:tcW w:w="2177" w:type="dxa"/>
            <w:shd w:val="clear" w:color="auto" w:fill="auto"/>
            <w:vAlign w:val="center"/>
          </w:tcPr>
          <w:p w14:paraId="6E413BAE">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厚度按节能计算确定</w:t>
            </w:r>
          </w:p>
        </w:tc>
      </w:tr>
      <w:tr w14:paraId="60112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vAlign w:val="center"/>
          </w:tcPr>
          <w:p w14:paraId="7EFEC6D7">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方案三</w:t>
            </w:r>
          </w:p>
        </w:tc>
        <w:tc>
          <w:tcPr>
            <w:tcW w:w="4394" w:type="dxa"/>
            <w:shd w:val="clear" w:color="auto" w:fill="auto"/>
            <w:vAlign w:val="center"/>
          </w:tcPr>
          <w:p w14:paraId="0F1F31A0">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挤塑聚苯板（B1级）+12厚高强水泥板（A级）</w:t>
            </w:r>
          </w:p>
        </w:tc>
        <w:tc>
          <w:tcPr>
            <w:tcW w:w="2177" w:type="dxa"/>
            <w:shd w:val="clear" w:color="auto" w:fill="auto"/>
            <w:vAlign w:val="center"/>
          </w:tcPr>
          <w:p w14:paraId="3ABF82FE">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厚度按节能计算确定</w:t>
            </w:r>
          </w:p>
        </w:tc>
      </w:tr>
    </w:tbl>
    <w:p w14:paraId="0D63D58C">
      <w:pPr>
        <w:rPr>
          <w:rFonts w:hint="eastAsia" w:ascii="宋体" w:hAnsi="宋体" w:eastAsia="宋体" w:cs="宋体"/>
          <w:color w:val="auto"/>
          <w:highlight w:val="none"/>
        </w:rPr>
      </w:pPr>
    </w:p>
    <w:p w14:paraId="4A040751">
      <w:pPr>
        <w:pStyle w:val="24"/>
        <w:ind w:firstLine="480"/>
        <w:rPr>
          <w:rFonts w:hint="eastAsia" w:hAnsi="宋体" w:cs="宋体"/>
          <w:szCs w:val="24"/>
          <w:highlight w:val="none"/>
        </w:rPr>
      </w:pPr>
      <w:r>
        <w:rPr>
          <w:rFonts w:hint="eastAsia" w:hAnsi="宋体" w:cs="宋体"/>
          <w:szCs w:val="24"/>
          <w:highlight w:val="none"/>
        </w:rPr>
        <w:t>1.4.4 屋顶防水构造</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177"/>
      </w:tblGrid>
      <w:tr w14:paraId="10566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179995C1">
            <w:pPr>
              <w:widowControl/>
              <w:jc w:val="center"/>
              <w:textAlignment w:val="center"/>
              <w:rPr>
                <w:rFonts w:hint="eastAsia" w:ascii="宋体" w:hAnsi="宋体" w:eastAsia="宋体" w:cs="宋体"/>
                <w:b/>
                <w:bCs/>
                <w:color w:val="auto"/>
                <w:kern w:val="0"/>
                <w:highlight w:val="none"/>
              </w:rPr>
            </w:pPr>
          </w:p>
        </w:tc>
        <w:tc>
          <w:tcPr>
            <w:tcW w:w="4394" w:type="dxa"/>
            <w:shd w:val="clear" w:color="auto" w:fill="auto"/>
          </w:tcPr>
          <w:p w14:paraId="7A12D318">
            <w:pPr>
              <w:widowControl/>
              <w:jc w:val="center"/>
              <w:textAlignment w:val="center"/>
              <w:rPr>
                <w:rFonts w:hint="eastAsia" w:ascii="宋体" w:hAnsi="宋体" w:eastAsia="宋体" w:cs="宋体"/>
                <w:b/>
                <w:bCs/>
                <w:color w:val="auto"/>
                <w:kern w:val="0"/>
                <w:highlight w:val="none"/>
              </w:rPr>
            </w:pPr>
            <w:r>
              <w:rPr>
                <w:rFonts w:hint="eastAsia" w:ascii="宋体" w:hAnsi="宋体" w:eastAsia="宋体" w:cs="宋体"/>
                <w:color w:val="auto"/>
                <w:highlight w:val="none"/>
              </w:rPr>
              <w:t>构造材料</w:t>
            </w:r>
          </w:p>
        </w:tc>
        <w:tc>
          <w:tcPr>
            <w:tcW w:w="2177" w:type="dxa"/>
            <w:shd w:val="clear" w:color="auto" w:fill="auto"/>
          </w:tcPr>
          <w:p w14:paraId="3F393296">
            <w:pPr>
              <w:widowControl/>
              <w:jc w:val="center"/>
              <w:textAlignment w:val="center"/>
              <w:rPr>
                <w:rFonts w:hint="eastAsia" w:ascii="宋体" w:hAnsi="宋体" w:eastAsia="宋体" w:cs="宋体"/>
                <w:b/>
                <w:bCs/>
                <w:color w:val="auto"/>
                <w:kern w:val="0"/>
                <w:highlight w:val="none"/>
              </w:rPr>
            </w:pPr>
            <w:r>
              <w:rPr>
                <w:rFonts w:hint="eastAsia" w:ascii="宋体" w:hAnsi="宋体" w:eastAsia="宋体" w:cs="宋体"/>
                <w:color w:val="auto"/>
                <w:highlight w:val="none"/>
              </w:rPr>
              <w:t>备注</w:t>
            </w:r>
          </w:p>
        </w:tc>
      </w:tr>
      <w:tr w14:paraId="7E3BC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1" w:type="dxa"/>
            <w:shd w:val="clear" w:color="auto" w:fill="auto"/>
          </w:tcPr>
          <w:p w14:paraId="5E1A3880">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highlight w:val="none"/>
              </w:rPr>
              <w:t>方案一</w:t>
            </w:r>
          </w:p>
        </w:tc>
        <w:tc>
          <w:tcPr>
            <w:tcW w:w="4394" w:type="dxa"/>
            <w:shd w:val="clear" w:color="auto" w:fill="auto"/>
          </w:tcPr>
          <w:p w14:paraId="2EF68102">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highlight w:val="none"/>
              </w:rPr>
              <w:t>1.5厚自粘聚合物改性沥青防水卷材各1道共2道</w:t>
            </w:r>
            <w:r>
              <w:rPr>
                <w:rFonts w:ascii="宋体" w:hAnsi="宋体" w:eastAsia="宋体" w:cs="宋体"/>
                <w:color w:val="auto"/>
                <w:highlight w:val="none"/>
              </w:rPr>
              <w:t>+2厚非固化橡胶沥青防水涂料</w:t>
            </w:r>
          </w:p>
        </w:tc>
        <w:tc>
          <w:tcPr>
            <w:tcW w:w="2177" w:type="dxa"/>
            <w:shd w:val="clear" w:color="auto" w:fill="auto"/>
          </w:tcPr>
          <w:p w14:paraId="41C002E4">
            <w:pPr>
              <w:widowControl/>
              <w:jc w:val="center"/>
              <w:textAlignment w:val="center"/>
              <w:rPr>
                <w:rFonts w:hint="eastAsia" w:ascii="宋体" w:hAnsi="宋体" w:eastAsia="宋体" w:cs="宋体"/>
                <w:color w:val="auto"/>
                <w:kern w:val="0"/>
                <w:highlight w:val="none"/>
              </w:rPr>
            </w:pPr>
            <w:r>
              <w:rPr>
                <w:rFonts w:hint="eastAsia" w:ascii="宋体" w:hAnsi="宋体" w:eastAsia="宋体" w:cs="宋体"/>
                <w:color w:val="auto"/>
                <w:highlight w:val="none"/>
              </w:rPr>
              <w:t>常规材料</w:t>
            </w:r>
          </w:p>
        </w:tc>
      </w:tr>
    </w:tbl>
    <w:p w14:paraId="55EEADB4">
      <w:pPr>
        <w:pStyle w:val="24"/>
        <w:ind w:firstLine="0" w:firstLineChars="0"/>
        <w:rPr>
          <w:rFonts w:hint="eastAsia" w:hAnsi="宋体" w:cs="宋体"/>
          <w:szCs w:val="24"/>
          <w:highlight w:val="none"/>
        </w:rPr>
      </w:pPr>
    </w:p>
    <w:p w14:paraId="408AC39C">
      <w:pPr>
        <w:pStyle w:val="24"/>
        <w:ind w:firstLine="480"/>
        <w:rPr>
          <w:rFonts w:hint="eastAsia" w:hAnsi="宋体" w:cs="宋体"/>
          <w:szCs w:val="24"/>
          <w:highlight w:val="none"/>
        </w:rPr>
      </w:pPr>
      <w:r>
        <w:rPr>
          <w:rFonts w:hint="eastAsia" w:hAnsi="宋体" w:cs="宋体"/>
          <w:szCs w:val="24"/>
          <w:highlight w:val="none"/>
        </w:rPr>
        <w:t>1.4.5遮阳方式</w:t>
      </w:r>
    </w:p>
    <w:bookmarkEnd w:id="292"/>
    <w:bookmarkEnd w:id="293"/>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9"/>
        <w:gridCol w:w="4575"/>
        <w:gridCol w:w="2348"/>
      </w:tblGrid>
      <w:tr w14:paraId="5DBD2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auto"/>
          </w:tcPr>
          <w:p w14:paraId="267EFCC2">
            <w:pPr>
              <w:widowControl/>
              <w:jc w:val="center"/>
              <w:textAlignment w:val="center"/>
              <w:rPr>
                <w:rFonts w:hint="eastAsia" w:ascii="宋体" w:hAnsi="宋体" w:eastAsia="宋体" w:cs="宋体"/>
                <w:b/>
                <w:bCs/>
                <w:color w:val="auto"/>
                <w:kern w:val="0"/>
                <w:sz w:val="21"/>
                <w:szCs w:val="21"/>
                <w:highlight w:val="none"/>
              </w:rPr>
            </w:pPr>
            <w:bookmarkStart w:id="298" w:name="_Toc19235"/>
            <w:bookmarkStart w:id="299" w:name="_Toc2733"/>
            <w:bookmarkStart w:id="300" w:name="_Toc104581734"/>
            <w:bookmarkStart w:id="301" w:name="_Toc27425"/>
          </w:p>
        </w:tc>
        <w:tc>
          <w:tcPr>
            <w:tcW w:w="4575" w:type="dxa"/>
            <w:shd w:val="clear" w:color="auto" w:fill="auto"/>
          </w:tcPr>
          <w:p w14:paraId="70B36415">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构造材料</w:t>
            </w:r>
          </w:p>
        </w:tc>
        <w:tc>
          <w:tcPr>
            <w:tcW w:w="2348" w:type="dxa"/>
            <w:shd w:val="clear" w:color="auto" w:fill="auto"/>
          </w:tcPr>
          <w:p w14:paraId="2D137004">
            <w:pPr>
              <w:widowControl/>
              <w:jc w:val="center"/>
              <w:textAlignment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备注</w:t>
            </w:r>
          </w:p>
        </w:tc>
      </w:tr>
      <w:tr w14:paraId="3D4DE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auto"/>
            <w:vAlign w:val="center"/>
          </w:tcPr>
          <w:p w14:paraId="3BF44670">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方案一</w:t>
            </w:r>
          </w:p>
        </w:tc>
        <w:tc>
          <w:tcPr>
            <w:tcW w:w="4575" w:type="dxa"/>
            <w:shd w:val="clear" w:color="auto" w:fill="auto"/>
            <w:vAlign w:val="center"/>
          </w:tcPr>
          <w:p w14:paraId="253EFA33">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外窗土建遮阳（窗户为现浇）</w:t>
            </w:r>
          </w:p>
        </w:tc>
        <w:tc>
          <w:tcPr>
            <w:tcW w:w="2348" w:type="dxa"/>
            <w:shd w:val="clear" w:color="auto" w:fill="auto"/>
            <w:vAlign w:val="center"/>
          </w:tcPr>
          <w:p w14:paraId="7C114340">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根据外立面需求选择</w:t>
            </w:r>
          </w:p>
        </w:tc>
      </w:tr>
      <w:tr w14:paraId="73B6B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auto"/>
            <w:vAlign w:val="center"/>
          </w:tcPr>
          <w:p w14:paraId="71C1A9E2">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方案二</w:t>
            </w:r>
          </w:p>
        </w:tc>
        <w:tc>
          <w:tcPr>
            <w:tcW w:w="4575" w:type="dxa"/>
            <w:shd w:val="clear" w:color="auto" w:fill="auto"/>
            <w:vAlign w:val="center"/>
          </w:tcPr>
          <w:p w14:paraId="2D9F49D3">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铝合金窗+内置百叶形式（飘窗为预制）</w:t>
            </w:r>
          </w:p>
        </w:tc>
        <w:tc>
          <w:tcPr>
            <w:tcW w:w="2348" w:type="dxa"/>
            <w:shd w:val="clear" w:color="auto" w:fill="auto"/>
            <w:vAlign w:val="center"/>
          </w:tcPr>
          <w:p w14:paraId="52DFEDE8">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根据外立面需求选择</w:t>
            </w:r>
          </w:p>
        </w:tc>
      </w:tr>
      <w:tr w14:paraId="79B63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99" w:type="dxa"/>
            <w:shd w:val="clear" w:color="auto" w:fill="auto"/>
            <w:vAlign w:val="center"/>
          </w:tcPr>
          <w:p w14:paraId="43A4918C">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方案三</w:t>
            </w:r>
          </w:p>
        </w:tc>
        <w:tc>
          <w:tcPr>
            <w:tcW w:w="4575" w:type="dxa"/>
            <w:shd w:val="clear" w:color="auto" w:fill="auto"/>
            <w:vAlign w:val="center"/>
          </w:tcPr>
          <w:p w14:paraId="1B7074F7">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铝合金窗+600高外遮阳穿孔铝板或遮阳百叶</w:t>
            </w:r>
          </w:p>
        </w:tc>
        <w:tc>
          <w:tcPr>
            <w:tcW w:w="2348" w:type="dxa"/>
            <w:shd w:val="clear" w:color="auto" w:fill="auto"/>
            <w:vAlign w:val="center"/>
          </w:tcPr>
          <w:p w14:paraId="4443D7AF">
            <w:pPr>
              <w:widowControl/>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根据外立面需求选择</w:t>
            </w:r>
          </w:p>
        </w:tc>
      </w:tr>
    </w:tbl>
    <w:p w14:paraId="5E8F59A0">
      <w:pPr>
        <w:rPr>
          <w:rFonts w:hint="eastAsia" w:ascii="宋体" w:hAnsi="宋体" w:eastAsia="宋体" w:cs="宋体"/>
          <w:color w:val="auto"/>
          <w:highlight w:val="none"/>
        </w:rPr>
      </w:pPr>
    </w:p>
    <w:p w14:paraId="3C6E3241">
      <w:pPr>
        <w:pStyle w:val="5"/>
        <w:keepNext w:val="0"/>
        <w:keepLines w:val="0"/>
        <w:snapToGrid/>
        <w:spacing w:before="156" w:beforeLines="50" w:after="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2.结构设计</w:t>
      </w:r>
      <w:bookmarkEnd w:id="294"/>
      <w:bookmarkEnd w:id="295"/>
      <w:bookmarkEnd w:id="298"/>
      <w:bookmarkEnd w:id="299"/>
      <w:bookmarkEnd w:id="300"/>
      <w:bookmarkEnd w:id="301"/>
    </w:p>
    <w:p w14:paraId="6A8ACD5D">
      <w:pPr>
        <w:pStyle w:val="7"/>
        <w:spacing w:before="156" w:beforeLines="50"/>
        <w:ind w:firstLine="482" w:firstLineChars="200"/>
        <w:rPr>
          <w:rFonts w:hint="eastAsia" w:ascii="宋体" w:hAnsi="宋体" w:cs="宋体"/>
          <w:szCs w:val="24"/>
          <w:highlight w:val="none"/>
        </w:rPr>
      </w:pPr>
      <w:bookmarkStart w:id="302" w:name="_Toc10226"/>
      <w:bookmarkStart w:id="303" w:name="_Toc11340"/>
      <w:bookmarkStart w:id="304" w:name="_Toc32027"/>
      <w:bookmarkStart w:id="305" w:name="_Toc104581735"/>
      <w:r>
        <w:rPr>
          <w:rFonts w:hint="eastAsia" w:ascii="宋体" w:hAnsi="宋体" w:cs="宋体"/>
          <w:szCs w:val="24"/>
          <w:highlight w:val="none"/>
        </w:rPr>
        <w:t>2.1 总则</w:t>
      </w:r>
      <w:bookmarkEnd w:id="302"/>
      <w:bookmarkEnd w:id="303"/>
      <w:bookmarkEnd w:id="304"/>
      <w:bookmarkEnd w:id="305"/>
    </w:p>
    <w:p w14:paraId="69F55C3F">
      <w:pPr>
        <w:pStyle w:val="24"/>
        <w:widowControl/>
        <w:ind w:firstLine="480"/>
        <w:jc w:val="left"/>
        <w:textAlignment w:val="center"/>
        <w:rPr>
          <w:rFonts w:hint="eastAsia" w:hAnsi="宋体" w:cs="宋体"/>
          <w:highlight w:val="none"/>
        </w:rPr>
      </w:pPr>
      <w:r>
        <w:rPr>
          <w:rFonts w:hint="eastAsia" w:hAnsi="宋体" w:cs="宋体"/>
          <w:highlight w:val="none"/>
        </w:rPr>
        <w:t>2.1.1 结构设计应安全可靠，经济合理；应采用经过实践检验或可靠性验证的新工艺、新材料，以节约资金；应满足国家及地方的相应规范、规程及要求，采用可靠的结构体系，先进的工艺和技术。</w:t>
      </w:r>
    </w:p>
    <w:p w14:paraId="04E0D992">
      <w:pPr>
        <w:pStyle w:val="24"/>
        <w:widowControl/>
        <w:ind w:firstLine="480"/>
        <w:jc w:val="left"/>
        <w:textAlignment w:val="center"/>
        <w:rPr>
          <w:rFonts w:hint="eastAsia" w:hAnsi="宋体" w:cs="宋体"/>
          <w:highlight w:val="none"/>
        </w:rPr>
      </w:pPr>
      <w:r>
        <w:rPr>
          <w:rFonts w:hint="eastAsia" w:hAnsi="宋体" w:cs="宋体"/>
          <w:highlight w:val="none"/>
        </w:rPr>
        <w:t>2.2.2 抗震设计应遵循现行的国家规范、规程与广州市地方标准，满足结构预定使用和耐久性要求，实现建筑的安全适用、经济美观的目标。</w:t>
      </w:r>
    </w:p>
    <w:p w14:paraId="4107731B">
      <w:pPr>
        <w:pStyle w:val="24"/>
        <w:widowControl/>
        <w:ind w:firstLine="480"/>
        <w:jc w:val="left"/>
        <w:textAlignment w:val="center"/>
        <w:rPr>
          <w:rFonts w:hint="eastAsia" w:hAnsi="宋体" w:cs="宋体"/>
          <w:highlight w:val="none"/>
        </w:rPr>
      </w:pPr>
      <w:r>
        <w:rPr>
          <w:rFonts w:hint="eastAsia" w:hAnsi="宋体" w:cs="宋体"/>
          <w:highlight w:val="none"/>
        </w:rPr>
        <w:t>2.2.3 高层住宅结构设计应与建筑、设备等专业密切配合，在满足建筑使用要求、结构安全及耐久性要求前提下，按照经济性最优的原则进行结构设计。</w:t>
      </w:r>
    </w:p>
    <w:p w14:paraId="55D7AE12">
      <w:pPr>
        <w:pStyle w:val="7"/>
        <w:spacing w:before="156" w:beforeLines="50"/>
        <w:ind w:firstLine="482" w:firstLineChars="200"/>
        <w:rPr>
          <w:rFonts w:hint="eastAsia" w:ascii="宋体" w:hAnsi="宋体" w:cs="宋体"/>
          <w:szCs w:val="24"/>
          <w:highlight w:val="none"/>
        </w:rPr>
      </w:pPr>
      <w:bookmarkStart w:id="306" w:name="_Toc28742"/>
      <w:bookmarkStart w:id="307" w:name="_Toc18566"/>
      <w:bookmarkStart w:id="308" w:name="_Toc18862"/>
      <w:bookmarkStart w:id="309" w:name="_Toc104581736"/>
      <w:r>
        <w:rPr>
          <w:rFonts w:hint="eastAsia" w:ascii="宋体" w:hAnsi="宋体" w:cs="宋体"/>
          <w:szCs w:val="24"/>
          <w:highlight w:val="none"/>
        </w:rPr>
        <w:t>2.2 设计依据及关键指标</w:t>
      </w:r>
      <w:bookmarkEnd w:id="306"/>
      <w:bookmarkEnd w:id="307"/>
      <w:bookmarkEnd w:id="308"/>
      <w:bookmarkEnd w:id="309"/>
    </w:p>
    <w:p w14:paraId="4E3DCB85">
      <w:pPr>
        <w:pStyle w:val="24"/>
        <w:widowControl/>
        <w:ind w:firstLine="480"/>
        <w:jc w:val="left"/>
        <w:textAlignment w:val="center"/>
        <w:rPr>
          <w:rFonts w:hint="eastAsia" w:hAnsi="宋体" w:cs="宋体"/>
          <w:highlight w:val="none"/>
        </w:rPr>
      </w:pPr>
      <w:r>
        <w:rPr>
          <w:rFonts w:hint="eastAsia" w:hAnsi="宋体" w:cs="宋体"/>
          <w:highlight w:val="none"/>
        </w:rPr>
        <w:t>2.2.1 设计遵循的现行规范、规程主要有:</w:t>
      </w:r>
    </w:p>
    <w:p w14:paraId="33B58522">
      <w:pPr>
        <w:pStyle w:val="24"/>
        <w:widowControl/>
        <w:ind w:firstLine="480"/>
        <w:jc w:val="left"/>
        <w:textAlignment w:val="center"/>
        <w:rPr>
          <w:rFonts w:hint="eastAsia" w:hAnsi="宋体" w:cs="宋体"/>
          <w:highlight w:val="none"/>
        </w:rPr>
      </w:pPr>
      <w:r>
        <w:rPr>
          <w:rFonts w:hint="eastAsia" w:hAnsi="宋体" w:cs="宋体"/>
          <w:highlight w:val="none"/>
        </w:rPr>
        <w:t>2.2.1.1工程结构可靠性设计统一标准(GB50153-2018)</w:t>
      </w:r>
    </w:p>
    <w:p w14:paraId="55C13EB2">
      <w:pPr>
        <w:pStyle w:val="24"/>
        <w:widowControl/>
        <w:ind w:firstLine="480"/>
        <w:jc w:val="left"/>
        <w:textAlignment w:val="center"/>
        <w:rPr>
          <w:rFonts w:hint="eastAsia" w:hAnsi="宋体" w:cs="宋体"/>
          <w:highlight w:val="none"/>
        </w:rPr>
      </w:pPr>
      <w:r>
        <w:rPr>
          <w:rFonts w:hint="eastAsia" w:hAnsi="宋体" w:cs="宋体"/>
          <w:highlight w:val="none"/>
        </w:rPr>
        <w:t>2.2.1.2建筑结构荷载规范（GB50009－2012）</w:t>
      </w:r>
    </w:p>
    <w:p w14:paraId="718F083B">
      <w:pPr>
        <w:pStyle w:val="24"/>
        <w:widowControl/>
        <w:ind w:firstLine="480"/>
        <w:jc w:val="left"/>
        <w:textAlignment w:val="center"/>
        <w:rPr>
          <w:rFonts w:hint="eastAsia" w:hAnsi="宋体" w:cs="宋体"/>
          <w:highlight w:val="none"/>
        </w:rPr>
      </w:pPr>
      <w:r>
        <w:rPr>
          <w:rFonts w:hint="eastAsia" w:hAnsi="宋体" w:cs="宋体"/>
          <w:highlight w:val="none"/>
        </w:rPr>
        <w:t>2.2.1.3混凝土结构设计标准(GB/T50010-2010)</w:t>
      </w:r>
    </w:p>
    <w:p w14:paraId="173BA9E9">
      <w:pPr>
        <w:pStyle w:val="24"/>
        <w:widowControl/>
        <w:ind w:firstLine="480"/>
        <w:jc w:val="left"/>
        <w:textAlignment w:val="center"/>
        <w:rPr>
          <w:rFonts w:hint="eastAsia" w:hAnsi="宋体" w:cs="宋体"/>
          <w:highlight w:val="none"/>
        </w:rPr>
      </w:pPr>
      <w:r>
        <w:rPr>
          <w:rFonts w:hint="eastAsia" w:hAnsi="宋体" w:cs="宋体"/>
          <w:highlight w:val="none"/>
        </w:rPr>
        <w:t>2.2.1.4建筑抗震设计标准(GB/T50011-2010)</w:t>
      </w:r>
    </w:p>
    <w:p w14:paraId="66F20777">
      <w:pPr>
        <w:pStyle w:val="24"/>
        <w:widowControl/>
        <w:ind w:firstLine="480"/>
        <w:jc w:val="left"/>
        <w:textAlignment w:val="center"/>
        <w:rPr>
          <w:rFonts w:hint="eastAsia" w:hAnsi="宋体" w:cs="宋体"/>
          <w:highlight w:val="none"/>
        </w:rPr>
      </w:pPr>
      <w:r>
        <w:rPr>
          <w:rFonts w:hint="eastAsia" w:hAnsi="宋体" w:cs="宋体"/>
          <w:highlight w:val="none"/>
        </w:rPr>
        <w:t>2.2.1.5建筑抗震设计规范(GB 50011-2010)(2016年版)</w:t>
      </w:r>
    </w:p>
    <w:p w14:paraId="6E15466E">
      <w:pPr>
        <w:pStyle w:val="24"/>
        <w:widowControl/>
        <w:ind w:firstLine="480"/>
        <w:jc w:val="left"/>
        <w:textAlignment w:val="center"/>
        <w:rPr>
          <w:rFonts w:hint="eastAsia" w:hAnsi="宋体" w:cs="宋体"/>
          <w:highlight w:val="none"/>
        </w:rPr>
      </w:pPr>
      <w:r>
        <w:rPr>
          <w:rFonts w:hint="eastAsia" w:hAnsi="宋体" w:cs="宋体"/>
          <w:highlight w:val="none"/>
        </w:rPr>
        <w:t>2.2.1.6高层建筑混凝土结构技术规程（JGJ3－2010）</w:t>
      </w:r>
    </w:p>
    <w:p w14:paraId="413BE0DF">
      <w:pPr>
        <w:pStyle w:val="24"/>
        <w:widowControl/>
        <w:ind w:firstLine="480"/>
        <w:jc w:val="left"/>
        <w:textAlignment w:val="center"/>
        <w:rPr>
          <w:rFonts w:hint="eastAsia" w:hAnsi="宋体" w:cs="宋体"/>
          <w:highlight w:val="none"/>
        </w:rPr>
      </w:pPr>
      <w:r>
        <w:rPr>
          <w:rFonts w:hint="eastAsia" w:hAnsi="宋体" w:cs="宋体"/>
          <w:highlight w:val="none"/>
        </w:rPr>
        <w:t>2.2.1.7广东省建筑地基基础设计规范（DBJ15-31-2016）</w:t>
      </w:r>
    </w:p>
    <w:p w14:paraId="312EAF0B">
      <w:pPr>
        <w:pStyle w:val="24"/>
        <w:widowControl/>
        <w:ind w:firstLine="480"/>
        <w:jc w:val="left"/>
        <w:textAlignment w:val="center"/>
        <w:rPr>
          <w:rFonts w:hint="eastAsia" w:hAnsi="宋体" w:cs="宋体"/>
          <w:highlight w:val="none"/>
        </w:rPr>
      </w:pPr>
      <w:r>
        <w:rPr>
          <w:rFonts w:hint="eastAsia" w:hAnsi="宋体" w:cs="宋体"/>
          <w:highlight w:val="none"/>
        </w:rPr>
        <w:t>2.2.1.8建筑地基基础设计规范（GB50007－2011）</w:t>
      </w:r>
    </w:p>
    <w:p w14:paraId="66FDFF47">
      <w:pPr>
        <w:pStyle w:val="24"/>
        <w:widowControl/>
        <w:ind w:firstLine="480"/>
        <w:jc w:val="left"/>
        <w:textAlignment w:val="center"/>
        <w:rPr>
          <w:rFonts w:hint="eastAsia" w:hAnsi="宋体" w:cs="宋体"/>
          <w:highlight w:val="none"/>
        </w:rPr>
      </w:pPr>
      <w:r>
        <w:rPr>
          <w:rFonts w:hint="eastAsia" w:hAnsi="宋体" w:cs="宋体"/>
          <w:highlight w:val="none"/>
        </w:rPr>
        <w:t>2.2.1.9地下工程防水技术规范（GB50108-2008）</w:t>
      </w:r>
    </w:p>
    <w:p w14:paraId="39372F2B">
      <w:pPr>
        <w:pStyle w:val="24"/>
        <w:widowControl/>
        <w:ind w:firstLine="480"/>
        <w:jc w:val="left"/>
        <w:textAlignment w:val="center"/>
        <w:rPr>
          <w:rFonts w:hint="eastAsia" w:hAnsi="宋体" w:cs="宋体"/>
          <w:highlight w:val="none"/>
        </w:rPr>
      </w:pPr>
      <w:r>
        <w:rPr>
          <w:rFonts w:hint="eastAsia" w:hAnsi="宋体" w:cs="宋体"/>
          <w:highlight w:val="none"/>
        </w:rPr>
        <w:t>2.2.1.10混凝土结构耐久性设计标准(GB/ T50476-2019)</w:t>
      </w:r>
    </w:p>
    <w:p w14:paraId="15195F70">
      <w:pPr>
        <w:pStyle w:val="24"/>
        <w:widowControl/>
        <w:ind w:firstLine="480"/>
        <w:jc w:val="left"/>
        <w:textAlignment w:val="center"/>
        <w:rPr>
          <w:rFonts w:hint="eastAsia" w:hAnsi="宋体" w:cs="宋体"/>
          <w:highlight w:val="none"/>
        </w:rPr>
      </w:pPr>
      <w:r>
        <w:rPr>
          <w:rFonts w:hint="eastAsia" w:hAnsi="宋体" w:cs="宋体"/>
          <w:highlight w:val="none"/>
        </w:rPr>
        <w:t>2.2.1.11工业建筑防腐设计规范（GB50046-2018）</w:t>
      </w:r>
    </w:p>
    <w:p w14:paraId="096F04DD">
      <w:pPr>
        <w:pStyle w:val="24"/>
        <w:widowControl/>
        <w:ind w:firstLine="480"/>
        <w:jc w:val="left"/>
        <w:textAlignment w:val="center"/>
        <w:rPr>
          <w:rFonts w:hint="eastAsia" w:hAnsi="宋体" w:cs="宋体"/>
          <w:highlight w:val="none"/>
        </w:rPr>
      </w:pPr>
      <w:r>
        <w:rPr>
          <w:rFonts w:hint="eastAsia" w:hAnsi="宋体" w:cs="宋体"/>
          <w:highlight w:val="none"/>
        </w:rPr>
        <w:t>2.2.1.12建筑桩基技术规范（JGJ94-2008）</w:t>
      </w:r>
    </w:p>
    <w:p w14:paraId="031A361B">
      <w:pPr>
        <w:pStyle w:val="24"/>
        <w:widowControl/>
        <w:ind w:firstLine="480"/>
        <w:jc w:val="left"/>
        <w:textAlignment w:val="center"/>
        <w:rPr>
          <w:rFonts w:hint="eastAsia" w:hAnsi="宋体" w:cs="宋体"/>
          <w:highlight w:val="none"/>
        </w:rPr>
      </w:pPr>
      <w:r>
        <w:rPr>
          <w:rFonts w:hint="eastAsia" w:hAnsi="宋体" w:cs="宋体"/>
          <w:highlight w:val="none"/>
        </w:rPr>
        <w:t>2.2.1.13工程结构通用规范 (GB 55001-2021)</w:t>
      </w:r>
    </w:p>
    <w:p w14:paraId="1F9A568B">
      <w:pPr>
        <w:pStyle w:val="24"/>
        <w:widowControl/>
        <w:ind w:firstLine="480"/>
        <w:jc w:val="left"/>
        <w:textAlignment w:val="center"/>
        <w:rPr>
          <w:rFonts w:hint="eastAsia" w:hAnsi="宋体" w:cs="宋体"/>
          <w:highlight w:val="none"/>
        </w:rPr>
      </w:pPr>
      <w:r>
        <w:rPr>
          <w:rFonts w:hint="eastAsia" w:hAnsi="宋体" w:cs="宋体"/>
          <w:highlight w:val="none"/>
        </w:rPr>
        <w:t>2.2.1.14混凝土结构通用规范 (GB 55008-2021)</w:t>
      </w:r>
    </w:p>
    <w:p w14:paraId="7EF6D6D4">
      <w:pPr>
        <w:pStyle w:val="24"/>
        <w:widowControl/>
        <w:ind w:firstLine="480"/>
        <w:jc w:val="left"/>
        <w:textAlignment w:val="center"/>
        <w:rPr>
          <w:rFonts w:hint="eastAsia" w:hAnsi="宋体" w:cs="宋体"/>
          <w:highlight w:val="none"/>
        </w:rPr>
      </w:pPr>
      <w:r>
        <w:rPr>
          <w:rFonts w:hint="eastAsia" w:hAnsi="宋体" w:cs="宋体"/>
          <w:highlight w:val="none"/>
        </w:rPr>
        <w:t>2.2.1.15建筑与市政地基基础通用规范 (GB55003-2021)</w:t>
      </w:r>
    </w:p>
    <w:p w14:paraId="5E9C8D08">
      <w:pPr>
        <w:pStyle w:val="24"/>
        <w:widowControl/>
        <w:ind w:firstLine="480"/>
        <w:jc w:val="left"/>
        <w:textAlignment w:val="center"/>
        <w:rPr>
          <w:rFonts w:hint="eastAsia" w:hAnsi="宋体" w:cs="宋体"/>
          <w:highlight w:val="none"/>
        </w:rPr>
      </w:pPr>
      <w:r>
        <w:rPr>
          <w:rFonts w:hint="eastAsia" w:hAnsi="宋体" w:cs="宋体"/>
          <w:highlight w:val="none"/>
        </w:rPr>
        <w:t>2.2.1.16建筑与市政工程抗震通用规范 (GB55002-2021)</w:t>
      </w:r>
    </w:p>
    <w:p w14:paraId="36DB5C3A">
      <w:pPr>
        <w:pStyle w:val="24"/>
        <w:widowControl/>
        <w:ind w:firstLine="480"/>
        <w:jc w:val="left"/>
        <w:textAlignment w:val="center"/>
        <w:rPr>
          <w:rFonts w:hint="eastAsia" w:hAnsi="宋体" w:cs="宋体"/>
          <w:highlight w:val="none"/>
        </w:rPr>
      </w:pPr>
      <w:r>
        <w:rPr>
          <w:rFonts w:hint="eastAsia" w:hAnsi="宋体" w:cs="宋体"/>
          <w:highlight w:val="none"/>
        </w:rPr>
        <w:t>2.2.1.17广东省建筑地基基础设计规范 (DBJ 15-31-2016)</w:t>
      </w:r>
    </w:p>
    <w:p w14:paraId="186DDB43">
      <w:pPr>
        <w:pStyle w:val="24"/>
        <w:widowControl/>
        <w:ind w:firstLine="480"/>
        <w:jc w:val="left"/>
        <w:textAlignment w:val="center"/>
        <w:rPr>
          <w:rFonts w:hint="eastAsia" w:hAnsi="宋体" w:cs="宋体"/>
          <w:highlight w:val="none"/>
        </w:rPr>
      </w:pPr>
      <w:r>
        <w:rPr>
          <w:rFonts w:hint="eastAsia" w:hAnsi="宋体" w:cs="宋体"/>
          <w:highlight w:val="none"/>
        </w:rPr>
        <w:t>2.2.1.18广东省建筑结构荷载规范DBJ15-101-2022</w:t>
      </w:r>
    </w:p>
    <w:p w14:paraId="49816A0A">
      <w:pPr>
        <w:pStyle w:val="24"/>
        <w:widowControl/>
        <w:ind w:firstLine="480"/>
        <w:jc w:val="left"/>
        <w:textAlignment w:val="center"/>
        <w:rPr>
          <w:rFonts w:hint="eastAsia" w:hAnsi="宋体" w:cs="宋体"/>
          <w:highlight w:val="none"/>
        </w:rPr>
      </w:pPr>
      <w:r>
        <w:rPr>
          <w:rFonts w:hint="eastAsia" w:hAnsi="宋体" w:cs="宋体"/>
          <w:highlight w:val="none"/>
        </w:rPr>
        <w:t>2.2.1.19装配式混凝土建筑技术标准 （GB-T51231-2016）</w:t>
      </w:r>
    </w:p>
    <w:p w14:paraId="04CDCD2A">
      <w:pPr>
        <w:pStyle w:val="24"/>
        <w:widowControl/>
        <w:ind w:firstLine="480"/>
        <w:jc w:val="left"/>
        <w:textAlignment w:val="center"/>
        <w:rPr>
          <w:rFonts w:hint="eastAsia" w:hAnsi="宋体" w:cs="宋体"/>
          <w:highlight w:val="none"/>
        </w:rPr>
      </w:pPr>
      <w:r>
        <w:rPr>
          <w:rFonts w:hint="eastAsia" w:hAnsi="宋体" w:cs="宋体"/>
          <w:highlight w:val="none"/>
        </w:rPr>
        <w:t>2.2.1.20装配整体式叠合剪力墙结构技术规程（DBJ/T 15-210-2021）</w:t>
      </w:r>
    </w:p>
    <w:p w14:paraId="66447B54">
      <w:pPr>
        <w:pStyle w:val="24"/>
        <w:widowControl/>
        <w:ind w:firstLine="480"/>
        <w:jc w:val="left"/>
        <w:textAlignment w:val="center"/>
        <w:rPr>
          <w:rFonts w:hint="eastAsia" w:hAnsi="宋体" w:cs="宋体"/>
          <w:highlight w:val="none"/>
        </w:rPr>
      </w:pPr>
      <w:r>
        <w:rPr>
          <w:rFonts w:hint="eastAsia" w:hAnsi="宋体" w:cs="宋体"/>
          <w:highlight w:val="none"/>
        </w:rPr>
        <w:t>2.2.1.21装配式混凝土建筑结构技术规程（DBJ15-107-2016）</w:t>
      </w:r>
    </w:p>
    <w:p w14:paraId="6C3C32C2">
      <w:pPr>
        <w:pStyle w:val="24"/>
        <w:widowControl/>
        <w:ind w:firstLine="480"/>
        <w:jc w:val="left"/>
        <w:textAlignment w:val="center"/>
        <w:rPr>
          <w:rFonts w:hint="eastAsia" w:hAnsi="宋体" w:cs="宋体"/>
          <w:highlight w:val="none"/>
        </w:rPr>
      </w:pPr>
      <w:r>
        <w:rPr>
          <w:rFonts w:hint="eastAsia" w:hAnsi="宋体" w:cs="宋体"/>
          <w:highlight w:val="none"/>
        </w:rPr>
        <w:t>2.2.1.22 广州市装配式建筑评价标准 DB4401T 151-2022</w:t>
      </w:r>
    </w:p>
    <w:p w14:paraId="5C74363C">
      <w:pPr>
        <w:pStyle w:val="24"/>
        <w:widowControl/>
        <w:ind w:firstLine="480"/>
        <w:jc w:val="left"/>
        <w:textAlignment w:val="center"/>
        <w:rPr>
          <w:rFonts w:hint="eastAsia" w:hAnsi="宋体" w:cs="宋体"/>
          <w:highlight w:val="none"/>
        </w:rPr>
      </w:pPr>
      <w:r>
        <w:rPr>
          <w:rFonts w:hint="eastAsia" w:hAnsi="宋体" w:cs="宋体"/>
          <w:highlight w:val="none"/>
        </w:rPr>
        <w:t>2.2.2 结构设计应与建筑方案充分配合，实现建筑平面、立面功能，兼顾合理性与结构规则性，住宅塔楼不应采用超限的建筑结构。</w:t>
      </w:r>
    </w:p>
    <w:p w14:paraId="71517C14">
      <w:pPr>
        <w:pStyle w:val="24"/>
        <w:widowControl/>
        <w:ind w:firstLine="480"/>
        <w:jc w:val="left"/>
        <w:textAlignment w:val="center"/>
        <w:rPr>
          <w:rFonts w:hint="eastAsia" w:hAnsi="宋体" w:cs="宋体"/>
          <w:highlight w:val="none"/>
        </w:rPr>
      </w:pPr>
      <w:r>
        <w:rPr>
          <w:rFonts w:hint="eastAsia" w:hAnsi="宋体" w:cs="宋体"/>
          <w:highlight w:val="none"/>
        </w:rPr>
        <w:t>2.2.3 建筑设防烈度按现行的《</w:t>
      </w:r>
      <w:r>
        <w:rPr>
          <w:rFonts w:hint="eastAsia"/>
          <w:highlight w:val="none"/>
        </w:rPr>
        <w:fldChar w:fldCharType="begin"/>
      </w:r>
      <w:r>
        <w:rPr>
          <w:highlight w:val="none"/>
        </w:rPr>
        <w:instrText xml:space="preserve"> HYPERLINK "http://www.jianbiaoku.com/webarbs/book/98340/3168312.shtml" \t "_self" </w:instrText>
      </w:r>
      <w:r>
        <w:rPr>
          <w:rFonts w:hint="eastAsia"/>
          <w:highlight w:val="none"/>
        </w:rPr>
        <w:fldChar w:fldCharType="separate"/>
      </w:r>
      <w:r>
        <w:rPr>
          <w:rFonts w:hint="eastAsia" w:hAnsi="宋体" w:cs="宋体"/>
          <w:highlight w:val="none"/>
        </w:rPr>
        <w:t>中国地震动参数区划图》（GB18306</w:t>
      </w:r>
      <w:r>
        <w:rPr>
          <w:rFonts w:hint="eastAsia" w:hAnsi="宋体" w:cs="宋体"/>
          <w:highlight w:val="none"/>
        </w:rPr>
        <w:fldChar w:fldCharType="end"/>
      </w:r>
      <w:r>
        <w:rPr>
          <w:rFonts w:hint="eastAsia" w:hAnsi="宋体" w:cs="宋体"/>
          <w:highlight w:val="none"/>
        </w:rPr>
        <w:t>）区划图附录C确定，地震作用按现行《建筑抗震设计规范》GB 50011执行。</w:t>
      </w:r>
    </w:p>
    <w:p w14:paraId="5E11F4C3">
      <w:pPr>
        <w:pStyle w:val="24"/>
        <w:widowControl/>
        <w:ind w:firstLine="480"/>
        <w:jc w:val="left"/>
        <w:textAlignment w:val="center"/>
        <w:rPr>
          <w:rFonts w:hint="eastAsia" w:hAnsi="宋体" w:cs="宋体"/>
          <w:highlight w:val="none"/>
        </w:rPr>
      </w:pPr>
      <w:r>
        <w:rPr>
          <w:rFonts w:hint="eastAsia" w:hAnsi="宋体" w:cs="宋体"/>
          <w:highlight w:val="none"/>
        </w:rPr>
        <w:t>2.2.4 基础抗浮设计按现行广东省标准《地下工程结构抗浮设计规范》（DBJ T15-125）执行；抗浮稳定性应满足现行《建筑工程抗浮技术标准》JGJ476的第3.0.3条的规定。</w:t>
      </w:r>
    </w:p>
    <w:p w14:paraId="71E7D373">
      <w:pPr>
        <w:pStyle w:val="24"/>
        <w:widowControl/>
        <w:ind w:firstLine="480"/>
        <w:jc w:val="left"/>
        <w:textAlignment w:val="center"/>
        <w:rPr>
          <w:rFonts w:hint="eastAsia" w:hAnsi="宋体" w:cs="宋体"/>
          <w:highlight w:val="none"/>
        </w:rPr>
      </w:pPr>
      <w:r>
        <w:rPr>
          <w:rFonts w:hint="eastAsia" w:hAnsi="宋体" w:cs="宋体"/>
          <w:highlight w:val="none"/>
        </w:rPr>
        <w:t>2.2.5 高层住宅结构的经济性需控制单位面积用钢量以及单位面积混凝土折算厚度，分别以地下室、裙房及塔楼分开进行控制。</w:t>
      </w:r>
    </w:p>
    <w:p w14:paraId="65A7D138">
      <w:pPr>
        <w:pStyle w:val="24"/>
        <w:widowControl/>
        <w:ind w:firstLine="480"/>
        <w:jc w:val="left"/>
        <w:textAlignment w:val="center"/>
        <w:rPr>
          <w:rFonts w:hint="eastAsia" w:hAnsi="宋体" w:cs="宋体"/>
          <w:highlight w:val="none"/>
        </w:rPr>
      </w:pPr>
      <w:r>
        <w:rPr>
          <w:rFonts w:hint="eastAsia" w:hAnsi="宋体" w:cs="宋体"/>
          <w:highlight w:val="none"/>
        </w:rPr>
        <w:t>2.2.6 结构设计进行钢筋含量及混凝土含量的控制。应遵循安全、适用、经济的原则，根据使用要求进行优化。</w:t>
      </w:r>
    </w:p>
    <w:p w14:paraId="721247A7">
      <w:pPr>
        <w:pStyle w:val="24"/>
        <w:widowControl/>
        <w:ind w:firstLine="480"/>
        <w:jc w:val="left"/>
        <w:textAlignment w:val="center"/>
        <w:rPr>
          <w:rFonts w:hint="eastAsia" w:hAnsi="宋体" w:cs="宋体"/>
          <w:highlight w:val="none"/>
        </w:rPr>
      </w:pPr>
      <w:r>
        <w:rPr>
          <w:rFonts w:hint="eastAsia" w:hAnsi="宋体" w:cs="宋体"/>
          <w:highlight w:val="none"/>
        </w:rPr>
        <w:t>2.2.7 地基基础设计应遵循安全、适用、经济的原则。项目可根据分区的地质条件、施工工艺、经济因素等条件采用多个基础类型的组合。</w:t>
      </w:r>
    </w:p>
    <w:p w14:paraId="4253CA9A">
      <w:pPr>
        <w:pStyle w:val="24"/>
        <w:widowControl/>
        <w:ind w:firstLine="480"/>
        <w:jc w:val="left"/>
        <w:textAlignment w:val="center"/>
        <w:rPr>
          <w:rFonts w:hint="eastAsia" w:hAnsi="宋体" w:cs="宋体"/>
          <w:highlight w:val="none"/>
        </w:rPr>
      </w:pPr>
      <w:r>
        <w:rPr>
          <w:rFonts w:hint="eastAsia" w:hAnsi="宋体" w:cs="宋体"/>
          <w:highlight w:val="none"/>
        </w:rPr>
        <w:t>2.2.8 根据地质情况和受力需求，合理布置抗浮措施。浅基础需要采用锚杆抗浮时，宜采用普通钢筋锚杆。</w:t>
      </w:r>
    </w:p>
    <w:p w14:paraId="23905661">
      <w:pPr>
        <w:pStyle w:val="24"/>
        <w:widowControl/>
        <w:ind w:firstLine="480"/>
        <w:jc w:val="left"/>
        <w:textAlignment w:val="center"/>
        <w:rPr>
          <w:rFonts w:hint="eastAsia" w:hAnsi="宋体" w:cs="宋体"/>
          <w:highlight w:val="none"/>
        </w:rPr>
      </w:pPr>
      <w:r>
        <w:rPr>
          <w:rFonts w:hint="eastAsia" w:hAnsi="宋体" w:cs="宋体"/>
          <w:highlight w:val="none"/>
        </w:rPr>
        <w:t>2.2.9 一般情况下基础选型应遵循以下原则，并提供经济性比选报告。</w:t>
      </w:r>
    </w:p>
    <w:tbl>
      <w:tblPr>
        <w:tblStyle w:val="42"/>
        <w:tblW w:w="8725"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748"/>
        <w:gridCol w:w="6977"/>
      </w:tblGrid>
      <w:tr w14:paraId="173A647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34" w:hRule="atLeast"/>
          <w:jc w:val="center"/>
        </w:trPr>
        <w:tc>
          <w:tcPr>
            <w:tcW w:w="1748" w:type="dxa"/>
            <w:shd w:val="clear" w:color="auto" w:fill="auto"/>
            <w:tcMar>
              <w:top w:w="72" w:type="dxa"/>
              <w:left w:w="144" w:type="dxa"/>
              <w:bottom w:w="72" w:type="dxa"/>
              <w:right w:w="144" w:type="dxa"/>
            </w:tcMar>
            <w:vAlign w:val="center"/>
          </w:tcPr>
          <w:p w14:paraId="734E984F">
            <w:pPr>
              <w:adjustRightInd w:val="0"/>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基础型式</w:t>
            </w:r>
          </w:p>
        </w:tc>
        <w:tc>
          <w:tcPr>
            <w:tcW w:w="6977" w:type="dxa"/>
            <w:shd w:val="clear" w:color="auto" w:fill="auto"/>
            <w:tcMar>
              <w:top w:w="72" w:type="dxa"/>
              <w:left w:w="144" w:type="dxa"/>
              <w:bottom w:w="72" w:type="dxa"/>
              <w:right w:w="144" w:type="dxa"/>
            </w:tcMar>
            <w:vAlign w:val="center"/>
          </w:tcPr>
          <w:p w14:paraId="2935FD12">
            <w:pPr>
              <w:adjustRightInd w:val="0"/>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适用地基条件</w:t>
            </w:r>
          </w:p>
        </w:tc>
      </w:tr>
      <w:tr w14:paraId="4B54CAF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08" w:hRule="atLeast"/>
          <w:jc w:val="center"/>
        </w:trPr>
        <w:tc>
          <w:tcPr>
            <w:tcW w:w="1748" w:type="dxa"/>
            <w:shd w:val="clear" w:color="auto" w:fill="auto"/>
            <w:tcMar>
              <w:top w:w="72" w:type="dxa"/>
              <w:left w:w="144" w:type="dxa"/>
              <w:bottom w:w="72" w:type="dxa"/>
              <w:right w:w="144" w:type="dxa"/>
            </w:tcMar>
            <w:vAlign w:val="center"/>
          </w:tcPr>
          <w:p w14:paraId="362C3924">
            <w:pPr>
              <w:adjustRightIn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浅基础</w:t>
            </w:r>
          </w:p>
          <w:p w14:paraId="5998D7BE">
            <w:pPr>
              <w:adjustRightIn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锚杆抗浮</w:t>
            </w:r>
          </w:p>
        </w:tc>
        <w:tc>
          <w:tcPr>
            <w:tcW w:w="6977" w:type="dxa"/>
            <w:shd w:val="clear" w:color="auto" w:fill="auto"/>
            <w:tcMar>
              <w:top w:w="72" w:type="dxa"/>
              <w:left w:w="144" w:type="dxa"/>
              <w:bottom w:w="72" w:type="dxa"/>
              <w:right w:w="144" w:type="dxa"/>
            </w:tcMar>
            <w:vAlign w:val="center"/>
          </w:tcPr>
          <w:p w14:paraId="579980AB">
            <w:pPr>
              <w:adjustRightInd w:val="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1、地基承载力特征值满足结构需求，无软弱下卧层或下卧层验算、沉降验算通过。</w:t>
            </w:r>
          </w:p>
          <w:p w14:paraId="36EA087F">
            <w:pPr>
              <w:adjustRightInd w:val="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2、地基不满足承载力需求、但有条件采用复合地基可达到承载力需求时。</w:t>
            </w:r>
          </w:p>
        </w:tc>
      </w:tr>
      <w:tr w14:paraId="4E4BEF3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01" w:hRule="atLeast"/>
          <w:jc w:val="center"/>
        </w:trPr>
        <w:tc>
          <w:tcPr>
            <w:tcW w:w="1748" w:type="dxa"/>
            <w:shd w:val="clear" w:color="auto" w:fill="auto"/>
            <w:tcMar>
              <w:top w:w="72" w:type="dxa"/>
              <w:left w:w="144" w:type="dxa"/>
              <w:bottom w:w="72" w:type="dxa"/>
              <w:right w:w="144" w:type="dxa"/>
            </w:tcMar>
            <w:vAlign w:val="center"/>
          </w:tcPr>
          <w:p w14:paraId="0EFAABD0">
            <w:pPr>
              <w:adjustRightIn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PHC管桩</w:t>
            </w:r>
          </w:p>
        </w:tc>
        <w:tc>
          <w:tcPr>
            <w:tcW w:w="6977" w:type="dxa"/>
            <w:shd w:val="clear" w:color="auto" w:fill="auto"/>
            <w:tcMar>
              <w:top w:w="72" w:type="dxa"/>
              <w:left w:w="144" w:type="dxa"/>
              <w:bottom w:w="72" w:type="dxa"/>
              <w:right w:w="144" w:type="dxa"/>
            </w:tcMar>
            <w:vAlign w:val="center"/>
          </w:tcPr>
          <w:p w14:paraId="419E14BE">
            <w:pPr>
              <w:adjustRightInd w:val="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1、岩溶地区，溶洞顶板上覆盖土层条件较好时。</w:t>
            </w:r>
          </w:p>
          <w:p w14:paraId="688E901E">
            <w:pPr>
              <w:adjustRightInd w:val="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2、淤泥地区，淤泥底有较好嵌固土层。</w:t>
            </w:r>
          </w:p>
          <w:p w14:paraId="403BB999">
            <w:pPr>
              <w:adjustRightInd w:val="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3、无溶洞、无淤泥场地、无孤石等，土层条件较好。</w:t>
            </w:r>
          </w:p>
        </w:tc>
      </w:tr>
      <w:tr w14:paraId="5E2DF57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30" w:hRule="atLeast"/>
          <w:jc w:val="center"/>
        </w:trPr>
        <w:tc>
          <w:tcPr>
            <w:tcW w:w="1748" w:type="dxa"/>
            <w:shd w:val="clear" w:color="auto" w:fill="auto"/>
            <w:tcMar>
              <w:top w:w="72" w:type="dxa"/>
              <w:left w:w="144" w:type="dxa"/>
              <w:bottom w:w="72" w:type="dxa"/>
              <w:right w:w="144" w:type="dxa"/>
            </w:tcMar>
            <w:vAlign w:val="center"/>
          </w:tcPr>
          <w:p w14:paraId="5225A3AB">
            <w:pPr>
              <w:adjustRightIn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灌注桩</w:t>
            </w:r>
          </w:p>
        </w:tc>
        <w:tc>
          <w:tcPr>
            <w:tcW w:w="6977" w:type="dxa"/>
            <w:shd w:val="clear" w:color="auto" w:fill="auto"/>
            <w:tcMar>
              <w:top w:w="72" w:type="dxa"/>
              <w:left w:w="144" w:type="dxa"/>
              <w:bottom w:w="72" w:type="dxa"/>
              <w:right w:w="144" w:type="dxa"/>
            </w:tcMar>
            <w:vAlign w:val="center"/>
          </w:tcPr>
          <w:p w14:paraId="0904ACEB">
            <w:pPr>
              <w:adjustRightInd w:val="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1、岩溶地区，覆盖层较薄，或有土洞见洞较多时。</w:t>
            </w:r>
          </w:p>
          <w:p w14:paraId="136A6607">
            <w:pPr>
              <w:adjustRightInd w:val="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2、淤泥场地，底部直接触岩时。</w:t>
            </w:r>
          </w:p>
          <w:p w14:paraId="73D8C5EC">
            <w:pPr>
              <w:adjustRightInd w:val="0"/>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3、土层条件较好，但有孤石影响管桩施工。</w:t>
            </w:r>
          </w:p>
        </w:tc>
      </w:tr>
    </w:tbl>
    <w:p w14:paraId="242E53C3">
      <w:pPr>
        <w:pStyle w:val="24"/>
        <w:widowControl/>
        <w:ind w:firstLine="420"/>
        <w:jc w:val="left"/>
        <w:textAlignment w:val="center"/>
        <w:rPr>
          <w:rFonts w:hint="eastAsia" w:hAnsi="宋体" w:cs="宋体"/>
          <w:sz w:val="21"/>
          <w:szCs w:val="16"/>
          <w:highlight w:val="none"/>
        </w:rPr>
      </w:pPr>
      <w:r>
        <w:rPr>
          <w:rFonts w:hint="eastAsia" w:hAnsi="宋体" w:cs="宋体"/>
          <w:sz w:val="21"/>
          <w:szCs w:val="16"/>
          <w:highlight w:val="none"/>
        </w:rPr>
        <w:t>备注：</w:t>
      </w:r>
    </w:p>
    <w:p w14:paraId="2050138B">
      <w:pPr>
        <w:pStyle w:val="24"/>
        <w:widowControl/>
        <w:ind w:firstLine="420"/>
        <w:jc w:val="left"/>
        <w:textAlignment w:val="center"/>
        <w:rPr>
          <w:rFonts w:hint="eastAsia" w:hAnsi="宋体" w:cs="宋体"/>
          <w:sz w:val="21"/>
          <w:szCs w:val="16"/>
          <w:highlight w:val="none"/>
        </w:rPr>
      </w:pPr>
      <w:r>
        <w:rPr>
          <w:rFonts w:hint="eastAsia" w:hAnsi="宋体" w:cs="宋体"/>
          <w:sz w:val="21"/>
          <w:szCs w:val="16"/>
          <w:highlight w:val="none"/>
        </w:rPr>
        <w:t>1)、复合地基指长螺旋素混凝土灌注桩复合地基、管桩复合地基等。</w:t>
      </w:r>
    </w:p>
    <w:p w14:paraId="3B0A7BB6">
      <w:pPr>
        <w:pStyle w:val="24"/>
        <w:widowControl/>
        <w:ind w:firstLine="420"/>
        <w:jc w:val="left"/>
        <w:textAlignment w:val="center"/>
        <w:rPr>
          <w:rFonts w:hint="eastAsia" w:hAnsi="宋体" w:cs="宋体"/>
          <w:sz w:val="21"/>
          <w:szCs w:val="16"/>
          <w:highlight w:val="none"/>
        </w:rPr>
      </w:pPr>
      <w:r>
        <w:rPr>
          <w:rFonts w:hint="eastAsia" w:hAnsi="宋体" w:cs="宋体"/>
          <w:sz w:val="21"/>
          <w:szCs w:val="16"/>
          <w:highlight w:val="none"/>
        </w:rPr>
        <w:t>2)、采用浅基础时，少量不满足承载力要求的地基采用低标号素混凝土换填。</w:t>
      </w:r>
    </w:p>
    <w:p w14:paraId="1C38C225">
      <w:pPr>
        <w:pStyle w:val="24"/>
        <w:widowControl/>
        <w:ind w:firstLine="480"/>
        <w:jc w:val="left"/>
        <w:textAlignment w:val="center"/>
        <w:rPr>
          <w:rFonts w:hint="eastAsia" w:hAnsi="宋体" w:cs="宋体"/>
          <w:highlight w:val="none"/>
        </w:rPr>
      </w:pPr>
      <w:r>
        <w:rPr>
          <w:rFonts w:hint="eastAsia" w:hAnsi="宋体" w:cs="宋体"/>
          <w:highlight w:val="none"/>
        </w:rPr>
        <w:t>2.2.10地质勘察报告显示有溶（土）洞时，应根据溶（土）洞大小、充填情况、上建筑物的基础形式采用不同的处理方案。</w:t>
      </w:r>
    </w:p>
    <w:p w14:paraId="487CD4CA">
      <w:pPr>
        <w:pStyle w:val="24"/>
        <w:widowControl/>
        <w:ind w:firstLine="480"/>
        <w:jc w:val="left"/>
        <w:textAlignment w:val="center"/>
        <w:rPr>
          <w:rFonts w:hint="eastAsia" w:hAnsi="宋体" w:cs="宋体"/>
          <w:highlight w:val="none"/>
        </w:rPr>
      </w:pPr>
      <w:r>
        <w:rPr>
          <w:rFonts w:hint="eastAsia" w:hAnsi="宋体" w:cs="宋体"/>
          <w:highlight w:val="none"/>
        </w:rPr>
        <w:t>2.2.11场地内存在土洞时，可现行依据《岩溶地区建筑地基基础技术规范》(DBJ/T 15-136)采用如下处理原则：</w:t>
      </w:r>
    </w:p>
    <w:p w14:paraId="77FC30EE">
      <w:pPr>
        <w:pStyle w:val="63"/>
        <w:spacing w:line="360" w:lineRule="auto"/>
        <w:ind w:firstLine="480"/>
        <w:textAlignment w:val="baseline"/>
        <w:rPr>
          <w:rFonts w:hint="eastAsia" w:ascii="宋体" w:hAnsi="宋体" w:eastAsia="宋体" w:cs="宋体"/>
          <w:color w:val="auto"/>
          <w:sz w:val="24"/>
          <w:szCs w:val="20"/>
          <w:highlight w:val="none"/>
        </w:rPr>
      </w:pPr>
      <w:r>
        <w:rPr>
          <w:rFonts w:hint="eastAsia" w:ascii="宋体" w:hAnsi="宋体" w:eastAsia="宋体" w:cs="宋体"/>
          <w:color w:val="auto"/>
          <w:sz w:val="24"/>
          <w:szCs w:val="20"/>
          <w:highlight w:val="none"/>
        </w:rPr>
        <w:t>常规处理方案：</w:t>
      </w:r>
    </w:p>
    <w:p w14:paraId="20EE1BB7">
      <w:pPr>
        <w:pStyle w:val="24"/>
        <w:widowControl/>
        <w:ind w:firstLine="480"/>
        <w:jc w:val="left"/>
        <w:textAlignment w:val="center"/>
        <w:rPr>
          <w:rFonts w:hint="eastAsia" w:hAnsi="宋体" w:cs="宋体"/>
          <w:highlight w:val="none"/>
        </w:rPr>
      </w:pPr>
      <w:r>
        <w:rPr>
          <w:rFonts w:hint="eastAsia" w:hAnsi="宋体" w:cs="宋体"/>
          <w:highlight w:val="none"/>
        </w:rPr>
        <w:t>2.2.11.1 袖阀管低压注浆。</w:t>
      </w:r>
    </w:p>
    <w:p w14:paraId="69A9FBB1">
      <w:pPr>
        <w:pStyle w:val="24"/>
        <w:widowControl/>
        <w:ind w:firstLine="480"/>
        <w:jc w:val="left"/>
        <w:textAlignment w:val="center"/>
        <w:rPr>
          <w:rFonts w:hint="eastAsia" w:hAnsi="宋体" w:cs="宋体"/>
          <w:highlight w:val="none"/>
        </w:rPr>
      </w:pPr>
      <w:r>
        <w:rPr>
          <w:rFonts w:hint="eastAsia" w:hAnsi="宋体" w:cs="宋体"/>
          <w:highlight w:val="none"/>
        </w:rPr>
        <w:t>2.2.11.2 吹砂或填碎石+静压水泥灌浆法。</w:t>
      </w:r>
    </w:p>
    <w:p w14:paraId="3929A8B1">
      <w:pPr>
        <w:pStyle w:val="24"/>
        <w:widowControl/>
        <w:ind w:firstLine="480"/>
        <w:jc w:val="left"/>
        <w:textAlignment w:val="center"/>
        <w:rPr>
          <w:rFonts w:hint="eastAsia" w:hAnsi="宋体" w:cs="宋体"/>
          <w:highlight w:val="none"/>
        </w:rPr>
      </w:pPr>
      <w:r>
        <w:rPr>
          <w:rFonts w:hint="eastAsia" w:hAnsi="宋体" w:cs="宋体"/>
          <w:highlight w:val="none"/>
        </w:rPr>
        <w:t>2.2.11.3 双液浆封边+水泥浆处理中央孔。</w:t>
      </w:r>
    </w:p>
    <w:p w14:paraId="0E395DA7">
      <w:pPr>
        <w:pStyle w:val="24"/>
        <w:widowControl/>
        <w:ind w:firstLine="480"/>
        <w:jc w:val="left"/>
        <w:textAlignment w:val="center"/>
        <w:rPr>
          <w:rFonts w:hint="eastAsia" w:hAnsi="宋体" w:cs="宋体"/>
          <w:highlight w:val="none"/>
        </w:rPr>
      </w:pPr>
      <w:r>
        <w:rPr>
          <w:rFonts w:hint="eastAsia" w:hAnsi="宋体" w:cs="宋体"/>
          <w:highlight w:val="none"/>
        </w:rPr>
        <w:t>2.2.11.4 低标号素混凝土灌注。</w:t>
      </w:r>
    </w:p>
    <w:p w14:paraId="49CA90DB">
      <w:pPr>
        <w:pStyle w:val="63"/>
        <w:spacing w:line="360" w:lineRule="auto"/>
        <w:ind w:left="440" w:leftChars="200" w:firstLine="0" w:firstLineChars="0"/>
        <w:textAlignment w:val="baseline"/>
        <w:rPr>
          <w:rStyle w:val="81"/>
          <w:rFonts w:hint="eastAsia" w:ascii="宋体" w:hAnsi="宋体" w:cs="宋体"/>
          <w:color w:val="auto"/>
          <w:szCs w:val="24"/>
          <w:highlight w:val="none"/>
        </w:rPr>
      </w:pPr>
    </w:p>
    <w:tbl>
      <w:tblPr>
        <w:tblStyle w:val="42"/>
        <w:tblW w:w="8363"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394"/>
        <w:gridCol w:w="992"/>
        <w:gridCol w:w="993"/>
        <w:gridCol w:w="992"/>
        <w:gridCol w:w="992"/>
      </w:tblGrid>
      <w:tr w14:paraId="2CA308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4394" w:type="dxa"/>
            <w:vMerge w:val="restart"/>
            <w:shd w:val="clear" w:color="auto" w:fill="auto"/>
            <w:vAlign w:val="center"/>
          </w:tcPr>
          <w:p w14:paraId="7B23FC71">
            <w:pPr>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土洞尺寸</w:t>
            </w:r>
          </w:p>
        </w:tc>
        <w:tc>
          <w:tcPr>
            <w:tcW w:w="3969" w:type="dxa"/>
            <w:gridSpan w:val="4"/>
            <w:shd w:val="clear" w:color="auto" w:fill="auto"/>
            <w:vAlign w:val="center"/>
          </w:tcPr>
          <w:p w14:paraId="2E9887EB">
            <w:pPr>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处理方案选用</w:t>
            </w:r>
          </w:p>
        </w:tc>
      </w:tr>
      <w:tr w14:paraId="515480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4394" w:type="dxa"/>
            <w:vMerge w:val="continue"/>
            <w:shd w:val="clear" w:color="auto" w:fill="auto"/>
            <w:vAlign w:val="center"/>
          </w:tcPr>
          <w:p w14:paraId="0587376F">
            <w:pPr>
              <w:jc w:val="center"/>
              <w:rPr>
                <w:rFonts w:hint="eastAsia" w:ascii="宋体" w:hAnsi="宋体" w:eastAsia="宋体" w:cs="宋体"/>
                <w:b/>
                <w:bCs/>
                <w:color w:val="auto"/>
                <w:sz w:val="21"/>
                <w:szCs w:val="21"/>
                <w:highlight w:val="none"/>
              </w:rPr>
            </w:pPr>
          </w:p>
        </w:tc>
        <w:tc>
          <w:tcPr>
            <w:tcW w:w="992" w:type="dxa"/>
            <w:shd w:val="clear" w:color="auto" w:fill="auto"/>
            <w:vAlign w:val="center"/>
          </w:tcPr>
          <w:p w14:paraId="2F665E23">
            <w:pPr>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a</w:t>
            </w:r>
          </w:p>
        </w:tc>
        <w:tc>
          <w:tcPr>
            <w:tcW w:w="993" w:type="dxa"/>
            <w:shd w:val="clear" w:color="auto" w:fill="auto"/>
            <w:vAlign w:val="center"/>
          </w:tcPr>
          <w:p w14:paraId="05364321">
            <w:pPr>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b</w:t>
            </w:r>
          </w:p>
        </w:tc>
        <w:tc>
          <w:tcPr>
            <w:tcW w:w="992" w:type="dxa"/>
            <w:shd w:val="clear" w:color="auto" w:fill="auto"/>
            <w:vAlign w:val="center"/>
          </w:tcPr>
          <w:p w14:paraId="0DB9F75F">
            <w:pPr>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c</w:t>
            </w:r>
          </w:p>
        </w:tc>
        <w:tc>
          <w:tcPr>
            <w:tcW w:w="992" w:type="dxa"/>
          </w:tcPr>
          <w:p w14:paraId="3253BBB3">
            <w:pPr>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d</w:t>
            </w:r>
          </w:p>
        </w:tc>
      </w:tr>
      <w:tr w14:paraId="32B8E9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4394" w:type="dxa"/>
            <w:shd w:val="clear" w:color="auto" w:fill="auto"/>
            <w:vAlign w:val="center"/>
          </w:tcPr>
          <w:p w14:paraId="31DBD423">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高度小于5m或预估连通体积30m³以下的非连通中小型土洞</w:t>
            </w:r>
          </w:p>
        </w:tc>
        <w:tc>
          <w:tcPr>
            <w:tcW w:w="992" w:type="dxa"/>
            <w:shd w:val="clear" w:color="auto" w:fill="auto"/>
            <w:vAlign w:val="center"/>
          </w:tcPr>
          <w:p w14:paraId="596617C2">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可选</w:t>
            </w:r>
          </w:p>
        </w:tc>
        <w:tc>
          <w:tcPr>
            <w:tcW w:w="993" w:type="dxa"/>
            <w:shd w:val="clear" w:color="auto" w:fill="auto"/>
            <w:vAlign w:val="center"/>
          </w:tcPr>
          <w:p w14:paraId="3CAA4D89">
            <w:pPr>
              <w:jc w:val="center"/>
              <w:rPr>
                <w:rFonts w:hint="eastAsia" w:ascii="宋体" w:hAnsi="宋体" w:eastAsia="宋体" w:cs="宋体"/>
                <w:color w:val="auto"/>
                <w:sz w:val="21"/>
                <w:szCs w:val="21"/>
                <w:highlight w:val="none"/>
              </w:rPr>
            </w:pPr>
          </w:p>
        </w:tc>
        <w:tc>
          <w:tcPr>
            <w:tcW w:w="992" w:type="dxa"/>
            <w:shd w:val="clear" w:color="auto" w:fill="auto"/>
            <w:vAlign w:val="center"/>
          </w:tcPr>
          <w:p w14:paraId="6C6D555C">
            <w:pPr>
              <w:jc w:val="center"/>
              <w:rPr>
                <w:rFonts w:hint="eastAsia" w:ascii="宋体" w:hAnsi="宋体" w:eastAsia="宋体" w:cs="宋体"/>
                <w:color w:val="auto"/>
                <w:sz w:val="21"/>
                <w:szCs w:val="21"/>
                <w:highlight w:val="none"/>
              </w:rPr>
            </w:pPr>
          </w:p>
        </w:tc>
        <w:tc>
          <w:tcPr>
            <w:tcW w:w="992" w:type="dxa"/>
          </w:tcPr>
          <w:p w14:paraId="3970AD66">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可选</w:t>
            </w:r>
          </w:p>
        </w:tc>
      </w:tr>
      <w:tr w14:paraId="2165DA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4394" w:type="dxa"/>
            <w:shd w:val="clear" w:color="auto" w:fill="auto"/>
            <w:vAlign w:val="center"/>
          </w:tcPr>
          <w:p w14:paraId="7ACFF273">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高度大于5m或预估连通体积大于30m³的无填充或半填充的大型土洞</w:t>
            </w:r>
          </w:p>
        </w:tc>
        <w:tc>
          <w:tcPr>
            <w:tcW w:w="992" w:type="dxa"/>
            <w:shd w:val="clear" w:color="auto" w:fill="auto"/>
            <w:vAlign w:val="center"/>
          </w:tcPr>
          <w:p w14:paraId="1695283B">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可选</w:t>
            </w:r>
          </w:p>
        </w:tc>
        <w:tc>
          <w:tcPr>
            <w:tcW w:w="993" w:type="dxa"/>
            <w:shd w:val="clear" w:color="auto" w:fill="auto"/>
            <w:vAlign w:val="center"/>
          </w:tcPr>
          <w:p w14:paraId="73351C0C">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可选</w:t>
            </w:r>
          </w:p>
        </w:tc>
        <w:tc>
          <w:tcPr>
            <w:tcW w:w="992" w:type="dxa"/>
            <w:shd w:val="clear" w:color="auto" w:fill="auto"/>
            <w:vAlign w:val="center"/>
          </w:tcPr>
          <w:p w14:paraId="5781F68A">
            <w:pPr>
              <w:jc w:val="center"/>
              <w:rPr>
                <w:rFonts w:hint="eastAsia" w:ascii="宋体" w:hAnsi="宋体" w:eastAsia="宋体" w:cs="宋体"/>
                <w:color w:val="auto"/>
                <w:sz w:val="21"/>
                <w:szCs w:val="21"/>
                <w:highlight w:val="none"/>
              </w:rPr>
            </w:pPr>
          </w:p>
        </w:tc>
        <w:tc>
          <w:tcPr>
            <w:tcW w:w="992" w:type="dxa"/>
          </w:tcPr>
          <w:p w14:paraId="2FDBE17A">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可选</w:t>
            </w:r>
          </w:p>
        </w:tc>
      </w:tr>
      <w:tr w14:paraId="68C55A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atLeast"/>
        </w:trPr>
        <w:tc>
          <w:tcPr>
            <w:tcW w:w="4394" w:type="dxa"/>
            <w:shd w:val="clear" w:color="auto" w:fill="auto"/>
            <w:vAlign w:val="center"/>
          </w:tcPr>
          <w:p w14:paraId="5B8B20F0">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连通性土洞</w:t>
            </w:r>
          </w:p>
        </w:tc>
        <w:tc>
          <w:tcPr>
            <w:tcW w:w="992" w:type="dxa"/>
            <w:shd w:val="clear" w:color="auto" w:fill="auto"/>
            <w:vAlign w:val="center"/>
          </w:tcPr>
          <w:p w14:paraId="037B754D">
            <w:pPr>
              <w:jc w:val="center"/>
              <w:rPr>
                <w:rFonts w:hint="eastAsia" w:ascii="宋体" w:hAnsi="宋体" w:eastAsia="宋体" w:cs="宋体"/>
                <w:color w:val="auto"/>
                <w:sz w:val="21"/>
                <w:szCs w:val="21"/>
                <w:highlight w:val="none"/>
              </w:rPr>
            </w:pPr>
          </w:p>
        </w:tc>
        <w:tc>
          <w:tcPr>
            <w:tcW w:w="993" w:type="dxa"/>
            <w:shd w:val="clear" w:color="auto" w:fill="auto"/>
            <w:vAlign w:val="center"/>
          </w:tcPr>
          <w:p w14:paraId="324FC3D8">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可选</w:t>
            </w:r>
          </w:p>
        </w:tc>
        <w:tc>
          <w:tcPr>
            <w:tcW w:w="992" w:type="dxa"/>
            <w:shd w:val="clear" w:color="auto" w:fill="auto"/>
            <w:vAlign w:val="center"/>
          </w:tcPr>
          <w:p w14:paraId="39190A23">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可选</w:t>
            </w:r>
          </w:p>
        </w:tc>
        <w:tc>
          <w:tcPr>
            <w:tcW w:w="992" w:type="dxa"/>
          </w:tcPr>
          <w:p w14:paraId="10A6C44C">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可选</w:t>
            </w:r>
          </w:p>
        </w:tc>
      </w:tr>
    </w:tbl>
    <w:p w14:paraId="762BA226">
      <w:pPr>
        <w:pStyle w:val="24"/>
        <w:widowControl/>
        <w:ind w:firstLine="480"/>
        <w:jc w:val="left"/>
        <w:textAlignment w:val="center"/>
        <w:rPr>
          <w:rFonts w:hint="eastAsia" w:hAnsi="宋体" w:cs="宋体"/>
          <w:szCs w:val="24"/>
          <w:highlight w:val="none"/>
        </w:rPr>
      </w:pPr>
      <w:r>
        <w:rPr>
          <w:rFonts w:hint="eastAsia" w:hAnsi="宋体" w:cs="宋体"/>
          <w:szCs w:val="24"/>
          <w:highlight w:val="none"/>
        </w:rPr>
        <w:t>2.2.12地铁保护范围内的溶洞需要按地铁交通设施保护办公室的要求进行溶洞预处理。</w:t>
      </w:r>
    </w:p>
    <w:p w14:paraId="02F88ABD">
      <w:pPr>
        <w:pStyle w:val="24"/>
        <w:widowControl/>
        <w:ind w:firstLine="480"/>
        <w:jc w:val="left"/>
        <w:textAlignment w:val="center"/>
        <w:rPr>
          <w:rFonts w:hint="eastAsia" w:hAnsi="宋体" w:cs="宋体"/>
          <w:szCs w:val="24"/>
          <w:highlight w:val="none"/>
        </w:rPr>
      </w:pPr>
      <w:r>
        <w:rPr>
          <w:rFonts w:hint="eastAsia" w:hAnsi="宋体" w:cs="宋体"/>
          <w:szCs w:val="24"/>
          <w:highlight w:val="none"/>
        </w:rPr>
        <w:t>2.2.13 溶洞处理方案按以下原则：（如有）</w:t>
      </w:r>
    </w:p>
    <w:p w14:paraId="13EF1CC0">
      <w:pPr>
        <w:pStyle w:val="24"/>
        <w:widowControl/>
        <w:ind w:firstLine="480"/>
        <w:jc w:val="left"/>
        <w:textAlignment w:val="center"/>
        <w:rPr>
          <w:rFonts w:hint="eastAsia" w:hAnsi="宋体" w:cs="宋体"/>
          <w:szCs w:val="24"/>
          <w:highlight w:val="none"/>
        </w:rPr>
      </w:pPr>
      <w:r>
        <w:rPr>
          <w:rFonts w:hint="eastAsia" w:hAnsi="宋体" w:cs="宋体"/>
          <w:szCs w:val="24"/>
          <w:highlight w:val="none"/>
        </w:rPr>
        <w:t>2.2.13.1 对中小型溶洞且非密集分布的可不处理。</w:t>
      </w:r>
    </w:p>
    <w:p w14:paraId="572EAC0C">
      <w:pPr>
        <w:pStyle w:val="24"/>
        <w:widowControl/>
        <w:ind w:firstLine="480"/>
        <w:jc w:val="left"/>
        <w:textAlignment w:val="center"/>
        <w:rPr>
          <w:rFonts w:hint="eastAsia" w:hAnsi="宋体" w:cs="宋体"/>
          <w:szCs w:val="24"/>
          <w:highlight w:val="none"/>
        </w:rPr>
      </w:pPr>
      <w:r>
        <w:rPr>
          <w:rFonts w:hint="eastAsia" w:hAnsi="宋体" w:cs="宋体"/>
          <w:szCs w:val="24"/>
          <w:highlight w:val="none"/>
        </w:rPr>
        <w:t>2.2.13.2 对大型溶洞（高度大于10m或预估连通体积大于200m3）宜采用填砂、填黄泥加片石、或填碎石+静压水泥灌浆法处理。</w:t>
      </w:r>
    </w:p>
    <w:p w14:paraId="348B1EFA">
      <w:pPr>
        <w:pStyle w:val="24"/>
        <w:widowControl/>
        <w:ind w:firstLine="480"/>
        <w:jc w:val="left"/>
        <w:textAlignment w:val="center"/>
        <w:rPr>
          <w:rFonts w:hint="eastAsia" w:hAnsi="宋体" w:cs="宋体"/>
          <w:szCs w:val="24"/>
          <w:highlight w:val="none"/>
        </w:rPr>
      </w:pPr>
      <w:r>
        <w:rPr>
          <w:rFonts w:hint="eastAsia" w:hAnsi="宋体" w:cs="宋体"/>
          <w:szCs w:val="24"/>
          <w:highlight w:val="none"/>
        </w:rPr>
        <w:t>2.2.14 不影响施工安全的条件下，采用灌注桩基础时亦可边施工边处理溶洞。施工时可采用片石回填、低标号素混凝土回填、采用钢护筒施工等实施方案。</w:t>
      </w:r>
    </w:p>
    <w:p w14:paraId="583035C2">
      <w:pPr>
        <w:pStyle w:val="24"/>
        <w:widowControl/>
        <w:ind w:firstLine="480"/>
        <w:jc w:val="left"/>
        <w:textAlignment w:val="center"/>
        <w:rPr>
          <w:rFonts w:hint="eastAsia" w:hAnsi="宋体" w:cs="宋体"/>
          <w:szCs w:val="24"/>
          <w:highlight w:val="none"/>
        </w:rPr>
      </w:pPr>
      <w:r>
        <w:rPr>
          <w:rFonts w:hint="eastAsia" w:hAnsi="宋体" w:cs="宋体"/>
          <w:szCs w:val="24"/>
          <w:highlight w:val="none"/>
        </w:rPr>
        <w:t>2.2.15 岩溶地区桩基础施工时应根据地质条件及桩基形式的需要进行超前钻勘察。</w:t>
      </w:r>
    </w:p>
    <w:p w14:paraId="4C8B449E">
      <w:pPr>
        <w:pStyle w:val="7"/>
        <w:spacing w:before="156" w:beforeLines="50"/>
        <w:ind w:firstLine="482" w:firstLineChars="200"/>
        <w:rPr>
          <w:rFonts w:hint="eastAsia" w:ascii="宋体" w:hAnsi="宋体" w:cs="宋体"/>
          <w:szCs w:val="24"/>
          <w:highlight w:val="none"/>
        </w:rPr>
      </w:pPr>
      <w:bookmarkStart w:id="310" w:name="_Toc16615"/>
      <w:bookmarkStart w:id="311" w:name="_Toc7439"/>
      <w:bookmarkStart w:id="312" w:name="_Toc104581737"/>
      <w:bookmarkStart w:id="313" w:name="_Toc4319"/>
      <w:r>
        <w:rPr>
          <w:rFonts w:hint="eastAsia" w:ascii="宋体" w:hAnsi="宋体" w:cs="宋体"/>
          <w:szCs w:val="24"/>
          <w:highlight w:val="none"/>
        </w:rPr>
        <w:t>2.3 通用指标</w:t>
      </w:r>
      <w:bookmarkEnd w:id="310"/>
      <w:bookmarkEnd w:id="311"/>
      <w:bookmarkEnd w:id="312"/>
      <w:bookmarkEnd w:id="313"/>
    </w:p>
    <w:p w14:paraId="15D445E1">
      <w:pPr>
        <w:pStyle w:val="24"/>
        <w:ind w:firstLine="482"/>
        <w:rPr>
          <w:rFonts w:hint="eastAsia" w:hAnsi="宋体" w:cs="宋体"/>
          <w:b/>
          <w:bCs/>
          <w:highlight w:val="none"/>
        </w:rPr>
      </w:pPr>
      <w:r>
        <w:rPr>
          <w:rFonts w:hint="eastAsia" w:hAnsi="宋体" w:cs="宋体"/>
          <w:b/>
          <w:bCs/>
          <w:highlight w:val="none"/>
        </w:rPr>
        <w:t>2.3.1 主要荷载取值</w:t>
      </w:r>
    </w:p>
    <w:p w14:paraId="0B899279">
      <w:pPr>
        <w:ind w:firstLine="48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表2.3.1.1 楼面荷载取值表</w:t>
      </w:r>
    </w:p>
    <w:tbl>
      <w:tblPr>
        <w:tblStyle w:val="42"/>
        <w:tblW w:w="90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129"/>
        <w:gridCol w:w="1277"/>
        <w:gridCol w:w="1277"/>
        <w:gridCol w:w="3383"/>
      </w:tblGrid>
      <w:tr w14:paraId="393BF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122" w:type="dxa"/>
            <w:gridSpan w:val="2"/>
            <w:shd w:val="clear" w:color="auto" w:fill="auto"/>
            <w:vAlign w:val="center"/>
          </w:tcPr>
          <w:p w14:paraId="37C4D53E">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结构部位</w:t>
            </w:r>
          </w:p>
        </w:tc>
        <w:tc>
          <w:tcPr>
            <w:tcW w:w="1277" w:type="dxa"/>
            <w:shd w:val="clear" w:color="auto" w:fill="auto"/>
            <w:vAlign w:val="center"/>
          </w:tcPr>
          <w:p w14:paraId="15358896">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附加恒载</w:t>
            </w:r>
          </w:p>
          <w:p w14:paraId="41C5ACE5">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（kPa）</w:t>
            </w:r>
          </w:p>
        </w:tc>
        <w:tc>
          <w:tcPr>
            <w:tcW w:w="1277" w:type="dxa"/>
            <w:shd w:val="clear" w:color="auto" w:fill="auto"/>
            <w:vAlign w:val="center"/>
          </w:tcPr>
          <w:p w14:paraId="5786B531">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活载</w:t>
            </w:r>
          </w:p>
          <w:p w14:paraId="65E1F722">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（kPa）</w:t>
            </w:r>
          </w:p>
        </w:tc>
        <w:tc>
          <w:tcPr>
            <w:tcW w:w="3383" w:type="dxa"/>
            <w:shd w:val="clear" w:color="auto" w:fill="auto"/>
            <w:vAlign w:val="center"/>
          </w:tcPr>
          <w:p w14:paraId="28D2C77E">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备注</w:t>
            </w:r>
          </w:p>
        </w:tc>
      </w:tr>
      <w:tr w14:paraId="12A89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restart"/>
            <w:shd w:val="clear" w:color="auto" w:fill="auto"/>
            <w:vAlign w:val="center"/>
          </w:tcPr>
          <w:p w14:paraId="4C35E4F8">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住宅</w:t>
            </w:r>
          </w:p>
        </w:tc>
        <w:tc>
          <w:tcPr>
            <w:tcW w:w="2129" w:type="dxa"/>
            <w:shd w:val="clear" w:color="auto" w:fill="auto"/>
            <w:vAlign w:val="center"/>
          </w:tcPr>
          <w:p w14:paraId="4A9DDCBA">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房间</w:t>
            </w:r>
          </w:p>
        </w:tc>
        <w:tc>
          <w:tcPr>
            <w:tcW w:w="1277" w:type="dxa"/>
            <w:vAlign w:val="center"/>
          </w:tcPr>
          <w:p w14:paraId="2529B539">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4C1A0387">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2.0</w:t>
            </w:r>
          </w:p>
        </w:tc>
        <w:tc>
          <w:tcPr>
            <w:tcW w:w="3383" w:type="dxa"/>
            <w:vAlign w:val="center"/>
          </w:tcPr>
          <w:p w14:paraId="1D06383F">
            <w:pPr>
              <w:adjustRightInd w:val="0"/>
              <w:jc w:val="center"/>
              <w:rPr>
                <w:rFonts w:hint="eastAsia" w:ascii="宋体" w:hAnsi="宋体" w:eastAsia="宋体" w:cs="宋体"/>
                <w:bCs/>
                <w:color w:val="auto"/>
                <w:sz w:val="21"/>
                <w:szCs w:val="21"/>
                <w:highlight w:val="none"/>
              </w:rPr>
            </w:pPr>
          </w:p>
        </w:tc>
      </w:tr>
      <w:tr w14:paraId="2716F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69131B47">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1D0A5879">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厨房、客厅、餐厅</w:t>
            </w:r>
          </w:p>
        </w:tc>
        <w:tc>
          <w:tcPr>
            <w:tcW w:w="1277" w:type="dxa"/>
            <w:vAlign w:val="center"/>
          </w:tcPr>
          <w:p w14:paraId="30F0E017">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23D1ACCC">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2.0</w:t>
            </w:r>
          </w:p>
        </w:tc>
        <w:tc>
          <w:tcPr>
            <w:tcW w:w="3383" w:type="dxa"/>
            <w:vAlign w:val="center"/>
          </w:tcPr>
          <w:p w14:paraId="3DDECACD">
            <w:pPr>
              <w:adjustRightInd w:val="0"/>
              <w:jc w:val="center"/>
              <w:rPr>
                <w:rFonts w:hint="eastAsia" w:ascii="宋体" w:hAnsi="宋体" w:eastAsia="宋体" w:cs="宋体"/>
                <w:bCs/>
                <w:color w:val="auto"/>
                <w:sz w:val="21"/>
                <w:szCs w:val="21"/>
                <w:highlight w:val="none"/>
              </w:rPr>
            </w:pPr>
          </w:p>
        </w:tc>
      </w:tr>
      <w:tr w14:paraId="78696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37652A33">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3F10BC78">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卫生间</w:t>
            </w:r>
          </w:p>
        </w:tc>
        <w:tc>
          <w:tcPr>
            <w:tcW w:w="1277" w:type="dxa"/>
            <w:vAlign w:val="center"/>
          </w:tcPr>
          <w:p w14:paraId="001B2E8D">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5.0\按实际</w:t>
            </w:r>
          </w:p>
        </w:tc>
        <w:tc>
          <w:tcPr>
            <w:tcW w:w="1277" w:type="dxa"/>
            <w:vAlign w:val="center"/>
          </w:tcPr>
          <w:p w14:paraId="2DD57A5E">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2.5</w:t>
            </w:r>
          </w:p>
          <w:p w14:paraId="71C422E4">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4.0（浴缸）</w:t>
            </w:r>
          </w:p>
        </w:tc>
        <w:tc>
          <w:tcPr>
            <w:tcW w:w="3383" w:type="dxa"/>
            <w:vAlign w:val="center"/>
          </w:tcPr>
          <w:p w14:paraId="0C7B7CA4">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沉箱350回填（陶粒砼回填，考虑满水湿容重不大于14KN/m</w:t>
            </w:r>
            <w:r>
              <w:rPr>
                <w:rFonts w:hint="eastAsia" w:ascii="宋体" w:hAnsi="宋体" w:eastAsia="宋体" w:cs="宋体"/>
                <w:bCs/>
                <w:color w:val="auto"/>
                <w:sz w:val="21"/>
                <w:szCs w:val="21"/>
                <w:highlight w:val="none"/>
                <w:vertAlign w:val="superscript"/>
              </w:rPr>
              <w:t>3</w:t>
            </w:r>
            <w:r>
              <w:rPr>
                <w:rFonts w:hint="eastAsia" w:ascii="宋体" w:hAnsi="宋体" w:eastAsia="宋体" w:cs="宋体"/>
                <w:bCs/>
                <w:color w:val="auto"/>
                <w:sz w:val="21"/>
                <w:szCs w:val="21"/>
                <w:highlight w:val="none"/>
              </w:rPr>
              <w:t>），</w:t>
            </w:r>
          </w:p>
        </w:tc>
      </w:tr>
      <w:tr w14:paraId="7EE6A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7E337445">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17006817">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阳台、入户花园</w:t>
            </w:r>
          </w:p>
        </w:tc>
        <w:tc>
          <w:tcPr>
            <w:tcW w:w="1277" w:type="dxa"/>
            <w:vAlign w:val="center"/>
          </w:tcPr>
          <w:p w14:paraId="05A5F8ED">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4B4B42E9">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2.5</w:t>
            </w:r>
          </w:p>
        </w:tc>
        <w:tc>
          <w:tcPr>
            <w:tcW w:w="3383" w:type="dxa"/>
            <w:vAlign w:val="center"/>
          </w:tcPr>
          <w:p w14:paraId="2152C1EF">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覆土恒载另计</w:t>
            </w:r>
          </w:p>
        </w:tc>
      </w:tr>
      <w:tr w14:paraId="3F460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7198AF33">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09863D6E">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户内楼梯</w:t>
            </w:r>
          </w:p>
        </w:tc>
        <w:tc>
          <w:tcPr>
            <w:tcW w:w="1277" w:type="dxa"/>
            <w:vAlign w:val="center"/>
          </w:tcPr>
          <w:p w14:paraId="7DEF48D9">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5FCAAD42">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2.0</w:t>
            </w:r>
          </w:p>
        </w:tc>
        <w:tc>
          <w:tcPr>
            <w:tcW w:w="3383" w:type="dxa"/>
            <w:vAlign w:val="center"/>
          </w:tcPr>
          <w:p w14:paraId="7D65A3B3">
            <w:pPr>
              <w:adjustRightInd w:val="0"/>
              <w:jc w:val="center"/>
              <w:rPr>
                <w:rFonts w:hint="eastAsia" w:ascii="宋体" w:hAnsi="宋体" w:eastAsia="宋体" w:cs="宋体"/>
                <w:bCs/>
                <w:color w:val="auto"/>
                <w:sz w:val="21"/>
                <w:szCs w:val="21"/>
                <w:highlight w:val="none"/>
              </w:rPr>
            </w:pPr>
          </w:p>
        </w:tc>
      </w:tr>
      <w:tr w14:paraId="5283C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restart"/>
            <w:shd w:val="clear" w:color="auto" w:fill="auto"/>
            <w:vAlign w:val="center"/>
          </w:tcPr>
          <w:p w14:paraId="7D2E6950">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幼儿园</w:t>
            </w:r>
          </w:p>
        </w:tc>
        <w:tc>
          <w:tcPr>
            <w:tcW w:w="2129" w:type="dxa"/>
            <w:shd w:val="clear" w:color="auto" w:fill="auto"/>
            <w:vAlign w:val="center"/>
          </w:tcPr>
          <w:p w14:paraId="788B184C">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教室</w:t>
            </w:r>
          </w:p>
        </w:tc>
        <w:tc>
          <w:tcPr>
            <w:tcW w:w="1277" w:type="dxa"/>
            <w:vAlign w:val="center"/>
          </w:tcPr>
          <w:p w14:paraId="0B300DBB">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4D8B649F">
            <w:pPr>
              <w:adjustRightInd w:val="0"/>
              <w:jc w:val="center"/>
              <w:rPr>
                <w:rFonts w:hint="eastAsia" w:ascii="宋体" w:hAnsi="宋体" w:eastAsia="宋体" w:cs="宋体"/>
                <w:bCs/>
                <w:color w:val="auto"/>
                <w:sz w:val="21"/>
                <w:szCs w:val="21"/>
                <w:highlight w:val="none"/>
              </w:rPr>
            </w:pPr>
            <w:r>
              <w:rPr>
                <w:rFonts w:hint="eastAsia"/>
                <w:color w:val="auto"/>
                <w:highlight w:val="none"/>
              </w:rPr>
              <w:t>2.5</w:t>
            </w:r>
          </w:p>
        </w:tc>
        <w:tc>
          <w:tcPr>
            <w:tcW w:w="3383" w:type="dxa"/>
            <w:vAlign w:val="center"/>
          </w:tcPr>
          <w:p w14:paraId="77A00F9C">
            <w:pPr>
              <w:adjustRightInd w:val="0"/>
              <w:jc w:val="center"/>
              <w:rPr>
                <w:rFonts w:hint="eastAsia" w:ascii="宋体" w:hAnsi="宋体" w:eastAsia="宋体" w:cs="宋体"/>
                <w:bCs/>
                <w:color w:val="auto"/>
                <w:sz w:val="21"/>
                <w:szCs w:val="21"/>
                <w:highlight w:val="none"/>
              </w:rPr>
            </w:pPr>
          </w:p>
        </w:tc>
      </w:tr>
      <w:tr w14:paraId="1E686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24F9DA6B">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203D0966">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阅览室、会议室</w:t>
            </w:r>
          </w:p>
        </w:tc>
        <w:tc>
          <w:tcPr>
            <w:tcW w:w="1277" w:type="dxa"/>
            <w:vAlign w:val="center"/>
          </w:tcPr>
          <w:p w14:paraId="609E4F51">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3455B848">
            <w:pPr>
              <w:adjustRightInd w:val="0"/>
              <w:jc w:val="center"/>
              <w:rPr>
                <w:rFonts w:hint="eastAsia" w:ascii="宋体" w:hAnsi="宋体" w:eastAsia="宋体" w:cs="宋体"/>
                <w:bCs/>
                <w:color w:val="auto"/>
                <w:sz w:val="21"/>
                <w:szCs w:val="21"/>
                <w:highlight w:val="none"/>
              </w:rPr>
            </w:pPr>
            <w:r>
              <w:rPr>
                <w:rFonts w:hint="eastAsia"/>
                <w:color w:val="auto"/>
                <w:highlight w:val="none"/>
              </w:rPr>
              <w:t>3.0</w:t>
            </w:r>
          </w:p>
        </w:tc>
        <w:tc>
          <w:tcPr>
            <w:tcW w:w="3383" w:type="dxa"/>
            <w:vAlign w:val="center"/>
          </w:tcPr>
          <w:p w14:paraId="578B8489">
            <w:pPr>
              <w:adjustRightInd w:val="0"/>
              <w:jc w:val="center"/>
              <w:rPr>
                <w:rFonts w:hint="eastAsia" w:ascii="宋体" w:hAnsi="宋体" w:eastAsia="宋体" w:cs="宋体"/>
                <w:bCs/>
                <w:color w:val="auto"/>
                <w:sz w:val="21"/>
                <w:szCs w:val="21"/>
                <w:highlight w:val="none"/>
              </w:rPr>
            </w:pPr>
          </w:p>
        </w:tc>
      </w:tr>
      <w:tr w14:paraId="57200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268052A0">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23EE96B3">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储藏室</w:t>
            </w:r>
          </w:p>
        </w:tc>
        <w:tc>
          <w:tcPr>
            <w:tcW w:w="1277" w:type="dxa"/>
            <w:vAlign w:val="center"/>
          </w:tcPr>
          <w:p w14:paraId="13180AF3">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1C68CF6A">
            <w:pPr>
              <w:adjustRightInd w:val="0"/>
              <w:jc w:val="center"/>
              <w:rPr>
                <w:rFonts w:hint="eastAsia" w:ascii="宋体" w:hAnsi="宋体" w:eastAsia="宋体" w:cs="宋体"/>
                <w:bCs/>
                <w:color w:val="auto"/>
                <w:sz w:val="21"/>
                <w:szCs w:val="21"/>
                <w:highlight w:val="none"/>
              </w:rPr>
            </w:pPr>
            <w:r>
              <w:rPr>
                <w:rFonts w:hint="eastAsia"/>
                <w:color w:val="auto"/>
                <w:highlight w:val="none"/>
              </w:rPr>
              <w:t>6.0</w:t>
            </w:r>
          </w:p>
        </w:tc>
        <w:tc>
          <w:tcPr>
            <w:tcW w:w="3383" w:type="dxa"/>
            <w:vAlign w:val="center"/>
          </w:tcPr>
          <w:p w14:paraId="7BE9E5C1">
            <w:pPr>
              <w:adjustRightInd w:val="0"/>
              <w:jc w:val="center"/>
              <w:rPr>
                <w:rFonts w:hint="eastAsia" w:ascii="宋体" w:hAnsi="宋体" w:eastAsia="宋体" w:cs="宋体"/>
                <w:bCs/>
                <w:color w:val="auto"/>
                <w:sz w:val="21"/>
                <w:szCs w:val="21"/>
                <w:highlight w:val="none"/>
              </w:rPr>
            </w:pPr>
          </w:p>
        </w:tc>
      </w:tr>
      <w:tr w14:paraId="2B735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03683CE7">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50F51620">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办公室</w:t>
            </w:r>
          </w:p>
        </w:tc>
        <w:tc>
          <w:tcPr>
            <w:tcW w:w="1277" w:type="dxa"/>
            <w:vAlign w:val="center"/>
          </w:tcPr>
          <w:p w14:paraId="655EA9E8">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7BA912C7">
            <w:pPr>
              <w:adjustRightInd w:val="0"/>
              <w:jc w:val="center"/>
              <w:rPr>
                <w:rFonts w:hint="eastAsia" w:ascii="宋体" w:hAnsi="宋体" w:eastAsia="宋体" w:cs="宋体"/>
                <w:bCs/>
                <w:color w:val="auto"/>
                <w:sz w:val="21"/>
                <w:szCs w:val="21"/>
                <w:highlight w:val="none"/>
              </w:rPr>
            </w:pPr>
            <w:r>
              <w:rPr>
                <w:rFonts w:hint="eastAsia"/>
                <w:color w:val="auto"/>
                <w:highlight w:val="none"/>
              </w:rPr>
              <w:t>2.5</w:t>
            </w:r>
          </w:p>
        </w:tc>
        <w:tc>
          <w:tcPr>
            <w:tcW w:w="3383" w:type="dxa"/>
            <w:vAlign w:val="center"/>
          </w:tcPr>
          <w:p w14:paraId="204252E8">
            <w:pPr>
              <w:adjustRightInd w:val="0"/>
              <w:jc w:val="center"/>
              <w:rPr>
                <w:rFonts w:hint="eastAsia" w:ascii="宋体" w:hAnsi="宋体" w:eastAsia="宋体" w:cs="宋体"/>
                <w:bCs/>
                <w:color w:val="auto"/>
                <w:sz w:val="21"/>
                <w:szCs w:val="21"/>
                <w:highlight w:val="none"/>
              </w:rPr>
            </w:pPr>
          </w:p>
        </w:tc>
      </w:tr>
      <w:tr w14:paraId="421C3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02C7DD75">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48879204">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演出舞台</w:t>
            </w:r>
          </w:p>
        </w:tc>
        <w:tc>
          <w:tcPr>
            <w:tcW w:w="1277" w:type="dxa"/>
            <w:vAlign w:val="center"/>
          </w:tcPr>
          <w:p w14:paraId="13F98C5C">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按实际</w:t>
            </w:r>
          </w:p>
        </w:tc>
        <w:tc>
          <w:tcPr>
            <w:tcW w:w="1277" w:type="dxa"/>
            <w:vAlign w:val="center"/>
          </w:tcPr>
          <w:p w14:paraId="678A54ED">
            <w:pPr>
              <w:adjustRightInd w:val="0"/>
              <w:jc w:val="center"/>
              <w:rPr>
                <w:rFonts w:hint="eastAsia" w:ascii="宋体" w:hAnsi="宋体" w:eastAsia="宋体" w:cs="宋体"/>
                <w:bCs/>
                <w:color w:val="auto"/>
                <w:sz w:val="21"/>
                <w:szCs w:val="21"/>
                <w:highlight w:val="none"/>
              </w:rPr>
            </w:pPr>
            <w:r>
              <w:rPr>
                <w:rFonts w:hint="eastAsia"/>
                <w:color w:val="auto"/>
                <w:highlight w:val="none"/>
              </w:rPr>
              <w:t>4.5</w:t>
            </w:r>
          </w:p>
        </w:tc>
        <w:tc>
          <w:tcPr>
            <w:tcW w:w="3383" w:type="dxa"/>
            <w:vAlign w:val="center"/>
          </w:tcPr>
          <w:p w14:paraId="40E8E815">
            <w:pPr>
              <w:adjustRightInd w:val="0"/>
              <w:jc w:val="center"/>
              <w:rPr>
                <w:rFonts w:hint="eastAsia" w:ascii="宋体" w:hAnsi="宋体" w:eastAsia="宋体" w:cs="宋体"/>
                <w:bCs/>
                <w:color w:val="auto"/>
                <w:sz w:val="21"/>
                <w:szCs w:val="21"/>
                <w:highlight w:val="none"/>
              </w:rPr>
            </w:pPr>
          </w:p>
        </w:tc>
      </w:tr>
      <w:tr w14:paraId="7DC92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501A0D58">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127ED5EB">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运动场</w:t>
            </w:r>
          </w:p>
        </w:tc>
        <w:tc>
          <w:tcPr>
            <w:tcW w:w="1277" w:type="dxa"/>
            <w:vAlign w:val="center"/>
          </w:tcPr>
          <w:p w14:paraId="26E14FE5">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2CC2CE86">
            <w:pPr>
              <w:adjustRightInd w:val="0"/>
              <w:jc w:val="center"/>
              <w:rPr>
                <w:rFonts w:hint="eastAsia" w:ascii="宋体" w:hAnsi="宋体" w:eastAsia="宋体" w:cs="宋体"/>
                <w:bCs/>
                <w:color w:val="auto"/>
                <w:sz w:val="21"/>
                <w:szCs w:val="21"/>
                <w:highlight w:val="none"/>
              </w:rPr>
            </w:pPr>
            <w:r>
              <w:rPr>
                <w:rFonts w:hint="eastAsia"/>
                <w:color w:val="auto"/>
                <w:highlight w:val="none"/>
              </w:rPr>
              <w:t>4. 5</w:t>
            </w:r>
          </w:p>
        </w:tc>
        <w:tc>
          <w:tcPr>
            <w:tcW w:w="3383" w:type="dxa"/>
            <w:vAlign w:val="center"/>
          </w:tcPr>
          <w:p w14:paraId="4879A559">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覆土恒载另计</w:t>
            </w:r>
          </w:p>
        </w:tc>
      </w:tr>
      <w:tr w14:paraId="7C3A2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2954F7C9">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3BB2A5EC">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食堂、餐厅</w:t>
            </w:r>
          </w:p>
        </w:tc>
        <w:tc>
          <w:tcPr>
            <w:tcW w:w="1277" w:type="dxa"/>
            <w:vAlign w:val="center"/>
          </w:tcPr>
          <w:p w14:paraId="4F9428A6">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01E840F3">
            <w:pPr>
              <w:adjustRightInd w:val="0"/>
              <w:jc w:val="center"/>
              <w:rPr>
                <w:rFonts w:hint="eastAsia" w:ascii="宋体" w:hAnsi="宋体" w:eastAsia="宋体" w:cs="宋体"/>
                <w:bCs/>
                <w:color w:val="auto"/>
                <w:sz w:val="21"/>
                <w:szCs w:val="21"/>
                <w:highlight w:val="none"/>
              </w:rPr>
            </w:pPr>
            <w:r>
              <w:rPr>
                <w:rFonts w:hint="eastAsia"/>
                <w:color w:val="auto"/>
                <w:highlight w:val="none"/>
              </w:rPr>
              <w:t>3.0</w:t>
            </w:r>
          </w:p>
        </w:tc>
        <w:tc>
          <w:tcPr>
            <w:tcW w:w="3383" w:type="dxa"/>
            <w:vAlign w:val="center"/>
          </w:tcPr>
          <w:p w14:paraId="4610592F">
            <w:pPr>
              <w:adjustRightInd w:val="0"/>
              <w:jc w:val="center"/>
              <w:rPr>
                <w:rFonts w:hint="eastAsia" w:ascii="宋体" w:hAnsi="宋体" w:eastAsia="宋体" w:cs="宋体"/>
                <w:bCs/>
                <w:color w:val="auto"/>
                <w:sz w:val="21"/>
                <w:szCs w:val="21"/>
                <w:highlight w:val="none"/>
              </w:rPr>
            </w:pPr>
          </w:p>
        </w:tc>
      </w:tr>
      <w:tr w14:paraId="663D4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5F1D8214">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0A143460">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厨房</w:t>
            </w:r>
          </w:p>
        </w:tc>
        <w:tc>
          <w:tcPr>
            <w:tcW w:w="1277" w:type="dxa"/>
            <w:vAlign w:val="center"/>
          </w:tcPr>
          <w:p w14:paraId="442A0B0F">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1BF72388">
            <w:pPr>
              <w:adjustRightInd w:val="0"/>
              <w:jc w:val="center"/>
              <w:rPr>
                <w:rFonts w:hint="eastAsia" w:ascii="宋体" w:hAnsi="宋体" w:eastAsia="宋体" w:cs="宋体"/>
                <w:bCs/>
                <w:color w:val="auto"/>
                <w:sz w:val="21"/>
                <w:szCs w:val="21"/>
                <w:highlight w:val="none"/>
              </w:rPr>
            </w:pPr>
            <w:r>
              <w:rPr>
                <w:rFonts w:hint="eastAsia"/>
                <w:color w:val="auto"/>
                <w:highlight w:val="none"/>
              </w:rPr>
              <w:t>4.0</w:t>
            </w:r>
          </w:p>
        </w:tc>
        <w:tc>
          <w:tcPr>
            <w:tcW w:w="3383" w:type="dxa"/>
            <w:vAlign w:val="center"/>
          </w:tcPr>
          <w:p w14:paraId="731ACD27">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厨房单位提供</w:t>
            </w:r>
          </w:p>
        </w:tc>
      </w:tr>
      <w:tr w14:paraId="777E6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58AF8389">
            <w:pPr>
              <w:pStyle w:val="20"/>
              <w:adjustRightInd w:val="0"/>
              <w:snapToGrid w:val="0"/>
              <w:ind w:left="0" w:leftChars="0" w:firstLine="0" w:firstLineChars="0"/>
              <w:jc w:val="center"/>
              <w:rPr>
                <w:rFonts w:hint="eastAsia" w:ascii="宋体" w:hAnsi="宋体" w:cs="宋体"/>
                <w:bCs/>
                <w:szCs w:val="21"/>
                <w:highlight w:val="none"/>
              </w:rPr>
            </w:pPr>
          </w:p>
        </w:tc>
        <w:tc>
          <w:tcPr>
            <w:tcW w:w="2129" w:type="dxa"/>
            <w:shd w:val="clear" w:color="auto" w:fill="auto"/>
            <w:vAlign w:val="center"/>
          </w:tcPr>
          <w:p w14:paraId="6055FA55">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书库、图书室</w:t>
            </w:r>
          </w:p>
        </w:tc>
        <w:tc>
          <w:tcPr>
            <w:tcW w:w="1277" w:type="dxa"/>
            <w:vAlign w:val="center"/>
          </w:tcPr>
          <w:p w14:paraId="5D71675E">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62976ED7">
            <w:pPr>
              <w:adjustRightInd w:val="0"/>
              <w:jc w:val="center"/>
              <w:rPr>
                <w:rFonts w:hint="eastAsia" w:ascii="宋体" w:hAnsi="宋体" w:eastAsia="宋体" w:cs="宋体"/>
                <w:bCs/>
                <w:color w:val="auto"/>
                <w:sz w:val="21"/>
                <w:szCs w:val="21"/>
                <w:highlight w:val="none"/>
              </w:rPr>
            </w:pPr>
            <w:r>
              <w:rPr>
                <w:rFonts w:hint="eastAsia"/>
                <w:color w:val="auto"/>
                <w:highlight w:val="none"/>
              </w:rPr>
              <w:t>6.0</w:t>
            </w:r>
          </w:p>
        </w:tc>
        <w:tc>
          <w:tcPr>
            <w:tcW w:w="3383" w:type="dxa"/>
            <w:vAlign w:val="center"/>
          </w:tcPr>
          <w:p w14:paraId="66842B4F">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书架高度不超过 2.5kN/m2.</w:t>
            </w:r>
          </w:p>
        </w:tc>
      </w:tr>
      <w:tr w14:paraId="27C02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restart"/>
            <w:shd w:val="clear" w:color="auto" w:fill="auto"/>
            <w:vAlign w:val="center"/>
          </w:tcPr>
          <w:p w14:paraId="46BDB046">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公共区域</w:t>
            </w:r>
          </w:p>
        </w:tc>
        <w:tc>
          <w:tcPr>
            <w:tcW w:w="2129" w:type="dxa"/>
            <w:shd w:val="clear" w:color="auto" w:fill="auto"/>
            <w:vAlign w:val="center"/>
          </w:tcPr>
          <w:p w14:paraId="7620531B">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公共楼梯间</w:t>
            </w:r>
          </w:p>
        </w:tc>
        <w:tc>
          <w:tcPr>
            <w:tcW w:w="1277" w:type="dxa"/>
            <w:vAlign w:val="center"/>
          </w:tcPr>
          <w:p w14:paraId="51211F4E">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8.0\按实际</w:t>
            </w:r>
          </w:p>
        </w:tc>
        <w:tc>
          <w:tcPr>
            <w:tcW w:w="1277" w:type="dxa"/>
            <w:vAlign w:val="center"/>
          </w:tcPr>
          <w:p w14:paraId="7EBACDC5">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3.5</w:t>
            </w:r>
          </w:p>
        </w:tc>
        <w:tc>
          <w:tcPr>
            <w:tcW w:w="3383" w:type="dxa"/>
            <w:vAlign w:val="center"/>
          </w:tcPr>
          <w:p w14:paraId="5F7507FC">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按消防楼梯考虑</w:t>
            </w:r>
          </w:p>
        </w:tc>
      </w:tr>
      <w:tr w14:paraId="3F597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129DA6D8">
            <w:pPr>
              <w:pStyle w:val="20"/>
              <w:adjustRightInd w:val="0"/>
              <w:snapToGrid w:val="0"/>
              <w:ind w:left="0" w:leftChars="0" w:firstLine="0" w:firstLineChars="0"/>
              <w:jc w:val="center"/>
              <w:rPr>
                <w:rFonts w:hint="eastAsia" w:ascii="宋体" w:hAnsi="宋体" w:cs="宋体"/>
                <w:b/>
                <w:szCs w:val="21"/>
                <w:highlight w:val="none"/>
              </w:rPr>
            </w:pPr>
          </w:p>
        </w:tc>
        <w:tc>
          <w:tcPr>
            <w:tcW w:w="2129" w:type="dxa"/>
            <w:shd w:val="clear" w:color="auto" w:fill="auto"/>
            <w:vAlign w:val="center"/>
          </w:tcPr>
          <w:p w14:paraId="45167A2B">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商铺</w:t>
            </w:r>
          </w:p>
        </w:tc>
        <w:tc>
          <w:tcPr>
            <w:tcW w:w="1277" w:type="dxa"/>
            <w:vAlign w:val="center"/>
          </w:tcPr>
          <w:p w14:paraId="0A59AB53">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2D0E519D">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4.0</w:t>
            </w:r>
          </w:p>
        </w:tc>
        <w:tc>
          <w:tcPr>
            <w:tcW w:w="3383" w:type="dxa"/>
            <w:vAlign w:val="center"/>
          </w:tcPr>
          <w:p w14:paraId="195DD24C">
            <w:pPr>
              <w:adjustRightInd w:val="0"/>
              <w:jc w:val="center"/>
              <w:rPr>
                <w:rFonts w:hint="eastAsia" w:ascii="宋体" w:hAnsi="宋体" w:eastAsia="宋体" w:cs="宋体"/>
                <w:bCs/>
                <w:color w:val="auto"/>
                <w:sz w:val="21"/>
                <w:szCs w:val="21"/>
                <w:highlight w:val="none"/>
              </w:rPr>
            </w:pPr>
          </w:p>
        </w:tc>
      </w:tr>
      <w:tr w14:paraId="7DC70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65D3F94C">
            <w:pPr>
              <w:pStyle w:val="20"/>
              <w:adjustRightInd w:val="0"/>
              <w:snapToGrid w:val="0"/>
              <w:ind w:left="0" w:leftChars="0" w:firstLine="0" w:firstLineChars="0"/>
              <w:jc w:val="center"/>
              <w:rPr>
                <w:rFonts w:hint="eastAsia" w:ascii="宋体" w:hAnsi="宋体" w:cs="宋体"/>
                <w:b/>
                <w:szCs w:val="21"/>
                <w:highlight w:val="none"/>
              </w:rPr>
            </w:pPr>
          </w:p>
        </w:tc>
        <w:tc>
          <w:tcPr>
            <w:tcW w:w="2129" w:type="dxa"/>
            <w:shd w:val="clear" w:color="auto" w:fill="auto"/>
            <w:vAlign w:val="center"/>
          </w:tcPr>
          <w:p w14:paraId="100FBCF1">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走廊、门厅</w:t>
            </w:r>
          </w:p>
        </w:tc>
        <w:tc>
          <w:tcPr>
            <w:tcW w:w="1277" w:type="dxa"/>
            <w:vAlign w:val="center"/>
          </w:tcPr>
          <w:p w14:paraId="46D02558">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1277" w:type="dxa"/>
            <w:vAlign w:val="center"/>
          </w:tcPr>
          <w:p w14:paraId="3A3578DC">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3.5</w:t>
            </w:r>
          </w:p>
        </w:tc>
        <w:tc>
          <w:tcPr>
            <w:tcW w:w="3383" w:type="dxa"/>
            <w:vAlign w:val="center"/>
          </w:tcPr>
          <w:p w14:paraId="306A6C3C">
            <w:pPr>
              <w:adjustRightInd w:val="0"/>
              <w:jc w:val="center"/>
              <w:rPr>
                <w:rFonts w:hint="eastAsia" w:ascii="宋体" w:hAnsi="宋体" w:eastAsia="宋体" w:cs="宋体"/>
                <w:bCs/>
                <w:color w:val="auto"/>
                <w:sz w:val="21"/>
                <w:szCs w:val="21"/>
                <w:highlight w:val="none"/>
              </w:rPr>
            </w:pPr>
          </w:p>
        </w:tc>
      </w:tr>
      <w:tr w14:paraId="00150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5807345F">
            <w:pPr>
              <w:pStyle w:val="20"/>
              <w:adjustRightInd w:val="0"/>
              <w:snapToGrid w:val="0"/>
              <w:ind w:left="0" w:leftChars="0" w:firstLine="0" w:firstLineChars="0"/>
              <w:jc w:val="center"/>
              <w:rPr>
                <w:rFonts w:hint="eastAsia" w:ascii="宋体" w:hAnsi="宋体" w:cs="宋体"/>
                <w:b/>
                <w:szCs w:val="21"/>
                <w:highlight w:val="none"/>
              </w:rPr>
            </w:pPr>
          </w:p>
        </w:tc>
        <w:tc>
          <w:tcPr>
            <w:tcW w:w="2129" w:type="dxa"/>
            <w:shd w:val="clear" w:color="auto" w:fill="auto"/>
            <w:vAlign w:val="center"/>
          </w:tcPr>
          <w:p w14:paraId="2770FB40">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上人屋面</w:t>
            </w:r>
          </w:p>
        </w:tc>
        <w:tc>
          <w:tcPr>
            <w:tcW w:w="1277" w:type="dxa"/>
            <w:vAlign w:val="center"/>
          </w:tcPr>
          <w:p w14:paraId="34639ED1">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4.0\按实际</w:t>
            </w:r>
          </w:p>
        </w:tc>
        <w:tc>
          <w:tcPr>
            <w:tcW w:w="1277" w:type="dxa"/>
            <w:vAlign w:val="center"/>
          </w:tcPr>
          <w:p w14:paraId="6CD08639">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2.0</w:t>
            </w:r>
          </w:p>
        </w:tc>
        <w:tc>
          <w:tcPr>
            <w:tcW w:w="3383" w:type="dxa"/>
            <w:vAlign w:val="center"/>
          </w:tcPr>
          <w:p w14:paraId="16BA31CB">
            <w:pPr>
              <w:adjustRightInd w:val="0"/>
              <w:jc w:val="center"/>
              <w:rPr>
                <w:rFonts w:hint="eastAsia" w:ascii="宋体" w:hAnsi="宋体" w:eastAsia="宋体" w:cs="宋体"/>
                <w:bCs/>
                <w:color w:val="auto"/>
                <w:sz w:val="21"/>
                <w:szCs w:val="21"/>
                <w:highlight w:val="none"/>
              </w:rPr>
            </w:pPr>
          </w:p>
        </w:tc>
      </w:tr>
      <w:tr w14:paraId="71B69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40C4F534">
            <w:pPr>
              <w:pStyle w:val="20"/>
              <w:adjustRightInd w:val="0"/>
              <w:snapToGrid w:val="0"/>
              <w:ind w:left="0" w:leftChars="0" w:firstLine="0" w:firstLineChars="0"/>
              <w:jc w:val="center"/>
              <w:rPr>
                <w:rFonts w:hint="eastAsia" w:ascii="宋体" w:hAnsi="宋体" w:cs="宋体"/>
                <w:b/>
                <w:szCs w:val="21"/>
                <w:highlight w:val="none"/>
              </w:rPr>
            </w:pPr>
          </w:p>
        </w:tc>
        <w:tc>
          <w:tcPr>
            <w:tcW w:w="2129" w:type="dxa"/>
            <w:shd w:val="clear" w:color="auto" w:fill="auto"/>
            <w:vAlign w:val="center"/>
          </w:tcPr>
          <w:p w14:paraId="5EFF9CE3">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不上人屋面</w:t>
            </w:r>
          </w:p>
        </w:tc>
        <w:tc>
          <w:tcPr>
            <w:tcW w:w="1277" w:type="dxa"/>
            <w:vAlign w:val="center"/>
          </w:tcPr>
          <w:p w14:paraId="0F32A582">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3.5\按实际</w:t>
            </w:r>
          </w:p>
        </w:tc>
        <w:tc>
          <w:tcPr>
            <w:tcW w:w="1277" w:type="dxa"/>
            <w:vAlign w:val="center"/>
          </w:tcPr>
          <w:p w14:paraId="25041511">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0.5</w:t>
            </w:r>
          </w:p>
        </w:tc>
        <w:tc>
          <w:tcPr>
            <w:tcW w:w="3383" w:type="dxa"/>
            <w:vAlign w:val="center"/>
          </w:tcPr>
          <w:p w14:paraId="28A8E06E">
            <w:pPr>
              <w:adjustRightInd w:val="0"/>
              <w:jc w:val="center"/>
              <w:rPr>
                <w:rFonts w:hint="eastAsia" w:ascii="宋体" w:hAnsi="宋体" w:eastAsia="宋体" w:cs="宋体"/>
                <w:bCs/>
                <w:color w:val="auto"/>
                <w:sz w:val="21"/>
                <w:szCs w:val="21"/>
                <w:highlight w:val="none"/>
              </w:rPr>
            </w:pPr>
          </w:p>
        </w:tc>
      </w:tr>
      <w:tr w14:paraId="0BB0C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050DFD54">
            <w:pPr>
              <w:pStyle w:val="20"/>
              <w:adjustRightInd w:val="0"/>
              <w:snapToGrid w:val="0"/>
              <w:ind w:left="0" w:leftChars="0" w:firstLine="0" w:firstLineChars="0"/>
              <w:jc w:val="center"/>
              <w:rPr>
                <w:rFonts w:hint="eastAsia" w:ascii="宋体" w:hAnsi="宋体" w:cs="宋体"/>
                <w:b/>
                <w:szCs w:val="21"/>
                <w:highlight w:val="none"/>
              </w:rPr>
            </w:pPr>
          </w:p>
        </w:tc>
        <w:tc>
          <w:tcPr>
            <w:tcW w:w="2129" w:type="dxa"/>
            <w:shd w:val="clear" w:color="auto" w:fill="auto"/>
            <w:vAlign w:val="center"/>
          </w:tcPr>
          <w:p w14:paraId="04BC2668">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地下室顶板（室外）</w:t>
            </w:r>
          </w:p>
        </w:tc>
        <w:tc>
          <w:tcPr>
            <w:tcW w:w="1277" w:type="dxa"/>
            <w:vAlign w:val="center"/>
          </w:tcPr>
          <w:p w14:paraId="411A21AC">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覆土重+1.0</w:t>
            </w:r>
          </w:p>
        </w:tc>
        <w:tc>
          <w:tcPr>
            <w:tcW w:w="1277" w:type="dxa"/>
            <w:vAlign w:val="center"/>
          </w:tcPr>
          <w:p w14:paraId="228A9EAD">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5.0</w:t>
            </w:r>
          </w:p>
        </w:tc>
        <w:tc>
          <w:tcPr>
            <w:tcW w:w="3383" w:type="dxa"/>
            <w:vAlign w:val="center"/>
          </w:tcPr>
          <w:p w14:paraId="3AF6087F">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覆土按18kN/m</w:t>
            </w:r>
            <w:r>
              <w:rPr>
                <w:rFonts w:hint="eastAsia" w:ascii="宋体" w:hAnsi="宋体" w:eastAsia="宋体" w:cs="宋体"/>
                <w:bCs/>
                <w:color w:val="auto"/>
                <w:sz w:val="21"/>
                <w:szCs w:val="21"/>
                <w:highlight w:val="none"/>
                <w:vertAlign w:val="superscript"/>
              </w:rPr>
              <w:t>3</w:t>
            </w:r>
            <w:r>
              <w:rPr>
                <w:rFonts w:hint="eastAsia" w:ascii="宋体" w:hAnsi="宋体" w:eastAsia="宋体" w:cs="宋体"/>
                <w:bCs/>
                <w:color w:val="auto"/>
                <w:sz w:val="21"/>
                <w:szCs w:val="21"/>
                <w:highlight w:val="none"/>
              </w:rPr>
              <w:t>，覆土荷载与附加恒载不同时考虑，活荷载考虑施工荷载5kN/m</w:t>
            </w:r>
            <w:r>
              <w:rPr>
                <w:rFonts w:hint="eastAsia" w:ascii="宋体" w:hAnsi="宋体" w:eastAsia="宋体" w:cs="宋体"/>
                <w:bCs/>
                <w:color w:val="auto"/>
                <w:sz w:val="21"/>
                <w:szCs w:val="21"/>
                <w:highlight w:val="none"/>
                <w:vertAlign w:val="superscript"/>
              </w:rPr>
              <w:t>2</w:t>
            </w:r>
            <w:r>
              <w:rPr>
                <w:rFonts w:hint="eastAsia" w:ascii="宋体" w:hAnsi="宋体" w:eastAsia="宋体" w:cs="宋体"/>
                <w:bCs/>
                <w:color w:val="auto"/>
                <w:sz w:val="21"/>
                <w:szCs w:val="21"/>
                <w:highlight w:val="none"/>
              </w:rPr>
              <w:t>。</w:t>
            </w:r>
          </w:p>
        </w:tc>
      </w:tr>
      <w:tr w14:paraId="1158E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1891C9E0">
            <w:pPr>
              <w:pStyle w:val="20"/>
              <w:adjustRightInd w:val="0"/>
              <w:snapToGrid w:val="0"/>
              <w:ind w:left="0" w:leftChars="0" w:firstLine="0" w:firstLineChars="0"/>
              <w:jc w:val="center"/>
              <w:rPr>
                <w:rFonts w:hint="eastAsia" w:ascii="宋体" w:hAnsi="宋体" w:cs="宋体"/>
                <w:b/>
                <w:szCs w:val="21"/>
                <w:highlight w:val="none"/>
              </w:rPr>
            </w:pPr>
          </w:p>
        </w:tc>
        <w:tc>
          <w:tcPr>
            <w:tcW w:w="2129" w:type="dxa"/>
            <w:shd w:val="clear" w:color="auto" w:fill="auto"/>
            <w:vAlign w:val="center"/>
          </w:tcPr>
          <w:p w14:paraId="2BFA491A">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地下室顶板（室内）</w:t>
            </w:r>
          </w:p>
        </w:tc>
        <w:tc>
          <w:tcPr>
            <w:tcW w:w="1277" w:type="dxa"/>
            <w:vAlign w:val="center"/>
          </w:tcPr>
          <w:p w14:paraId="3BD34329">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2.0</w:t>
            </w:r>
          </w:p>
        </w:tc>
        <w:tc>
          <w:tcPr>
            <w:tcW w:w="1277" w:type="dxa"/>
            <w:vAlign w:val="center"/>
          </w:tcPr>
          <w:p w14:paraId="32C45822">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5.0</w:t>
            </w:r>
          </w:p>
        </w:tc>
        <w:tc>
          <w:tcPr>
            <w:tcW w:w="3383" w:type="dxa"/>
            <w:vAlign w:val="center"/>
          </w:tcPr>
          <w:p w14:paraId="3175DAD5">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覆土另算。活荷载考虑施工荷载5kN/m</w:t>
            </w:r>
            <w:r>
              <w:rPr>
                <w:rFonts w:hint="eastAsia" w:ascii="宋体" w:hAnsi="宋体" w:eastAsia="宋体" w:cs="宋体"/>
                <w:bCs/>
                <w:color w:val="auto"/>
                <w:sz w:val="21"/>
                <w:szCs w:val="21"/>
                <w:highlight w:val="none"/>
                <w:vertAlign w:val="superscript"/>
              </w:rPr>
              <w:t>2</w:t>
            </w:r>
            <w:r>
              <w:rPr>
                <w:rFonts w:hint="eastAsia" w:ascii="宋体" w:hAnsi="宋体" w:eastAsia="宋体" w:cs="宋体"/>
                <w:bCs/>
                <w:color w:val="auto"/>
                <w:sz w:val="21"/>
                <w:szCs w:val="21"/>
                <w:highlight w:val="none"/>
              </w:rPr>
              <w:t>。</w:t>
            </w:r>
          </w:p>
        </w:tc>
      </w:tr>
      <w:tr w14:paraId="04D5B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1A7BCEC3">
            <w:pPr>
              <w:pStyle w:val="20"/>
              <w:adjustRightInd w:val="0"/>
              <w:snapToGrid w:val="0"/>
              <w:ind w:left="0" w:leftChars="0" w:firstLine="0" w:firstLineChars="0"/>
              <w:jc w:val="center"/>
              <w:rPr>
                <w:rFonts w:hint="eastAsia" w:ascii="宋体" w:hAnsi="宋体" w:cs="宋体"/>
                <w:b/>
                <w:szCs w:val="21"/>
                <w:highlight w:val="none"/>
              </w:rPr>
            </w:pPr>
          </w:p>
        </w:tc>
        <w:tc>
          <w:tcPr>
            <w:tcW w:w="2129" w:type="dxa"/>
            <w:shd w:val="clear" w:color="auto" w:fill="auto"/>
            <w:vAlign w:val="center"/>
          </w:tcPr>
          <w:p w14:paraId="1AB7DCFE">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消防车道</w:t>
            </w:r>
          </w:p>
        </w:tc>
        <w:tc>
          <w:tcPr>
            <w:tcW w:w="1277" w:type="dxa"/>
            <w:vAlign w:val="center"/>
          </w:tcPr>
          <w:p w14:paraId="1AA5C10F">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覆土重+1.0</w:t>
            </w:r>
          </w:p>
        </w:tc>
        <w:tc>
          <w:tcPr>
            <w:tcW w:w="1277" w:type="dxa"/>
            <w:vAlign w:val="center"/>
          </w:tcPr>
          <w:p w14:paraId="63EC2C8C">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单向板:35</w:t>
            </w:r>
          </w:p>
          <w:p w14:paraId="7675D75D">
            <w:pPr>
              <w:adjustRightInd w:val="0"/>
              <w:jc w:val="center"/>
              <w:rPr>
                <w:rFonts w:hint="eastAsia" w:ascii="宋体" w:hAnsi="宋体" w:eastAsia="宋体" w:cs="宋体"/>
                <w:bCs/>
                <w:color w:val="auto"/>
                <w:sz w:val="21"/>
                <w:szCs w:val="21"/>
                <w:highlight w:val="none"/>
              </w:rPr>
            </w:pPr>
          </w:p>
          <w:p w14:paraId="21D40931">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双向板：50-5.0L</w:t>
            </w:r>
          </w:p>
          <w:p w14:paraId="5E7160C2">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(6m以内，L短跨跨度)</w:t>
            </w:r>
          </w:p>
          <w:p w14:paraId="3E99E903">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20(6m以上)</w:t>
            </w:r>
          </w:p>
        </w:tc>
        <w:tc>
          <w:tcPr>
            <w:tcW w:w="3383" w:type="dxa"/>
            <w:vAlign w:val="center"/>
          </w:tcPr>
          <w:p w14:paraId="318CFF91">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1、按室外裙房顶板荷载取值进行正常使用极限状态设计（强度和裂缝、控制）；</w:t>
            </w:r>
          </w:p>
          <w:p w14:paraId="09353199">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2、考虑消防车荷载进行构件强度设计（不控制裂缝）。</w:t>
            </w:r>
          </w:p>
          <w:p w14:paraId="58BC7ED7">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3、基础设计不考虑消防车荷载。</w:t>
            </w:r>
          </w:p>
          <w:p w14:paraId="525AEA27">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4、消防车道活荷载尚应按《工程结构通用规范》4.2.4条折减，框架梁折减系数取0.8，板配筋不折减。</w:t>
            </w:r>
          </w:p>
        </w:tc>
      </w:tr>
      <w:tr w14:paraId="1EE8B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14FA4751">
            <w:pPr>
              <w:pStyle w:val="20"/>
              <w:adjustRightInd w:val="0"/>
              <w:snapToGrid w:val="0"/>
              <w:ind w:left="0" w:leftChars="0" w:firstLine="0" w:firstLineChars="0"/>
              <w:jc w:val="center"/>
              <w:rPr>
                <w:rFonts w:hint="eastAsia" w:ascii="宋体" w:hAnsi="宋体" w:cs="宋体"/>
                <w:b/>
                <w:szCs w:val="21"/>
                <w:highlight w:val="none"/>
              </w:rPr>
            </w:pPr>
          </w:p>
        </w:tc>
        <w:tc>
          <w:tcPr>
            <w:tcW w:w="2129" w:type="dxa"/>
            <w:shd w:val="clear" w:color="auto" w:fill="auto"/>
            <w:vAlign w:val="center"/>
          </w:tcPr>
          <w:p w14:paraId="608EA499">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小型车道、车库</w:t>
            </w:r>
          </w:p>
        </w:tc>
        <w:tc>
          <w:tcPr>
            <w:tcW w:w="1277" w:type="dxa"/>
            <w:vAlign w:val="center"/>
          </w:tcPr>
          <w:p w14:paraId="5B4D67EF">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2.0</w:t>
            </w:r>
          </w:p>
        </w:tc>
        <w:tc>
          <w:tcPr>
            <w:tcW w:w="1277" w:type="dxa"/>
            <w:vAlign w:val="center"/>
          </w:tcPr>
          <w:p w14:paraId="43991A4F">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4.0</w:t>
            </w:r>
          </w:p>
        </w:tc>
        <w:tc>
          <w:tcPr>
            <w:tcW w:w="3383" w:type="dxa"/>
            <w:vAlign w:val="center"/>
          </w:tcPr>
          <w:p w14:paraId="63932469">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双向板楼板，板跨不小于6mX6m时活载按2.5kN/m</w:t>
            </w:r>
            <w:r>
              <w:rPr>
                <w:rFonts w:hint="eastAsia" w:ascii="宋体" w:hAnsi="宋体" w:eastAsia="宋体" w:cs="宋体"/>
                <w:bCs/>
                <w:color w:val="auto"/>
                <w:sz w:val="21"/>
                <w:szCs w:val="21"/>
                <w:highlight w:val="none"/>
                <w:vertAlign w:val="superscript"/>
              </w:rPr>
              <w:t>2</w:t>
            </w:r>
            <w:r>
              <w:rPr>
                <w:rFonts w:hint="eastAsia" w:ascii="宋体" w:hAnsi="宋体" w:eastAsia="宋体" w:cs="宋体"/>
                <w:bCs/>
                <w:color w:val="auto"/>
                <w:sz w:val="21"/>
                <w:szCs w:val="21"/>
                <w:highlight w:val="none"/>
              </w:rPr>
              <w:t>。</w:t>
            </w:r>
          </w:p>
        </w:tc>
      </w:tr>
      <w:tr w14:paraId="20327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auto"/>
            <w:vAlign w:val="center"/>
          </w:tcPr>
          <w:p w14:paraId="60B0E47E">
            <w:pPr>
              <w:pStyle w:val="20"/>
              <w:adjustRightInd w:val="0"/>
              <w:snapToGrid w:val="0"/>
              <w:ind w:left="0" w:leftChars="0" w:firstLine="0" w:firstLineChars="0"/>
              <w:jc w:val="center"/>
              <w:rPr>
                <w:rFonts w:hint="eastAsia" w:ascii="宋体" w:hAnsi="宋体" w:cs="宋体"/>
                <w:b/>
                <w:szCs w:val="21"/>
                <w:highlight w:val="none"/>
              </w:rPr>
            </w:pPr>
          </w:p>
        </w:tc>
        <w:tc>
          <w:tcPr>
            <w:tcW w:w="2129" w:type="dxa"/>
            <w:shd w:val="clear" w:color="auto" w:fill="auto"/>
            <w:vAlign w:val="center"/>
          </w:tcPr>
          <w:p w14:paraId="7D3A8D5C">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重型车道、车库</w:t>
            </w:r>
          </w:p>
        </w:tc>
        <w:tc>
          <w:tcPr>
            <w:tcW w:w="1277" w:type="dxa"/>
            <w:vAlign w:val="center"/>
          </w:tcPr>
          <w:p w14:paraId="4A4E0F96">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2.0</w:t>
            </w:r>
          </w:p>
        </w:tc>
        <w:tc>
          <w:tcPr>
            <w:tcW w:w="1277" w:type="dxa"/>
            <w:vAlign w:val="center"/>
          </w:tcPr>
          <w:p w14:paraId="2FB8CF6D">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w:t>
            </w:r>
          </w:p>
        </w:tc>
        <w:tc>
          <w:tcPr>
            <w:tcW w:w="3383" w:type="dxa"/>
            <w:vAlign w:val="center"/>
          </w:tcPr>
          <w:p w14:paraId="5FFA4B95">
            <w:pPr>
              <w:adjustRightInd w:val="0"/>
              <w:jc w:val="center"/>
              <w:rPr>
                <w:rFonts w:hint="eastAsia" w:ascii="宋体" w:hAnsi="宋体" w:eastAsia="宋体" w:cs="宋体"/>
                <w:bCs/>
                <w:color w:val="auto"/>
                <w:sz w:val="21"/>
                <w:szCs w:val="21"/>
                <w:highlight w:val="none"/>
              </w:rPr>
            </w:pPr>
          </w:p>
        </w:tc>
      </w:tr>
      <w:tr w14:paraId="382DC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restart"/>
            <w:shd w:val="clear" w:color="auto" w:fill="auto"/>
            <w:vAlign w:val="center"/>
          </w:tcPr>
          <w:p w14:paraId="4BC45E29">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Cs/>
                <w:szCs w:val="21"/>
                <w:highlight w:val="none"/>
              </w:rPr>
              <w:t>设备区</w:t>
            </w:r>
          </w:p>
        </w:tc>
        <w:tc>
          <w:tcPr>
            <w:tcW w:w="2129" w:type="dxa"/>
            <w:shd w:val="clear" w:color="auto" w:fill="auto"/>
            <w:vAlign w:val="center"/>
          </w:tcPr>
          <w:p w14:paraId="475D19F2">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重型机房</w:t>
            </w:r>
          </w:p>
        </w:tc>
        <w:tc>
          <w:tcPr>
            <w:tcW w:w="1277" w:type="dxa"/>
            <w:vAlign w:val="center"/>
          </w:tcPr>
          <w:p w14:paraId="59B92497">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1.5\按实际</w:t>
            </w:r>
          </w:p>
        </w:tc>
        <w:tc>
          <w:tcPr>
            <w:tcW w:w="1277" w:type="dxa"/>
            <w:vAlign w:val="center"/>
          </w:tcPr>
          <w:p w14:paraId="2EBDA03B">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15（与设备商定）</w:t>
            </w:r>
          </w:p>
        </w:tc>
        <w:tc>
          <w:tcPr>
            <w:tcW w:w="3383" w:type="dxa"/>
            <w:vAlign w:val="center"/>
          </w:tcPr>
          <w:p w14:paraId="3BB8B613">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变电站、冷冻机房、配电房等、水泵房</w:t>
            </w:r>
          </w:p>
        </w:tc>
      </w:tr>
      <w:tr w14:paraId="3273B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93" w:type="dxa"/>
            <w:vMerge w:val="continue"/>
            <w:shd w:val="clear" w:color="auto" w:fill="D9D9D9"/>
            <w:vAlign w:val="center"/>
          </w:tcPr>
          <w:p w14:paraId="4FD36486">
            <w:pPr>
              <w:pStyle w:val="20"/>
              <w:adjustRightInd w:val="0"/>
              <w:snapToGrid w:val="0"/>
              <w:ind w:left="0" w:leftChars="0" w:firstLine="0" w:firstLineChars="0"/>
              <w:jc w:val="center"/>
              <w:rPr>
                <w:rFonts w:hint="eastAsia" w:ascii="宋体" w:hAnsi="宋体" w:cs="宋体"/>
                <w:b/>
                <w:szCs w:val="21"/>
                <w:highlight w:val="none"/>
              </w:rPr>
            </w:pPr>
          </w:p>
        </w:tc>
        <w:tc>
          <w:tcPr>
            <w:tcW w:w="2129" w:type="dxa"/>
            <w:shd w:val="clear" w:color="auto" w:fill="auto"/>
            <w:vAlign w:val="center"/>
          </w:tcPr>
          <w:p w14:paraId="7BC4485C">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轻型机房</w:t>
            </w:r>
          </w:p>
        </w:tc>
        <w:tc>
          <w:tcPr>
            <w:tcW w:w="1277" w:type="dxa"/>
            <w:vAlign w:val="center"/>
          </w:tcPr>
          <w:p w14:paraId="3418EFE7">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1.5\按实际</w:t>
            </w:r>
          </w:p>
        </w:tc>
        <w:tc>
          <w:tcPr>
            <w:tcW w:w="1277" w:type="dxa"/>
            <w:vAlign w:val="center"/>
          </w:tcPr>
          <w:p w14:paraId="3BB83BC6">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8.0</w:t>
            </w:r>
          </w:p>
        </w:tc>
        <w:tc>
          <w:tcPr>
            <w:tcW w:w="3383" w:type="dxa"/>
            <w:vAlign w:val="center"/>
          </w:tcPr>
          <w:p w14:paraId="25D9E004">
            <w:pPr>
              <w:adjustRightInd w:val="0"/>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风机房、电梯机房、空调机房、消防控制中心</w:t>
            </w:r>
          </w:p>
        </w:tc>
      </w:tr>
    </w:tbl>
    <w:p w14:paraId="1D7598D7">
      <w:pPr>
        <w:pStyle w:val="80"/>
        <w:spacing w:line="360" w:lineRule="auto"/>
        <w:ind w:left="720" w:firstLine="0" w:firstLineChars="0"/>
        <w:jc w:val="center"/>
        <w:rPr>
          <w:rFonts w:hint="eastAsia" w:ascii="宋体" w:hAnsi="宋体" w:cs="宋体"/>
          <w:highlight w:val="none"/>
        </w:rPr>
      </w:pPr>
    </w:p>
    <w:p w14:paraId="43752348">
      <w:pPr>
        <w:ind w:firstLine="48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表2.3.1.2梁上隔墙荷载取值表</w:t>
      </w:r>
    </w:p>
    <w:tbl>
      <w:tblPr>
        <w:tblStyle w:val="42"/>
        <w:tblW w:w="81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1"/>
        <w:gridCol w:w="2465"/>
        <w:gridCol w:w="1525"/>
        <w:gridCol w:w="3434"/>
      </w:tblGrid>
      <w:tr w14:paraId="6EE6D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1" w:type="dxa"/>
            <w:vMerge w:val="restart"/>
            <w:tcBorders>
              <w:top w:val="single" w:color="auto" w:sz="4" w:space="0"/>
            </w:tcBorders>
            <w:shd w:val="clear" w:color="auto" w:fill="auto"/>
            <w:vAlign w:val="center"/>
          </w:tcPr>
          <w:p w14:paraId="7FD75D51">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层高</w:t>
            </w:r>
          </w:p>
        </w:tc>
        <w:tc>
          <w:tcPr>
            <w:tcW w:w="2465" w:type="dxa"/>
            <w:vMerge w:val="restart"/>
            <w:tcBorders>
              <w:top w:val="single" w:color="auto" w:sz="4" w:space="0"/>
            </w:tcBorders>
            <w:shd w:val="clear" w:color="auto" w:fill="auto"/>
            <w:vAlign w:val="center"/>
          </w:tcPr>
          <w:p w14:paraId="0423D64E">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墙体类型</w:t>
            </w:r>
          </w:p>
        </w:tc>
        <w:tc>
          <w:tcPr>
            <w:tcW w:w="4959" w:type="dxa"/>
            <w:gridSpan w:val="2"/>
            <w:tcBorders>
              <w:top w:val="single" w:color="auto" w:sz="4" w:space="0"/>
            </w:tcBorders>
            <w:shd w:val="clear" w:color="auto" w:fill="auto"/>
            <w:vAlign w:val="center"/>
          </w:tcPr>
          <w:p w14:paraId="6DE114C6">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隔墙线荷载（kN/m）</w:t>
            </w:r>
          </w:p>
        </w:tc>
      </w:tr>
      <w:tr w14:paraId="7E8A0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1" w:type="dxa"/>
            <w:vMerge w:val="continue"/>
            <w:shd w:val="clear" w:color="auto" w:fill="auto"/>
            <w:vAlign w:val="center"/>
          </w:tcPr>
          <w:p w14:paraId="27E2B036">
            <w:pPr>
              <w:pStyle w:val="20"/>
              <w:adjustRightInd w:val="0"/>
              <w:snapToGrid w:val="0"/>
              <w:ind w:left="0" w:leftChars="0" w:firstLine="0" w:firstLineChars="0"/>
              <w:jc w:val="center"/>
              <w:rPr>
                <w:rFonts w:hint="eastAsia" w:ascii="宋体" w:hAnsi="宋体" w:cs="宋体"/>
                <w:b/>
                <w:szCs w:val="21"/>
                <w:highlight w:val="none"/>
              </w:rPr>
            </w:pPr>
          </w:p>
        </w:tc>
        <w:tc>
          <w:tcPr>
            <w:tcW w:w="2465" w:type="dxa"/>
            <w:vMerge w:val="continue"/>
            <w:shd w:val="clear" w:color="auto" w:fill="auto"/>
            <w:vAlign w:val="center"/>
          </w:tcPr>
          <w:p w14:paraId="3E8EE175">
            <w:pPr>
              <w:pStyle w:val="20"/>
              <w:adjustRightInd w:val="0"/>
              <w:snapToGrid w:val="0"/>
              <w:ind w:left="0" w:leftChars="0" w:firstLine="0" w:firstLineChars="0"/>
              <w:jc w:val="center"/>
              <w:rPr>
                <w:rFonts w:hint="eastAsia" w:ascii="宋体" w:hAnsi="宋体" w:cs="宋体"/>
                <w:b/>
                <w:szCs w:val="21"/>
                <w:highlight w:val="none"/>
              </w:rPr>
            </w:pPr>
          </w:p>
        </w:tc>
        <w:tc>
          <w:tcPr>
            <w:tcW w:w="1525" w:type="dxa"/>
            <w:tcBorders>
              <w:top w:val="single" w:color="auto" w:sz="4" w:space="0"/>
            </w:tcBorders>
            <w:shd w:val="clear" w:color="auto" w:fill="auto"/>
            <w:vAlign w:val="center"/>
          </w:tcPr>
          <w:p w14:paraId="0A6C172E">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无门窗洞口</w:t>
            </w:r>
          </w:p>
        </w:tc>
        <w:tc>
          <w:tcPr>
            <w:tcW w:w="3434" w:type="dxa"/>
            <w:tcBorders>
              <w:top w:val="single" w:color="auto" w:sz="4" w:space="0"/>
            </w:tcBorders>
            <w:shd w:val="clear" w:color="auto" w:fill="auto"/>
            <w:vAlign w:val="center"/>
          </w:tcPr>
          <w:p w14:paraId="6FC1F2BC">
            <w:pPr>
              <w:pStyle w:val="20"/>
              <w:adjustRightInd w:val="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有门窗洞口</w:t>
            </w:r>
          </w:p>
        </w:tc>
      </w:tr>
      <w:tr w14:paraId="641A9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1" w:type="dxa"/>
            <w:vMerge w:val="restart"/>
            <w:shd w:val="clear" w:color="auto" w:fill="auto"/>
            <w:vAlign w:val="center"/>
          </w:tcPr>
          <w:p w14:paraId="10D07238">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3.0m</w:t>
            </w:r>
          </w:p>
        </w:tc>
        <w:tc>
          <w:tcPr>
            <w:tcW w:w="2465" w:type="dxa"/>
            <w:shd w:val="clear" w:color="auto" w:fill="auto"/>
            <w:vAlign w:val="center"/>
          </w:tcPr>
          <w:p w14:paraId="27BA9A66">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200厚外墙（3.4kN/m</w:t>
            </w:r>
            <w:r>
              <w:rPr>
                <w:rFonts w:hint="eastAsia" w:ascii="宋体" w:hAnsi="宋体" w:cs="宋体"/>
                <w:bCs/>
                <w:szCs w:val="21"/>
                <w:highlight w:val="none"/>
                <w:vertAlign w:val="superscript"/>
              </w:rPr>
              <w:t>2</w:t>
            </w:r>
            <w:r>
              <w:rPr>
                <w:rFonts w:hint="eastAsia" w:ascii="宋体" w:hAnsi="宋体" w:cs="宋体"/>
                <w:bCs/>
                <w:szCs w:val="21"/>
                <w:highlight w:val="none"/>
              </w:rPr>
              <w:t>）</w:t>
            </w:r>
          </w:p>
        </w:tc>
        <w:tc>
          <w:tcPr>
            <w:tcW w:w="1525" w:type="dxa"/>
            <w:shd w:val="clear" w:color="auto" w:fill="auto"/>
            <w:vAlign w:val="center"/>
          </w:tcPr>
          <w:p w14:paraId="3CC1FC8B">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8.5</w:t>
            </w:r>
          </w:p>
        </w:tc>
        <w:tc>
          <w:tcPr>
            <w:tcW w:w="3434" w:type="dxa"/>
            <w:shd w:val="clear" w:color="auto" w:fill="auto"/>
            <w:vAlign w:val="center"/>
          </w:tcPr>
          <w:p w14:paraId="790230E4">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6.0（0.7倍）或按长度折算</w:t>
            </w:r>
          </w:p>
        </w:tc>
      </w:tr>
      <w:tr w14:paraId="6B77B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1" w:type="dxa"/>
            <w:vMerge w:val="continue"/>
            <w:shd w:val="clear" w:color="auto" w:fill="auto"/>
            <w:vAlign w:val="center"/>
          </w:tcPr>
          <w:p w14:paraId="6B27BA2C">
            <w:pPr>
              <w:pStyle w:val="20"/>
              <w:adjustRightInd w:val="0"/>
              <w:snapToGrid w:val="0"/>
              <w:ind w:left="0" w:leftChars="0" w:firstLine="0" w:firstLineChars="0"/>
              <w:jc w:val="center"/>
              <w:rPr>
                <w:rFonts w:hint="eastAsia" w:ascii="宋体" w:hAnsi="宋体" w:cs="宋体"/>
                <w:bCs/>
                <w:szCs w:val="21"/>
                <w:highlight w:val="none"/>
              </w:rPr>
            </w:pPr>
          </w:p>
        </w:tc>
        <w:tc>
          <w:tcPr>
            <w:tcW w:w="2465" w:type="dxa"/>
            <w:shd w:val="clear" w:color="auto" w:fill="auto"/>
            <w:vAlign w:val="center"/>
          </w:tcPr>
          <w:p w14:paraId="6E1E15BB">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200厚内墙（2.8kN/m</w:t>
            </w:r>
            <w:r>
              <w:rPr>
                <w:rFonts w:hint="eastAsia" w:ascii="宋体" w:hAnsi="宋体" w:cs="宋体"/>
                <w:bCs/>
                <w:szCs w:val="21"/>
                <w:highlight w:val="none"/>
                <w:vertAlign w:val="superscript"/>
              </w:rPr>
              <w:t>2</w:t>
            </w:r>
            <w:r>
              <w:rPr>
                <w:rFonts w:hint="eastAsia" w:ascii="宋体" w:hAnsi="宋体" w:cs="宋体"/>
                <w:bCs/>
                <w:szCs w:val="21"/>
                <w:highlight w:val="none"/>
              </w:rPr>
              <w:t>）</w:t>
            </w:r>
          </w:p>
        </w:tc>
        <w:tc>
          <w:tcPr>
            <w:tcW w:w="1525" w:type="dxa"/>
            <w:shd w:val="clear" w:color="auto" w:fill="auto"/>
            <w:vAlign w:val="center"/>
          </w:tcPr>
          <w:p w14:paraId="13348891">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7</w:t>
            </w:r>
          </w:p>
        </w:tc>
        <w:tc>
          <w:tcPr>
            <w:tcW w:w="3434" w:type="dxa"/>
            <w:shd w:val="clear" w:color="auto" w:fill="auto"/>
            <w:vAlign w:val="center"/>
          </w:tcPr>
          <w:p w14:paraId="6167F03A">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4.9（0.7倍）或按长度折算</w:t>
            </w:r>
          </w:p>
        </w:tc>
      </w:tr>
      <w:tr w14:paraId="25019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1" w:type="dxa"/>
            <w:vMerge w:val="continue"/>
            <w:shd w:val="clear" w:color="auto" w:fill="auto"/>
            <w:vAlign w:val="center"/>
          </w:tcPr>
          <w:p w14:paraId="6B476E72">
            <w:pPr>
              <w:pStyle w:val="20"/>
              <w:adjustRightInd w:val="0"/>
              <w:snapToGrid w:val="0"/>
              <w:ind w:left="0" w:leftChars="0" w:firstLine="0" w:firstLineChars="0"/>
              <w:jc w:val="center"/>
              <w:rPr>
                <w:rFonts w:hint="eastAsia" w:ascii="宋体" w:hAnsi="宋体" w:cs="宋体"/>
                <w:bCs/>
                <w:szCs w:val="21"/>
                <w:highlight w:val="none"/>
              </w:rPr>
            </w:pPr>
          </w:p>
        </w:tc>
        <w:tc>
          <w:tcPr>
            <w:tcW w:w="2465" w:type="dxa"/>
            <w:shd w:val="clear" w:color="auto" w:fill="auto"/>
            <w:vAlign w:val="center"/>
          </w:tcPr>
          <w:p w14:paraId="2E64E900">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100厚墙体（1.8kN/m</w:t>
            </w:r>
            <w:r>
              <w:rPr>
                <w:rFonts w:hint="eastAsia" w:ascii="宋体" w:hAnsi="宋体" w:cs="宋体"/>
                <w:bCs/>
                <w:szCs w:val="21"/>
                <w:highlight w:val="none"/>
                <w:vertAlign w:val="superscript"/>
              </w:rPr>
              <w:t>2</w:t>
            </w:r>
            <w:r>
              <w:rPr>
                <w:rFonts w:hint="eastAsia" w:ascii="宋体" w:hAnsi="宋体" w:cs="宋体"/>
                <w:bCs/>
                <w:szCs w:val="21"/>
                <w:highlight w:val="none"/>
              </w:rPr>
              <w:t>）</w:t>
            </w:r>
          </w:p>
        </w:tc>
        <w:tc>
          <w:tcPr>
            <w:tcW w:w="1525" w:type="dxa"/>
            <w:shd w:val="clear" w:color="auto" w:fill="auto"/>
            <w:vAlign w:val="center"/>
          </w:tcPr>
          <w:p w14:paraId="704B79E4">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4.5</w:t>
            </w:r>
          </w:p>
        </w:tc>
        <w:tc>
          <w:tcPr>
            <w:tcW w:w="3434" w:type="dxa"/>
            <w:shd w:val="clear" w:color="auto" w:fill="auto"/>
            <w:vAlign w:val="center"/>
          </w:tcPr>
          <w:p w14:paraId="1A901851">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3.2（0.7倍）或按长度折算</w:t>
            </w:r>
          </w:p>
        </w:tc>
      </w:tr>
      <w:tr w14:paraId="5CBB5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216" w:type="dxa"/>
            <w:gridSpan w:val="2"/>
            <w:shd w:val="clear" w:color="auto" w:fill="auto"/>
            <w:vAlign w:val="center"/>
          </w:tcPr>
          <w:p w14:paraId="4847006B">
            <w:pPr>
              <w:pStyle w:val="20"/>
              <w:adjustRightInd w:val="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备注</w:t>
            </w:r>
          </w:p>
        </w:tc>
        <w:tc>
          <w:tcPr>
            <w:tcW w:w="4959" w:type="dxa"/>
            <w:gridSpan w:val="2"/>
            <w:shd w:val="clear" w:color="auto" w:fill="auto"/>
            <w:vAlign w:val="center"/>
          </w:tcPr>
          <w:p w14:paraId="66E7D6DF">
            <w:pPr>
              <w:pStyle w:val="20"/>
              <w:adjustRightInd w:val="0"/>
              <w:snapToGrid w:val="0"/>
              <w:ind w:left="0" w:leftChars="0" w:firstLine="0" w:firstLineChars="0"/>
              <w:jc w:val="left"/>
              <w:rPr>
                <w:rFonts w:hint="eastAsia" w:ascii="宋体" w:hAnsi="宋体" w:cs="宋体"/>
                <w:bCs/>
                <w:szCs w:val="21"/>
                <w:highlight w:val="none"/>
              </w:rPr>
            </w:pPr>
            <w:r>
              <w:rPr>
                <w:rFonts w:hint="eastAsia" w:ascii="宋体" w:hAnsi="宋体" w:cs="宋体"/>
                <w:bCs/>
                <w:szCs w:val="21"/>
                <w:highlight w:val="none"/>
              </w:rPr>
              <w:t>1.其它层高隔墙荷载可按面荷载×（层高-梁高）自行计算；</w:t>
            </w:r>
          </w:p>
          <w:p w14:paraId="672B0638">
            <w:pPr>
              <w:pStyle w:val="20"/>
              <w:adjustRightInd w:val="0"/>
              <w:snapToGrid w:val="0"/>
              <w:ind w:left="0" w:leftChars="0" w:firstLine="0" w:firstLineChars="0"/>
              <w:jc w:val="left"/>
              <w:rPr>
                <w:rFonts w:hint="eastAsia" w:ascii="宋体" w:hAnsi="宋体" w:cs="宋体"/>
                <w:bCs/>
                <w:szCs w:val="21"/>
                <w:highlight w:val="none"/>
              </w:rPr>
            </w:pPr>
            <w:r>
              <w:rPr>
                <w:rFonts w:hint="eastAsia" w:ascii="宋体" w:hAnsi="宋体" w:cs="宋体"/>
                <w:bCs/>
                <w:szCs w:val="21"/>
                <w:highlight w:val="none"/>
              </w:rPr>
              <w:t>2.层高3.0m梁高按500高</w:t>
            </w:r>
          </w:p>
          <w:p w14:paraId="789A910B">
            <w:pPr>
              <w:pStyle w:val="20"/>
              <w:adjustRightInd w:val="0"/>
              <w:snapToGrid w:val="0"/>
              <w:ind w:left="0" w:leftChars="0" w:firstLine="0" w:firstLineChars="0"/>
              <w:jc w:val="left"/>
              <w:rPr>
                <w:rFonts w:hint="eastAsia" w:ascii="宋体" w:hAnsi="宋体" w:cs="宋体"/>
                <w:bCs/>
                <w:szCs w:val="21"/>
                <w:highlight w:val="none"/>
              </w:rPr>
            </w:pPr>
            <w:r>
              <w:rPr>
                <w:rFonts w:hint="eastAsia" w:ascii="宋体" w:hAnsi="宋体" w:cs="宋体"/>
                <w:bCs/>
                <w:szCs w:val="21"/>
                <w:highlight w:val="none"/>
              </w:rPr>
              <w:t>3.现浇混凝土外墙平均容重取26kN/m</w:t>
            </w:r>
            <w:r>
              <w:rPr>
                <w:rFonts w:hint="eastAsia" w:ascii="宋体" w:hAnsi="宋体" w:cs="宋体"/>
                <w:bCs/>
                <w:szCs w:val="21"/>
                <w:highlight w:val="none"/>
                <w:vertAlign w:val="superscript"/>
              </w:rPr>
              <w:t>3</w:t>
            </w:r>
          </w:p>
        </w:tc>
      </w:tr>
    </w:tbl>
    <w:p w14:paraId="1A56B323">
      <w:pPr>
        <w:pStyle w:val="24"/>
        <w:widowControl/>
        <w:ind w:firstLine="420"/>
        <w:jc w:val="left"/>
        <w:textAlignment w:val="center"/>
        <w:rPr>
          <w:rFonts w:hint="eastAsia" w:hAnsi="宋体" w:cs="宋体"/>
          <w:sz w:val="21"/>
          <w:szCs w:val="16"/>
          <w:highlight w:val="none"/>
        </w:rPr>
      </w:pPr>
      <w:r>
        <w:rPr>
          <w:rFonts w:hint="eastAsia" w:hAnsi="宋体" w:cs="宋体"/>
          <w:sz w:val="21"/>
          <w:szCs w:val="16"/>
          <w:highlight w:val="none"/>
        </w:rPr>
        <w:t>备注：</w:t>
      </w:r>
    </w:p>
    <w:p w14:paraId="0B22F406">
      <w:pPr>
        <w:pStyle w:val="24"/>
        <w:widowControl/>
        <w:ind w:firstLine="420"/>
        <w:jc w:val="left"/>
        <w:textAlignment w:val="center"/>
        <w:rPr>
          <w:rFonts w:hint="eastAsia" w:hAnsi="宋体" w:cs="宋体"/>
          <w:sz w:val="21"/>
          <w:szCs w:val="16"/>
          <w:highlight w:val="none"/>
        </w:rPr>
      </w:pPr>
      <w:r>
        <w:rPr>
          <w:rFonts w:hint="eastAsia" w:hAnsi="宋体" w:cs="宋体"/>
          <w:sz w:val="21"/>
          <w:szCs w:val="16"/>
          <w:highlight w:val="none"/>
        </w:rPr>
        <w:t>1）结构采用高精度模板的现浇混凝土时，涂料饰面时混凝土容重取25kN/m3，瓷砖饰面时混凝土容重取26kN/m3</w:t>
      </w:r>
    </w:p>
    <w:p w14:paraId="56F84765">
      <w:pPr>
        <w:pStyle w:val="24"/>
        <w:widowControl/>
        <w:ind w:firstLine="420"/>
        <w:jc w:val="left"/>
        <w:textAlignment w:val="center"/>
        <w:rPr>
          <w:rFonts w:hint="eastAsia" w:hAnsi="宋体" w:cs="宋体"/>
          <w:sz w:val="21"/>
          <w:szCs w:val="16"/>
          <w:highlight w:val="none"/>
        </w:rPr>
      </w:pPr>
      <w:r>
        <w:rPr>
          <w:rFonts w:hint="eastAsia" w:hAnsi="宋体" w:cs="宋体"/>
          <w:sz w:val="21"/>
          <w:szCs w:val="16"/>
          <w:highlight w:val="none"/>
        </w:rPr>
        <w:t>2）外、内墙可选用A5.0的ALC砌块或条板（干容重：7.25KN/m3根据《蒸压加气混凝土制品应用技术标准》JGJ/T17-2008第4.0.8条设计容重：1.4x7.25≈10.0kN/m3）。</w:t>
      </w:r>
    </w:p>
    <w:p w14:paraId="0DD7D6E5">
      <w:pPr>
        <w:pStyle w:val="24"/>
        <w:widowControl/>
        <w:ind w:firstLine="420"/>
        <w:jc w:val="left"/>
        <w:textAlignment w:val="center"/>
        <w:rPr>
          <w:rFonts w:hint="eastAsia" w:hAnsi="宋体" w:cs="宋体"/>
          <w:sz w:val="21"/>
          <w:szCs w:val="16"/>
          <w:highlight w:val="none"/>
        </w:rPr>
      </w:pPr>
      <w:r>
        <w:rPr>
          <w:rFonts w:hint="eastAsia" w:hAnsi="宋体" w:cs="宋体"/>
          <w:sz w:val="21"/>
          <w:szCs w:val="16"/>
          <w:highlight w:val="none"/>
        </w:rPr>
        <w:t>3）内隔墙两侧按20mm抹灰考虑时，200厚内隔墙面荷载为2.8kN/m2；</w:t>
      </w:r>
    </w:p>
    <w:p w14:paraId="2C5BC391">
      <w:pPr>
        <w:pStyle w:val="24"/>
        <w:widowControl/>
        <w:ind w:firstLine="420"/>
        <w:jc w:val="left"/>
        <w:textAlignment w:val="center"/>
        <w:rPr>
          <w:rFonts w:hint="eastAsia" w:hAnsi="宋体" w:cs="宋体"/>
          <w:sz w:val="21"/>
          <w:szCs w:val="16"/>
          <w:highlight w:val="none"/>
        </w:rPr>
      </w:pPr>
      <w:r>
        <w:rPr>
          <w:rFonts w:hint="eastAsia" w:hAnsi="宋体" w:cs="宋体"/>
          <w:sz w:val="21"/>
          <w:szCs w:val="16"/>
          <w:highlight w:val="none"/>
        </w:rPr>
        <w:t>4）外隔墙按内侧20mm抹灰、外侧50mm厚石材（平均容重20kN/m3）考虑，200厚外墙面荷载3.4kN/m2；</w:t>
      </w:r>
    </w:p>
    <w:p w14:paraId="576A6A3D">
      <w:pPr>
        <w:pStyle w:val="24"/>
        <w:widowControl/>
        <w:ind w:firstLine="420"/>
        <w:jc w:val="left"/>
        <w:textAlignment w:val="center"/>
        <w:rPr>
          <w:rFonts w:hint="eastAsia" w:hAnsi="宋体" w:cs="宋体"/>
          <w:sz w:val="21"/>
          <w:szCs w:val="16"/>
          <w:highlight w:val="none"/>
        </w:rPr>
      </w:pPr>
      <w:r>
        <w:rPr>
          <w:rFonts w:hint="eastAsia" w:hAnsi="宋体" w:cs="宋体"/>
          <w:sz w:val="21"/>
          <w:szCs w:val="16"/>
          <w:highlight w:val="none"/>
        </w:rPr>
        <w:t>5）100墙两侧按20mm抹灰考虑时,面荷载1.8kN/m2。面荷载乘以高度（层高-梁高）后按线荷载输入。</w:t>
      </w:r>
    </w:p>
    <w:p w14:paraId="287A9AD3">
      <w:pPr>
        <w:pStyle w:val="24"/>
        <w:widowControl/>
        <w:ind w:firstLine="420"/>
        <w:jc w:val="left"/>
        <w:textAlignment w:val="center"/>
        <w:rPr>
          <w:rFonts w:hint="eastAsia" w:hAnsi="宋体" w:cs="宋体"/>
          <w:sz w:val="21"/>
          <w:szCs w:val="16"/>
          <w:highlight w:val="none"/>
        </w:rPr>
      </w:pPr>
      <w:r>
        <w:rPr>
          <w:rFonts w:hint="eastAsia" w:hAnsi="宋体" w:cs="宋体"/>
          <w:sz w:val="21"/>
          <w:szCs w:val="16"/>
          <w:highlight w:val="none"/>
        </w:rPr>
        <w:t>6）外墙有门窗洞口（飘窗除外）的，可按0.7倍折算。</w:t>
      </w:r>
    </w:p>
    <w:p w14:paraId="02926361">
      <w:pPr>
        <w:pStyle w:val="80"/>
        <w:adjustRightInd w:val="0"/>
        <w:snapToGrid w:val="0"/>
        <w:ind w:firstLine="0" w:firstLineChars="0"/>
        <w:rPr>
          <w:rFonts w:hint="eastAsia" w:ascii="宋体" w:hAnsi="宋体" w:cs="宋体"/>
          <w:highlight w:val="none"/>
        </w:rPr>
      </w:pPr>
    </w:p>
    <w:p w14:paraId="44FB21BB">
      <w:pPr>
        <w:pStyle w:val="80"/>
        <w:adjustRightInd w:val="0"/>
        <w:snapToGrid w:val="0"/>
        <w:ind w:firstLine="0" w:firstLineChars="0"/>
        <w:rPr>
          <w:rFonts w:hint="eastAsia" w:ascii="宋体" w:hAnsi="宋体" w:cs="宋体"/>
          <w:highlight w:val="none"/>
        </w:rPr>
      </w:pPr>
    </w:p>
    <w:p w14:paraId="7149E431">
      <w:pPr>
        <w:pStyle w:val="80"/>
        <w:adjustRightInd w:val="0"/>
        <w:snapToGrid w:val="0"/>
        <w:ind w:firstLine="0" w:firstLineChars="0"/>
        <w:rPr>
          <w:rFonts w:hint="eastAsia" w:ascii="宋体" w:hAnsi="宋体" w:cs="宋体"/>
          <w:highlight w:val="none"/>
        </w:rPr>
      </w:pPr>
    </w:p>
    <w:p w14:paraId="3AC413CD">
      <w:pPr>
        <w:ind w:firstLine="48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表2.3.3梁上线荷载取值表</w:t>
      </w:r>
    </w:p>
    <w:tbl>
      <w:tblPr>
        <w:tblStyle w:val="42"/>
        <w:tblW w:w="81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3"/>
        <w:gridCol w:w="1155"/>
        <w:gridCol w:w="5219"/>
      </w:tblGrid>
      <w:tr w14:paraId="25F10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tcBorders>
              <w:top w:val="single" w:color="auto" w:sz="4" w:space="0"/>
            </w:tcBorders>
            <w:shd w:val="clear" w:color="auto" w:fill="auto"/>
            <w:vAlign w:val="center"/>
          </w:tcPr>
          <w:p w14:paraId="0F387DD0">
            <w:pPr>
              <w:pStyle w:val="2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荷载类别</w:t>
            </w:r>
          </w:p>
        </w:tc>
        <w:tc>
          <w:tcPr>
            <w:tcW w:w="1155" w:type="dxa"/>
            <w:tcBorders>
              <w:top w:val="single" w:color="auto" w:sz="4" w:space="0"/>
            </w:tcBorders>
            <w:shd w:val="clear" w:color="auto" w:fill="auto"/>
            <w:vAlign w:val="center"/>
          </w:tcPr>
          <w:p w14:paraId="053F3BFB">
            <w:pPr>
              <w:pStyle w:val="2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线荷载</w:t>
            </w:r>
          </w:p>
          <w:p w14:paraId="65ECAE20">
            <w:pPr>
              <w:pStyle w:val="2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（kN/m）</w:t>
            </w:r>
          </w:p>
        </w:tc>
        <w:tc>
          <w:tcPr>
            <w:tcW w:w="5219" w:type="dxa"/>
            <w:tcBorders>
              <w:top w:val="single" w:color="auto" w:sz="4" w:space="0"/>
            </w:tcBorders>
            <w:shd w:val="clear" w:color="auto" w:fill="auto"/>
            <w:vAlign w:val="center"/>
          </w:tcPr>
          <w:p w14:paraId="43E0E654">
            <w:pPr>
              <w:pStyle w:val="2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备注</w:t>
            </w:r>
          </w:p>
        </w:tc>
      </w:tr>
      <w:tr w14:paraId="39806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2A12B275">
            <w:pPr>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悬挑800mm凸窗</w:t>
            </w:r>
          </w:p>
        </w:tc>
        <w:tc>
          <w:tcPr>
            <w:tcW w:w="1155" w:type="dxa"/>
            <w:shd w:val="clear" w:color="auto" w:fill="auto"/>
            <w:vAlign w:val="center"/>
          </w:tcPr>
          <w:p w14:paraId="2A54EA54">
            <w:pPr>
              <w:pStyle w:val="2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15</w:t>
            </w:r>
          </w:p>
        </w:tc>
        <w:tc>
          <w:tcPr>
            <w:tcW w:w="5219" w:type="dxa"/>
            <w:shd w:val="clear" w:color="auto" w:fill="auto"/>
            <w:vAlign w:val="center"/>
          </w:tcPr>
          <w:p w14:paraId="16AE585B">
            <w:pPr>
              <w:pStyle w:val="20"/>
              <w:snapToGrid w:val="0"/>
              <w:ind w:left="0" w:leftChars="0" w:firstLine="0" w:firstLineChars="0"/>
              <w:jc w:val="left"/>
              <w:rPr>
                <w:rFonts w:hint="eastAsia" w:ascii="宋体" w:hAnsi="宋体" w:cs="宋体"/>
                <w:bCs/>
                <w:szCs w:val="21"/>
                <w:highlight w:val="none"/>
              </w:rPr>
            </w:pPr>
            <w:r>
              <w:rPr>
                <w:rFonts w:hint="eastAsia" w:ascii="宋体" w:hAnsi="宋体" w:cs="宋体"/>
                <w:bCs/>
                <w:szCs w:val="21"/>
                <w:highlight w:val="none"/>
              </w:rPr>
              <w:t>可视窗体情况适当折算。</w:t>
            </w:r>
          </w:p>
        </w:tc>
      </w:tr>
      <w:tr w14:paraId="2B13F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0EACFD44">
            <w:pPr>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玻璃阳台栏杆</w:t>
            </w:r>
          </w:p>
        </w:tc>
        <w:tc>
          <w:tcPr>
            <w:tcW w:w="1155" w:type="dxa"/>
            <w:shd w:val="clear" w:color="auto" w:fill="auto"/>
            <w:vAlign w:val="center"/>
          </w:tcPr>
          <w:p w14:paraId="1D7CD905">
            <w:pPr>
              <w:pStyle w:val="2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3.0</w:t>
            </w:r>
          </w:p>
        </w:tc>
        <w:tc>
          <w:tcPr>
            <w:tcW w:w="5219" w:type="dxa"/>
            <w:shd w:val="clear" w:color="auto" w:fill="auto"/>
            <w:vAlign w:val="center"/>
          </w:tcPr>
          <w:p w14:paraId="599E5AF3">
            <w:pPr>
              <w:pStyle w:val="20"/>
              <w:snapToGrid w:val="0"/>
              <w:ind w:left="0" w:leftChars="0" w:firstLine="0" w:firstLineChars="0"/>
              <w:jc w:val="left"/>
              <w:rPr>
                <w:rFonts w:hint="eastAsia" w:ascii="宋体" w:hAnsi="宋体" w:cs="宋体"/>
                <w:bCs/>
                <w:szCs w:val="21"/>
                <w:highlight w:val="none"/>
              </w:rPr>
            </w:pPr>
            <w:r>
              <w:rPr>
                <w:rFonts w:hint="eastAsia" w:ascii="宋体" w:hAnsi="宋体" w:cs="宋体"/>
                <w:bCs/>
                <w:szCs w:val="21"/>
                <w:highlight w:val="none"/>
              </w:rPr>
              <w:t>混凝土栏杆按实计算</w:t>
            </w:r>
          </w:p>
        </w:tc>
      </w:tr>
      <w:tr w14:paraId="2B6D0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37ECAD89">
            <w:pPr>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推拉门</w:t>
            </w:r>
          </w:p>
        </w:tc>
        <w:tc>
          <w:tcPr>
            <w:tcW w:w="1155" w:type="dxa"/>
            <w:shd w:val="clear" w:color="auto" w:fill="auto"/>
            <w:vAlign w:val="center"/>
          </w:tcPr>
          <w:p w14:paraId="0DCA3F8F">
            <w:pPr>
              <w:pStyle w:val="2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3.0</w:t>
            </w:r>
          </w:p>
        </w:tc>
        <w:tc>
          <w:tcPr>
            <w:tcW w:w="5219" w:type="dxa"/>
            <w:shd w:val="clear" w:color="auto" w:fill="auto"/>
            <w:vAlign w:val="center"/>
          </w:tcPr>
          <w:p w14:paraId="22F4FBCF">
            <w:pPr>
              <w:pStyle w:val="20"/>
              <w:snapToGrid w:val="0"/>
              <w:ind w:left="0" w:leftChars="0" w:firstLine="0" w:firstLineChars="0"/>
              <w:jc w:val="left"/>
              <w:rPr>
                <w:rFonts w:hint="eastAsia" w:ascii="宋体" w:hAnsi="宋体" w:cs="宋体"/>
                <w:bCs/>
                <w:szCs w:val="21"/>
                <w:highlight w:val="none"/>
              </w:rPr>
            </w:pPr>
            <w:r>
              <w:rPr>
                <w:rFonts w:hint="eastAsia" w:ascii="宋体" w:hAnsi="宋体" w:cs="宋体"/>
                <w:bCs/>
                <w:szCs w:val="21"/>
                <w:highlight w:val="none"/>
              </w:rPr>
              <w:t>适用于标准层（3.0m以下层高）。其它楼层按1kN/m</w:t>
            </w:r>
            <w:r>
              <w:rPr>
                <w:rFonts w:hint="eastAsia" w:ascii="宋体" w:hAnsi="宋体" w:cs="宋体"/>
                <w:bCs/>
                <w:szCs w:val="21"/>
                <w:highlight w:val="none"/>
                <w:vertAlign w:val="superscript"/>
              </w:rPr>
              <w:t>2</w:t>
            </w:r>
            <w:r>
              <w:rPr>
                <w:rFonts w:hint="eastAsia" w:ascii="宋体" w:hAnsi="宋体" w:cs="宋体"/>
                <w:bCs/>
                <w:szCs w:val="21"/>
                <w:highlight w:val="none"/>
              </w:rPr>
              <w:t>×层高计算。</w:t>
            </w:r>
          </w:p>
        </w:tc>
      </w:tr>
      <w:tr w14:paraId="52970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112AEE08">
            <w:pPr>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玻璃窗</w:t>
            </w:r>
          </w:p>
        </w:tc>
        <w:tc>
          <w:tcPr>
            <w:tcW w:w="1155" w:type="dxa"/>
            <w:shd w:val="clear" w:color="auto" w:fill="auto"/>
            <w:vAlign w:val="center"/>
          </w:tcPr>
          <w:p w14:paraId="36FA7269">
            <w:pPr>
              <w:pStyle w:val="2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3.0</w:t>
            </w:r>
          </w:p>
        </w:tc>
        <w:tc>
          <w:tcPr>
            <w:tcW w:w="5219" w:type="dxa"/>
            <w:shd w:val="clear" w:color="auto" w:fill="auto"/>
            <w:vAlign w:val="center"/>
          </w:tcPr>
          <w:p w14:paraId="41040740">
            <w:pPr>
              <w:pStyle w:val="20"/>
              <w:snapToGrid w:val="0"/>
              <w:ind w:left="0" w:leftChars="0" w:firstLine="0" w:firstLineChars="0"/>
              <w:jc w:val="left"/>
              <w:rPr>
                <w:rFonts w:hint="eastAsia" w:ascii="宋体" w:hAnsi="宋体" w:cs="宋体"/>
                <w:bCs/>
                <w:szCs w:val="21"/>
                <w:highlight w:val="none"/>
              </w:rPr>
            </w:pPr>
            <w:r>
              <w:rPr>
                <w:rFonts w:hint="eastAsia" w:ascii="宋体" w:hAnsi="宋体" w:cs="宋体"/>
                <w:bCs/>
                <w:szCs w:val="21"/>
                <w:highlight w:val="none"/>
              </w:rPr>
              <w:t>通高窗，适用于标准层（3.0m以下层高）。其它楼层按1kN/m</w:t>
            </w:r>
            <w:r>
              <w:rPr>
                <w:rFonts w:hint="eastAsia" w:ascii="宋体" w:hAnsi="宋体" w:cs="宋体"/>
                <w:bCs/>
                <w:szCs w:val="21"/>
                <w:highlight w:val="none"/>
                <w:vertAlign w:val="superscript"/>
              </w:rPr>
              <w:t>2</w:t>
            </w:r>
            <w:r>
              <w:rPr>
                <w:rFonts w:hint="eastAsia" w:ascii="宋体" w:hAnsi="宋体" w:cs="宋体"/>
                <w:bCs/>
                <w:szCs w:val="21"/>
                <w:highlight w:val="none"/>
              </w:rPr>
              <w:t>×层高计算。</w:t>
            </w:r>
          </w:p>
        </w:tc>
      </w:tr>
      <w:tr w14:paraId="66145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07A7B522">
            <w:pPr>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玻璃幕外墙</w:t>
            </w:r>
          </w:p>
        </w:tc>
        <w:tc>
          <w:tcPr>
            <w:tcW w:w="1155" w:type="dxa"/>
            <w:shd w:val="clear" w:color="auto" w:fill="auto"/>
            <w:vAlign w:val="center"/>
          </w:tcPr>
          <w:p w14:paraId="47DC7F31">
            <w:pPr>
              <w:pStyle w:val="2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4.5</w:t>
            </w:r>
          </w:p>
        </w:tc>
        <w:tc>
          <w:tcPr>
            <w:tcW w:w="5219" w:type="dxa"/>
            <w:shd w:val="clear" w:color="auto" w:fill="auto"/>
            <w:vAlign w:val="center"/>
          </w:tcPr>
          <w:p w14:paraId="71084A39">
            <w:pPr>
              <w:pStyle w:val="20"/>
              <w:snapToGrid w:val="0"/>
              <w:ind w:left="0" w:leftChars="0" w:firstLine="0" w:firstLineChars="0"/>
              <w:jc w:val="left"/>
              <w:rPr>
                <w:rFonts w:hint="eastAsia" w:ascii="宋体" w:hAnsi="宋体" w:cs="宋体"/>
                <w:bCs/>
                <w:szCs w:val="21"/>
                <w:highlight w:val="none"/>
              </w:rPr>
            </w:pPr>
            <w:r>
              <w:rPr>
                <w:rFonts w:hint="eastAsia" w:ascii="宋体" w:hAnsi="宋体" w:cs="宋体"/>
                <w:bCs/>
                <w:szCs w:val="21"/>
                <w:highlight w:val="none"/>
              </w:rPr>
              <w:t>适用于标准层（3.0m以下层高）。其它楼层按1.5kN/m</w:t>
            </w:r>
            <w:r>
              <w:rPr>
                <w:rFonts w:hint="eastAsia" w:ascii="宋体" w:hAnsi="宋体" w:cs="宋体"/>
                <w:bCs/>
                <w:szCs w:val="21"/>
                <w:highlight w:val="none"/>
                <w:vertAlign w:val="superscript"/>
              </w:rPr>
              <w:t>2</w:t>
            </w:r>
            <w:r>
              <w:rPr>
                <w:rFonts w:hint="eastAsia" w:ascii="宋体" w:hAnsi="宋体" w:cs="宋体"/>
                <w:bCs/>
                <w:szCs w:val="21"/>
                <w:highlight w:val="none"/>
              </w:rPr>
              <w:t>×层高计算。</w:t>
            </w:r>
          </w:p>
        </w:tc>
      </w:tr>
      <w:tr w14:paraId="7F78B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793" w:type="dxa"/>
            <w:shd w:val="clear" w:color="auto" w:fill="auto"/>
            <w:vAlign w:val="center"/>
          </w:tcPr>
          <w:p w14:paraId="35FC96EA">
            <w:pPr>
              <w:jc w:val="center"/>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女儿墙</w:t>
            </w:r>
          </w:p>
        </w:tc>
        <w:tc>
          <w:tcPr>
            <w:tcW w:w="1155" w:type="dxa"/>
            <w:shd w:val="clear" w:color="auto" w:fill="auto"/>
            <w:vAlign w:val="center"/>
          </w:tcPr>
          <w:p w14:paraId="3636567E">
            <w:pPr>
              <w:pStyle w:val="2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7.0</w:t>
            </w:r>
          </w:p>
        </w:tc>
        <w:tc>
          <w:tcPr>
            <w:tcW w:w="5219" w:type="dxa"/>
            <w:shd w:val="clear" w:color="auto" w:fill="auto"/>
            <w:vAlign w:val="center"/>
          </w:tcPr>
          <w:p w14:paraId="5DA0DE30">
            <w:pPr>
              <w:pStyle w:val="20"/>
              <w:snapToGrid w:val="0"/>
              <w:ind w:left="0" w:leftChars="0" w:firstLine="0" w:firstLineChars="0"/>
              <w:jc w:val="left"/>
              <w:rPr>
                <w:rFonts w:hint="eastAsia" w:ascii="宋体" w:hAnsi="宋体" w:cs="宋体"/>
                <w:bCs/>
                <w:szCs w:val="21"/>
                <w:highlight w:val="none"/>
              </w:rPr>
            </w:pPr>
            <w:r>
              <w:rPr>
                <w:rFonts w:hint="eastAsia" w:ascii="宋体" w:hAnsi="宋体" w:cs="宋体"/>
                <w:bCs/>
                <w:szCs w:val="21"/>
                <w:highlight w:val="none"/>
              </w:rPr>
              <w:t>适用于高度1.5m以内的150mm混凝土女儿墙。</w:t>
            </w:r>
          </w:p>
        </w:tc>
      </w:tr>
    </w:tbl>
    <w:p w14:paraId="55F90E29">
      <w:pPr>
        <w:pStyle w:val="80"/>
        <w:spacing w:line="360" w:lineRule="auto"/>
        <w:ind w:left="720" w:firstLine="0" w:firstLineChars="0"/>
        <w:jc w:val="center"/>
        <w:rPr>
          <w:rFonts w:hint="eastAsia" w:ascii="宋体" w:hAnsi="宋体" w:cs="宋体"/>
          <w:highlight w:val="none"/>
        </w:rPr>
      </w:pPr>
    </w:p>
    <w:p w14:paraId="4EA11987">
      <w:pPr>
        <w:ind w:firstLine="48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表2.3.4节点荷载取值表</w:t>
      </w:r>
    </w:p>
    <w:tbl>
      <w:tblPr>
        <w:tblStyle w:val="42"/>
        <w:tblW w:w="81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38"/>
        <w:gridCol w:w="2729"/>
        <w:gridCol w:w="2973"/>
      </w:tblGrid>
      <w:tr w14:paraId="5EE3B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38" w:type="dxa"/>
            <w:tcBorders>
              <w:top w:val="single" w:color="auto" w:sz="4" w:space="0"/>
            </w:tcBorders>
            <w:shd w:val="clear" w:color="auto" w:fill="auto"/>
            <w:vAlign w:val="center"/>
          </w:tcPr>
          <w:p w14:paraId="155D39B2">
            <w:pPr>
              <w:pStyle w:val="2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荷载类别</w:t>
            </w:r>
          </w:p>
        </w:tc>
        <w:tc>
          <w:tcPr>
            <w:tcW w:w="2729" w:type="dxa"/>
            <w:tcBorders>
              <w:top w:val="single" w:color="auto" w:sz="4" w:space="0"/>
            </w:tcBorders>
            <w:shd w:val="clear" w:color="auto" w:fill="auto"/>
            <w:vAlign w:val="center"/>
          </w:tcPr>
          <w:p w14:paraId="347B197D">
            <w:pPr>
              <w:pStyle w:val="2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荷载（kN）</w:t>
            </w:r>
          </w:p>
        </w:tc>
        <w:tc>
          <w:tcPr>
            <w:tcW w:w="2973" w:type="dxa"/>
            <w:tcBorders>
              <w:top w:val="single" w:color="auto" w:sz="4" w:space="0"/>
            </w:tcBorders>
            <w:shd w:val="clear" w:color="auto" w:fill="auto"/>
            <w:vAlign w:val="center"/>
          </w:tcPr>
          <w:p w14:paraId="718D903F">
            <w:pPr>
              <w:pStyle w:val="20"/>
              <w:snapToGrid w:val="0"/>
              <w:ind w:left="0" w:leftChars="0" w:firstLine="0" w:firstLineChars="0"/>
              <w:jc w:val="center"/>
              <w:rPr>
                <w:rFonts w:hint="eastAsia" w:ascii="宋体" w:hAnsi="宋体" w:cs="宋体"/>
                <w:b/>
                <w:szCs w:val="21"/>
                <w:highlight w:val="none"/>
              </w:rPr>
            </w:pPr>
            <w:r>
              <w:rPr>
                <w:rFonts w:hint="eastAsia" w:ascii="宋体" w:hAnsi="宋体" w:cs="宋体"/>
                <w:b/>
                <w:szCs w:val="21"/>
                <w:highlight w:val="none"/>
              </w:rPr>
              <w:t>备注</w:t>
            </w:r>
          </w:p>
        </w:tc>
      </w:tr>
      <w:tr w14:paraId="5EB93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38" w:type="dxa"/>
            <w:shd w:val="clear" w:color="auto" w:fill="auto"/>
            <w:vAlign w:val="center"/>
          </w:tcPr>
          <w:p w14:paraId="610EF123">
            <w:pPr>
              <w:jc w:val="center"/>
              <w:rPr>
                <w:rFonts w:hint="eastAsia" w:ascii="宋体" w:hAnsi="宋体" w:eastAsia="宋体" w:cs="宋体"/>
                <w:bCs/>
                <w:color w:val="auto"/>
                <w:highlight w:val="none"/>
              </w:rPr>
            </w:pPr>
            <w:r>
              <w:rPr>
                <w:rFonts w:hint="eastAsia" w:ascii="宋体" w:hAnsi="宋体" w:eastAsia="宋体" w:cs="宋体"/>
                <w:bCs/>
                <w:color w:val="auto"/>
                <w:highlight w:val="none"/>
              </w:rPr>
              <w:t>电梯挂钩荷载</w:t>
            </w:r>
          </w:p>
        </w:tc>
        <w:tc>
          <w:tcPr>
            <w:tcW w:w="2729" w:type="dxa"/>
            <w:shd w:val="clear" w:color="auto" w:fill="auto"/>
            <w:vAlign w:val="center"/>
          </w:tcPr>
          <w:p w14:paraId="1545B85D">
            <w:pPr>
              <w:pStyle w:val="2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30</w:t>
            </w:r>
          </w:p>
        </w:tc>
        <w:tc>
          <w:tcPr>
            <w:tcW w:w="2973" w:type="dxa"/>
            <w:shd w:val="clear" w:color="auto" w:fill="auto"/>
            <w:vAlign w:val="center"/>
          </w:tcPr>
          <w:p w14:paraId="2EBE89CC">
            <w:pPr>
              <w:pStyle w:val="20"/>
              <w:snapToGrid w:val="0"/>
              <w:ind w:left="0" w:leftChars="0" w:firstLine="0" w:firstLineChars="0"/>
              <w:jc w:val="center"/>
              <w:rPr>
                <w:rFonts w:hint="eastAsia" w:ascii="宋体" w:hAnsi="宋体" w:cs="宋体"/>
                <w:bCs/>
                <w:szCs w:val="21"/>
                <w:highlight w:val="none"/>
              </w:rPr>
            </w:pPr>
          </w:p>
        </w:tc>
      </w:tr>
      <w:tr w14:paraId="2E421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38" w:type="dxa"/>
            <w:shd w:val="clear" w:color="auto" w:fill="auto"/>
            <w:vAlign w:val="center"/>
          </w:tcPr>
          <w:p w14:paraId="01BD0A46">
            <w:pPr>
              <w:jc w:val="center"/>
              <w:rPr>
                <w:rFonts w:hint="eastAsia" w:ascii="宋体" w:hAnsi="宋体" w:eastAsia="宋体" w:cs="宋体"/>
                <w:bCs/>
                <w:color w:val="auto"/>
                <w:highlight w:val="none"/>
              </w:rPr>
            </w:pPr>
            <w:r>
              <w:rPr>
                <w:rFonts w:hint="eastAsia" w:ascii="宋体" w:hAnsi="宋体" w:eastAsia="宋体" w:cs="宋体"/>
                <w:bCs/>
                <w:color w:val="auto"/>
                <w:highlight w:val="none"/>
              </w:rPr>
              <w:t>扶梯荷载</w:t>
            </w:r>
          </w:p>
        </w:tc>
        <w:tc>
          <w:tcPr>
            <w:tcW w:w="2729" w:type="dxa"/>
            <w:shd w:val="clear" w:color="auto" w:fill="auto"/>
            <w:vAlign w:val="center"/>
          </w:tcPr>
          <w:p w14:paraId="4C3FC33F">
            <w:pPr>
              <w:pStyle w:val="20"/>
              <w:snapToGrid w:val="0"/>
              <w:ind w:left="0" w:leftChars="0" w:firstLine="0" w:firstLineChars="0"/>
              <w:jc w:val="center"/>
              <w:rPr>
                <w:rFonts w:hint="eastAsia" w:ascii="宋体" w:hAnsi="宋体" w:cs="宋体"/>
                <w:bCs/>
                <w:szCs w:val="21"/>
                <w:highlight w:val="none"/>
              </w:rPr>
            </w:pPr>
            <w:r>
              <w:rPr>
                <w:rFonts w:hint="eastAsia" w:ascii="宋体" w:hAnsi="宋体" w:cs="宋体"/>
                <w:bCs/>
                <w:szCs w:val="21"/>
                <w:highlight w:val="none"/>
              </w:rPr>
              <w:t>按扶梯长度查表</w:t>
            </w:r>
          </w:p>
        </w:tc>
        <w:tc>
          <w:tcPr>
            <w:tcW w:w="2973" w:type="dxa"/>
            <w:shd w:val="clear" w:color="auto" w:fill="auto"/>
            <w:vAlign w:val="center"/>
          </w:tcPr>
          <w:p w14:paraId="45321AFC">
            <w:pPr>
              <w:pStyle w:val="20"/>
              <w:snapToGrid w:val="0"/>
              <w:ind w:left="0" w:leftChars="0" w:firstLine="0" w:firstLineChars="0"/>
              <w:jc w:val="center"/>
              <w:rPr>
                <w:rFonts w:hint="eastAsia" w:ascii="宋体" w:hAnsi="宋体" w:cs="宋体"/>
                <w:bCs/>
                <w:szCs w:val="21"/>
                <w:highlight w:val="none"/>
              </w:rPr>
            </w:pPr>
          </w:p>
        </w:tc>
      </w:tr>
    </w:tbl>
    <w:p w14:paraId="378E980D">
      <w:pPr>
        <w:pStyle w:val="80"/>
        <w:spacing w:line="360" w:lineRule="auto"/>
        <w:ind w:left="720" w:firstLine="0" w:firstLineChars="0"/>
        <w:rPr>
          <w:rFonts w:hint="eastAsia" w:ascii="宋体" w:hAnsi="宋体" w:cs="宋体"/>
          <w:b/>
          <w:sz w:val="24"/>
          <w:szCs w:val="24"/>
          <w:highlight w:val="none"/>
        </w:rPr>
      </w:pPr>
    </w:p>
    <w:p w14:paraId="746BFE6A">
      <w:pPr>
        <w:pStyle w:val="24"/>
        <w:ind w:firstLine="482"/>
        <w:rPr>
          <w:rFonts w:hint="eastAsia" w:hAnsi="宋体" w:cs="宋体"/>
          <w:b/>
          <w:bCs/>
          <w:highlight w:val="none"/>
        </w:rPr>
      </w:pPr>
      <w:r>
        <w:rPr>
          <w:rFonts w:hint="eastAsia" w:hAnsi="宋体" w:cs="宋体"/>
          <w:b/>
          <w:bCs/>
          <w:highlight w:val="none"/>
        </w:rPr>
        <w:t>2.3.2 混凝土强度</w:t>
      </w:r>
    </w:p>
    <w:p w14:paraId="6E0C2496">
      <w:pPr>
        <w:pStyle w:val="24"/>
        <w:ind w:left="440" w:leftChars="200" w:firstLine="0" w:firstLineChars="0"/>
        <w:rPr>
          <w:rFonts w:hint="eastAsia" w:hAnsi="宋体" w:cs="宋体"/>
          <w:highlight w:val="none"/>
        </w:rPr>
      </w:pPr>
      <w:r>
        <w:rPr>
          <w:rFonts w:hint="eastAsia" w:hAnsi="宋体" w:cs="宋体"/>
          <w:highlight w:val="none"/>
        </w:rPr>
        <w:t>2.3.2.1 塔楼剪力墙宜取C30～C55；塔楼的梁、板采宜用C30；转换构件可取C40。</w:t>
      </w:r>
    </w:p>
    <w:p w14:paraId="62E486E6">
      <w:pPr>
        <w:pStyle w:val="24"/>
        <w:ind w:firstLine="480"/>
        <w:rPr>
          <w:rFonts w:hint="eastAsia" w:hAnsi="宋体" w:cs="宋体"/>
          <w:highlight w:val="none"/>
        </w:rPr>
      </w:pPr>
      <w:r>
        <w:rPr>
          <w:rFonts w:hint="eastAsia" w:hAnsi="宋体" w:cs="宋体"/>
          <w:highlight w:val="none"/>
        </w:rPr>
        <w:t>2.3.2.2 地下室基础、承台、底板、地梁取C35~C40，抗渗等级取P6~P8。地下室顶板位置的梁、板及侧墙取C35，抗渗等级取P6~P8。地下室中间层梁、板可取C30。</w:t>
      </w:r>
    </w:p>
    <w:p w14:paraId="741821DC">
      <w:pPr>
        <w:pStyle w:val="24"/>
        <w:ind w:firstLine="480"/>
        <w:rPr>
          <w:rFonts w:hint="eastAsia" w:hAnsi="宋体" w:cs="宋体"/>
          <w:highlight w:val="none"/>
        </w:rPr>
      </w:pPr>
      <w:r>
        <w:rPr>
          <w:rFonts w:hint="eastAsia" w:hAnsi="宋体" w:cs="宋体"/>
          <w:highlight w:val="none"/>
        </w:rPr>
        <w:t>2.3.2.3 纯地下柱子、人防墙取C30~C50。</w:t>
      </w:r>
    </w:p>
    <w:p w14:paraId="5CD7DBDF">
      <w:pPr>
        <w:pStyle w:val="24"/>
        <w:ind w:firstLine="480"/>
        <w:rPr>
          <w:rFonts w:hint="eastAsia" w:hAnsi="宋体" w:cs="宋体"/>
          <w:highlight w:val="none"/>
        </w:rPr>
      </w:pPr>
      <w:r>
        <w:rPr>
          <w:rFonts w:hint="eastAsia" w:hAnsi="宋体" w:cs="宋体"/>
          <w:highlight w:val="none"/>
        </w:rPr>
        <w:t>2.3.2.4 灌注桩的承载力由桩身强度控制时取C40；上部荷载较小时取C30~C35。</w:t>
      </w:r>
    </w:p>
    <w:p w14:paraId="601AEA07">
      <w:pPr>
        <w:pStyle w:val="24"/>
        <w:ind w:firstLine="480"/>
        <w:rPr>
          <w:rFonts w:hint="eastAsia" w:hAnsi="宋体" w:cs="宋体"/>
          <w:highlight w:val="none"/>
        </w:rPr>
      </w:pPr>
      <w:r>
        <w:rPr>
          <w:rFonts w:hint="eastAsia" w:hAnsi="宋体" w:cs="宋体"/>
          <w:highlight w:val="none"/>
        </w:rPr>
        <w:t>2.3.2.5防水混凝土构件的垫层混凝土强度等级为C15，有防腐蚀性要求时采用C20。</w:t>
      </w:r>
    </w:p>
    <w:p w14:paraId="0390FD97">
      <w:pPr>
        <w:pStyle w:val="24"/>
        <w:ind w:firstLine="482"/>
        <w:rPr>
          <w:rFonts w:hint="eastAsia" w:hAnsi="宋体" w:cs="宋体"/>
          <w:b/>
          <w:bCs/>
          <w:highlight w:val="none"/>
        </w:rPr>
      </w:pPr>
      <w:r>
        <w:rPr>
          <w:rFonts w:hint="eastAsia" w:hAnsi="宋体" w:cs="宋体"/>
          <w:b/>
          <w:bCs/>
          <w:highlight w:val="none"/>
        </w:rPr>
        <w:t>2.3.3 钢筋强度</w:t>
      </w:r>
    </w:p>
    <w:p w14:paraId="6C5D44AC">
      <w:pPr>
        <w:pStyle w:val="24"/>
        <w:ind w:firstLine="480"/>
        <w:rPr>
          <w:rFonts w:hint="eastAsia" w:hAnsi="宋体" w:cs="宋体"/>
          <w:highlight w:val="none"/>
        </w:rPr>
      </w:pPr>
      <w:r>
        <w:rPr>
          <w:rFonts w:hint="eastAsia" w:hAnsi="宋体" w:cs="宋体"/>
          <w:highlight w:val="none"/>
        </w:rPr>
        <w:t>2.3.3.1 结构受力钢筋可采用HRB400、HRB500级钢筋。地下室顶板大于12的梁纵筋优先采用HRB500级钢筋，</w:t>
      </w:r>
    </w:p>
    <w:p w14:paraId="51206AE0">
      <w:pPr>
        <w:pStyle w:val="24"/>
        <w:ind w:firstLine="480"/>
        <w:rPr>
          <w:rFonts w:hint="eastAsia" w:hAnsi="宋体" w:cs="宋体"/>
          <w:highlight w:val="none"/>
        </w:rPr>
      </w:pPr>
      <w:r>
        <w:rPr>
          <w:rFonts w:hint="eastAsia" w:hAnsi="宋体" w:cs="宋体"/>
          <w:highlight w:val="none"/>
        </w:rPr>
        <w:t>2.3.3.2 抗震等级为一、二、三、四级的框架梁、柱构件和斜撑（含梯段），其纵向受力钢筋采用带E编号的钢筋。</w:t>
      </w:r>
    </w:p>
    <w:p w14:paraId="63B0FEE5">
      <w:pPr>
        <w:pStyle w:val="24"/>
        <w:ind w:firstLine="480"/>
        <w:rPr>
          <w:rFonts w:hint="eastAsia" w:hAnsi="宋体" w:cs="宋体"/>
          <w:highlight w:val="none"/>
        </w:rPr>
      </w:pPr>
      <w:r>
        <w:rPr>
          <w:rFonts w:hint="eastAsia" w:hAnsi="宋体" w:cs="宋体"/>
          <w:highlight w:val="none"/>
        </w:rPr>
        <w:t>2.3.3.3 装配式吊装吊钩、电梯挂钩采用HRB300级钢筋。</w:t>
      </w:r>
    </w:p>
    <w:p w14:paraId="182F8A22">
      <w:pPr>
        <w:pStyle w:val="24"/>
        <w:ind w:firstLine="482"/>
        <w:rPr>
          <w:rFonts w:hint="eastAsia" w:hAnsi="宋体" w:cs="宋体"/>
          <w:b/>
          <w:bCs/>
          <w:highlight w:val="none"/>
        </w:rPr>
      </w:pPr>
      <w:r>
        <w:rPr>
          <w:rFonts w:hint="eastAsia" w:hAnsi="宋体" w:cs="宋体"/>
          <w:b/>
          <w:bCs/>
          <w:highlight w:val="none"/>
        </w:rPr>
        <w:t>2.3.4 钢材</w:t>
      </w:r>
    </w:p>
    <w:p w14:paraId="72D30640">
      <w:pPr>
        <w:pStyle w:val="24"/>
        <w:numPr>
          <w:ilvl w:val="255"/>
          <w:numId w:val="0"/>
        </w:numPr>
        <w:ind w:firstLine="480" w:firstLineChars="200"/>
        <w:textAlignment w:val="baseline"/>
        <w:rPr>
          <w:rFonts w:hint="eastAsia" w:hAnsi="宋体" w:cs="宋体"/>
          <w:bCs/>
          <w:szCs w:val="24"/>
          <w:highlight w:val="none"/>
        </w:rPr>
      </w:pPr>
      <w:r>
        <w:rPr>
          <w:rFonts w:hint="eastAsia" w:hAnsi="宋体" w:cs="宋体"/>
          <w:highlight w:val="none"/>
        </w:rPr>
        <w:t>钢材强度取Q</w:t>
      </w:r>
      <w:r>
        <w:rPr>
          <w:rFonts w:hint="eastAsia" w:hAnsi="宋体" w:cs="宋体"/>
          <w:bCs/>
          <w:szCs w:val="24"/>
          <w:highlight w:val="none"/>
        </w:rPr>
        <w:t>255B级、Q355B级、Q390B级。</w:t>
      </w:r>
    </w:p>
    <w:p w14:paraId="24A3C587">
      <w:pPr>
        <w:pStyle w:val="24"/>
        <w:ind w:firstLine="482"/>
        <w:rPr>
          <w:rFonts w:hint="eastAsia" w:hAnsi="宋体" w:cs="宋体"/>
          <w:b/>
          <w:bCs/>
          <w:highlight w:val="none"/>
        </w:rPr>
      </w:pPr>
      <w:r>
        <w:rPr>
          <w:rFonts w:hint="eastAsia" w:hAnsi="宋体" w:cs="宋体"/>
          <w:b/>
          <w:bCs/>
          <w:highlight w:val="none"/>
        </w:rPr>
        <w:t>2.3.5 地基与基础</w:t>
      </w:r>
    </w:p>
    <w:p w14:paraId="39DDA4AF">
      <w:pPr>
        <w:pStyle w:val="24"/>
        <w:ind w:firstLine="480"/>
        <w:rPr>
          <w:rFonts w:hint="eastAsia" w:hAnsi="宋体" w:cs="宋体"/>
          <w:highlight w:val="none"/>
        </w:rPr>
      </w:pPr>
      <w:r>
        <w:rPr>
          <w:rFonts w:hint="eastAsia" w:hAnsi="宋体" w:cs="宋体"/>
          <w:highlight w:val="none"/>
        </w:rPr>
        <w:t>2.3.5.1 管桩基础一般宜采用直径500~600的PHC管桩。小型附属建筑可采用直径400的PHC管桩。</w:t>
      </w:r>
    </w:p>
    <w:p w14:paraId="0703A2D9">
      <w:pPr>
        <w:pStyle w:val="24"/>
        <w:ind w:firstLine="480"/>
        <w:rPr>
          <w:rFonts w:hint="eastAsia" w:hAnsi="宋体" w:cs="宋体"/>
          <w:highlight w:val="none"/>
        </w:rPr>
      </w:pPr>
      <w:r>
        <w:rPr>
          <w:rFonts w:hint="eastAsia" w:hAnsi="宋体" w:cs="宋体"/>
          <w:highlight w:val="none"/>
        </w:rPr>
        <w:t>2.3.5.2 岩溶地区采用PHC管桩时，若溶洞顶板上部土层嵌固条件不佳，宜采用AB型管桩，且适当降低桩的承载力。500直径的PHC管桩承载力可取800~1200kN，其它正常情况承载力特征值可取1800~2200kN。</w:t>
      </w:r>
    </w:p>
    <w:p w14:paraId="318B0712">
      <w:pPr>
        <w:pStyle w:val="24"/>
        <w:ind w:firstLine="480"/>
        <w:rPr>
          <w:rFonts w:hint="eastAsia" w:hAnsi="宋体" w:cs="宋体"/>
          <w:highlight w:val="none"/>
        </w:rPr>
      </w:pPr>
      <w:r>
        <w:rPr>
          <w:rFonts w:hint="eastAsia" w:hAnsi="宋体" w:cs="宋体"/>
          <w:highlight w:val="none"/>
        </w:rPr>
        <w:t>2.3.5.3 同一项目的灌注桩的桩径不宜超过3种。</w:t>
      </w:r>
    </w:p>
    <w:p w14:paraId="3D9B05C5">
      <w:pPr>
        <w:pStyle w:val="24"/>
        <w:ind w:firstLine="480"/>
        <w:rPr>
          <w:rFonts w:hint="eastAsia" w:hAnsi="宋体" w:cs="宋体"/>
          <w:highlight w:val="none"/>
        </w:rPr>
      </w:pPr>
      <w:r>
        <w:rPr>
          <w:rFonts w:hint="eastAsia" w:hAnsi="宋体" w:cs="宋体"/>
          <w:highlight w:val="none"/>
        </w:rPr>
        <w:t>2.3.5.4 地下室灌注桩的抗拔桩设计宜采用单柱单桩。</w:t>
      </w:r>
    </w:p>
    <w:p w14:paraId="7F39344C">
      <w:pPr>
        <w:pStyle w:val="24"/>
        <w:ind w:firstLine="480"/>
        <w:rPr>
          <w:rFonts w:hint="eastAsia" w:hAnsi="宋体" w:cs="宋体"/>
          <w:highlight w:val="none"/>
        </w:rPr>
      </w:pPr>
      <w:r>
        <w:rPr>
          <w:rFonts w:hint="eastAsia" w:hAnsi="宋体" w:cs="宋体"/>
          <w:highlight w:val="none"/>
        </w:rPr>
        <w:t>2.3.5.5 复合地基时，宜采用长螺旋杆钻孔成桩，孔径为500~600mm，桩身混凝土强度等级C25，桩顶和筏板基础之间设置200厚的中粗砂褥垫层。</w:t>
      </w:r>
    </w:p>
    <w:p w14:paraId="509850BA">
      <w:pPr>
        <w:pStyle w:val="24"/>
        <w:ind w:firstLine="482"/>
        <w:rPr>
          <w:rFonts w:hint="eastAsia" w:hAnsi="宋体" w:cs="宋体"/>
          <w:b/>
          <w:bCs/>
          <w:highlight w:val="none"/>
        </w:rPr>
      </w:pPr>
      <w:r>
        <w:rPr>
          <w:rFonts w:hint="eastAsia" w:hAnsi="宋体" w:cs="宋体"/>
          <w:b/>
          <w:bCs/>
          <w:highlight w:val="none"/>
        </w:rPr>
        <w:t>2.3.6 地下室结构</w:t>
      </w:r>
    </w:p>
    <w:p w14:paraId="7E5DD8FE">
      <w:pPr>
        <w:pStyle w:val="63"/>
        <w:snapToGrid/>
        <w:spacing w:before="0" w:after="0" w:line="360" w:lineRule="auto"/>
        <w:ind w:firstLine="480"/>
        <w:jc w:val="both"/>
        <w:textAlignment w:val="baseline"/>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2.3.6.1 塔楼范围外的地下室顶板采用主梁和加腋大板结构，底板采用无梁楼盖；两层地下室时负一层非人防区采用单向双次梁的梁板结构，人防区顶板采用无梁楼盖。2.3.6.2 一般情况下地下室的结构构件截面图下表所示，非常规位置依据计算确定。</w:t>
      </w:r>
    </w:p>
    <w:tbl>
      <w:tblPr>
        <w:tblStyle w:val="42"/>
        <w:tblW w:w="697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17"/>
        <w:gridCol w:w="2430"/>
        <w:gridCol w:w="3031"/>
      </w:tblGrid>
      <w:tr w14:paraId="7FCDAC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715A77EA">
            <w:pPr>
              <w:pStyle w:val="63"/>
              <w:ind w:firstLine="0" w:firstLineChars="0"/>
              <w:jc w:val="center"/>
              <w:textAlignment w:val="baseline"/>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位置</w:t>
            </w:r>
          </w:p>
        </w:tc>
        <w:tc>
          <w:tcPr>
            <w:tcW w:w="2430" w:type="dxa"/>
            <w:shd w:val="clear" w:color="auto" w:fill="auto"/>
          </w:tcPr>
          <w:p w14:paraId="36B73EB9">
            <w:pPr>
              <w:pStyle w:val="63"/>
              <w:ind w:firstLine="0" w:firstLineChars="0"/>
              <w:jc w:val="center"/>
              <w:textAlignment w:val="baseline"/>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一层地下室</w:t>
            </w:r>
          </w:p>
        </w:tc>
        <w:tc>
          <w:tcPr>
            <w:tcW w:w="3031" w:type="dxa"/>
            <w:shd w:val="clear" w:color="auto" w:fill="auto"/>
          </w:tcPr>
          <w:p w14:paraId="2EEE1CA5">
            <w:pPr>
              <w:pStyle w:val="63"/>
              <w:ind w:firstLine="0" w:firstLineChars="0"/>
              <w:jc w:val="center"/>
              <w:textAlignment w:val="baseline"/>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二/三层地下室</w:t>
            </w:r>
          </w:p>
        </w:tc>
      </w:tr>
      <w:tr w14:paraId="3DC8E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106BEE0D">
            <w:pPr>
              <w:pStyle w:val="63"/>
              <w:ind w:firstLine="0" w:firstLineChars="0"/>
              <w:jc w:val="center"/>
              <w:textAlignment w:val="baseline"/>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底板厚度</w:t>
            </w:r>
          </w:p>
        </w:tc>
        <w:tc>
          <w:tcPr>
            <w:tcW w:w="2430" w:type="dxa"/>
            <w:shd w:val="clear" w:color="auto" w:fill="auto"/>
          </w:tcPr>
          <w:p w14:paraId="179822A5">
            <w:pPr>
              <w:pStyle w:val="63"/>
              <w:ind w:firstLine="0" w:firstLineChars="0"/>
              <w:jc w:val="center"/>
              <w:textAlignment w:val="baseline"/>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350~400</w:t>
            </w:r>
          </w:p>
        </w:tc>
        <w:tc>
          <w:tcPr>
            <w:tcW w:w="3031" w:type="dxa"/>
            <w:shd w:val="clear" w:color="auto" w:fill="auto"/>
          </w:tcPr>
          <w:p w14:paraId="4275D714">
            <w:pPr>
              <w:pStyle w:val="63"/>
              <w:ind w:firstLine="0" w:firstLineChars="0"/>
              <w:jc w:val="center"/>
              <w:textAlignment w:val="baseline"/>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450~500</w:t>
            </w:r>
          </w:p>
        </w:tc>
      </w:tr>
      <w:tr w14:paraId="59E7FE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5FD99208">
            <w:pPr>
              <w:pStyle w:val="63"/>
              <w:ind w:firstLine="0" w:firstLineChars="0"/>
              <w:jc w:val="center"/>
              <w:textAlignment w:val="baseline"/>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顶板梁截面</w:t>
            </w:r>
          </w:p>
        </w:tc>
        <w:tc>
          <w:tcPr>
            <w:tcW w:w="5461" w:type="dxa"/>
            <w:gridSpan w:val="2"/>
            <w:shd w:val="clear" w:color="auto" w:fill="auto"/>
          </w:tcPr>
          <w:p w14:paraId="38C43312">
            <w:pPr>
              <w:pStyle w:val="63"/>
              <w:ind w:firstLine="0" w:firstLineChars="0"/>
              <w:jc w:val="center"/>
              <w:textAlignment w:val="baseline"/>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非人防区400~500x800；人防区：600x800、600x900</w:t>
            </w:r>
          </w:p>
        </w:tc>
      </w:tr>
      <w:tr w14:paraId="466FBB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340EC683">
            <w:pPr>
              <w:pStyle w:val="63"/>
              <w:ind w:firstLine="0" w:firstLineChars="0"/>
              <w:jc w:val="center"/>
              <w:textAlignment w:val="baseline"/>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顶板板厚</w:t>
            </w:r>
          </w:p>
        </w:tc>
        <w:tc>
          <w:tcPr>
            <w:tcW w:w="5461" w:type="dxa"/>
            <w:gridSpan w:val="2"/>
            <w:shd w:val="clear" w:color="auto" w:fill="auto"/>
          </w:tcPr>
          <w:p w14:paraId="35E251FA">
            <w:pPr>
              <w:pStyle w:val="63"/>
              <w:ind w:firstLine="0" w:firstLineChars="0"/>
              <w:jc w:val="center"/>
              <w:textAlignment w:val="baseline"/>
              <w:rPr>
                <w:rFonts w:hint="eastAsia" w:ascii="宋体" w:hAnsi="宋体" w:eastAsia="宋体" w:cs="宋体"/>
                <w:bCs/>
                <w:color w:val="auto"/>
                <w:sz w:val="21"/>
                <w:szCs w:val="21"/>
                <w:highlight w:val="none"/>
              </w:rPr>
            </w:pPr>
            <w:r>
              <w:rPr>
                <w:rStyle w:val="81"/>
                <w:rFonts w:hint="eastAsia" w:ascii="宋体" w:hAnsi="宋体" w:cs="宋体"/>
                <w:color w:val="auto"/>
                <w:sz w:val="21"/>
                <w:szCs w:val="21"/>
                <w:highlight w:val="none"/>
              </w:rPr>
              <w:t>人防区：350；非人防区：250</w:t>
            </w:r>
          </w:p>
        </w:tc>
      </w:tr>
      <w:tr w14:paraId="50B051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476A1277">
            <w:pPr>
              <w:pStyle w:val="63"/>
              <w:ind w:firstLine="0" w:firstLineChars="0"/>
              <w:jc w:val="center"/>
              <w:textAlignment w:val="baseline"/>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塔楼区域板厚</w:t>
            </w:r>
          </w:p>
        </w:tc>
        <w:tc>
          <w:tcPr>
            <w:tcW w:w="5461" w:type="dxa"/>
            <w:gridSpan w:val="2"/>
            <w:shd w:val="clear" w:color="auto" w:fill="auto"/>
          </w:tcPr>
          <w:p w14:paraId="4B532B48">
            <w:pPr>
              <w:pStyle w:val="63"/>
              <w:ind w:firstLine="0" w:firstLineChars="0"/>
              <w:jc w:val="center"/>
              <w:textAlignment w:val="baseline"/>
              <w:rPr>
                <w:rStyle w:val="81"/>
                <w:rFonts w:hint="eastAsia" w:ascii="宋体" w:hAnsi="宋体" w:cs="宋体"/>
                <w:color w:val="auto"/>
                <w:sz w:val="21"/>
                <w:szCs w:val="21"/>
                <w:highlight w:val="none"/>
              </w:rPr>
            </w:pPr>
            <w:r>
              <w:rPr>
                <w:rStyle w:val="81"/>
                <w:rFonts w:hint="eastAsia" w:ascii="宋体" w:hAnsi="宋体" w:cs="宋体"/>
                <w:color w:val="auto"/>
                <w:sz w:val="21"/>
                <w:szCs w:val="21"/>
                <w:highlight w:val="none"/>
              </w:rPr>
              <w:t>顶板180（160）；中间层120；人防在负二</w:t>
            </w:r>
            <w:r>
              <w:rPr>
                <w:rFonts w:hint="eastAsia" w:ascii="宋体" w:hAnsi="宋体" w:eastAsia="宋体" w:cs="宋体"/>
                <w:b/>
                <w:color w:val="auto"/>
                <w:sz w:val="21"/>
                <w:szCs w:val="21"/>
                <w:highlight w:val="none"/>
              </w:rPr>
              <w:t>/三</w:t>
            </w:r>
            <w:r>
              <w:rPr>
                <w:rStyle w:val="81"/>
                <w:rFonts w:hint="eastAsia" w:ascii="宋体" w:hAnsi="宋体" w:cs="宋体"/>
                <w:color w:val="auto"/>
                <w:sz w:val="21"/>
                <w:szCs w:val="21"/>
                <w:highlight w:val="none"/>
              </w:rPr>
              <w:t>层时人防区负一层板厚按人防计算需要。</w:t>
            </w:r>
          </w:p>
        </w:tc>
      </w:tr>
      <w:tr w14:paraId="0A0CEB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17208A21">
            <w:pPr>
              <w:pStyle w:val="63"/>
              <w:ind w:firstLine="0" w:firstLineChars="0"/>
              <w:jc w:val="center"/>
              <w:textAlignment w:val="baseline"/>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侧壁厚度</w:t>
            </w:r>
          </w:p>
        </w:tc>
        <w:tc>
          <w:tcPr>
            <w:tcW w:w="2430" w:type="dxa"/>
            <w:shd w:val="clear" w:color="auto" w:fill="auto"/>
          </w:tcPr>
          <w:p w14:paraId="565FC3A4">
            <w:pPr>
              <w:pStyle w:val="63"/>
              <w:ind w:firstLine="0" w:firstLineChars="0"/>
              <w:jc w:val="center"/>
              <w:textAlignment w:val="baseline"/>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300</w:t>
            </w:r>
          </w:p>
        </w:tc>
        <w:tc>
          <w:tcPr>
            <w:tcW w:w="3031" w:type="dxa"/>
            <w:shd w:val="clear" w:color="auto" w:fill="auto"/>
          </w:tcPr>
          <w:p w14:paraId="32E15880">
            <w:pPr>
              <w:pStyle w:val="63"/>
              <w:ind w:firstLine="0" w:firstLineChars="0"/>
              <w:jc w:val="center"/>
              <w:textAlignment w:val="baseline"/>
              <w:rPr>
                <w:rFonts w:hint="eastAsia" w:ascii="宋体" w:hAnsi="宋体" w:eastAsia="宋体" w:cs="宋体"/>
                <w:bCs/>
                <w:color w:val="auto"/>
                <w:sz w:val="21"/>
                <w:szCs w:val="21"/>
                <w:highlight w:val="none"/>
              </w:rPr>
            </w:pPr>
            <w:r>
              <w:rPr>
                <w:rStyle w:val="81"/>
                <w:rFonts w:hint="eastAsia" w:ascii="宋体" w:hAnsi="宋体" w:cs="宋体"/>
                <w:color w:val="auto"/>
                <w:sz w:val="21"/>
                <w:szCs w:val="21"/>
                <w:highlight w:val="none"/>
              </w:rPr>
              <w:t>负一层300；负二</w:t>
            </w:r>
            <w:r>
              <w:rPr>
                <w:rFonts w:hint="eastAsia" w:ascii="宋体" w:hAnsi="宋体" w:eastAsia="宋体" w:cs="宋体"/>
                <w:b/>
                <w:color w:val="auto"/>
                <w:sz w:val="21"/>
                <w:szCs w:val="21"/>
                <w:highlight w:val="none"/>
              </w:rPr>
              <w:t>/三</w:t>
            </w:r>
            <w:r>
              <w:rPr>
                <w:rStyle w:val="81"/>
                <w:rFonts w:hint="eastAsia" w:ascii="宋体" w:hAnsi="宋体" w:cs="宋体"/>
                <w:color w:val="auto"/>
                <w:sz w:val="21"/>
                <w:szCs w:val="21"/>
                <w:highlight w:val="none"/>
              </w:rPr>
              <w:t>层350</w:t>
            </w:r>
          </w:p>
        </w:tc>
      </w:tr>
      <w:tr w14:paraId="5CEEEA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jc w:val="center"/>
        </w:trPr>
        <w:tc>
          <w:tcPr>
            <w:tcW w:w="1517" w:type="dxa"/>
            <w:shd w:val="clear" w:color="auto" w:fill="auto"/>
          </w:tcPr>
          <w:p w14:paraId="2CC21E96">
            <w:pPr>
              <w:pStyle w:val="63"/>
              <w:ind w:firstLine="0" w:firstLineChars="0"/>
              <w:jc w:val="center"/>
              <w:textAlignment w:val="baseline"/>
              <w:rPr>
                <w:rFonts w:hint="eastAsia" w:ascii="宋体" w:hAnsi="宋体" w:eastAsia="宋体" w:cs="宋体"/>
                <w:bCs/>
                <w:color w:val="auto"/>
                <w:sz w:val="21"/>
                <w:szCs w:val="21"/>
                <w:highlight w:val="none"/>
              </w:rPr>
            </w:pPr>
            <w:r>
              <w:rPr>
                <w:rFonts w:hint="eastAsia" w:ascii="宋体" w:hAnsi="宋体" w:eastAsia="宋体" w:cs="宋体"/>
                <w:bCs/>
                <w:color w:val="auto"/>
                <w:sz w:val="21"/>
                <w:szCs w:val="21"/>
                <w:highlight w:val="none"/>
              </w:rPr>
              <w:t>柱截面</w:t>
            </w:r>
          </w:p>
        </w:tc>
        <w:tc>
          <w:tcPr>
            <w:tcW w:w="2430" w:type="dxa"/>
            <w:shd w:val="clear" w:color="auto" w:fill="auto"/>
          </w:tcPr>
          <w:p w14:paraId="2E1C2008">
            <w:pPr>
              <w:pStyle w:val="63"/>
              <w:ind w:firstLine="0" w:firstLineChars="0"/>
              <w:jc w:val="center"/>
              <w:textAlignment w:val="baseline"/>
              <w:rPr>
                <w:rFonts w:hint="eastAsia" w:ascii="宋体" w:hAnsi="宋体" w:eastAsia="宋体" w:cs="宋体"/>
                <w:bCs/>
                <w:color w:val="auto"/>
                <w:sz w:val="21"/>
                <w:szCs w:val="21"/>
                <w:highlight w:val="none"/>
              </w:rPr>
            </w:pPr>
            <w:r>
              <w:rPr>
                <w:rStyle w:val="81"/>
                <w:rFonts w:hint="eastAsia" w:ascii="宋体" w:hAnsi="宋体" w:cs="宋体"/>
                <w:color w:val="auto"/>
                <w:sz w:val="21"/>
                <w:szCs w:val="21"/>
                <w:highlight w:val="none"/>
              </w:rPr>
              <w:t>500X600、600X600</w:t>
            </w:r>
          </w:p>
        </w:tc>
        <w:tc>
          <w:tcPr>
            <w:tcW w:w="3031" w:type="dxa"/>
            <w:shd w:val="clear" w:color="auto" w:fill="auto"/>
          </w:tcPr>
          <w:p w14:paraId="0805ADF3">
            <w:pPr>
              <w:pStyle w:val="63"/>
              <w:ind w:firstLine="0" w:firstLineChars="0"/>
              <w:jc w:val="center"/>
              <w:textAlignment w:val="baseline"/>
              <w:rPr>
                <w:rFonts w:hint="eastAsia" w:ascii="宋体" w:hAnsi="宋体" w:eastAsia="宋体" w:cs="宋体"/>
                <w:bCs/>
                <w:color w:val="auto"/>
                <w:sz w:val="21"/>
                <w:szCs w:val="21"/>
                <w:highlight w:val="none"/>
              </w:rPr>
            </w:pPr>
            <w:r>
              <w:rPr>
                <w:rStyle w:val="81"/>
                <w:rFonts w:hint="eastAsia" w:ascii="宋体" w:hAnsi="宋体" w:cs="宋体"/>
                <w:color w:val="auto"/>
                <w:sz w:val="21"/>
                <w:szCs w:val="21"/>
                <w:highlight w:val="none"/>
              </w:rPr>
              <w:t>500X600~700、600X600</w:t>
            </w:r>
          </w:p>
        </w:tc>
      </w:tr>
    </w:tbl>
    <w:p w14:paraId="54B9D017">
      <w:pPr>
        <w:pStyle w:val="63"/>
        <w:spacing w:before="78" w:beforeLines="25"/>
        <w:textAlignment w:val="baseline"/>
        <w:rPr>
          <w:rStyle w:val="81"/>
          <w:rFonts w:hint="eastAsia" w:ascii="宋体" w:hAnsi="宋体" w:cs="宋体"/>
          <w:bCs/>
          <w:color w:val="auto"/>
          <w:sz w:val="21"/>
          <w:szCs w:val="21"/>
          <w:highlight w:val="none"/>
        </w:rPr>
      </w:pPr>
      <w:r>
        <w:rPr>
          <w:rStyle w:val="81"/>
          <w:rFonts w:hint="eastAsia" w:ascii="宋体" w:hAnsi="宋体" w:cs="宋体"/>
          <w:bCs/>
          <w:color w:val="auto"/>
          <w:sz w:val="21"/>
          <w:szCs w:val="21"/>
          <w:highlight w:val="none"/>
        </w:rPr>
        <w:t>注：</w:t>
      </w:r>
    </w:p>
    <w:p w14:paraId="7770D692">
      <w:pPr>
        <w:pStyle w:val="63"/>
        <w:spacing w:before="78" w:beforeLines="25"/>
        <w:textAlignment w:val="baseline"/>
        <w:rPr>
          <w:rStyle w:val="81"/>
          <w:rFonts w:hint="eastAsia" w:ascii="宋体" w:hAnsi="宋体" w:cs="宋体"/>
          <w:bCs/>
          <w:color w:val="auto"/>
          <w:sz w:val="21"/>
          <w:szCs w:val="21"/>
          <w:highlight w:val="none"/>
        </w:rPr>
      </w:pPr>
      <w:r>
        <w:rPr>
          <w:rStyle w:val="81"/>
          <w:rFonts w:hint="eastAsia" w:ascii="宋体" w:hAnsi="宋体" w:cs="宋体"/>
          <w:bCs/>
          <w:color w:val="auto"/>
          <w:sz w:val="21"/>
          <w:szCs w:val="21"/>
          <w:highlight w:val="none"/>
        </w:rPr>
        <w:t>1）采用7800~8100柱网计算。</w:t>
      </w:r>
    </w:p>
    <w:p w14:paraId="3EE4A589">
      <w:pPr>
        <w:pStyle w:val="63"/>
        <w:spacing w:before="78" w:beforeLines="25"/>
        <w:textAlignment w:val="baseline"/>
        <w:rPr>
          <w:rStyle w:val="81"/>
          <w:rFonts w:hint="eastAsia" w:ascii="宋体" w:hAnsi="宋体" w:cs="宋体"/>
          <w:bCs/>
          <w:color w:val="auto"/>
          <w:sz w:val="21"/>
          <w:szCs w:val="21"/>
          <w:highlight w:val="none"/>
        </w:rPr>
      </w:pPr>
      <w:r>
        <w:rPr>
          <w:rStyle w:val="81"/>
          <w:rFonts w:hint="eastAsia" w:ascii="宋体" w:hAnsi="宋体" w:cs="宋体"/>
          <w:bCs/>
          <w:color w:val="auto"/>
          <w:sz w:val="21"/>
          <w:szCs w:val="21"/>
          <w:highlight w:val="none"/>
        </w:rPr>
        <w:t>2）括号内为基础嵌固时的尺寸。</w:t>
      </w:r>
    </w:p>
    <w:p w14:paraId="64AF5468">
      <w:pPr>
        <w:pStyle w:val="63"/>
        <w:snapToGrid/>
        <w:spacing w:before="0" w:after="0" w:line="360" w:lineRule="auto"/>
        <w:ind w:firstLine="480"/>
        <w:jc w:val="both"/>
        <w:textAlignment w:val="baseline"/>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2.3.6.3 地下室不设伸缩缝。地下室抗裂设计采用加强楼板、侧壁的配筋及设置后浇带（或加强带）做法，长度过大时，可采用温度沟释放温度应力。</w:t>
      </w:r>
    </w:p>
    <w:p w14:paraId="3545F93E">
      <w:pPr>
        <w:pStyle w:val="63"/>
        <w:snapToGrid/>
        <w:spacing w:before="0" w:after="0" w:line="360" w:lineRule="auto"/>
        <w:ind w:firstLine="480"/>
        <w:jc w:val="both"/>
        <w:textAlignment w:val="baseline"/>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2.3.6.4 采用温度沟通释放温度应力时，应统一采用外凸设置（顶板朝上、底板朝下、侧壁朝外），地下室中间层楼板应分缝。外凸位置不得影响市政管线的安装。</w:t>
      </w:r>
    </w:p>
    <w:p w14:paraId="587782BC">
      <w:pPr>
        <w:pStyle w:val="63"/>
        <w:snapToGrid/>
        <w:spacing w:before="0" w:after="0" w:line="360" w:lineRule="auto"/>
        <w:ind w:firstLine="480"/>
        <w:jc w:val="both"/>
        <w:textAlignment w:val="baseline"/>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2.3.6.5 地下室构件除后浇带外外原则上不采用混凝土膨胀剂。</w:t>
      </w:r>
    </w:p>
    <w:p w14:paraId="7BDF3D83">
      <w:pPr>
        <w:pStyle w:val="63"/>
        <w:snapToGrid/>
        <w:spacing w:before="0" w:after="0" w:line="360" w:lineRule="auto"/>
        <w:ind w:firstLine="480"/>
        <w:jc w:val="both"/>
        <w:textAlignment w:val="baseline"/>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2.3.6.6 地下室顶板室内外高差较大时，应对主梁进行加腋。</w:t>
      </w:r>
    </w:p>
    <w:p w14:paraId="3E47B4EA">
      <w:pPr>
        <w:pStyle w:val="63"/>
        <w:snapToGrid/>
        <w:spacing w:before="0" w:after="0" w:line="360" w:lineRule="auto"/>
        <w:ind w:firstLine="480"/>
        <w:jc w:val="both"/>
        <w:textAlignment w:val="baseline"/>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2.3.6.7 地下室构件的裂缝计算采用常年水位、保护层厚度取30mm。</w:t>
      </w:r>
    </w:p>
    <w:p w14:paraId="5FF44541">
      <w:pPr>
        <w:pStyle w:val="63"/>
        <w:snapToGrid/>
        <w:spacing w:before="0" w:after="0" w:line="360" w:lineRule="auto"/>
        <w:ind w:firstLine="480"/>
        <w:jc w:val="both"/>
        <w:textAlignment w:val="baseline"/>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2.3.6.8 地下室顶板梁底筋不应全部伸入支座；梁面筋采用拉通+架立筋的配筋方式。</w:t>
      </w:r>
    </w:p>
    <w:p w14:paraId="3911BD0F">
      <w:pPr>
        <w:pStyle w:val="63"/>
        <w:snapToGrid/>
        <w:spacing w:before="0" w:after="0" w:line="360" w:lineRule="auto"/>
        <w:ind w:firstLine="480"/>
        <w:jc w:val="both"/>
        <w:textAlignment w:val="baseline"/>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2.3.6.9 地下室外墙应采用分离式配筋，非人防区双侧拉通筋的配筋率取0.3%。</w:t>
      </w:r>
    </w:p>
    <w:p w14:paraId="788EB83F">
      <w:pPr>
        <w:pStyle w:val="63"/>
        <w:snapToGrid/>
        <w:spacing w:before="0" w:after="0" w:line="360" w:lineRule="auto"/>
        <w:ind w:firstLine="480"/>
        <w:jc w:val="both"/>
        <w:textAlignment w:val="baseline"/>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 xml:space="preserve">2.3.6.10 </w:t>
      </w:r>
      <w:r>
        <w:rPr>
          <w:rFonts w:ascii="宋体" w:hAnsi="宋体" w:eastAsia="宋体" w:cs="宋体"/>
          <w:bCs/>
          <w:color w:val="auto"/>
          <w:sz w:val="24"/>
          <w:szCs w:val="24"/>
          <w:highlight w:val="none"/>
        </w:rPr>
        <w:t>(10)</w:t>
      </w:r>
      <w:r>
        <w:rPr>
          <w:rFonts w:ascii="宋体" w:hAnsi="宋体" w:eastAsia="宋体" w:cs="宋体"/>
          <w:bCs/>
          <w:color w:val="auto"/>
          <w:sz w:val="24"/>
          <w:szCs w:val="24"/>
          <w:highlight w:val="none"/>
        </w:rPr>
        <w:tab/>
      </w:r>
      <w:r>
        <w:rPr>
          <w:rFonts w:ascii="宋体" w:hAnsi="宋体" w:eastAsia="宋体" w:cs="宋体"/>
          <w:bCs/>
          <w:color w:val="auto"/>
          <w:sz w:val="24"/>
          <w:szCs w:val="24"/>
          <w:highlight w:val="none"/>
        </w:rPr>
        <w:t>地下室非人防区顶板拉通筋配筋率为0.25%，中间层拉通筋配筋率为0.20%，底板拉通筋配筋率为0.20%；不足处另加钢筋；钢筋间距以10mm取整。人防区按人防规范要求。</w:t>
      </w:r>
    </w:p>
    <w:p w14:paraId="163F33E3">
      <w:pPr>
        <w:pStyle w:val="63"/>
        <w:snapToGrid/>
        <w:spacing w:before="0" w:after="0" w:line="360" w:lineRule="auto"/>
        <w:ind w:firstLine="442"/>
        <w:jc w:val="both"/>
        <w:textAlignment w:val="baseline"/>
        <w:rPr>
          <w:rFonts w:hint="eastAsia" w:ascii="宋体" w:hAnsi="宋体" w:eastAsia="宋体" w:cs="宋体"/>
          <w:b/>
          <w:bCs/>
          <w:color w:val="auto"/>
          <w:highlight w:val="none"/>
        </w:rPr>
      </w:pPr>
      <w:r>
        <w:rPr>
          <w:rFonts w:hint="eastAsia" w:ascii="宋体" w:hAnsi="宋体" w:eastAsia="宋体" w:cs="宋体"/>
          <w:b/>
          <w:bCs/>
          <w:color w:val="auto"/>
          <w:highlight w:val="none"/>
        </w:rPr>
        <w:t>2.3.7 塔楼竖向结构</w:t>
      </w:r>
    </w:p>
    <w:p w14:paraId="11B64DA1">
      <w:pPr>
        <w:pStyle w:val="24"/>
        <w:ind w:firstLine="480"/>
        <w:rPr>
          <w:rFonts w:hint="eastAsia" w:hAnsi="宋体" w:cs="宋体"/>
          <w:highlight w:val="none"/>
        </w:rPr>
      </w:pPr>
      <w:r>
        <w:rPr>
          <w:rFonts w:hint="eastAsia" w:hAnsi="宋体" w:cs="宋体"/>
          <w:highlight w:val="none"/>
        </w:rPr>
        <w:t>2.3.7.1 装配式建筑的外墙应优先采用全剪力墙外墙，可采用双面叠合剪力墙。</w:t>
      </w:r>
    </w:p>
    <w:p w14:paraId="19CCDBE1">
      <w:pPr>
        <w:pStyle w:val="24"/>
        <w:ind w:firstLine="480"/>
        <w:rPr>
          <w:rFonts w:hint="eastAsia" w:hAnsi="宋体" w:cs="宋体"/>
          <w:highlight w:val="none"/>
        </w:rPr>
      </w:pPr>
      <w:r>
        <w:rPr>
          <w:rFonts w:hint="eastAsia" w:hAnsi="宋体" w:cs="宋体"/>
          <w:highlight w:val="none"/>
        </w:rPr>
        <w:t>2.3.7.2 剪力墙尽量布置于卫生间、厨房等无改造需求的位置。</w:t>
      </w:r>
    </w:p>
    <w:p w14:paraId="631BF7AA">
      <w:pPr>
        <w:pStyle w:val="24"/>
        <w:ind w:firstLine="480"/>
        <w:rPr>
          <w:rFonts w:hint="eastAsia" w:hAnsi="宋体" w:cs="宋体"/>
          <w:highlight w:val="none"/>
        </w:rPr>
      </w:pPr>
      <w:r>
        <w:rPr>
          <w:rFonts w:hint="eastAsia" w:hAnsi="宋体" w:cs="宋体"/>
          <w:highlight w:val="none"/>
        </w:rPr>
        <w:t>2.3.7.3 墙柱双向均应有拉结梁（或适当加厚板，设置暗梁），避免仅单向有梁拉结的单向墙柱出现；如无法避免，应对单向墙柱进行平面外的承载力、稳定性复核。</w:t>
      </w:r>
    </w:p>
    <w:p w14:paraId="42F9260D">
      <w:pPr>
        <w:pStyle w:val="24"/>
        <w:ind w:firstLine="480"/>
        <w:rPr>
          <w:rFonts w:hint="eastAsia" w:hAnsi="宋体" w:cs="宋体"/>
          <w:highlight w:val="none"/>
        </w:rPr>
      </w:pPr>
      <w:r>
        <w:rPr>
          <w:rFonts w:hint="eastAsia" w:hAnsi="宋体" w:cs="宋体"/>
          <w:highlight w:val="none"/>
        </w:rPr>
        <w:t>2.3.7.4 剪力墙布置优先采用L型、T型、Z型等形状，尽量避免一字墙。</w:t>
      </w:r>
    </w:p>
    <w:p w14:paraId="6B358CC6">
      <w:pPr>
        <w:pStyle w:val="24"/>
        <w:ind w:firstLine="480"/>
        <w:rPr>
          <w:rFonts w:hint="eastAsia" w:hAnsi="宋体" w:cs="宋体"/>
          <w:highlight w:val="none"/>
        </w:rPr>
      </w:pPr>
      <w:r>
        <w:rPr>
          <w:rFonts w:hint="eastAsia" w:hAnsi="宋体" w:cs="宋体"/>
          <w:highlight w:val="none"/>
        </w:rPr>
        <w:t>2.3.7.5 应严格控制短肢剪力墙的数量，其倾覆力矩占比不得大于总倾覆力矩的30%。</w:t>
      </w:r>
    </w:p>
    <w:p w14:paraId="00666FC9">
      <w:pPr>
        <w:pStyle w:val="24"/>
        <w:ind w:firstLine="482"/>
        <w:rPr>
          <w:rFonts w:hint="eastAsia" w:hAnsi="宋体" w:cs="宋体"/>
          <w:b/>
          <w:bCs/>
          <w:highlight w:val="none"/>
        </w:rPr>
      </w:pPr>
      <w:r>
        <w:rPr>
          <w:rFonts w:hint="eastAsia" w:hAnsi="宋体" w:cs="宋体"/>
          <w:b/>
          <w:bCs/>
          <w:highlight w:val="none"/>
        </w:rPr>
        <w:t>2.3.8 塔楼水平结构</w:t>
      </w:r>
    </w:p>
    <w:p w14:paraId="74DB1C34">
      <w:pPr>
        <w:pStyle w:val="24"/>
        <w:ind w:firstLine="480"/>
        <w:rPr>
          <w:rFonts w:hint="eastAsia" w:hAnsi="宋体" w:cs="宋体"/>
          <w:highlight w:val="none"/>
        </w:rPr>
      </w:pPr>
      <w:r>
        <w:rPr>
          <w:rFonts w:hint="eastAsia" w:hAnsi="宋体" w:cs="宋体"/>
          <w:highlight w:val="none"/>
        </w:rPr>
        <w:t>2.3.8.1 水平楼盖结构可采用大跨度楼盖。</w:t>
      </w:r>
    </w:p>
    <w:p w14:paraId="14D5DAD9">
      <w:pPr>
        <w:pStyle w:val="24"/>
        <w:ind w:firstLine="480"/>
        <w:rPr>
          <w:rFonts w:hint="eastAsia" w:hAnsi="宋体" w:cs="宋体"/>
          <w:highlight w:val="none"/>
        </w:rPr>
      </w:pPr>
      <w:r>
        <w:rPr>
          <w:rFonts w:hint="eastAsia" w:hAnsi="宋体" w:cs="宋体"/>
          <w:highlight w:val="none"/>
        </w:rPr>
        <w:t>2.3.8.2 户内梁不露梁的优先顺序：客厅—餐厅—主卧室—次卧室—内走道—其它空间。</w:t>
      </w:r>
    </w:p>
    <w:p w14:paraId="6B398488">
      <w:pPr>
        <w:pStyle w:val="24"/>
        <w:ind w:firstLine="480"/>
        <w:rPr>
          <w:rFonts w:hint="eastAsia" w:hAnsi="宋体" w:cs="宋体"/>
          <w:highlight w:val="none"/>
        </w:rPr>
      </w:pPr>
      <w:r>
        <w:rPr>
          <w:rFonts w:hint="eastAsia" w:hAnsi="宋体" w:cs="宋体"/>
          <w:highlight w:val="none"/>
        </w:rPr>
        <w:t>2.3.8.3 梁不应穿越客餐一体厅，客厅、餐厅、卧室、书房、大堂顶部等完整空间。</w:t>
      </w:r>
    </w:p>
    <w:p w14:paraId="189E3D1C">
      <w:pPr>
        <w:pStyle w:val="24"/>
        <w:ind w:firstLine="480"/>
        <w:rPr>
          <w:rFonts w:hint="eastAsia" w:hAnsi="宋体" w:cs="宋体"/>
          <w:highlight w:val="none"/>
        </w:rPr>
      </w:pPr>
      <w:r>
        <w:rPr>
          <w:rFonts w:hint="eastAsia" w:hAnsi="宋体" w:cs="宋体"/>
          <w:highlight w:val="none"/>
        </w:rPr>
        <w:t>2.3.8.4 独立客厅与独立餐厅间的梁，应优先采用暗梁，设置梁时，梁高不得超过400mm。</w:t>
      </w:r>
    </w:p>
    <w:p w14:paraId="099B1DA3">
      <w:pPr>
        <w:pStyle w:val="24"/>
        <w:ind w:firstLine="480"/>
        <w:rPr>
          <w:rFonts w:hint="eastAsia" w:hAnsi="宋体" w:cs="宋体"/>
          <w:highlight w:val="none"/>
        </w:rPr>
      </w:pPr>
      <w:r>
        <w:rPr>
          <w:rFonts w:hint="eastAsia" w:hAnsi="宋体" w:cs="宋体"/>
          <w:highlight w:val="none"/>
        </w:rPr>
        <w:t>2.3.8.5 梁不宜穿越门洞正上方。不宜穿越厨房、厕所，如有穿越梁高不得超过450mm。</w:t>
      </w:r>
    </w:p>
    <w:p w14:paraId="1ECCAE1D">
      <w:pPr>
        <w:pStyle w:val="24"/>
        <w:ind w:firstLine="480"/>
        <w:rPr>
          <w:rFonts w:hint="eastAsia" w:hAnsi="宋体" w:cs="宋体"/>
          <w:highlight w:val="none"/>
        </w:rPr>
      </w:pPr>
      <w:r>
        <w:rPr>
          <w:rFonts w:hint="eastAsia" w:hAnsi="宋体" w:cs="宋体"/>
          <w:highlight w:val="none"/>
        </w:rPr>
        <w:t>2.3.8.6 标准层室内梁高尽量控制在450~500mm；飘窗位置梁高取到窗台顶标高；其它外露的非主受力构件的小梁采用150~200mmx350mm。</w:t>
      </w:r>
    </w:p>
    <w:p w14:paraId="2D405558">
      <w:pPr>
        <w:pStyle w:val="24"/>
        <w:ind w:firstLine="480"/>
        <w:rPr>
          <w:rFonts w:hint="eastAsia" w:hAnsi="宋体" w:cs="宋体"/>
          <w:highlight w:val="none"/>
        </w:rPr>
      </w:pPr>
      <w:r>
        <w:rPr>
          <w:rFonts w:hint="eastAsia" w:hAnsi="宋体" w:cs="宋体"/>
          <w:highlight w:val="none"/>
        </w:rPr>
        <w:t>2.3.8.7户内有墙位置的梁高宜统一。</w:t>
      </w:r>
    </w:p>
    <w:p w14:paraId="1816DD66">
      <w:pPr>
        <w:pStyle w:val="24"/>
        <w:ind w:firstLine="480"/>
        <w:rPr>
          <w:rFonts w:hint="eastAsia" w:hAnsi="宋体" w:cs="宋体"/>
          <w:highlight w:val="none"/>
        </w:rPr>
      </w:pPr>
      <w:r>
        <w:rPr>
          <w:rFonts w:hint="eastAsia" w:hAnsi="宋体" w:cs="宋体"/>
          <w:highlight w:val="none"/>
        </w:rPr>
        <w:t>2.3.8.8 叠合板跨度小于2.8m，不设置小次梁。</w:t>
      </w:r>
    </w:p>
    <w:p w14:paraId="40385005">
      <w:pPr>
        <w:pStyle w:val="24"/>
        <w:ind w:firstLine="480"/>
        <w:rPr>
          <w:rFonts w:hint="eastAsia" w:hAnsi="宋体" w:cs="宋体"/>
          <w:highlight w:val="none"/>
        </w:rPr>
      </w:pPr>
      <w:r>
        <w:rPr>
          <w:rFonts w:hint="eastAsia" w:hAnsi="宋体" w:cs="宋体"/>
          <w:highlight w:val="none"/>
        </w:rPr>
        <w:t>2.3.8.9 住宅建筑不宜设置转角窗。转角窗不能拉斜梁时，楼板厚度不应小于140mm，采用暗梁拉结相应剪力墙。</w:t>
      </w:r>
    </w:p>
    <w:p w14:paraId="4B62B1F9">
      <w:pPr>
        <w:pStyle w:val="24"/>
        <w:ind w:firstLine="480"/>
        <w:rPr>
          <w:rFonts w:hint="eastAsia" w:hAnsi="宋体" w:cs="宋体"/>
          <w:highlight w:val="none"/>
        </w:rPr>
      </w:pPr>
      <w:r>
        <w:rPr>
          <w:rFonts w:hint="eastAsia" w:hAnsi="宋体" w:cs="宋体"/>
          <w:highlight w:val="none"/>
        </w:rPr>
        <w:t>2.3.8.10 核心筒、细腰结构等薄弱位置宜采用现浇楼盖，板厚取150mm；采用叠合板时，应适当加强。一般部位的楼板厚度可参照L/30（单向板）或L/35（双向板）取值。</w:t>
      </w:r>
    </w:p>
    <w:p w14:paraId="2452755A">
      <w:pPr>
        <w:pStyle w:val="24"/>
        <w:ind w:firstLine="482"/>
        <w:rPr>
          <w:rFonts w:hint="eastAsia" w:hAnsi="宋体" w:cs="宋体"/>
          <w:b/>
          <w:bCs/>
          <w:highlight w:val="none"/>
        </w:rPr>
      </w:pPr>
      <w:r>
        <w:rPr>
          <w:rFonts w:hint="eastAsia" w:hAnsi="宋体" w:cs="宋体"/>
          <w:b/>
          <w:bCs/>
          <w:highlight w:val="none"/>
        </w:rPr>
        <w:t>2.3.9 其它构造</w:t>
      </w:r>
    </w:p>
    <w:p w14:paraId="0A6CB3A6">
      <w:pPr>
        <w:pStyle w:val="24"/>
        <w:ind w:firstLine="480"/>
        <w:rPr>
          <w:rFonts w:hint="eastAsia" w:hAnsi="宋体" w:cs="宋体"/>
          <w:highlight w:val="none"/>
        </w:rPr>
      </w:pPr>
      <w:r>
        <w:rPr>
          <w:rFonts w:hint="eastAsia" w:hAnsi="宋体" w:cs="宋体"/>
          <w:highlight w:val="none"/>
        </w:rPr>
        <w:t>2.3.9.1 飘板厚度不大于100mm时按单层配筋，受力筋用8@150，构造筋用6@200。120mm厚及以上按双层配筋，构造筋用8@200，受力筋按计算配置；抗裂钢筋按总说明。</w:t>
      </w:r>
    </w:p>
    <w:p w14:paraId="07349264">
      <w:pPr>
        <w:pStyle w:val="24"/>
        <w:ind w:firstLine="480"/>
        <w:rPr>
          <w:rFonts w:hint="eastAsia" w:hAnsi="宋体" w:cs="宋体"/>
          <w:highlight w:val="none"/>
        </w:rPr>
      </w:pPr>
      <w:r>
        <w:rPr>
          <w:rFonts w:hint="eastAsia" w:hAnsi="宋体" w:cs="宋体"/>
          <w:highlight w:val="none"/>
        </w:rPr>
        <w:t>2.3.9.2 混凝土竖向线条构造柱，竖向纵筋采用8，水平筋采用6@200。若有受力需要时，按计算设置。</w:t>
      </w:r>
    </w:p>
    <w:p w14:paraId="06E0CAD1">
      <w:pPr>
        <w:pStyle w:val="24"/>
        <w:ind w:firstLine="480"/>
        <w:rPr>
          <w:rFonts w:hint="eastAsia" w:hAnsi="宋体" w:cs="宋体"/>
          <w:highlight w:val="none"/>
        </w:rPr>
      </w:pPr>
      <w:r>
        <w:rPr>
          <w:rFonts w:hint="eastAsia" w:hAnsi="宋体" w:cs="宋体"/>
          <w:highlight w:val="none"/>
        </w:rPr>
        <w:t>2.3.9.3 地下室底板下为淤泥且施工换填厚度不足时，底板的垫层厚度可取150mm。</w:t>
      </w:r>
    </w:p>
    <w:p w14:paraId="78D16826">
      <w:pPr>
        <w:pStyle w:val="24"/>
        <w:ind w:firstLine="482"/>
        <w:rPr>
          <w:rFonts w:hint="eastAsia" w:hAnsi="宋体" w:cs="宋体"/>
          <w:b/>
          <w:bCs/>
          <w:highlight w:val="none"/>
        </w:rPr>
      </w:pPr>
      <w:r>
        <w:rPr>
          <w:rFonts w:hint="eastAsia" w:hAnsi="宋体" w:cs="宋体"/>
          <w:b/>
          <w:bCs/>
          <w:highlight w:val="none"/>
        </w:rPr>
        <w:t>2.3.10 叠合板</w:t>
      </w:r>
    </w:p>
    <w:p w14:paraId="14956ACD">
      <w:pPr>
        <w:pStyle w:val="24"/>
        <w:ind w:firstLine="480"/>
        <w:rPr>
          <w:rFonts w:hint="eastAsia" w:hAnsi="宋体" w:cs="宋体"/>
          <w:highlight w:val="none"/>
        </w:rPr>
      </w:pPr>
      <w:bookmarkStart w:id="314" w:name="_Toc87291635"/>
      <w:r>
        <w:rPr>
          <w:rFonts w:hint="eastAsia" w:hAnsi="宋体" w:cs="宋体"/>
          <w:highlight w:val="none"/>
        </w:rPr>
        <w:t>2.3.10.1</w:t>
      </w:r>
      <w:r>
        <w:rPr>
          <w:rFonts w:hAnsi="宋体" w:cs="宋体"/>
          <w:highlight w:val="none"/>
        </w:rPr>
        <w:tab/>
      </w:r>
      <w:r>
        <w:rPr>
          <w:rFonts w:hAnsi="宋体" w:cs="宋体"/>
          <w:highlight w:val="none"/>
        </w:rPr>
        <w:t>卧室、书房等叠合板可采用60mm（预制）+70mm（现浇）做法；客厅位置采用60mm（预制）+80mm（现浇）做法，计算厚度大于140时，按实际取值。屋面层采用60mm（预制）+100mm（现浇）做法。</w:t>
      </w:r>
    </w:p>
    <w:p w14:paraId="432EEAA7">
      <w:pPr>
        <w:pStyle w:val="24"/>
        <w:ind w:firstLine="480"/>
        <w:rPr>
          <w:rFonts w:hint="eastAsia" w:hAnsi="宋体" w:cs="宋体"/>
          <w:highlight w:val="none"/>
        </w:rPr>
      </w:pPr>
      <w:r>
        <w:rPr>
          <w:rFonts w:hint="eastAsia" w:hAnsi="宋体" w:cs="宋体"/>
          <w:highlight w:val="none"/>
        </w:rPr>
        <w:t>2.3.10.2</w:t>
      </w:r>
      <w:r>
        <w:rPr>
          <w:rFonts w:hAnsi="宋体" w:cs="宋体"/>
          <w:highlight w:val="none"/>
        </w:rPr>
        <w:t>拆分后的叠合板宽宜取相同宽度，预制板宽度（含钢筋）不宜超过2.8m，不应超过3m，长度不宜超过6m。</w:t>
      </w:r>
    </w:p>
    <w:p w14:paraId="79ECDAA3">
      <w:pPr>
        <w:pStyle w:val="24"/>
        <w:ind w:firstLine="480"/>
        <w:rPr>
          <w:rFonts w:hint="eastAsia" w:hAnsi="宋体" w:cs="宋体"/>
          <w:highlight w:val="none"/>
        </w:rPr>
      </w:pPr>
      <w:r>
        <w:rPr>
          <w:rFonts w:hint="eastAsia" w:hAnsi="宋体" w:cs="宋体"/>
          <w:highlight w:val="none"/>
        </w:rPr>
        <w:t>2.3.10.3</w:t>
      </w:r>
      <w:r>
        <w:rPr>
          <w:rFonts w:hAnsi="宋体" w:cs="宋体"/>
          <w:highlight w:val="none"/>
        </w:rPr>
        <w:t>采用不出筋叠合板时，现浇层厚度不应小于80mm。</w:t>
      </w:r>
      <w:bookmarkEnd w:id="314"/>
    </w:p>
    <w:p w14:paraId="0E8C947B">
      <w:pPr>
        <w:pStyle w:val="63"/>
        <w:snapToGrid/>
        <w:spacing w:before="0" w:after="0" w:line="360" w:lineRule="auto"/>
        <w:ind w:firstLine="440"/>
        <w:jc w:val="both"/>
        <w:rPr>
          <w:rFonts w:hint="eastAsia" w:hAnsi="宋体" w:cs="宋体"/>
          <w:b/>
          <w:bCs/>
          <w:color w:val="auto"/>
          <w:highlight w:val="none"/>
        </w:rPr>
      </w:pPr>
      <w:r>
        <w:rPr>
          <w:rFonts w:hint="eastAsia" w:hAnsi="宋体" w:cs="宋体"/>
          <w:b/>
          <w:bCs/>
          <w:color w:val="auto"/>
          <w:highlight w:val="none"/>
        </w:rPr>
        <w:t>2.3.11 预制楼梯</w:t>
      </w:r>
    </w:p>
    <w:p w14:paraId="4228F080">
      <w:pPr>
        <w:pStyle w:val="24"/>
        <w:ind w:firstLine="480"/>
        <w:rPr>
          <w:rFonts w:hint="eastAsia" w:hAnsi="宋体" w:cs="宋体"/>
          <w:highlight w:val="none"/>
        </w:rPr>
      </w:pPr>
      <w:r>
        <w:rPr>
          <w:rFonts w:hint="eastAsia" w:hAnsi="宋体" w:cs="宋体"/>
          <w:highlight w:val="none"/>
        </w:rPr>
        <w:t>2.3.11.1 预制楼梯应采用一端固定一端滑动简支或者两端简支的方式与主体结构连接，且应采取有效的构造措施防止梯段滑落。结构计算时可不考虑楼梯构件的影响。</w:t>
      </w:r>
    </w:p>
    <w:p w14:paraId="379F32B8">
      <w:pPr>
        <w:pStyle w:val="24"/>
        <w:ind w:firstLine="480"/>
        <w:rPr>
          <w:rFonts w:hint="eastAsia" w:hAnsi="宋体" w:cs="宋体"/>
          <w:highlight w:val="none"/>
        </w:rPr>
      </w:pPr>
      <w:r>
        <w:rPr>
          <w:rFonts w:hint="eastAsia" w:hAnsi="宋体" w:cs="宋体"/>
          <w:highlight w:val="none"/>
        </w:rPr>
        <w:t>2.3.11.2 预制楼梯旁边如为无侧向支撑的剪力墙，应补充该剪力墙的稳定性分析；梯段中间宜设置与墙体的侧向连接，宜结合外立面设置竖向加劲肋墙。</w:t>
      </w:r>
    </w:p>
    <w:p w14:paraId="71699CF9">
      <w:pPr>
        <w:pStyle w:val="24"/>
        <w:ind w:firstLine="482"/>
        <w:rPr>
          <w:rFonts w:hint="eastAsia" w:hAnsi="宋体" w:cs="宋体"/>
          <w:b/>
          <w:bCs/>
          <w:highlight w:val="none"/>
        </w:rPr>
      </w:pPr>
      <w:r>
        <w:rPr>
          <w:rFonts w:hint="eastAsia" w:hAnsi="宋体" w:cs="宋体"/>
          <w:b/>
          <w:bCs/>
          <w:highlight w:val="none"/>
        </w:rPr>
        <w:t>2.3.12 预制飘窗</w:t>
      </w:r>
    </w:p>
    <w:p w14:paraId="7BB7FE61">
      <w:pPr>
        <w:pStyle w:val="24"/>
        <w:ind w:firstLine="480"/>
        <w:rPr>
          <w:rFonts w:hint="eastAsia" w:hAnsi="宋体" w:cs="宋体"/>
          <w:highlight w:val="none"/>
        </w:rPr>
      </w:pPr>
      <w:r>
        <w:rPr>
          <w:rFonts w:hint="eastAsia" w:hAnsi="宋体" w:cs="宋体"/>
          <w:highlight w:val="none"/>
        </w:rPr>
        <w:t>2.3.12.1 标准化的飘窗宜采用预制构件，非标飘窗可采用高精度模板现浇。</w:t>
      </w:r>
    </w:p>
    <w:p w14:paraId="5CA6CE3E">
      <w:pPr>
        <w:pStyle w:val="24"/>
        <w:ind w:firstLine="480"/>
        <w:rPr>
          <w:rFonts w:hint="eastAsia" w:hAnsi="宋体" w:cs="宋体"/>
          <w:highlight w:val="none"/>
        </w:rPr>
      </w:pPr>
      <w:r>
        <w:rPr>
          <w:rFonts w:hint="eastAsia" w:hAnsi="宋体" w:cs="宋体"/>
          <w:highlight w:val="none"/>
        </w:rPr>
        <w:t>2.3.12.2 预制飘窗可采用内嵌式或外挂式。采用外挂式时两侧肋板锚固于窗边剪力墙或构造柱内，飘窗顶板与底板锚固于现浇梁或反坎内。</w:t>
      </w:r>
    </w:p>
    <w:p w14:paraId="0642F5DF">
      <w:pPr>
        <w:pStyle w:val="24"/>
        <w:ind w:firstLine="480"/>
        <w:rPr>
          <w:rFonts w:hint="eastAsia" w:hAnsi="宋体" w:cs="宋体"/>
          <w:highlight w:val="none"/>
        </w:rPr>
      </w:pPr>
      <w:r>
        <w:rPr>
          <w:rFonts w:hint="eastAsia" w:hAnsi="宋体" w:cs="宋体"/>
          <w:highlight w:val="none"/>
        </w:rPr>
        <w:t>2.3.12.3 预制飘窗宜预埋窗框。</w:t>
      </w:r>
    </w:p>
    <w:p w14:paraId="51DF1B37">
      <w:pPr>
        <w:pStyle w:val="24"/>
        <w:ind w:firstLine="482"/>
        <w:rPr>
          <w:rFonts w:hint="eastAsia" w:hAnsi="宋体" w:cs="宋体"/>
          <w:b/>
          <w:bCs/>
          <w:highlight w:val="none"/>
        </w:rPr>
      </w:pPr>
      <w:r>
        <w:rPr>
          <w:rFonts w:hint="eastAsia" w:hAnsi="宋体" w:cs="宋体"/>
          <w:b/>
          <w:bCs/>
          <w:highlight w:val="none"/>
        </w:rPr>
        <w:t>2.3.13 高精度铝模现浇</w:t>
      </w:r>
    </w:p>
    <w:p w14:paraId="7723F773">
      <w:pPr>
        <w:pStyle w:val="24"/>
        <w:ind w:firstLine="480"/>
        <w:rPr>
          <w:rFonts w:hint="eastAsia" w:hAnsi="宋体" w:cs="宋体"/>
          <w:highlight w:val="none"/>
        </w:rPr>
      </w:pPr>
      <w:r>
        <w:rPr>
          <w:rFonts w:hint="eastAsia" w:hAnsi="宋体" w:cs="宋体"/>
          <w:highlight w:val="none"/>
        </w:rPr>
        <w:t>2.3.13.1 装配式的住宅应采用高精度铝模施工。</w:t>
      </w:r>
    </w:p>
    <w:p w14:paraId="39D8FB40">
      <w:pPr>
        <w:pStyle w:val="24"/>
        <w:ind w:firstLine="480"/>
        <w:rPr>
          <w:rFonts w:hint="eastAsia" w:hAnsi="宋体" w:cs="宋体"/>
          <w:highlight w:val="none"/>
        </w:rPr>
      </w:pPr>
      <w:r>
        <w:rPr>
          <w:rFonts w:hint="eastAsia" w:hAnsi="宋体" w:cs="宋体"/>
          <w:highlight w:val="none"/>
        </w:rPr>
        <w:t>2.3.13.2 模板设计应与预制构件深化密切配合。模板设计应充分考虑构件可能的正公差，避免模板安装困难。</w:t>
      </w:r>
    </w:p>
    <w:p w14:paraId="542BA57C">
      <w:pPr>
        <w:pStyle w:val="7"/>
        <w:spacing w:before="156" w:beforeLines="50"/>
        <w:ind w:firstLine="482" w:firstLineChars="200"/>
        <w:rPr>
          <w:rFonts w:hint="eastAsia" w:ascii="宋体" w:hAnsi="宋体" w:cs="宋体"/>
          <w:szCs w:val="24"/>
          <w:highlight w:val="none"/>
        </w:rPr>
      </w:pPr>
      <w:bookmarkStart w:id="315" w:name="_Toc4824"/>
      <w:bookmarkStart w:id="316" w:name="_Toc3076"/>
      <w:bookmarkStart w:id="317" w:name="_Toc22336"/>
      <w:bookmarkStart w:id="318" w:name="_Toc104581738"/>
      <w:r>
        <w:rPr>
          <w:rFonts w:hint="eastAsia" w:ascii="宋体" w:hAnsi="宋体" w:cs="宋体"/>
          <w:szCs w:val="24"/>
          <w:highlight w:val="none"/>
        </w:rPr>
        <w:t>2.4 其他指标</w:t>
      </w:r>
      <w:bookmarkEnd w:id="315"/>
      <w:bookmarkEnd w:id="316"/>
      <w:bookmarkEnd w:id="317"/>
      <w:bookmarkEnd w:id="318"/>
    </w:p>
    <w:p w14:paraId="29785AB8">
      <w:pPr>
        <w:pStyle w:val="24"/>
        <w:ind w:firstLine="480"/>
        <w:rPr>
          <w:rFonts w:hint="eastAsia" w:hAnsi="宋体" w:cs="宋体"/>
          <w:highlight w:val="none"/>
        </w:rPr>
      </w:pPr>
      <w:r>
        <w:rPr>
          <w:rFonts w:hint="eastAsia" w:hAnsi="宋体" w:cs="宋体"/>
          <w:highlight w:val="none"/>
        </w:rPr>
        <w:t>2.4.1 为满足示范项目、或装配式评级（A、AA、AAA级）需要，装配式设计可采用竖向预制构件，如双皮墙、预制剪力墙、预制钢筋焊接网叠合墙、预制柱、预制空心柱等。</w:t>
      </w:r>
    </w:p>
    <w:p w14:paraId="093D0210">
      <w:pPr>
        <w:pStyle w:val="24"/>
        <w:ind w:firstLine="480"/>
        <w:rPr>
          <w:rFonts w:hint="eastAsia" w:hAnsi="宋体" w:cs="宋体"/>
          <w:highlight w:val="none"/>
        </w:rPr>
      </w:pPr>
      <w:r>
        <w:rPr>
          <w:rFonts w:hint="eastAsia" w:hAnsi="宋体" w:cs="宋体"/>
          <w:highlight w:val="none"/>
        </w:rPr>
        <w:t>2.4.2 装配式大跨度楼板可采用预应力叠合板。</w:t>
      </w:r>
    </w:p>
    <w:p w14:paraId="0484E2A7">
      <w:pPr>
        <w:pStyle w:val="24"/>
        <w:ind w:firstLine="480"/>
        <w:rPr>
          <w:rFonts w:hint="eastAsia" w:hAnsi="宋体" w:cs="宋体"/>
          <w:highlight w:val="none"/>
        </w:rPr>
      </w:pPr>
      <w:r>
        <w:rPr>
          <w:rFonts w:hint="eastAsia" w:hAnsi="宋体" w:cs="宋体"/>
          <w:highlight w:val="none"/>
        </w:rPr>
        <w:t>2.4.3 新技术在经论证充分、安全可靠的前提条件下，有益于技术进步与造价控制时，可选取典型住宅或公共建筑做尝试性应用。</w:t>
      </w:r>
    </w:p>
    <w:p w14:paraId="78F7D50A">
      <w:pPr>
        <w:spacing w:line="440" w:lineRule="exact"/>
        <w:rPr>
          <w:rFonts w:hint="eastAsia" w:ascii="宋体" w:hAnsi="宋体" w:eastAsia="宋体" w:cs="宋体"/>
          <w:color w:val="auto"/>
          <w:highlight w:val="none"/>
        </w:rPr>
      </w:pPr>
    </w:p>
    <w:p w14:paraId="56B4DF8F">
      <w:pPr>
        <w:spacing w:line="440" w:lineRule="exact"/>
        <w:ind w:left="425"/>
        <w:rPr>
          <w:rFonts w:hint="eastAsia" w:ascii="宋体" w:hAnsi="宋体" w:eastAsia="宋体" w:cs="宋体"/>
          <w:color w:val="auto"/>
          <w:highlight w:val="none"/>
        </w:rPr>
      </w:pPr>
    </w:p>
    <w:p w14:paraId="73F165C2">
      <w:pPr>
        <w:rPr>
          <w:rFonts w:hint="eastAsia" w:ascii="宋体" w:hAnsi="宋体" w:eastAsia="宋体" w:cs="宋体"/>
          <w:b/>
          <w:color w:val="auto"/>
          <w:highlight w:val="none"/>
        </w:rPr>
      </w:pPr>
      <w:r>
        <w:rPr>
          <w:rFonts w:hint="eastAsia" w:ascii="宋体" w:hAnsi="宋体" w:eastAsia="宋体" w:cs="宋体"/>
          <w:b/>
          <w:color w:val="auto"/>
          <w:highlight w:val="none"/>
        </w:rPr>
        <w:br w:type="page"/>
      </w:r>
    </w:p>
    <w:p w14:paraId="0ED9CA80">
      <w:pPr>
        <w:pStyle w:val="5"/>
        <w:keepNext w:val="0"/>
        <w:keepLines w:val="0"/>
        <w:snapToGrid/>
        <w:spacing w:before="156" w:beforeLines="50" w:after="0"/>
        <w:rPr>
          <w:rFonts w:hint="eastAsia" w:ascii="宋体" w:hAnsi="宋体" w:eastAsia="宋体" w:cs="宋体"/>
          <w:color w:val="auto"/>
          <w:sz w:val="24"/>
          <w:szCs w:val="28"/>
          <w:highlight w:val="none"/>
        </w:rPr>
      </w:pPr>
      <w:bookmarkStart w:id="319" w:name="_Toc21702"/>
      <w:bookmarkStart w:id="320" w:name="_Toc31646"/>
      <w:bookmarkStart w:id="321" w:name="_Toc104581739"/>
      <w:bookmarkStart w:id="322" w:name="_Toc2095"/>
      <w:bookmarkStart w:id="323" w:name="_Toc9573"/>
      <w:bookmarkStart w:id="324" w:name="_Toc30256"/>
      <w:r>
        <w:rPr>
          <w:rFonts w:hint="eastAsia" w:ascii="宋体" w:hAnsi="宋体" w:eastAsia="宋体" w:cs="宋体"/>
          <w:color w:val="auto"/>
          <w:sz w:val="24"/>
          <w:szCs w:val="28"/>
          <w:highlight w:val="none"/>
        </w:rPr>
        <w:t>3.给水排水设计</w:t>
      </w:r>
      <w:bookmarkEnd w:id="319"/>
      <w:bookmarkEnd w:id="320"/>
      <w:bookmarkEnd w:id="321"/>
      <w:bookmarkEnd w:id="322"/>
      <w:bookmarkEnd w:id="323"/>
      <w:bookmarkEnd w:id="324"/>
      <w:bookmarkStart w:id="325" w:name="_Toc7094"/>
    </w:p>
    <w:bookmarkEnd w:id="325"/>
    <w:p w14:paraId="543A5043">
      <w:pPr>
        <w:pStyle w:val="6"/>
        <w:keepNext w:val="0"/>
        <w:keepLines w:val="0"/>
        <w:snapToGrid/>
        <w:spacing w:before="156" w:beforeLines="50"/>
        <w:ind w:firstLine="482" w:firstLineChars="200"/>
        <w:rPr>
          <w:rFonts w:hint="eastAsia" w:ascii="宋体" w:hAnsi="宋体" w:eastAsia="宋体" w:cs="宋体"/>
          <w:color w:val="auto"/>
          <w:sz w:val="24"/>
          <w:highlight w:val="none"/>
        </w:rPr>
      </w:pPr>
      <w:bookmarkStart w:id="326" w:name="_Toc8544"/>
      <w:r>
        <w:rPr>
          <w:rFonts w:hint="eastAsia" w:ascii="宋体" w:hAnsi="宋体" w:eastAsia="宋体" w:cs="宋体"/>
          <w:color w:val="auto"/>
          <w:sz w:val="24"/>
          <w:highlight w:val="none"/>
        </w:rPr>
        <w:t>3.1设计依据</w:t>
      </w:r>
      <w:bookmarkEnd w:id="326"/>
    </w:p>
    <w:p w14:paraId="5C260A48">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3.1.1 在限额设计的基础上保障安置区规划设计基本住房条件和功能质量，使设计满足安全、卫生、适用、经济等性能要求。</w:t>
      </w:r>
    </w:p>
    <w:p w14:paraId="3A65543B">
      <w:pPr>
        <w:pStyle w:val="90"/>
        <w:ind w:firstLine="480" w:firstLineChars="200"/>
        <w:rPr>
          <w:rFonts w:hint="eastAsia"/>
          <w:color w:val="auto"/>
          <w:sz w:val="24"/>
          <w:szCs w:val="24"/>
          <w:highlight w:val="none"/>
        </w:rPr>
      </w:pPr>
      <w:r>
        <w:rPr>
          <w:rFonts w:hint="eastAsia"/>
          <w:color w:val="auto"/>
          <w:sz w:val="24"/>
          <w:szCs w:val="24"/>
          <w:highlight w:val="none"/>
        </w:rPr>
        <w:t>3.1.2 主要设计规范</w:t>
      </w:r>
    </w:p>
    <w:p w14:paraId="5C5D40BC">
      <w:pPr>
        <w:pStyle w:val="63"/>
        <w:spacing w:line="360" w:lineRule="auto"/>
        <w:ind w:firstLine="480"/>
        <w:rPr>
          <w:rFonts w:hint="eastAsia" w:ascii="宋体" w:hAnsi="宋体" w:eastAsia="宋体" w:cs="宋体"/>
          <w:color w:val="auto"/>
          <w:sz w:val="24"/>
          <w:szCs w:val="24"/>
          <w:highlight w:val="none"/>
        </w:rPr>
      </w:pPr>
      <w:bookmarkStart w:id="327" w:name="_Toc27181"/>
      <w:bookmarkStart w:id="328" w:name="_Toc24533"/>
      <w:bookmarkStart w:id="329" w:name="_Toc26944"/>
      <w:bookmarkStart w:id="330" w:name="_Toc104581741"/>
      <w:r>
        <w:rPr>
          <w:rFonts w:hint="eastAsia" w:ascii="宋体" w:hAnsi="宋体" w:eastAsia="宋体" w:cs="宋体"/>
          <w:color w:val="auto"/>
          <w:sz w:val="24"/>
          <w:szCs w:val="24"/>
          <w:highlight w:val="none"/>
        </w:rPr>
        <w:t>《城市给水工程项目规范》G</w:t>
      </w:r>
      <w:r>
        <w:rPr>
          <w:rFonts w:ascii="宋体" w:hAnsi="宋体" w:eastAsia="宋体" w:cs="宋体"/>
          <w:color w:val="auto"/>
          <w:sz w:val="24"/>
          <w:szCs w:val="24"/>
          <w:highlight w:val="none"/>
        </w:rPr>
        <w:t>B55026-2022</w:t>
      </w:r>
    </w:p>
    <w:p w14:paraId="00895C52">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《室外给水设计标准》GB50013-2018</w:t>
      </w:r>
    </w:p>
    <w:p w14:paraId="30A7581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《室外排水设计标准》GB50014-2021</w:t>
      </w:r>
    </w:p>
    <w:p w14:paraId="1EEBE4FE">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《建筑给水排水设计标准》GB50015-2019</w:t>
      </w:r>
    </w:p>
    <w:p w14:paraId="5ABCB9CE">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《民用建筑节水设计标准》GB50555-2010</w:t>
      </w:r>
    </w:p>
    <w:p w14:paraId="1530E7A5">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《住宅项目规范》GB55038-2025</w:t>
      </w:r>
    </w:p>
    <w:p w14:paraId="103371F9">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《建筑机电工程抗震设计规范》GB50981-2014</w:t>
      </w:r>
    </w:p>
    <w:p w14:paraId="20A80672">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《二次供水工程技术规程》CJJ140-2010</w:t>
      </w:r>
    </w:p>
    <w:p w14:paraId="690C0499">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《建筑给水排水及采暖工程施工质量验收规范》GB50242-2002</w:t>
      </w:r>
    </w:p>
    <w:p w14:paraId="0D1962D6">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《给水排水管道工程施工及验收规范》GB50268-2008</w:t>
      </w:r>
    </w:p>
    <w:p w14:paraId="21F16BE2">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《绿色建筑评价标准》（GB/T 50378-2019）（2024版）</w:t>
      </w:r>
    </w:p>
    <w:p w14:paraId="45C48329">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《建筑给水排水及采暖工程施工质量验收规范》GB50242-2002；</w:t>
      </w:r>
    </w:p>
    <w:p w14:paraId="1EE88F5E">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《给水排水管道工程施工及验收规范》GB50268-2008；</w:t>
      </w:r>
    </w:p>
    <w:p w14:paraId="5AD0C9F6">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《民用建筑设计统一标准》GB50352-2019</w:t>
      </w:r>
    </w:p>
    <w:p w14:paraId="16E0C0C8">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《民用建筑通用规范》GB55031-2022</w:t>
      </w:r>
    </w:p>
    <w:p w14:paraId="47506709">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《建筑通用防火规范》GB55037-2022</w:t>
      </w:r>
    </w:p>
    <w:p w14:paraId="728DAED1">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《消防设施通用规范》GB55036-2022</w:t>
      </w:r>
    </w:p>
    <w:p w14:paraId="40786D01">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《建筑设计防火规范》GB50016-2014（2018年版）</w:t>
      </w:r>
    </w:p>
    <w:p w14:paraId="66FA9A8D">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《消防给水及消火栓系统技术规范》GB50974-2014</w:t>
      </w:r>
    </w:p>
    <w:p w14:paraId="3707EF3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《自动喷水灭火系统设计规范》GB50084-2017</w:t>
      </w:r>
    </w:p>
    <w:p w14:paraId="4671ACB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《汽车库、修车库、停车场设计防火规范》GB50067-2014</w:t>
      </w:r>
    </w:p>
    <w:p w14:paraId="11FC7D45">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《气体灭火系统设计规范》GB50370-2005</w:t>
      </w:r>
    </w:p>
    <w:p w14:paraId="1E5E72C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《人民防空工程设计防火规范》GB50098-2009</w:t>
      </w:r>
    </w:p>
    <w:p w14:paraId="2866AE77">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《泡沫灭火系统技术标准》GB50151-2021</w:t>
      </w:r>
    </w:p>
    <w:p w14:paraId="063FC11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《自动跟踪定位射流灭火系统技术标准》GB51427-2021</w:t>
      </w:r>
    </w:p>
    <w:p w14:paraId="56DFF349">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《建筑与市政工程抗震通用规范》GB55002-2021</w:t>
      </w:r>
    </w:p>
    <w:p w14:paraId="6885267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《建筑灭火器配置设计规范》GB50140-2005</w:t>
      </w:r>
    </w:p>
    <w:p w14:paraId="5722639F">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《电动汽车充电基础设施建设技术规程》DBJ/T15-150-2018</w:t>
      </w:r>
    </w:p>
    <w:p w14:paraId="5D54BF46">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《电动汽车分散充电设施工程技术标准》GBT 51313-2018</w:t>
      </w:r>
    </w:p>
    <w:p w14:paraId="173ACB94">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《广东省绿色建筑设计规范》DBJ/T15-201-2020</w:t>
      </w:r>
    </w:p>
    <w:p w14:paraId="45A0BCDD">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《广东省公共建筑节能设计标准》DBJ15-51-2020</w:t>
      </w:r>
    </w:p>
    <w:p w14:paraId="427A4ACB">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《广东省绿色建筑条例》（广东省第十三届人民代表大会常务委员会公告（第74号））</w:t>
      </w:r>
    </w:p>
    <w:p w14:paraId="689425C9">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《人民防空地下室设计规范》GB50038-2005(2023年版)</w:t>
      </w:r>
    </w:p>
    <w:p w14:paraId="167A7A45">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《广州市用户生活给水系统设计、施工及验收规范》DBJ440100/T175-2013</w:t>
      </w:r>
    </w:p>
    <w:p w14:paraId="73B17245">
      <w:pPr>
        <w:pStyle w:val="63"/>
        <w:spacing w:line="360" w:lineRule="auto"/>
        <w:ind w:firstLine="480" w:firstLineChars="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《广州市暴雨强度公式编制与设计暴雨雨型研究技术报告简本》</w:t>
      </w:r>
    </w:p>
    <w:p w14:paraId="7979ACA9">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《广州市水务局关于进一步明确排水工程建设要求的通知》（穗水规划【2017】79号）</w:t>
      </w:r>
    </w:p>
    <w:p w14:paraId="4BE1C94D">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《广州市水务局关于推广使用预制装配式排水检查井及限制使用砖砌筑排水检查井的通知》（穗水排水〔2018〕16号）</w:t>
      </w:r>
    </w:p>
    <w:p w14:paraId="2FF47D32">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《广州市水务局关于印发广州市生活饮用水品质提升技术指引要点（试行）的通知》（穗水【2021】20号）</w:t>
      </w:r>
    </w:p>
    <w:p w14:paraId="5173A20F">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《广州市水务局关于推广使用预制装配式排水检查井及限制使用砖砌筑排水检查井的通知》（穗水排水〔2018〕16号）</w:t>
      </w:r>
    </w:p>
    <w:p w14:paraId="5C1CEA72">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《广州市河长制办公室关于提高新建污水管网管材标准，打好水污染防治攻坚战的通知》（穗河长办【2020】36号）</w:t>
      </w:r>
    </w:p>
    <w:p w14:paraId="5C5AFED0">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《建筑节能与可再生能源利用通用规范》GB 55015-2021</w:t>
      </w:r>
    </w:p>
    <w:p w14:paraId="29EE64E1">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《建筑给水排水与节水通用规范》GB55020-2021</w:t>
      </w:r>
    </w:p>
    <w:p w14:paraId="39A0D41F">
      <w:pPr>
        <w:pStyle w:val="17"/>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广东省地标《保障性住房建筑规程》DBJT 15-80-2021</w:t>
      </w:r>
    </w:p>
    <w:p w14:paraId="69F66E91">
      <w:pPr>
        <w:pStyle w:val="6"/>
        <w:keepNext w:val="0"/>
        <w:keepLines w:val="0"/>
        <w:snapToGrid/>
        <w:spacing w:before="156" w:beforeLines="50"/>
        <w:ind w:firstLine="482"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3.2关键指标</w:t>
      </w:r>
      <w:bookmarkEnd w:id="327"/>
      <w:bookmarkEnd w:id="328"/>
      <w:bookmarkEnd w:id="329"/>
      <w:bookmarkEnd w:id="330"/>
    </w:p>
    <w:p w14:paraId="2DFCB18E">
      <w:pPr>
        <w:pStyle w:val="24"/>
        <w:ind w:firstLine="480"/>
        <w:rPr>
          <w:rFonts w:hint="eastAsia" w:hAnsi="宋体" w:cs="宋体"/>
          <w:highlight w:val="none"/>
        </w:rPr>
      </w:pPr>
      <w:r>
        <w:rPr>
          <w:rFonts w:hint="eastAsia" w:hAnsi="宋体" w:cs="宋体"/>
          <w:highlight w:val="none"/>
        </w:rPr>
        <w:t>3.2.1地下室顶板覆土厚度</w:t>
      </w:r>
    </w:p>
    <w:p w14:paraId="5234583F">
      <w:pPr>
        <w:pStyle w:val="24"/>
        <w:ind w:firstLine="480"/>
        <w:rPr>
          <w:rFonts w:hint="eastAsia" w:hAnsi="宋体" w:cs="宋体"/>
          <w:szCs w:val="21"/>
          <w:highlight w:val="none"/>
        </w:rPr>
      </w:pPr>
      <w:r>
        <w:rPr>
          <w:rFonts w:hint="eastAsia" w:hAnsi="宋体" w:cs="宋体"/>
          <w:szCs w:val="21"/>
          <w:highlight w:val="none"/>
        </w:rPr>
        <w:t>地下室顶板覆土厚度1.2~1.5m。地块内地上塔楼位置位于地下室外边线区域时取下限值，地上塔楼位置位于地下室中心区域时取上限值。</w:t>
      </w:r>
    </w:p>
    <w:p w14:paraId="3D2A438D">
      <w:pPr>
        <w:pStyle w:val="24"/>
        <w:ind w:firstLine="480"/>
        <w:rPr>
          <w:rFonts w:hint="eastAsia" w:hAnsi="宋体" w:cs="宋体"/>
          <w:highlight w:val="none"/>
        </w:rPr>
      </w:pPr>
      <w:r>
        <w:rPr>
          <w:rFonts w:hint="eastAsia" w:hAnsi="宋体" w:cs="宋体"/>
          <w:highlight w:val="none"/>
        </w:rPr>
        <w:t>3.2.2 生活给水设计</w:t>
      </w:r>
    </w:p>
    <w:p w14:paraId="196E49D2">
      <w:pPr>
        <w:pStyle w:val="24"/>
        <w:ind w:firstLine="480"/>
        <w:rPr>
          <w:rFonts w:hint="eastAsia" w:hAnsi="宋体" w:cs="宋体"/>
          <w:szCs w:val="21"/>
          <w:highlight w:val="none"/>
        </w:rPr>
      </w:pPr>
      <w:r>
        <w:rPr>
          <w:rFonts w:hint="eastAsia" w:hAnsi="宋体" w:cs="宋体"/>
          <w:szCs w:val="21"/>
          <w:highlight w:val="none"/>
        </w:rPr>
        <w:t>3.2.2.1 居民用水定额采用200L/人.d，时变化系数为Kh=2.5~2.0。</w:t>
      </w:r>
    </w:p>
    <w:p w14:paraId="3712CFB6">
      <w:pPr>
        <w:pStyle w:val="24"/>
        <w:ind w:firstLine="480"/>
        <w:rPr>
          <w:rFonts w:hint="eastAsia" w:hAnsi="宋体" w:cs="宋体"/>
          <w:szCs w:val="21"/>
          <w:highlight w:val="none"/>
        </w:rPr>
      </w:pPr>
      <w:r>
        <w:rPr>
          <w:rFonts w:hint="eastAsia" w:hAnsi="宋体" w:cs="宋体"/>
          <w:szCs w:val="21"/>
          <w:highlight w:val="none"/>
        </w:rPr>
        <w:t>3.2.2.2 生活泵房应靠近供水服务对象中心区域，利于系统供水压力平衡，减少配水管道工程量，节约造价。</w:t>
      </w:r>
    </w:p>
    <w:p w14:paraId="67B74B76">
      <w:pPr>
        <w:pStyle w:val="24"/>
        <w:ind w:firstLine="480"/>
        <w:rPr>
          <w:rFonts w:hint="eastAsia" w:hAnsi="宋体" w:cs="宋体"/>
          <w:szCs w:val="21"/>
          <w:highlight w:val="none"/>
        </w:rPr>
      </w:pPr>
      <w:r>
        <w:rPr>
          <w:rFonts w:hint="eastAsia" w:hAnsi="宋体" w:cs="宋体"/>
          <w:szCs w:val="21"/>
          <w:highlight w:val="none"/>
        </w:rPr>
        <w:t>3.2.2.3 生活泵房宜采用模块化产品设备，水箱、全变频泵组成套布置。相似地块供水泵组参数宜统一，方便设备集中采购。</w:t>
      </w:r>
    </w:p>
    <w:p w14:paraId="7DD6DF9B">
      <w:pPr>
        <w:pStyle w:val="24"/>
        <w:ind w:firstLine="480"/>
        <w:rPr>
          <w:rFonts w:hint="eastAsia" w:hAnsi="宋体" w:cs="宋体"/>
          <w:highlight w:val="none"/>
        </w:rPr>
      </w:pPr>
      <w:r>
        <w:rPr>
          <w:rFonts w:hint="eastAsia" w:hAnsi="宋体" w:cs="宋体"/>
          <w:highlight w:val="none"/>
        </w:rPr>
        <w:t>3.2.3 污水、废水和雨水设计</w:t>
      </w:r>
    </w:p>
    <w:p w14:paraId="374D332C">
      <w:pPr>
        <w:pStyle w:val="24"/>
        <w:ind w:firstLine="480"/>
        <w:rPr>
          <w:rFonts w:hint="eastAsia" w:hAnsi="宋体" w:cs="宋体"/>
          <w:highlight w:val="none"/>
        </w:rPr>
      </w:pPr>
      <w:r>
        <w:rPr>
          <w:rFonts w:hint="eastAsia" w:hAnsi="宋体" w:cs="宋体"/>
          <w:highlight w:val="none"/>
        </w:rPr>
        <w:t>3.2.3.1 小区生活排水系统定额采用其相应的生活给水系统用水定额的90%。</w:t>
      </w:r>
    </w:p>
    <w:p w14:paraId="27B0EE2F">
      <w:pPr>
        <w:pStyle w:val="24"/>
        <w:ind w:firstLine="480"/>
        <w:rPr>
          <w:rFonts w:hint="eastAsia" w:hAnsi="宋体" w:cs="宋体"/>
          <w:highlight w:val="none"/>
        </w:rPr>
      </w:pPr>
      <w:r>
        <w:rPr>
          <w:rFonts w:hint="eastAsia" w:hAnsi="宋体" w:cs="宋体"/>
          <w:highlight w:val="none"/>
        </w:rPr>
        <w:t>3.2.3.2 雨水排水设计重现期：建筑屋面10年（屋面雨水排水工程与溢流设施的总排水能力不应小于100年重现期的雨水量），设计降雨历时5min。小区室外场地5年，地下车库露天坡道出入口50年。</w:t>
      </w:r>
    </w:p>
    <w:p w14:paraId="49AE5AB0">
      <w:pPr>
        <w:pStyle w:val="24"/>
        <w:ind w:firstLine="480"/>
        <w:rPr>
          <w:rFonts w:hint="eastAsia" w:hAnsi="宋体" w:cs="宋体"/>
          <w:highlight w:val="none"/>
        </w:rPr>
      </w:pPr>
      <w:r>
        <w:rPr>
          <w:rFonts w:hint="eastAsia" w:hAnsi="宋体" w:cs="宋体"/>
          <w:highlight w:val="none"/>
        </w:rPr>
        <w:t>3.2.3.3 化粪池清掏周期不少于6个月，停留时间不小于12小时。</w:t>
      </w:r>
    </w:p>
    <w:p w14:paraId="40D9F511">
      <w:pPr>
        <w:pStyle w:val="24"/>
        <w:ind w:firstLine="480"/>
        <w:rPr>
          <w:rFonts w:hint="eastAsia" w:hAnsi="宋体" w:cs="宋体"/>
          <w:szCs w:val="21"/>
          <w:highlight w:val="none"/>
        </w:rPr>
      </w:pPr>
      <w:r>
        <w:rPr>
          <w:rFonts w:hint="eastAsia" w:hAnsi="宋体" w:cs="宋体"/>
          <w:szCs w:val="21"/>
          <w:highlight w:val="none"/>
        </w:rPr>
        <w:t>3.2.3.</w:t>
      </w:r>
      <w:r>
        <w:rPr>
          <w:rFonts w:hAnsi="宋体" w:cs="宋体"/>
          <w:szCs w:val="21"/>
          <w:highlight w:val="none"/>
        </w:rPr>
        <w:t>4</w:t>
      </w:r>
      <w:r>
        <w:rPr>
          <w:rFonts w:hint="eastAsia" w:hAnsi="宋体" w:cs="宋体"/>
          <w:szCs w:val="21"/>
          <w:highlight w:val="none"/>
        </w:rPr>
        <w:t xml:space="preserve"> 生活热水用水定额</w:t>
      </w:r>
      <w:r>
        <w:rPr>
          <w:rFonts w:hAnsi="宋体" w:cs="宋体"/>
          <w:szCs w:val="21"/>
          <w:highlight w:val="none"/>
        </w:rPr>
        <w:t>60</w:t>
      </w:r>
      <w:r>
        <w:rPr>
          <w:rFonts w:hint="eastAsia" w:hAnsi="宋体" w:cs="宋体"/>
          <w:szCs w:val="21"/>
          <w:highlight w:val="none"/>
        </w:rPr>
        <w:t>L/人.d，使用时间2</w:t>
      </w:r>
      <w:r>
        <w:rPr>
          <w:rFonts w:hAnsi="宋体" w:cs="宋体"/>
          <w:szCs w:val="21"/>
          <w:highlight w:val="none"/>
        </w:rPr>
        <w:t>4</w:t>
      </w:r>
      <w:r>
        <w:rPr>
          <w:rFonts w:hint="eastAsia" w:hAnsi="宋体" w:cs="宋体"/>
          <w:szCs w:val="21"/>
          <w:highlight w:val="none"/>
        </w:rPr>
        <w:t>h。</w:t>
      </w:r>
    </w:p>
    <w:p w14:paraId="049B72EF">
      <w:pPr>
        <w:pStyle w:val="24"/>
        <w:ind w:firstLine="480"/>
        <w:rPr>
          <w:rFonts w:hint="eastAsia" w:hAnsi="宋体" w:cs="宋体"/>
          <w:highlight w:val="none"/>
        </w:rPr>
      </w:pPr>
      <w:r>
        <w:rPr>
          <w:rFonts w:hint="eastAsia" w:hAnsi="宋体" w:cs="宋体"/>
          <w:highlight w:val="none"/>
        </w:rPr>
        <w:t>3.2.4 消防水设计</w:t>
      </w:r>
    </w:p>
    <w:p w14:paraId="5A94E190">
      <w:pPr>
        <w:pStyle w:val="24"/>
        <w:ind w:firstLine="480"/>
        <w:rPr>
          <w:rFonts w:hint="eastAsia" w:hAnsi="宋体" w:cs="宋体"/>
          <w:highlight w:val="none"/>
        </w:rPr>
      </w:pPr>
      <w:r>
        <w:rPr>
          <w:rFonts w:hint="eastAsia" w:hAnsi="宋体" w:cs="宋体"/>
          <w:highlight w:val="none"/>
        </w:rPr>
        <w:t>3.2.4.1 地下室连通的小区应合用消防水池及消防水泵房。</w:t>
      </w:r>
    </w:p>
    <w:p w14:paraId="1C9E27A2">
      <w:pPr>
        <w:pStyle w:val="24"/>
        <w:ind w:firstLine="480"/>
        <w:rPr>
          <w:rFonts w:hint="eastAsia" w:hAnsi="宋体" w:cs="宋体"/>
          <w:highlight w:val="none"/>
        </w:rPr>
      </w:pPr>
      <w:r>
        <w:rPr>
          <w:rFonts w:hint="eastAsia" w:hAnsi="宋体" w:cs="宋体"/>
          <w:highlight w:val="none"/>
        </w:rPr>
        <w:t>3.2.4.2 合用室内消防系统应征得相应权属单位的认可。幼儿园的室外消火栓系统可考虑用住宅区的室外消火栓系或市政消火栓。</w:t>
      </w:r>
    </w:p>
    <w:p w14:paraId="7A632EEA">
      <w:pPr>
        <w:pStyle w:val="24"/>
        <w:ind w:firstLine="480"/>
        <w:rPr>
          <w:rFonts w:hint="eastAsia" w:hAnsi="宋体" w:cs="宋体"/>
          <w:highlight w:val="none"/>
        </w:rPr>
      </w:pPr>
      <w:r>
        <w:rPr>
          <w:rFonts w:hint="eastAsia" w:hAnsi="宋体" w:cs="宋体"/>
          <w:highlight w:val="none"/>
        </w:rPr>
        <w:t>3.2.4.3 地下室充电桩车库采用泡沫-水喷淋系统，设计流量应经水力计算求得，参考取值为80L/s，比例式混合器前供水干管管径宜取DN150，泡沫液管宜取DN50。喷淋平面布置时，喷头应按照中危险Ⅱ级执行，喷头长边间距尽量控制在3.4~3.6m范围，并保证每台车位上至少有一个喷头。</w:t>
      </w:r>
    </w:p>
    <w:p w14:paraId="4A0BC8A2">
      <w:pPr>
        <w:pStyle w:val="24"/>
        <w:ind w:firstLine="480"/>
        <w:rPr>
          <w:rFonts w:hint="eastAsia" w:hAnsi="宋体" w:cs="宋体"/>
          <w:highlight w:val="none"/>
        </w:rPr>
      </w:pPr>
      <w:r>
        <w:rPr>
          <w:rFonts w:hint="eastAsia" w:hAnsi="宋体" w:cs="宋体"/>
          <w:highlight w:val="none"/>
        </w:rPr>
        <w:t>3.2.5 住宅卫生间沉箱高度设计</w:t>
      </w:r>
    </w:p>
    <w:p w14:paraId="411CD1FB">
      <w:pPr>
        <w:pStyle w:val="24"/>
        <w:ind w:firstLine="480"/>
        <w:rPr>
          <w:rFonts w:hint="eastAsia" w:hAnsi="宋体" w:cs="宋体"/>
          <w:highlight w:val="none"/>
        </w:rPr>
      </w:pPr>
      <w:r>
        <w:rPr>
          <w:rFonts w:hint="eastAsia" w:hAnsi="宋体" w:cs="宋体"/>
          <w:highlight w:val="none"/>
        </w:rPr>
        <w:t>建议卫生间沉箱结构板标高为</w:t>
      </w:r>
      <w:r>
        <w:rPr>
          <w:rFonts w:hAnsi="宋体" w:cs="宋体"/>
          <w:highlight w:val="none"/>
        </w:rPr>
        <w:t>H-0.40m（H为建筑完成面标高）。</w:t>
      </w:r>
    </w:p>
    <w:p w14:paraId="09B06FF1">
      <w:pPr>
        <w:pStyle w:val="24"/>
        <w:ind w:firstLine="480"/>
        <w:rPr>
          <w:rFonts w:hint="eastAsia" w:hAnsi="宋体" w:cs="宋体"/>
          <w:highlight w:val="none"/>
        </w:rPr>
      </w:pPr>
      <w:r>
        <w:rPr>
          <w:rFonts w:hint="eastAsia" w:hAnsi="宋体" w:cs="宋体"/>
          <w:highlight w:val="none"/>
        </w:rPr>
        <w:t>3.2.6 供水单元</w:t>
      </w:r>
    </w:p>
    <w:p w14:paraId="50C3174A">
      <w:pPr>
        <w:pStyle w:val="24"/>
        <w:ind w:firstLine="480"/>
        <w:rPr>
          <w:rFonts w:hint="eastAsia" w:hAnsi="宋体" w:cs="宋体"/>
          <w:highlight w:val="none"/>
        </w:rPr>
      </w:pPr>
      <w:r>
        <w:rPr>
          <w:rFonts w:hint="eastAsia" w:hAnsi="宋体" w:cs="宋体"/>
          <w:highlight w:val="none"/>
        </w:rPr>
        <w:t>生活给水系统按照一个供水单元不宜超过500户设置，每单元安装市政进水水表。</w:t>
      </w:r>
    </w:p>
    <w:p w14:paraId="67614833">
      <w:pPr>
        <w:pStyle w:val="24"/>
        <w:ind w:firstLine="480"/>
        <w:rPr>
          <w:rFonts w:hint="eastAsia" w:hAnsi="宋体" w:cs="宋体"/>
          <w:highlight w:val="none"/>
        </w:rPr>
      </w:pPr>
      <w:r>
        <w:rPr>
          <w:rFonts w:hint="eastAsia" w:hAnsi="宋体" w:cs="宋体"/>
          <w:highlight w:val="none"/>
        </w:rPr>
        <w:t>3.2.7 给水管材及水质</w:t>
      </w:r>
    </w:p>
    <w:p w14:paraId="1A1BAFF6">
      <w:pPr>
        <w:pStyle w:val="24"/>
        <w:ind w:firstLine="480"/>
        <w:jc w:val="left"/>
        <w:rPr>
          <w:rFonts w:hint="eastAsia" w:hAnsi="宋体" w:cs="宋体"/>
          <w:highlight w:val="none"/>
        </w:rPr>
      </w:pPr>
      <w:r>
        <w:rPr>
          <w:rFonts w:hint="eastAsia" w:hAnsi="宋体" w:cs="宋体"/>
          <w:highlight w:val="none"/>
        </w:rPr>
        <w:t>3.2.7.1 根据《广州市生活饮用水品质提升技术指引要求》，生活给水管管径大于等于100mm，应选择球墨铸铁管；管径小于100mm，应选用不锈钢管，并宜优先采用食品—级覆塑S31603不锈钢管。阀门应选用硬密封闸阀、球阀。阀板应采用耐腐蚀性能不低于S30408不锈钢材料或不低于QT450-10球墨铸铁材料制作，阀杆应采用强度及耐腐蚀性能不低于S42020或S30408不锈钢材料制作。</w:t>
      </w:r>
    </w:p>
    <w:p w14:paraId="333A2545">
      <w:pPr>
        <w:pStyle w:val="24"/>
        <w:ind w:firstLine="480"/>
        <w:rPr>
          <w:rFonts w:hint="eastAsia" w:hAnsi="宋体" w:cs="宋体"/>
          <w:highlight w:val="none"/>
        </w:rPr>
      </w:pPr>
      <w:r>
        <w:rPr>
          <w:rFonts w:hint="eastAsia" w:hAnsi="宋体" w:cs="宋体"/>
          <w:highlight w:val="none"/>
        </w:rPr>
        <w:t>3.2.7.2 市政自来水水质未达到优质饮用水要求的区域，二次供水系统应增设深度处理设备。在地下室预留生活饮用水深度处理设备房。</w:t>
      </w:r>
    </w:p>
    <w:p w14:paraId="58B484AF">
      <w:pPr>
        <w:pStyle w:val="24"/>
        <w:ind w:firstLine="480"/>
        <w:rPr>
          <w:highlight w:val="none"/>
        </w:rPr>
      </w:pPr>
      <w:r>
        <w:rPr>
          <w:rFonts w:hint="eastAsia" w:hAnsi="宋体" w:cs="宋体"/>
          <w:highlight w:val="none"/>
        </w:rPr>
        <w:t>3.2.7.3 按当地自来水公司要求，满足住宅生活水泵泵房智慧泵房的要求。</w:t>
      </w:r>
    </w:p>
    <w:p w14:paraId="20530564">
      <w:pPr>
        <w:pStyle w:val="24"/>
        <w:ind w:firstLine="480"/>
        <w:rPr>
          <w:rFonts w:hint="eastAsia" w:hAnsi="宋体" w:cs="宋体"/>
          <w:highlight w:val="none"/>
        </w:rPr>
      </w:pPr>
      <w:r>
        <w:rPr>
          <w:rFonts w:hint="eastAsia" w:hAnsi="宋体" w:cs="宋体"/>
          <w:highlight w:val="none"/>
        </w:rPr>
        <w:t>3.2.8 智能水表及入户管</w:t>
      </w:r>
    </w:p>
    <w:p w14:paraId="2C02A2AC">
      <w:pPr>
        <w:pStyle w:val="24"/>
        <w:ind w:firstLine="480"/>
        <w:rPr>
          <w:rFonts w:hint="eastAsia" w:hAnsi="宋体" w:cs="宋体"/>
          <w:highlight w:val="none"/>
        </w:rPr>
      </w:pPr>
      <w:r>
        <w:rPr>
          <w:rFonts w:hint="eastAsia" w:hAnsi="宋体" w:cs="宋体"/>
          <w:highlight w:val="none"/>
        </w:rPr>
        <w:t>3.2.8.1 住宅用水计量采用一户一水表，高层住宅每层住宅单元的水表集中安装于该楼层的水表间（兼水管井）内，并采用智能远程集中抄表系统。</w:t>
      </w:r>
    </w:p>
    <w:p w14:paraId="7C27760D">
      <w:pPr>
        <w:pStyle w:val="24"/>
        <w:ind w:firstLine="480"/>
        <w:rPr>
          <w:rFonts w:hint="eastAsia" w:hAnsi="宋体" w:cs="宋体"/>
          <w:highlight w:val="none"/>
        </w:rPr>
      </w:pPr>
      <w:r>
        <w:rPr>
          <w:rFonts w:hint="eastAsia" w:hAnsi="宋体" w:cs="宋体"/>
          <w:highlight w:val="none"/>
        </w:rPr>
        <w:t>3.2.8.2 入户水表至户内给水总阀的管线，敷设在建筑找平层内。户内给水总阀后的管线，敷设在建筑找平层内。</w:t>
      </w:r>
    </w:p>
    <w:p w14:paraId="10E8BB33">
      <w:pPr>
        <w:pStyle w:val="24"/>
        <w:ind w:firstLine="480"/>
        <w:rPr>
          <w:rFonts w:hint="eastAsia" w:hAnsi="宋体" w:cs="宋体"/>
          <w:highlight w:val="none"/>
        </w:rPr>
      </w:pPr>
      <w:r>
        <w:rPr>
          <w:rFonts w:hint="eastAsia" w:hAnsi="宋体" w:cs="宋体"/>
          <w:highlight w:val="none"/>
        </w:rPr>
        <w:t>3.2.8.3 住宅塔楼水管井内每三层设置一个楼层清洁用水。</w:t>
      </w:r>
    </w:p>
    <w:p w14:paraId="4B624B59">
      <w:pPr>
        <w:pStyle w:val="24"/>
        <w:ind w:firstLine="480"/>
        <w:rPr>
          <w:rFonts w:hint="eastAsia" w:hAnsi="宋体" w:cs="宋体"/>
          <w:highlight w:val="none"/>
        </w:rPr>
      </w:pPr>
      <w:r>
        <w:rPr>
          <w:rFonts w:hint="eastAsia" w:hAnsi="宋体" w:cs="宋体"/>
          <w:highlight w:val="none"/>
        </w:rPr>
        <w:t>3.2.9 消防水系统</w:t>
      </w:r>
    </w:p>
    <w:p w14:paraId="14F17B8A">
      <w:pPr>
        <w:pStyle w:val="24"/>
        <w:ind w:firstLine="480"/>
        <w:rPr>
          <w:rFonts w:hint="eastAsia" w:hAnsi="宋体" w:cs="宋体"/>
          <w:highlight w:val="none"/>
        </w:rPr>
      </w:pPr>
      <w:r>
        <w:rPr>
          <w:rFonts w:hint="eastAsia" w:hAnsi="宋体" w:cs="宋体"/>
          <w:highlight w:val="none"/>
        </w:rPr>
        <w:t>3.2.9.1 喷淋系统地下室负一层设置主供水环管，泡沫罐间均匀分布地下室负一层充电车库区域。地下室负二层（如有）泡沫-水喷淋系统的泡沫罐、湿式报警阀就近设置在负一层泡沫罐间内。</w:t>
      </w:r>
    </w:p>
    <w:p w14:paraId="0F1D0752">
      <w:pPr>
        <w:pStyle w:val="24"/>
        <w:ind w:firstLine="480"/>
        <w:rPr>
          <w:rFonts w:hint="eastAsia" w:hAnsi="宋体" w:cs="宋体"/>
          <w:highlight w:val="none"/>
        </w:rPr>
      </w:pPr>
      <w:bookmarkStart w:id="331" w:name="_Toc18120"/>
      <w:bookmarkStart w:id="332" w:name="_Toc20729"/>
      <w:bookmarkStart w:id="333" w:name="_Toc104581742"/>
      <w:bookmarkStart w:id="334" w:name="_Toc25713"/>
      <w:r>
        <w:rPr>
          <w:rFonts w:hint="eastAsia" w:hAnsi="宋体" w:cs="宋体"/>
          <w:highlight w:val="none"/>
        </w:rPr>
        <w:t>3.2.9.2 发电机房储油间、电房、变电所等部位采用柜式预制式七氟丙烷气体灭火系统。</w:t>
      </w:r>
    </w:p>
    <w:p w14:paraId="67AE9261">
      <w:pPr>
        <w:pStyle w:val="6"/>
        <w:keepNext w:val="0"/>
        <w:keepLines w:val="0"/>
        <w:snapToGrid/>
        <w:spacing w:before="156" w:beforeLines="50"/>
        <w:ind w:firstLine="482"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3.3通用指标</w:t>
      </w:r>
      <w:bookmarkEnd w:id="331"/>
      <w:bookmarkEnd w:id="332"/>
      <w:bookmarkEnd w:id="333"/>
      <w:bookmarkEnd w:id="334"/>
    </w:p>
    <w:p w14:paraId="2F3278EB">
      <w:pPr>
        <w:pStyle w:val="24"/>
        <w:ind w:firstLine="480"/>
        <w:rPr>
          <w:rFonts w:hint="eastAsia" w:hAnsi="宋体" w:cs="宋体"/>
          <w:highlight w:val="none"/>
        </w:rPr>
      </w:pPr>
      <w:r>
        <w:rPr>
          <w:rFonts w:hint="eastAsia" w:hAnsi="宋体" w:cs="宋体"/>
          <w:highlight w:val="none"/>
        </w:rPr>
        <w:t>3.3.1 设备材料选型</w:t>
      </w:r>
    </w:p>
    <w:p w14:paraId="3E559581">
      <w:pPr>
        <w:pStyle w:val="24"/>
        <w:ind w:firstLine="480"/>
        <w:rPr>
          <w:rFonts w:hint="eastAsia" w:hAnsi="宋体" w:cs="宋体"/>
          <w:highlight w:val="none"/>
        </w:rPr>
      </w:pPr>
      <w:r>
        <w:rPr>
          <w:rFonts w:hint="eastAsia" w:hAnsi="宋体" w:cs="宋体"/>
          <w:highlight w:val="none"/>
        </w:rPr>
        <w:t>3.3.1.1 室外排水检查井选用预制装配式检查井，地下室顶板及绿化范围内采用塑料预制检查井，车行道、消防扑救场地采用钢筋混凝土检查井。化粪池采用钢筋混凝土</w:t>
      </w:r>
      <w:r>
        <w:rPr>
          <w:rFonts w:hint="eastAsia" w:hAnsi="宋体" w:cs="宋体"/>
          <w:highlight w:val="none"/>
          <w:lang w:val="zh-CN"/>
        </w:rPr>
        <w:t>材质</w:t>
      </w:r>
      <w:r>
        <w:rPr>
          <w:rFonts w:hint="eastAsia" w:hAnsi="宋体" w:cs="宋体"/>
          <w:highlight w:val="none"/>
        </w:rPr>
        <w:t>，隔油池采用玻璃钢或不锈钢成品。</w:t>
      </w:r>
    </w:p>
    <w:p w14:paraId="7455504D">
      <w:pPr>
        <w:pStyle w:val="24"/>
        <w:ind w:firstLine="480"/>
        <w:rPr>
          <w:rFonts w:hint="eastAsia" w:hAnsi="宋体" w:cs="宋体"/>
          <w:highlight w:val="none"/>
        </w:rPr>
      </w:pPr>
      <w:r>
        <w:rPr>
          <w:rFonts w:hint="eastAsia" w:hAnsi="宋体" w:cs="宋体"/>
          <w:highlight w:val="none"/>
        </w:rPr>
        <w:t>3.3.1.2 车行道、消防扑救场地采用D400球墨铸铁井盖，其余区域除绿地上检查井盖可采用B125型成品井盖外均采用C250球墨铸铁或成品井盖。室外排水检查井及化粪池、隔油池检修人孔、消防水池取水口，井（孔）口处设置防坠网。</w:t>
      </w:r>
    </w:p>
    <w:p w14:paraId="07F67D08">
      <w:pPr>
        <w:pStyle w:val="24"/>
        <w:ind w:firstLine="480"/>
        <w:rPr>
          <w:rFonts w:hint="eastAsia" w:hAnsi="宋体" w:cs="宋体"/>
          <w:highlight w:val="none"/>
        </w:rPr>
      </w:pPr>
      <w:r>
        <w:rPr>
          <w:rFonts w:hint="eastAsia" w:hAnsi="宋体" w:cs="宋体"/>
          <w:highlight w:val="none"/>
        </w:rPr>
        <w:t>3.3.1.3 管材选用清单表</w:t>
      </w:r>
    </w:p>
    <w:tbl>
      <w:tblPr>
        <w:tblStyle w:val="42"/>
        <w:tblW w:w="89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1"/>
        <w:gridCol w:w="1237"/>
        <w:gridCol w:w="1854"/>
        <w:gridCol w:w="1653"/>
        <w:gridCol w:w="1703"/>
        <w:gridCol w:w="1888"/>
      </w:tblGrid>
      <w:tr w14:paraId="50E2C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621" w:type="dxa"/>
            <w:vAlign w:val="center"/>
          </w:tcPr>
          <w:p w14:paraId="1627547B">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编号</w:t>
            </w:r>
          </w:p>
        </w:tc>
        <w:tc>
          <w:tcPr>
            <w:tcW w:w="1237" w:type="dxa"/>
            <w:vAlign w:val="center"/>
          </w:tcPr>
          <w:p w14:paraId="7DE0AB7A">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项目</w:t>
            </w:r>
          </w:p>
        </w:tc>
        <w:tc>
          <w:tcPr>
            <w:tcW w:w="1854" w:type="dxa"/>
            <w:vAlign w:val="center"/>
          </w:tcPr>
          <w:p w14:paraId="2F1F5B63">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适用条件</w:t>
            </w:r>
          </w:p>
        </w:tc>
        <w:tc>
          <w:tcPr>
            <w:tcW w:w="1653" w:type="dxa"/>
            <w:vAlign w:val="center"/>
          </w:tcPr>
          <w:p w14:paraId="6101A660">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管材选择</w:t>
            </w:r>
          </w:p>
        </w:tc>
        <w:tc>
          <w:tcPr>
            <w:tcW w:w="1703" w:type="dxa"/>
            <w:vAlign w:val="center"/>
          </w:tcPr>
          <w:p w14:paraId="1758A0AC">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连接形式</w:t>
            </w:r>
          </w:p>
        </w:tc>
        <w:tc>
          <w:tcPr>
            <w:tcW w:w="1888" w:type="dxa"/>
            <w:vAlign w:val="center"/>
          </w:tcPr>
          <w:p w14:paraId="3E189A43">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备注</w:t>
            </w:r>
          </w:p>
        </w:tc>
      </w:tr>
      <w:tr w14:paraId="6F64B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Align w:val="center"/>
          </w:tcPr>
          <w:p w14:paraId="2673B49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1</w:t>
            </w:r>
          </w:p>
        </w:tc>
        <w:tc>
          <w:tcPr>
            <w:tcW w:w="1237" w:type="dxa"/>
            <w:vAlign w:val="center"/>
          </w:tcPr>
          <w:p w14:paraId="3FE3AE3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污水管道</w:t>
            </w:r>
          </w:p>
        </w:tc>
        <w:tc>
          <w:tcPr>
            <w:tcW w:w="1854" w:type="dxa"/>
            <w:vAlign w:val="center"/>
          </w:tcPr>
          <w:p w14:paraId="1C9F5803">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管径DN500以下</w:t>
            </w:r>
          </w:p>
        </w:tc>
        <w:tc>
          <w:tcPr>
            <w:tcW w:w="1653" w:type="dxa"/>
            <w:vAlign w:val="center"/>
          </w:tcPr>
          <w:p w14:paraId="2800316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HDPE双壁波纹管</w:t>
            </w:r>
          </w:p>
        </w:tc>
        <w:tc>
          <w:tcPr>
            <w:tcW w:w="1703" w:type="dxa"/>
            <w:vAlign w:val="center"/>
          </w:tcPr>
          <w:p w14:paraId="2A72F1E3">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弹性橡胶密封圈承插连接</w:t>
            </w:r>
          </w:p>
        </w:tc>
        <w:tc>
          <w:tcPr>
            <w:tcW w:w="1888" w:type="dxa"/>
            <w:vMerge w:val="restart"/>
            <w:vAlign w:val="center"/>
          </w:tcPr>
          <w:p w14:paraId="16B66C48">
            <w:pPr>
              <w:pStyle w:val="80"/>
              <w:adjustRightInd w:val="0"/>
              <w:snapToGrid w:val="0"/>
              <w:ind w:firstLine="0" w:firstLineChars="0"/>
              <w:jc w:val="center"/>
              <w:rPr>
                <w:rFonts w:hint="eastAsia" w:ascii="宋体" w:hAnsi="宋体" w:cs="宋体"/>
                <w:highlight w:val="none"/>
                <w:lang w:val="zh-CN"/>
              </w:rPr>
            </w:pPr>
            <w:r>
              <w:rPr>
                <w:rFonts w:hint="eastAsia" w:ascii="宋体" w:hAnsi="宋体" w:cs="宋体"/>
                <w:highlight w:val="none"/>
                <w:lang w:val="zh-CN"/>
              </w:rPr>
              <w:t>环刚度车行道下不应小于8KN/m</w:t>
            </w:r>
            <w:r>
              <w:rPr>
                <w:rFonts w:hint="eastAsia" w:ascii="宋体" w:hAnsi="宋体" w:cs="宋体"/>
                <w:highlight w:val="none"/>
                <w:vertAlign w:val="superscript"/>
                <w:lang w:val="zh-CN"/>
              </w:rPr>
              <w:t>2</w:t>
            </w:r>
            <w:r>
              <w:rPr>
                <w:rFonts w:hint="eastAsia" w:ascii="宋体" w:hAnsi="宋体" w:cs="宋体"/>
                <w:highlight w:val="none"/>
                <w:lang w:val="zh-CN"/>
              </w:rPr>
              <w:t>，绿化及人行道不应小于4KN/m</w:t>
            </w:r>
            <w:r>
              <w:rPr>
                <w:rFonts w:hint="eastAsia" w:ascii="宋体" w:hAnsi="宋体" w:cs="宋体"/>
                <w:highlight w:val="none"/>
                <w:vertAlign w:val="superscript"/>
                <w:lang w:val="zh-CN"/>
              </w:rPr>
              <w:t>2</w:t>
            </w:r>
          </w:p>
        </w:tc>
      </w:tr>
      <w:tr w14:paraId="2EF041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Merge w:val="restart"/>
            <w:vAlign w:val="center"/>
          </w:tcPr>
          <w:p w14:paraId="070CC3B3">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2</w:t>
            </w:r>
          </w:p>
        </w:tc>
        <w:tc>
          <w:tcPr>
            <w:tcW w:w="1237" w:type="dxa"/>
            <w:vMerge w:val="restart"/>
            <w:vAlign w:val="center"/>
          </w:tcPr>
          <w:p w14:paraId="0FBC56EA">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雨水管道</w:t>
            </w:r>
          </w:p>
        </w:tc>
        <w:tc>
          <w:tcPr>
            <w:tcW w:w="1854" w:type="dxa"/>
            <w:vAlign w:val="center"/>
          </w:tcPr>
          <w:p w14:paraId="475EFAEA">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径DN500以下</w:t>
            </w:r>
          </w:p>
        </w:tc>
        <w:tc>
          <w:tcPr>
            <w:tcW w:w="1653" w:type="dxa"/>
            <w:vAlign w:val="center"/>
          </w:tcPr>
          <w:p w14:paraId="21CCCDC8">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HDPE双壁波纹管</w:t>
            </w:r>
          </w:p>
        </w:tc>
        <w:tc>
          <w:tcPr>
            <w:tcW w:w="1703" w:type="dxa"/>
            <w:vAlign w:val="center"/>
          </w:tcPr>
          <w:p w14:paraId="48FF454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弹性橡胶密封圈承插连接，</w:t>
            </w:r>
          </w:p>
        </w:tc>
        <w:tc>
          <w:tcPr>
            <w:tcW w:w="1888" w:type="dxa"/>
            <w:vMerge w:val="continue"/>
            <w:vAlign w:val="center"/>
          </w:tcPr>
          <w:p w14:paraId="0411838C">
            <w:pPr>
              <w:pStyle w:val="80"/>
              <w:adjustRightInd w:val="0"/>
              <w:snapToGrid w:val="0"/>
              <w:ind w:firstLine="0" w:firstLineChars="0"/>
              <w:jc w:val="center"/>
              <w:rPr>
                <w:rFonts w:hint="eastAsia" w:ascii="宋体" w:hAnsi="宋体" w:cs="宋体"/>
                <w:highlight w:val="none"/>
              </w:rPr>
            </w:pPr>
          </w:p>
        </w:tc>
      </w:tr>
      <w:tr w14:paraId="6F7DC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Merge w:val="continue"/>
            <w:vAlign w:val="center"/>
          </w:tcPr>
          <w:p w14:paraId="5213EC40">
            <w:pPr>
              <w:pStyle w:val="80"/>
              <w:adjustRightInd w:val="0"/>
              <w:snapToGrid w:val="0"/>
              <w:ind w:firstLine="0" w:firstLineChars="0"/>
              <w:jc w:val="center"/>
              <w:rPr>
                <w:rFonts w:hint="eastAsia" w:ascii="宋体" w:hAnsi="宋体" w:cs="宋体"/>
                <w:highlight w:val="none"/>
              </w:rPr>
            </w:pPr>
          </w:p>
        </w:tc>
        <w:tc>
          <w:tcPr>
            <w:tcW w:w="1237" w:type="dxa"/>
            <w:vMerge w:val="continue"/>
            <w:vAlign w:val="center"/>
          </w:tcPr>
          <w:p w14:paraId="615B36C1">
            <w:pPr>
              <w:pStyle w:val="80"/>
              <w:adjustRightInd w:val="0"/>
              <w:snapToGrid w:val="0"/>
              <w:ind w:firstLine="0" w:firstLineChars="0"/>
              <w:jc w:val="center"/>
              <w:rPr>
                <w:rFonts w:hint="eastAsia" w:ascii="宋体" w:hAnsi="宋体" w:cs="宋体"/>
                <w:highlight w:val="none"/>
              </w:rPr>
            </w:pPr>
          </w:p>
        </w:tc>
        <w:tc>
          <w:tcPr>
            <w:tcW w:w="1854" w:type="dxa"/>
            <w:vAlign w:val="center"/>
          </w:tcPr>
          <w:p w14:paraId="03506C59">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管径≥DN500</w:t>
            </w:r>
          </w:p>
        </w:tc>
        <w:tc>
          <w:tcPr>
            <w:tcW w:w="1653" w:type="dxa"/>
            <w:vAlign w:val="center"/>
          </w:tcPr>
          <w:p w14:paraId="3F594AD4">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II级钢筋混凝土管</w:t>
            </w:r>
          </w:p>
        </w:tc>
        <w:tc>
          <w:tcPr>
            <w:tcW w:w="1703" w:type="dxa"/>
            <w:vAlign w:val="center"/>
          </w:tcPr>
          <w:p w14:paraId="5F987F35">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弹性橡胶密封圈承插连接，</w:t>
            </w:r>
          </w:p>
        </w:tc>
        <w:tc>
          <w:tcPr>
            <w:tcW w:w="1888" w:type="dxa"/>
            <w:vMerge w:val="continue"/>
            <w:vAlign w:val="center"/>
          </w:tcPr>
          <w:p w14:paraId="7854FD13">
            <w:pPr>
              <w:pStyle w:val="80"/>
              <w:adjustRightInd w:val="0"/>
              <w:snapToGrid w:val="0"/>
              <w:ind w:firstLine="0" w:firstLineChars="0"/>
              <w:jc w:val="center"/>
              <w:rPr>
                <w:rFonts w:hint="eastAsia" w:ascii="宋体" w:hAnsi="宋体" w:cs="宋体"/>
                <w:highlight w:val="none"/>
              </w:rPr>
            </w:pPr>
          </w:p>
        </w:tc>
      </w:tr>
      <w:tr w14:paraId="406CA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Merge w:val="restart"/>
            <w:vAlign w:val="center"/>
          </w:tcPr>
          <w:p w14:paraId="4735F00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3</w:t>
            </w:r>
          </w:p>
        </w:tc>
        <w:tc>
          <w:tcPr>
            <w:tcW w:w="1237" w:type="dxa"/>
            <w:vMerge w:val="restart"/>
            <w:vAlign w:val="center"/>
          </w:tcPr>
          <w:p w14:paraId="7B450A6F">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生活给水管</w:t>
            </w:r>
          </w:p>
        </w:tc>
        <w:tc>
          <w:tcPr>
            <w:tcW w:w="1854" w:type="dxa"/>
            <w:vAlign w:val="center"/>
          </w:tcPr>
          <w:p w14:paraId="22AE4DBF">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DN≥100</w:t>
            </w:r>
          </w:p>
        </w:tc>
        <w:tc>
          <w:tcPr>
            <w:tcW w:w="1653" w:type="dxa"/>
            <w:vAlign w:val="center"/>
          </w:tcPr>
          <w:p w14:paraId="13E950F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球墨铸铁管</w:t>
            </w:r>
          </w:p>
        </w:tc>
        <w:tc>
          <w:tcPr>
            <w:tcW w:w="1703" w:type="dxa"/>
            <w:vAlign w:val="center"/>
          </w:tcPr>
          <w:p w14:paraId="78D3A629">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弹性橡胶密封圈承插连接</w:t>
            </w:r>
          </w:p>
        </w:tc>
        <w:tc>
          <w:tcPr>
            <w:tcW w:w="1888" w:type="dxa"/>
            <w:vMerge w:val="restart"/>
            <w:vAlign w:val="center"/>
          </w:tcPr>
          <w:p w14:paraId="6A9A66F5">
            <w:pPr>
              <w:pStyle w:val="80"/>
              <w:adjustRightInd w:val="0"/>
              <w:snapToGrid w:val="0"/>
              <w:ind w:firstLine="0" w:firstLineChars="0"/>
              <w:jc w:val="center"/>
              <w:rPr>
                <w:rFonts w:hint="eastAsia" w:ascii="宋体" w:hAnsi="宋体" w:cs="宋体"/>
                <w:highlight w:val="none"/>
              </w:rPr>
            </w:pPr>
          </w:p>
        </w:tc>
      </w:tr>
      <w:tr w14:paraId="3BDA2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Merge w:val="continue"/>
            <w:vAlign w:val="center"/>
          </w:tcPr>
          <w:p w14:paraId="242D3E17">
            <w:pPr>
              <w:pStyle w:val="80"/>
              <w:adjustRightInd w:val="0"/>
              <w:snapToGrid w:val="0"/>
              <w:ind w:firstLine="0" w:firstLineChars="0"/>
              <w:jc w:val="center"/>
              <w:rPr>
                <w:rFonts w:hint="eastAsia" w:ascii="宋体" w:hAnsi="宋体" w:cs="宋体"/>
                <w:highlight w:val="none"/>
              </w:rPr>
            </w:pPr>
          </w:p>
        </w:tc>
        <w:tc>
          <w:tcPr>
            <w:tcW w:w="1237" w:type="dxa"/>
            <w:vMerge w:val="continue"/>
            <w:vAlign w:val="center"/>
          </w:tcPr>
          <w:p w14:paraId="76B3AC21">
            <w:pPr>
              <w:pStyle w:val="80"/>
              <w:adjustRightInd w:val="0"/>
              <w:snapToGrid w:val="0"/>
              <w:ind w:firstLine="0" w:firstLineChars="0"/>
              <w:jc w:val="center"/>
              <w:rPr>
                <w:rFonts w:hint="eastAsia" w:ascii="宋体" w:hAnsi="宋体" w:cs="宋体"/>
                <w:highlight w:val="none"/>
              </w:rPr>
            </w:pPr>
          </w:p>
        </w:tc>
        <w:tc>
          <w:tcPr>
            <w:tcW w:w="1854" w:type="dxa"/>
            <w:vAlign w:val="center"/>
          </w:tcPr>
          <w:p w14:paraId="65DF5B88">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DN＜100</w:t>
            </w:r>
          </w:p>
        </w:tc>
        <w:tc>
          <w:tcPr>
            <w:tcW w:w="1653" w:type="dxa"/>
            <w:vAlign w:val="center"/>
          </w:tcPr>
          <w:p w14:paraId="44C75FD3">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食品级覆塑S31603不锈钢管</w:t>
            </w:r>
          </w:p>
        </w:tc>
        <w:tc>
          <w:tcPr>
            <w:tcW w:w="1703" w:type="dxa"/>
            <w:vAlign w:val="center"/>
          </w:tcPr>
          <w:p w14:paraId="2FB3FF5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卡压或环压连接</w:t>
            </w:r>
          </w:p>
        </w:tc>
        <w:tc>
          <w:tcPr>
            <w:tcW w:w="1888" w:type="dxa"/>
            <w:vMerge w:val="continue"/>
            <w:vAlign w:val="center"/>
          </w:tcPr>
          <w:p w14:paraId="27567BDA">
            <w:pPr>
              <w:pStyle w:val="80"/>
              <w:adjustRightInd w:val="0"/>
              <w:snapToGrid w:val="0"/>
              <w:ind w:firstLine="0" w:firstLineChars="0"/>
              <w:jc w:val="center"/>
              <w:rPr>
                <w:rFonts w:hint="eastAsia" w:ascii="宋体" w:hAnsi="宋体" w:cs="宋体"/>
                <w:highlight w:val="none"/>
              </w:rPr>
            </w:pPr>
          </w:p>
        </w:tc>
      </w:tr>
      <w:tr w14:paraId="7606A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1" w:type="dxa"/>
            <w:vAlign w:val="center"/>
          </w:tcPr>
          <w:p w14:paraId="3A398F6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4</w:t>
            </w:r>
          </w:p>
        </w:tc>
        <w:tc>
          <w:tcPr>
            <w:tcW w:w="1237" w:type="dxa"/>
            <w:vAlign w:val="center"/>
          </w:tcPr>
          <w:p w14:paraId="4D3F3A62">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室外绿化给水管</w:t>
            </w:r>
          </w:p>
        </w:tc>
        <w:tc>
          <w:tcPr>
            <w:tcW w:w="1854" w:type="dxa"/>
            <w:vAlign w:val="center"/>
          </w:tcPr>
          <w:p w14:paraId="0DAFA4E3">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w:t>
            </w:r>
          </w:p>
        </w:tc>
        <w:tc>
          <w:tcPr>
            <w:tcW w:w="1653" w:type="dxa"/>
            <w:vAlign w:val="center"/>
          </w:tcPr>
          <w:p w14:paraId="26553F6E">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PE管</w:t>
            </w:r>
          </w:p>
        </w:tc>
        <w:tc>
          <w:tcPr>
            <w:tcW w:w="1703" w:type="dxa"/>
            <w:vAlign w:val="center"/>
          </w:tcPr>
          <w:p w14:paraId="2F6F23D2">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电热熔连接</w:t>
            </w:r>
          </w:p>
        </w:tc>
        <w:tc>
          <w:tcPr>
            <w:tcW w:w="1888" w:type="dxa"/>
            <w:vAlign w:val="center"/>
          </w:tcPr>
          <w:p w14:paraId="55BE065B">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市政压力供水</w:t>
            </w:r>
          </w:p>
        </w:tc>
      </w:tr>
    </w:tbl>
    <w:p w14:paraId="7938C6D4">
      <w:pPr>
        <w:pStyle w:val="80"/>
        <w:spacing w:line="360" w:lineRule="auto"/>
        <w:ind w:left="420" w:firstLine="0" w:firstLineChars="0"/>
        <w:rPr>
          <w:rFonts w:hint="eastAsia" w:ascii="宋体" w:hAnsi="宋体" w:cs="宋体"/>
          <w:b/>
          <w:sz w:val="24"/>
          <w:szCs w:val="24"/>
          <w:highlight w:val="none"/>
        </w:rPr>
      </w:pPr>
    </w:p>
    <w:p w14:paraId="123099BF">
      <w:pPr>
        <w:pStyle w:val="24"/>
        <w:ind w:firstLine="480"/>
        <w:rPr>
          <w:rFonts w:hint="eastAsia" w:hAnsi="宋体" w:cs="宋体"/>
          <w:highlight w:val="none"/>
        </w:rPr>
      </w:pPr>
      <w:r>
        <w:rPr>
          <w:rFonts w:hint="eastAsia" w:hAnsi="宋体" w:cs="宋体"/>
          <w:highlight w:val="none"/>
        </w:rPr>
        <w:t>3.3.2给水设备、材料选型</w:t>
      </w:r>
    </w:p>
    <w:p w14:paraId="6D86E90F">
      <w:pPr>
        <w:pStyle w:val="24"/>
        <w:ind w:firstLine="480"/>
        <w:rPr>
          <w:rFonts w:hint="eastAsia" w:hAnsi="宋体" w:cs="宋体"/>
          <w:highlight w:val="none"/>
        </w:rPr>
      </w:pPr>
      <w:r>
        <w:rPr>
          <w:rFonts w:hint="eastAsia" w:hAnsi="宋体" w:cs="宋体"/>
          <w:highlight w:val="none"/>
        </w:rPr>
        <w:t>3.3.2.1 器具要求</w:t>
      </w:r>
    </w:p>
    <w:p w14:paraId="6BA7D8E3">
      <w:pPr>
        <w:pStyle w:val="24"/>
        <w:ind w:firstLine="480"/>
        <w:rPr>
          <w:rFonts w:hint="eastAsia" w:hAnsi="宋体" w:cs="宋体"/>
          <w:highlight w:val="none"/>
        </w:rPr>
      </w:pPr>
      <w:r>
        <w:rPr>
          <w:rFonts w:hint="eastAsia" w:hAnsi="宋体" w:cs="宋体"/>
          <w:highlight w:val="none"/>
        </w:rPr>
        <w:t>①卫生器具和配件应满足现行标准《节水型生活用水器具》CJ/T164和《节水型产品通用技术条件》GB/T18870的相关要求，节水器具用水效率等级不低于2级。</w:t>
      </w:r>
    </w:p>
    <w:p w14:paraId="213860CC">
      <w:pPr>
        <w:pStyle w:val="24"/>
        <w:ind w:firstLine="480"/>
        <w:rPr>
          <w:rFonts w:hint="eastAsia" w:hAnsi="宋体" w:cs="宋体"/>
          <w:highlight w:val="none"/>
        </w:rPr>
      </w:pPr>
      <w:r>
        <w:rPr>
          <w:rFonts w:hint="eastAsia" w:hAnsi="宋体" w:cs="宋体"/>
          <w:highlight w:val="none"/>
        </w:rPr>
        <w:t>②采用陶瓷芯等密闭性能好并带加气的节水型水龙头。</w:t>
      </w:r>
    </w:p>
    <w:p w14:paraId="0AE62DFB">
      <w:pPr>
        <w:pStyle w:val="24"/>
        <w:ind w:firstLine="480"/>
        <w:rPr>
          <w:rFonts w:hint="eastAsia" w:hAnsi="宋体" w:cs="宋体"/>
          <w:highlight w:val="none"/>
        </w:rPr>
      </w:pPr>
      <w:r>
        <w:rPr>
          <w:rFonts w:hint="eastAsia" w:hAnsi="宋体" w:cs="宋体"/>
          <w:highlight w:val="none"/>
        </w:rPr>
        <w:t>3.3.2.2 生活水箱采用S31603不锈钢材质；</w:t>
      </w:r>
    </w:p>
    <w:p w14:paraId="3B7EAEAE">
      <w:pPr>
        <w:pStyle w:val="24"/>
        <w:ind w:firstLine="480"/>
        <w:rPr>
          <w:rFonts w:hint="eastAsia" w:hAnsi="宋体" w:cs="宋体"/>
          <w:highlight w:val="none"/>
        </w:rPr>
      </w:pPr>
      <w:r>
        <w:rPr>
          <w:rFonts w:hint="eastAsia" w:hAnsi="宋体" w:cs="宋体"/>
          <w:highlight w:val="none"/>
        </w:rPr>
        <w:t>3.3.2.3 水泵设置要求：生活水泵组采用数字集成全变频智能供水泵组，水泵宜采取一对一全变频控制。水泵泵体和叶轮均采用S30408不锈钢，带成套控制柜。</w:t>
      </w:r>
    </w:p>
    <w:p w14:paraId="06002168">
      <w:pPr>
        <w:pStyle w:val="24"/>
        <w:ind w:firstLine="480"/>
        <w:rPr>
          <w:rFonts w:hint="eastAsia" w:hAnsi="宋体" w:cs="宋体"/>
          <w:highlight w:val="none"/>
        </w:rPr>
      </w:pPr>
      <w:r>
        <w:rPr>
          <w:rFonts w:hint="eastAsia" w:hAnsi="宋体" w:cs="宋体"/>
          <w:highlight w:val="none"/>
        </w:rPr>
        <w:t>3.3.2.4 管材选用清单表</w:t>
      </w:r>
    </w:p>
    <w:tbl>
      <w:tblPr>
        <w:tblStyle w:val="42"/>
        <w:tblW w:w="86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5"/>
        <w:gridCol w:w="954"/>
        <w:gridCol w:w="2027"/>
        <w:gridCol w:w="2334"/>
        <w:gridCol w:w="1821"/>
        <w:gridCol w:w="712"/>
      </w:tblGrid>
      <w:tr w14:paraId="0AEB3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825" w:type="dxa"/>
            <w:vAlign w:val="center"/>
          </w:tcPr>
          <w:p w14:paraId="4E0E3E3D">
            <w:pPr>
              <w:pStyle w:val="80"/>
              <w:adjustRightInd w:val="0"/>
              <w:snapToGrid w:val="0"/>
              <w:ind w:firstLine="0" w:firstLineChars="0"/>
              <w:jc w:val="center"/>
              <w:rPr>
                <w:rFonts w:hint="eastAsia" w:ascii="宋体" w:hAnsi="宋体" w:cs="宋体"/>
                <w:b/>
                <w:bCs/>
                <w:highlight w:val="none"/>
              </w:rPr>
            </w:pPr>
            <w:bookmarkStart w:id="335" w:name="_Hlk196574986"/>
            <w:r>
              <w:rPr>
                <w:rFonts w:hint="eastAsia" w:ascii="宋体" w:hAnsi="宋体" w:cs="宋体"/>
                <w:b/>
                <w:bCs/>
                <w:highlight w:val="none"/>
              </w:rPr>
              <w:t>编号</w:t>
            </w:r>
          </w:p>
        </w:tc>
        <w:tc>
          <w:tcPr>
            <w:tcW w:w="954" w:type="dxa"/>
            <w:vAlign w:val="center"/>
          </w:tcPr>
          <w:p w14:paraId="1376917D">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项目</w:t>
            </w:r>
          </w:p>
        </w:tc>
        <w:tc>
          <w:tcPr>
            <w:tcW w:w="2027" w:type="dxa"/>
            <w:vAlign w:val="center"/>
          </w:tcPr>
          <w:p w14:paraId="46B82E65">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使用位置</w:t>
            </w:r>
          </w:p>
        </w:tc>
        <w:tc>
          <w:tcPr>
            <w:tcW w:w="2334" w:type="dxa"/>
            <w:vAlign w:val="center"/>
          </w:tcPr>
          <w:p w14:paraId="22D8A532">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适用条件</w:t>
            </w:r>
          </w:p>
        </w:tc>
        <w:tc>
          <w:tcPr>
            <w:tcW w:w="1821" w:type="dxa"/>
            <w:vAlign w:val="center"/>
          </w:tcPr>
          <w:p w14:paraId="6C463419">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连接形式</w:t>
            </w:r>
          </w:p>
        </w:tc>
        <w:tc>
          <w:tcPr>
            <w:tcW w:w="712" w:type="dxa"/>
            <w:vAlign w:val="center"/>
          </w:tcPr>
          <w:p w14:paraId="5C49811E">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备注</w:t>
            </w:r>
          </w:p>
        </w:tc>
      </w:tr>
      <w:tr w14:paraId="21BB1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Merge w:val="restart"/>
            <w:vAlign w:val="center"/>
          </w:tcPr>
          <w:p w14:paraId="7C3FE7EA">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1</w:t>
            </w:r>
          </w:p>
        </w:tc>
        <w:tc>
          <w:tcPr>
            <w:tcW w:w="954" w:type="dxa"/>
            <w:vMerge w:val="restart"/>
            <w:vAlign w:val="center"/>
          </w:tcPr>
          <w:p w14:paraId="3AB10175">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室内用户生活给水管道</w:t>
            </w:r>
          </w:p>
        </w:tc>
        <w:tc>
          <w:tcPr>
            <w:tcW w:w="2027" w:type="dxa"/>
            <w:vAlign w:val="center"/>
          </w:tcPr>
          <w:p w14:paraId="3391AC5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系统供水泵组至用户水表段</w:t>
            </w:r>
          </w:p>
        </w:tc>
        <w:tc>
          <w:tcPr>
            <w:tcW w:w="2334" w:type="dxa"/>
            <w:vAlign w:val="center"/>
          </w:tcPr>
          <w:p w14:paraId="768C457D">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S30408不锈钢管</w:t>
            </w:r>
          </w:p>
        </w:tc>
        <w:tc>
          <w:tcPr>
            <w:tcW w:w="1821" w:type="dxa"/>
            <w:vAlign w:val="center"/>
          </w:tcPr>
          <w:p w14:paraId="7E52B0BC">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卡压、环压</w:t>
            </w:r>
          </w:p>
        </w:tc>
        <w:tc>
          <w:tcPr>
            <w:tcW w:w="712" w:type="dxa"/>
            <w:vAlign w:val="center"/>
          </w:tcPr>
          <w:p w14:paraId="455324E4">
            <w:pPr>
              <w:pStyle w:val="80"/>
              <w:adjustRightInd w:val="0"/>
              <w:snapToGrid w:val="0"/>
              <w:ind w:firstLine="0" w:firstLineChars="0"/>
              <w:jc w:val="center"/>
              <w:rPr>
                <w:rFonts w:hint="eastAsia" w:ascii="宋体" w:hAnsi="宋体" w:cs="宋体"/>
                <w:highlight w:val="none"/>
              </w:rPr>
            </w:pPr>
          </w:p>
        </w:tc>
      </w:tr>
      <w:tr w14:paraId="038FE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Merge w:val="continue"/>
            <w:vAlign w:val="center"/>
          </w:tcPr>
          <w:p w14:paraId="2271A100">
            <w:pPr>
              <w:pStyle w:val="80"/>
              <w:adjustRightInd w:val="0"/>
              <w:snapToGrid w:val="0"/>
              <w:ind w:firstLine="0" w:firstLineChars="0"/>
              <w:jc w:val="center"/>
              <w:rPr>
                <w:rFonts w:hint="eastAsia" w:ascii="宋体" w:hAnsi="宋体" w:cs="宋体"/>
                <w:highlight w:val="none"/>
              </w:rPr>
            </w:pPr>
          </w:p>
        </w:tc>
        <w:tc>
          <w:tcPr>
            <w:tcW w:w="954" w:type="dxa"/>
            <w:vMerge w:val="continue"/>
            <w:vAlign w:val="center"/>
          </w:tcPr>
          <w:p w14:paraId="7C3A4AB3">
            <w:pPr>
              <w:pStyle w:val="80"/>
              <w:adjustRightInd w:val="0"/>
              <w:snapToGrid w:val="0"/>
              <w:ind w:firstLine="0" w:firstLineChars="0"/>
              <w:jc w:val="center"/>
              <w:rPr>
                <w:rFonts w:hint="eastAsia" w:ascii="宋体" w:hAnsi="宋体" w:cs="宋体"/>
                <w:highlight w:val="none"/>
              </w:rPr>
            </w:pPr>
          </w:p>
        </w:tc>
        <w:tc>
          <w:tcPr>
            <w:tcW w:w="2027" w:type="dxa"/>
            <w:vMerge w:val="restart"/>
            <w:vAlign w:val="center"/>
          </w:tcPr>
          <w:p w14:paraId="63509CBA">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用户水表后段，户内暗敷支管</w:t>
            </w:r>
          </w:p>
        </w:tc>
        <w:tc>
          <w:tcPr>
            <w:tcW w:w="2334" w:type="dxa"/>
            <w:vAlign w:val="center"/>
          </w:tcPr>
          <w:p w14:paraId="2699746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（冷水）采用S5系列PP-R给水管</w:t>
            </w:r>
          </w:p>
        </w:tc>
        <w:tc>
          <w:tcPr>
            <w:tcW w:w="1821" w:type="dxa"/>
            <w:vMerge w:val="restart"/>
            <w:vAlign w:val="center"/>
          </w:tcPr>
          <w:p w14:paraId="681324F3">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热熔连接，当与金属管或用水器具连接时，采用金属丝扣连接</w:t>
            </w:r>
          </w:p>
        </w:tc>
        <w:tc>
          <w:tcPr>
            <w:tcW w:w="712" w:type="dxa"/>
            <w:vMerge w:val="restart"/>
            <w:vAlign w:val="center"/>
          </w:tcPr>
          <w:p w14:paraId="417D6B73">
            <w:pPr>
              <w:pStyle w:val="80"/>
              <w:adjustRightInd w:val="0"/>
              <w:snapToGrid w:val="0"/>
              <w:ind w:firstLine="0" w:firstLineChars="0"/>
              <w:jc w:val="center"/>
              <w:rPr>
                <w:rFonts w:hint="eastAsia" w:ascii="宋体" w:hAnsi="宋体" w:cs="宋体"/>
                <w:highlight w:val="none"/>
              </w:rPr>
            </w:pPr>
          </w:p>
        </w:tc>
      </w:tr>
      <w:tr w14:paraId="32461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Merge w:val="continue"/>
            <w:vAlign w:val="center"/>
          </w:tcPr>
          <w:p w14:paraId="42A59A38">
            <w:pPr>
              <w:pStyle w:val="80"/>
              <w:adjustRightInd w:val="0"/>
              <w:snapToGrid w:val="0"/>
              <w:ind w:firstLine="0" w:firstLineChars="0"/>
              <w:jc w:val="center"/>
              <w:rPr>
                <w:rFonts w:hint="eastAsia" w:ascii="宋体" w:hAnsi="宋体" w:cs="宋体"/>
                <w:highlight w:val="none"/>
              </w:rPr>
            </w:pPr>
          </w:p>
        </w:tc>
        <w:tc>
          <w:tcPr>
            <w:tcW w:w="954" w:type="dxa"/>
            <w:vMerge w:val="continue"/>
            <w:vAlign w:val="center"/>
          </w:tcPr>
          <w:p w14:paraId="661A387F">
            <w:pPr>
              <w:pStyle w:val="80"/>
              <w:adjustRightInd w:val="0"/>
              <w:snapToGrid w:val="0"/>
              <w:ind w:firstLine="0" w:firstLineChars="0"/>
              <w:jc w:val="center"/>
              <w:rPr>
                <w:rFonts w:hint="eastAsia" w:ascii="宋体" w:hAnsi="宋体" w:cs="宋体"/>
                <w:highlight w:val="none"/>
              </w:rPr>
            </w:pPr>
          </w:p>
        </w:tc>
        <w:tc>
          <w:tcPr>
            <w:tcW w:w="2027" w:type="dxa"/>
            <w:vMerge w:val="continue"/>
            <w:vAlign w:val="center"/>
          </w:tcPr>
          <w:p w14:paraId="16F65E65">
            <w:pPr>
              <w:pStyle w:val="80"/>
              <w:adjustRightInd w:val="0"/>
              <w:snapToGrid w:val="0"/>
              <w:ind w:firstLine="0" w:firstLineChars="0"/>
              <w:jc w:val="center"/>
              <w:rPr>
                <w:rFonts w:hint="eastAsia" w:ascii="宋体" w:hAnsi="宋体" w:cs="宋体"/>
                <w:highlight w:val="none"/>
              </w:rPr>
            </w:pPr>
          </w:p>
        </w:tc>
        <w:tc>
          <w:tcPr>
            <w:tcW w:w="2334" w:type="dxa"/>
            <w:vAlign w:val="center"/>
          </w:tcPr>
          <w:p w14:paraId="048FFEA5">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热水）采用S3.2系列PP-R（耐温型）给水管</w:t>
            </w:r>
          </w:p>
        </w:tc>
        <w:tc>
          <w:tcPr>
            <w:tcW w:w="1821" w:type="dxa"/>
            <w:vMerge w:val="continue"/>
            <w:vAlign w:val="center"/>
          </w:tcPr>
          <w:p w14:paraId="2328AB07">
            <w:pPr>
              <w:pStyle w:val="80"/>
              <w:adjustRightInd w:val="0"/>
              <w:snapToGrid w:val="0"/>
              <w:ind w:firstLine="0" w:firstLineChars="0"/>
              <w:jc w:val="center"/>
              <w:rPr>
                <w:rFonts w:hint="eastAsia" w:ascii="宋体" w:hAnsi="宋体" w:cs="宋体"/>
                <w:highlight w:val="none"/>
              </w:rPr>
            </w:pPr>
          </w:p>
        </w:tc>
        <w:tc>
          <w:tcPr>
            <w:tcW w:w="712" w:type="dxa"/>
            <w:vMerge w:val="continue"/>
            <w:vAlign w:val="center"/>
          </w:tcPr>
          <w:p w14:paraId="6A35F006">
            <w:pPr>
              <w:pStyle w:val="80"/>
              <w:adjustRightInd w:val="0"/>
              <w:snapToGrid w:val="0"/>
              <w:ind w:firstLine="0" w:firstLineChars="0"/>
              <w:jc w:val="center"/>
              <w:rPr>
                <w:rFonts w:hint="eastAsia" w:ascii="宋体" w:hAnsi="宋体" w:cs="宋体"/>
                <w:highlight w:val="none"/>
              </w:rPr>
            </w:pPr>
          </w:p>
        </w:tc>
      </w:tr>
      <w:tr w14:paraId="72CDA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Align w:val="center"/>
          </w:tcPr>
          <w:p w14:paraId="45F23DFB">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2</w:t>
            </w:r>
          </w:p>
        </w:tc>
        <w:tc>
          <w:tcPr>
            <w:tcW w:w="954" w:type="dxa"/>
            <w:vAlign w:val="center"/>
          </w:tcPr>
          <w:p w14:paraId="79409CB9">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生活泵房内部管道</w:t>
            </w:r>
          </w:p>
        </w:tc>
        <w:tc>
          <w:tcPr>
            <w:tcW w:w="2027" w:type="dxa"/>
            <w:vAlign w:val="center"/>
          </w:tcPr>
          <w:p w14:paraId="3EC95D8B">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水泵过流管道、水池补水管（伸入水池部分）、水池溢流排水管及放空排污管</w:t>
            </w:r>
          </w:p>
        </w:tc>
        <w:tc>
          <w:tcPr>
            <w:tcW w:w="2334" w:type="dxa"/>
            <w:vAlign w:val="center"/>
          </w:tcPr>
          <w:p w14:paraId="4E166C8B">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S30408薄壁不锈钢管</w:t>
            </w:r>
          </w:p>
        </w:tc>
        <w:tc>
          <w:tcPr>
            <w:tcW w:w="1821" w:type="dxa"/>
            <w:vAlign w:val="center"/>
          </w:tcPr>
          <w:p w14:paraId="4D4F0289">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DN≤100采用环压式连接，DN&gt;100采用沟槽式连接</w:t>
            </w:r>
          </w:p>
        </w:tc>
        <w:tc>
          <w:tcPr>
            <w:tcW w:w="712" w:type="dxa"/>
            <w:vAlign w:val="center"/>
          </w:tcPr>
          <w:p w14:paraId="6B212D24">
            <w:pPr>
              <w:pStyle w:val="80"/>
              <w:adjustRightInd w:val="0"/>
              <w:snapToGrid w:val="0"/>
              <w:ind w:firstLine="0" w:firstLineChars="0"/>
              <w:jc w:val="center"/>
              <w:rPr>
                <w:rFonts w:hint="eastAsia" w:ascii="宋体" w:hAnsi="宋体" w:cs="宋体"/>
                <w:highlight w:val="none"/>
              </w:rPr>
            </w:pPr>
          </w:p>
        </w:tc>
      </w:tr>
      <w:tr w14:paraId="47B51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Merge w:val="restart"/>
            <w:vAlign w:val="center"/>
          </w:tcPr>
          <w:p w14:paraId="55F630C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3</w:t>
            </w:r>
          </w:p>
        </w:tc>
        <w:tc>
          <w:tcPr>
            <w:tcW w:w="954" w:type="dxa"/>
            <w:vMerge w:val="restart"/>
            <w:vAlign w:val="center"/>
          </w:tcPr>
          <w:p w14:paraId="60B9F52B">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地下室给水管道</w:t>
            </w:r>
          </w:p>
        </w:tc>
        <w:tc>
          <w:tcPr>
            <w:tcW w:w="2027" w:type="dxa"/>
            <w:vAlign w:val="center"/>
          </w:tcPr>
          <w:p w14:paraId="58FF594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人防工程管道</w:t>
            </w:r>
          </w:p>
        </w:tc>
        <w:tc>
          <w:tcPr>
            <w:tcW w:w="2334" w:type="dxa"/>
            <w:vAlign w:val="center"/>
          </w:tcPr>
          <w:p w14:paraId="5710A66C">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内衬PE热镀锌钢塑复合给水管，穿人防墙处用内衬PE钢管</w:t>
            </w:r>
          </w:p>
        </w:tc>
        <w:tc>
          <w:tcPr>
            <w:tcW w:w="1821" w:type="dxa"/>
            <w:vAlign w:val="center"/>
          </w:tcPr>
          <w:p w14:paraId="34CD6ED4">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管径DN80以下采用丝扣连接，管径DN80及以上采用沟槽式连接</w:t>
            </w:r>
          </w:p>
        </w:tc>
        <w:tc>
          <w:tcPr>
            <w:tcW w:w="712" w:type="dxa"/>
            <w:vAlign w:val="center"/>
          </w:tcPr>
          <w:p w14:paraId="48217C94">
            <w:pPr>
              <w:pStyle w:val="80"/>
              <w:adjustRightInd w:val="0"/>
              <w:snapToGrid w:val="0"/>
              <w:ind w:firstLine="0" w:firstLineChars="0"/>
              <w:jc w:val="center"/>
              <w:rPr>
                <w:rFonts w:hint="eastAsia" w:ascii="宋体" w:hAnsi="宋体" w:cs="宋体"/>
                <w:highlight w:val="none"/>
              </w:rPr>
            </w:pPr>
          </w:p>
        </w:tc>
      </w:tr>
      <w:tr w14:paraId="10553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Merge w:val="continue"/>
            <w:vAlign w:val="center"/>
          </w:tcPr>
          <w:p w14:paraId="085F1740">
            <w:pPr>
              <w:pStyle w:val="80"/>
              <w:adjustRightInd w:val="0"/>
              <w:snapToGrid w:val="0"/>
              <w:ind w:firstLine="0" w:firstLineChars="0"/>
              <w:jc w:val="center"/>
              <w:rPr>
                <w:rFonts w:hint="eastAsia" w:ascii="宋体" w:hAnsi="宋体" w:cs="宋体"/>
                <w:highlight w:val="none"/>
              </w:rPr>
            </w:pPr>
          </w:p>
        </w:tc>
        <w:tc>
          <w:tcPr>
            <w:tcW w:w="954" w:type="dxa"/>
            <w:vMerge w:val="continue"/>
            <w:vAlign w:val="center"/>
          </w:tcPr>
          <w:p w14:paraId="430BBA2E">
            <w:pPr>
              <w:pStyle w:val="80"/>
              <w:adjustRightInd w:val="0"/>
              <w:snapToGrid w:val="0"/>
              <w:ind w:firstLine="0" w:firstLineChars="0"/>
              <w:jc w:val="center"/>
              <w:rPr>
                <w:rFonts w:hint="eastAsia" w:ascii="宋体" w:hAnsi="宋体" w:cs="宋体"/>
                <w:highlight w:val="none"/>
              </w:rPr>
            </w:pPr>
          </w:p>
        </w:tc>
        <w:tc>
          <w:tcPr>
            <w:tcW w:w="2027" w:type="dxa"/>
            <w:vAlign w:val="center"/>
          </w:tcPr>
          <w:p w14:paraId="33F25EF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地下室市政压力供水管</w:t>
            </w:r>
          </w:p>
        </w:tc>
        <w:tc>
          <w:tcPr>
            <w:tcW w:w="2334" w:type="dxa"/>
            <w:vAlign w:val="center"/>
          </w:tcPr>
          <w:p w14:paraId="7430EA1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S30408不锈钢管</w:t>
            </w:r>
          </w:p>
        </w:tc>
        <w:tc>
          <w:tcPr>
            <w:tcW w:w="1821" w:type="dxa"/>
            <w:vAlign w:val="center"/>
          </w:tcPr>
          <w:p w14:paraId="13904F9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卡压或环压连接</w:t>
            </w:r>
          </w:p>
        </w:tc>
        <w:tc>
          <w:tcPr>
            <w:tcW w:w="712" w:type="dxa"/>
            <w:vAlign w:val="center"/>
          </w:tcPr>
          <w:p w14:paraId="224A1D5D">
            <w:pPr>
              <w:pStyle w:val="80"/>
              <w:adjustRightInd w:val="0"/>
              <w:snapToGrid w:val="0"/>
              <w:ind w:firstLine="0" w:firstLineChars="0"/>
              <w:jc w:val="center"/>
              <w:rPr>
                <w:rFonts w:hint="eastAsia" w:ascii="宋体" w:hAnsi="宋体" w:cs="宋体"/>
                <w:highlight w:val="none"/>
              </w:rPr>
            </w:pPr>
          </w:p>
        </w:tc>
      </w:tr>
      <w:tr w14:paraId="47060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25" w:type="dxa"/>
            <w:vAlign w:val="center"/>
          </w:tcPr>
          <w:p w14:paraId="2FA6AB78">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4</w:t>
            </w:r>
          </w:p>
        </w:tc>
        <w:tc>
          <w:tcPr>
            <w:tcW w:w="954" w:type="dxa"/>
            <w:vAlign w:val="center"/>
          </w:tcPr>
          <w:p w14:paraId="280CE3E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埋地给水管道</w:t>
            </w:r>
          </w:p>
        </w:tc>
        <w:tc>
          <w:tcPr>
            <w:tcW w:w="2027" w:type="dxa"/>
            <w:vAlign w:val="center"/>
          </w:tcPr>
          <w:p w14:paraId="118ED495">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接驳市政管</w:t>
            </w:r>
          </w:p>
        </w:tc>
        <w:tc>
          <w:tcPr>
            <w:tcW w:w="2334" w:type="dxa"/>
            <w:vAlign w:val="center"/>
          </w:tcPr>
          <w:p w14:paraId="2F7E0131">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管线大于等于DN100时采用球墨铸铁给水管，公称压力1.0MPa，弹性橡胶密封圈承插连接。管线小于DN100时采用食品级覆塑S31603不锈钢管，口径DN≥100采用沟槽连接，口径DN＜100采用双卡压连接。</w:t>
            </w:r>
          </w:p>
        </w:tc>
        <w:tc>
          <w:tcPr>
            <w:tcW w:w="1821" w:type="dxa"/>
            <w:vAlign w:val="center"/>
          </w:tcPr>
          <w:p w14:paraId="10007CF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卡压或环压连接</w:t>
            </w:r>
          </w:p>
        </w:tc>
        <w:tc>
          <w:tcPr>
            <w:tcW w:w="712" w:type="dxa"/>
            <w:vAlign w:val="center"/>
          </w:tcPr>
          <w:p w14:paraId="7DC699C4">
            <w:pPr>
              <w:pStyle w:val="80"/>
              <w:adjustRightInd w:val="0"/>
              <w:snapToGrid w:val="0"/>
              <w:ind w:firstLine="0" w:firstLineChars="0"/>
              <w:jc w:val="center"/>
              <w:rPr>
                <w:rFonts w:hint="eastAsia" w:ascii="宋体" w:hAnsi="宋体" w:cs="宋体"/>
                <w:highlight w:val="none"/>
              </w:rPr>
            </w:pPr>
          </w:p>
        </w:tc>
      </w:tr>
      <w:bookmarkEnd w:id="335"/>
    </w:tbl>
    <w:p w14:paraId="4C723506">
      <w:pPr>
        <w:pStyle w:val="80"/>
        <w:spacing w:line="360" w:lineRule="auto"/>
        <w:ind w:firstLine="480"/>
        <w:rPr>
          <w:rFonts w:hint="eastAsia" w:ascii="宋体" w:hAnsi="宋体" w:cs="宋体"/>
          <w:sz w:val="24"/>
          <w:szCs w:val="20"/>
          <w:highlight w:val="none"/>
        </w:rPr>
      </w:pPr>
    </w:p>
    <w:p w14:paraId="54691360">
      <w:pPr>
        <w:pStyle w:val="80"/>
        <w:spacing w:line="360" w:lineRule="auto"/>
        <w:ind w:firstLine="480"/>
        <w:rPr>
          <w:sz w:val="24"/>
          <w:szCs w:val="20"/>
          <w:highlight w:val="none"/>
        </w:rPr>
      </w:pPr>
      <w:r>
        <w:rPr>
          <w:rFonts w:hint="eastAsia" w:ascii="宋体" w:hAnsi="宋体" w:cs="宋体"/>
          <w:sz w:val="24"/>
          <w:szCs w:val="20"/>
          <w:highlight w:val="none"/>
        </w:rPr>
        <w:t>备</w:t>
      </w:r>
      <w:r>
        <w:rPr>
          <w:rFonts w:hint="eastAsia"/>
          <w:sz w:val="24"/>
          <w:szCs w:val="20"/>
          <w:highlight w:val="none"/>
        </w:rPr>
        <w:t>注：管件应与管材材质相同。</w:t>
      </w:r>
    </w:p>
    <w:p w14:paraId="5E192ECD">
      <w:pPr>
        <w:pStyle w:val="24"/>
        <w:ind w:firstLine="480"/>
        <w:rPr>
          <w:rFonts w:hint="eastAsia" w:hAnsi="宋体" w:cs="宋体"/>
          <w:highlight w:val="none"/>
        </w:rPr>
      </w:pPr>
      <w:r>
        <w:rPr>
          <w:rFonts w:hint="eastAsia" w:hAnsi="宋体" w:cs="宋体"/>
          <w:highlight w:val="none"/>
        </w:rPr>
        <w:t>3.3.2.5 阀门选用清单表</w:t>
      </w:r>
    </w:p>
    <w:tbl>
      <w:tblPr>
        <w:tblStyle w:val="42"/>
        <w:tblW w:w="8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1134"/>
        <w:gridCol w:w="1650"/>
        <w:gridCol w:w="1883"/>
        <w:gridCol w:w="1525"/>
        <w:gridCol w:w="1478"/>
      </w:tblGrid>
      <w:tr w14:paraId="63958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07256204">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编号</w:t>
            </w:r>
          </w:p>
        </w:tc>
        <w:tc>
          <w:tcPr>
            <w:tcW w:w="1134" w:type="dxa"/>
            <w:vAlign w:val="center"/>
          </w:tcPr>
          <w:p w14:paraId="402DEA60">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项目</w:t>
            </w:r>
          </w:p>
        </w:tc>
        <w:tc>
          <w:tcPr>
            <w:tcW w:w="1650" w:type="dxa"/>
            <w:vAlign w:val="center"/>
          </w:tcPr>
          <w:p w14:paraId="3C85442F">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适用条件</w:t>
            </w:r>
          </w:p>
        </w:tc>
        <w:tc>
          <w:tcPr>
            <w:tcW w:w="1883" w:type="dxa"/>
            <w:vAlign w:val="center"/>
          </w:tcPr>
          <w:p w14:paraId="5F959AB6">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阀门形式选择</w:t>
            </w:r>
          </w:p>
        </w:tc>
        <w:tc>
          <w:tcPr>
            <w:tcW w:w="1525" w:type="dxa"/>
            <w:vAlign w:val="center"/>
          </w:tcPr>
          <w:p w14:paraId="095D1794">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连接形式</w:t>
            </w:r>
          </w:p>
        </w:tc>
        <w:tc>
          <w:tcPr>
            <w:tcW w:w="1478" w:type="dxa"/>
            <w:vAlign w:val="center"/>
          </w:tcPr>
          <w:p w14:paraId="535E4BFA">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备注</w:t>
            </w:r>
          </w:p>
        </w:tc>
      </w:tr>
      <w:tr w14:paraId="5DDEF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Merge w:val="restart"/>
            <w:vAlign w:val="center"/>
          </w:tcPr>
          <w:p w14:paraId="7B507C9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1</w:t>
            </w:r>
          </w:p>
        </w:tc>
        <w:tc>
          <w:tcPr>
            <w:tcW w:w="1134" w:type="dxa"/>
            <w:vMerge w:val="restart"/>
            <w:vAlign w:val="center"/>
          </w:tcPr>
          <w:p w14:paraId="59C8A364">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lang w:val="zh-CN"/>
              </w:rPr>
              <w:t>生活给水系统</w:t>
            </w:r>
          </w:p>
        </w:tc>
        <w:tc>
          <w:tcPr>
            <w:tcW w:w="1650" w:type="dxa"/>
            <w:vAlign w:val="center"/>
          </w:tcPr>
          <w:p w14:paraId="01311AF5">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DN&gt;50mm</w:t>
            </w:r>
          </w:p>
        </w:tc>
        <w:tc>
          <w:tcPr>
            <w:tcW w:w="1883" w:type="dxa"/>
            <w:vAlign w:val="center"/>
          </w:tcPr>
          <w:p w14:paraId="53E3E47F">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硬密封闸阀，球墨铸铁阀体，S30408材质阀板及阀杆</w:t>
            </w:r>
          </w:p>
        </w:tc>
        <w:tc>
          <w:tcPr>
            <w:tcW w:w="1525" w:type="dxa"/>
            <w:vAlign w:val="center"/>
          </w:tcPr>
          <w:p w14:paraId="68C1BE84">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法兰连接</w:t>
            </w:r>
          </w:p>
        </w:tc>
        <w:tc>
          <w:tcPr>
            <w:tcW w:w="1478" w:type="dxa"/>
            <w:vMerge w:val="restart"/>
            <w:vAlign w:val="center"/>
          </w:tcPr>
          <w:p w14:paraId="6BB6C63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阀门工作压力不低于系统的工作压力，且不低于1.6MPa</w:t>
            </w:r>
          </w:p>
        </w:tc>
      </w:tr>
      <w:tr w14:paraId="57650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Merge w:val="continue"/>
            <w:vAlign w:val="center"/>
          </w:tcPr>
          <w:p w14:paraId="4D4019DF">
            <w:pPr>
              <w:pStyle w:val="80"/>
              <w:adjustRightInd w:val="0"/>
              <w:snapToGrid w:val="0"/>
              <w:ind w:firstLine="0" w:firstLineChars="0"/>
              <w:jc w:val="center"/>
              <w:rPr>
                <w:rFonts w:hint="eastAsia" w:ascii="宋体" w:hAnsi="宋体" w:cs="宋体"/>
                <w:highlight w:val="none"/>
              </w:rPr>
            </w:pPr>
          </w:p>
        </w:tc>
        <w:tc>
          <w:tcPr>
            <w:tcW w:w="1134" w:type="dxa"/>
            <w:vMerge w:val="continue"/>
            <w:vAlign w:val="center"/>
          </w:tcPr>
          <w:p w14:paraId="2F2D4CE4">
            <w:pPr>
              <w:pStyle w:val="80"/>
              <w:adjustRightInd w:val="0"/>
              <w:snapToGrid w:val="0"/>
              <w:ind w:firstLine="0" w:firstLineChars="0"/>
              <w:jc w:val="center"/>
              <w:rPr>
                <w:rFonts w:hint="eastAsia" w:ascii="宋体" w:hAnsi="宋体" w:cs="宋体"/>
                <w:highlight w:val="none"/>
              </w:rPr>
            </w:pPr>
          </w:p>
        </w:tc>
        <w:tc>
          <w:tcPr>
            <w:tcW w:w="1650" w:type="dxa"/>
            <w:vAlign w:val="center"/>
          </w:tcPr>
          <w:p w14:paraId="77EB883D">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DN≤50mm</w:t>
            </w:r>
          </w:p>
        </w:tc>
        <w:tc>
          <w:tcPr>
            <w:tcW w:w="1883" w:type="dxa"/>
            <w:vAlign w:val="center"/>
          </w:tcPr>
          <w:p w14:paraId="21D67BF5">
            <w:pPr>
              <w:adjustRightInd w:val="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内螺纹连接</w:t>
            </w:r>
          </w:p>
        </w:tc>
        <w:tc>
          <w:tcPr>
            <w:tcW w:w="1525" w:type="dxa"/>
            <w:vAlign w:val="center"/>
          </w:tcPr>
          <w:p w14:paraId="3C5E19C8">
            <w:pPr>
              <w:adjustRightInd w:val="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内螺纹连接</w:t>
            </w:r>
          </w:p>
        </w:tc>
        <w:tc>
          <w:tcPr>
            <w:tcW w:w="1478" w:type="dxa"/>
            <w:vMerge w:val="continue"/>
            <w:vAlign w:val="center"/>
          </w:tcPr>
          <w:p w14:paraId="010FD4D8">
            <w:pPr>
              <w:pStyle w:val="80"/>
              <w:adjustRightInd w:val="0"/>
              <w:snapToGrid w:val="0"/>
              <w:ind w:firstLine="0" w:firstLineChars="0"/>
              <w:jc w:val="center"/>
              <w:rPr>
                <w:rFonts w:hint="eastAsia" w:ascii="宋体" w:hAnsi="宋体" w:cs="宋体"/>
                <w:highlight w:val="none"/>
              </w:rPr>
            </w:pPr>
          </w:p>
        </w:tc>
      </w:tr>
      <w:tr w14:paraId="7347F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88" w:type="dxa"/>
            <w:vAlign w:val="center"/>
          </w:tcPr>
          <w:p w14:paraId="597E13D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2</w:t>
            </w:r>
          </w:p>
        </w:tc>
        <w:tc>
          <w:tcPr>
            <w:tcW w:w="1134" w:type="dxa"/>
            <w:vAlign w:val="center"/>
          </w:tcPr>
          <w:p w14:paraId="54CB020E">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人防工程</w:t>
            </w:r>
          </w:p>
        </w:tc>
        <w:tc>
          <w:tcPr>
            <w:tcW w:w="1650" w:type="dxa"/>
            <w:vAlign w:val="center"/>
          </w:tcPr>
          <w:p w14:paraId="0B1AB7B8">
            <w:pPr>
              <w:pStyle w:val="80"/>
              <w:adjustRightInd w:val="0"/>
              <w:snapToGrid w:val="0"/>
              <w:ind w:firstLine="0" w:firstLineChars="0"/>
              <w:jc w:val="center"/>
              <w:rPr>
                <w:rFonts w:hint="eastAsia" w:ascii="宋体" w:hAnsi="宋体" w:cs="宋体"/>
                <w:highlight w:val="none"/>
              </w:rPr>
            </w:pPr>
          </w:p>
        </w:tc>
        <w:tc>
          <w:tcPr>
            <w:tcW w:w="1883" w:type="dxa"/>
            <w:vAlign w:val="center"/>
          </w:tcPr>
          <w:p w14:paraId="1B06BF2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硬密封闸阀，球墨铸铁阀体，S30408材质阀板及阀杆</w:t>
            </w:r>
          </w:p>
        </w:tc>
        <w:tc>
          <w:tcPr>
            <w:tcW w:w="1525" w:type="dxa"/>
            <w:vAlign w:val="center"/>
          </w:tcPr>
          <w:p w14:paraId="6CDFDC35">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内螺纹连接</w:t>
            </w:r>
          </w:p>
        </w:tc>
        <w:tc>
          <w:tcPr>
            <w:tcW w:w="1478" w:type="dxa"/>
            <w:vMerge w:val="continue"/>
            <w:vAlign w:val="center"/>
          </w:tcPr>
          <w:p w14:paraId="630FE16D">
            <w:pPr>
              <w:pStyle w:val="80"/>
              <w:adjustRightInd w:val="0"/>
              <w:snapToGrid w:val="0"/>
              <w:ind w:firstLine="0" w:firstLineChars="0"/>
              <w:jc w:val="center"/>
              <w:rPr>
                <w:rFonts w:hint="eastAsia" w:ascii="宋体" w:hAnsi="宋体" w:cs="宋体"/>
                <w:highlight w:val="none"/>
              </w:rPr>
            </w:pPr>
          </w:p>
        </w:tc>
      </w:tr>
    </w:tbl>
    <w:p w14:paraId="2BA7BAF2">
      <w:pPr>
        <w:pStyle w:val="24"/>
        <w:ind w:firstLine="480"/>
        <w:rPr>
          <w:highlight w:val="none"/>
        </w:rPr>
      </w:pPr>
      <w:r>
        <w:rPr>
          <w:rFonts w:hint="eastAsia"/>
          <w:highlight w:val="none"/>
        </w:rPr>
        <w:t>空调冷凝水管设防结露措施，采用橡塑保温材料，保温层厚10mm。</w:t>
      </w:r>
    </w:p>
    <w:p w14:paraId="5CBB91C8">
      <w:pPr>
        <w:pStyle w:val="24"/>
        <w:ind w:firstLine="480"/>
        <w:rPr>
          <w:rFonts w:hint="eastAsia" w:hAnsi="宋体" w:cs="宋体"/>
          <w:highlight w:val="none"/>
        </w:rPr>
      </w:pPr>
      <w:r>
        <w:rPr>
          <w:rFonts w:hint="eastAsia" w:hAnsi="宋体" w:cs="宋体"/>
          <w:highlight w:val="none"/>
        </w:rPr>
        <w:t>3.3.3排水设备、材料选型</w:t>
      </w:r>
    </w:p>
    <w:p w14:paraId="22D48484">
      <w:pPr>
        <w:pStyle w:val="24"/>
        <w:ind w:firstLine="480"/>
        <w:rPr>
          <w:rFonts w:hint="eastAsia" w:hAnsi="宋体" w:cs="宋体"/>
          <w:highlight w:val="none"/>
        </w:rPr>
      </w:pPr>
      <w:bookmarkStart w:id="336" w:name="_Hlk196575040"/>
      <w:r>
        <w:rPr>
          <w:rFonts w:hint="eastAsia" w:hAnsi="宋体" w:cs="宋体"/>
          <w:highlight w:val="none"/>
        </w:rPr>
        <w:t>3.3.3.1 器具要求坐便器水箱容积不大于6L，并选用两档冲洗阀，满足2级节水器具要求。</w:t>
      </w:r>
    </w:p>
    <w:bookmarkEnd w:id="336"/>
    <w:p w14:paraId="4DEC9425">
      <w:pPr>
        <w:pStyle w:val="24"/>
        <w:ind w:firstLine="480"/>
        <w:rPr>
          <w:rFonts w:hint="eastAsia" w:hAnsi="宋体" w:cs="宋体"/>
          <w:highlight w:val="none"/>
        </w:rPr>
      </w:pPr>
      <w:r>
        <w:rPr>
          <w:rFonts w:hint="eastAsia" w:hAnsi="宋体" w:cs="宋体"/>
          <w:highlight w:val="none"/>
        </w:rPr>
        <w:t>3.3.3.2 潜污泵采用球墨铸铁泵体和S30408不锈钢叶轮，并配套自带浮球液位控制和PLC自动控制箱。消防电梯基坑集水坑和污水集水坑采用自耦安装，其他潜水泵可采用硬管连接固定式安装。</w:t>
      </w:r>
    </w:p>
    <w:p w14:paraId="07FC2144">
      <w:pPr>
        <w:pStyle w:val="24"/>
        <w:ind w:firstLine="480"/>
        <w:rPr>
          <w:rFonts w:hint="eastAsia" w:hAnsi="宋体" w:cs="宋体"/>
          <w:highlight w:val="none"/>
        </w:rPr>
      </w:pPr>
      <w:r>
        <w:rPr>
          <w:rFonts w:hint="eastAsia" w:hAnsi="宋体" w:cs="宋体"/>
          <w:highlight w:val="none"/>
        </w:rPr>
        <w:t>3.3.3.3 排水管选用清单表</w:t>
      </w:r>
    </w:p>
    <w:tbl>
      <w:tblPr>
        <w:tblStyle w:val="42"/>
        <w:tblW w:w="86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560"/>
        <w:gridCol w:w="2693"/>
        <w:gridCol w:w="1843"/>
        <w:gridCol w:w="1134"/>
        <w:gridCol w:w="685"/>
      </w:tblGrid>
      <w:tr w14:paraId="2C113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Align w:val="center"/>
          </w:tcPr>
          <w:p w14:paraId="6E94EEAA">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编号</w:t>
            </w:r>
          </w:p>
        </w:tc>
        <w:tc>
          <w:tcPr>
            <w:tcW w:w="1560" w:type="dxa"/>
            <w:vAlign w:val="center"/>
          </w:tcPr>
          <w:p w14:paraId="6294DC1A">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项目</w:t>
            </w:r>
          </w:p>
        </w:tc>
        <w:tc>
          <w:tcPr>
            <w:tcW w:w="2693" w:type="dxa"/>
            <w:vAlign w:val="center"/>
          </w:tcPr>
          <w:p w14:paraId="03CCC477">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适用条件</w:t>
            </w:r>
          </w:p>
        </w:tc>
        <w:tc>
          <w:tcPr>
            <w:tcW w:w="1843" w:type="dxa"/>
            <w:vAlign w:val="center"/>
          </w:tcPr>
          <w:p w14:paraId="6199B5BC">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管材选择</w:t>
            </w:r>
          </w:p>
        </w:tc>
        <w:tc>
          <w:tcPr>
            <w:tcW w:w="1134" w:type="dxa"/>
            <w:vAlign w:val="center"/>
          </w:tcPr>
          <w:p w14:paraId="60DDE974">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连接形式</w:t>
            </w:r>
          </w:p>
        </w:tc>
        <w:tc>
          <w:tcPr>
            <w:tcW w:w="685" w:type="dxa"/>
            <w:vAlign w:val="center"/>
          </w:tcPr>
          <w:p w14:paraId="3C51E028">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备注</w:t>
            </w:r>
          </w:p>
        </w:tc>
      </w:tr>
      <w:tr w14:paraId="03A22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Align w:val="center"/>
          </w:tcPr>
          <w:p w14:paraId="2A75F42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1</w:t>
            </w:r>
          </w:p>
        </w:tc>
        <w:tc>
          <w:tcPr>
            <w:tcW w:w="1560" w:type="dxa"/>
            <w:vAlign w:val="center"/>
          </w:tcPr>
          <w:p w14:paraId="0A24464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生活排水系统</w:t>
            </w:r>
          </w:p>
        </w:tc>
        <w:tc>
          <w:tcPr>
            <w:tcW w:w="2693" w:type="dxa"/>
            <w:vAlign w:val="center"/>
          </w:tcPr>
          <w:p w14:paraId="2CA8B78F">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室内污水、废水管、通气管</w:t>
            </w:r>
          </w:p>
        </w:tc>
        <w:tc>
          <w:tcPr>
            <w:tcW w:w="1843" w:type="dxa"/>
            <w:vAlign w:val="center"/>
          </w:tcPr>
          <w:p w14:paraId="5F96B16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UPVC排水管</w:t>
            </w:r>
          </w:p>
        </w:tc>
        <w:tc>
          <w:tcPr>
            <w:tcW w:w="1134" w:type="dxa"/>
            <w:vAlign w:val="center"/>
          </w:tcPr>
          <w:p w14:paraId="3320AF0F">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溶剂粘接</w:t>
            </w:r>
          </w:p>
        </w:tc>
        <w:tc>
          <w:tcPr>
            <w:tcW w:w="685" w:type="dxa"/>
            <w:vAlign w:val="center"/>
          </w:tcPr>
          <w:p w14:paraId="07E8A8D8">
            <w:pPr>
              <w:pStyle w:val="80"/>
              <w:adjustRightInd w:val="0"/>
              <w:snapToGrid w:val="0"/>
              <w:ind w:firstLine="0" w:firstLineChars="0"/>
              <w:jc w:val="center"/>
              <w:rPr>
                <w:rFonts w:hint="eastAsia" w:ascii="宋体" w:hAnsi="宋体" w:cs="宋体"/>
                <w:highlight w:val="none"/>
                <w:lang w:val="zh-CN"/>
              </w:rPr>
            </w:pPr>
          </w:p>
        </w:tc>
      </w:tr>
      <w:tr w14:paraId="410AD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restart"/>
            <w:vAlign w:val="center"/>
          </w:tcPr>
          <w:p w14:paraId="7F456E0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2</w:t>
            </w:r>
          </w:p>
        </w:tc>
        <w:tc>
          <w:tcPr>
            <w:tcW w:w="1560" w:type="dxa"/>
            <w:vMerge w:val="restart"/>
            <w:vAlign w:val="center"/>
          </w:tcPr>
          <w:p w14:paraId="2599FFB8">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雨水排水系统</w:t>
            </w:r>
          </w:p>
        </w:tc>
        <w:tc>
          <w:tcPr>
            <w:tcW w:w="2693" w:type="dxa"/>
            <w:vAlign w:val="center"/>
          </w:tcPr>
          <w:p w14:paraId="1FF40A4A">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阳台雨水</w:t>
            </w:r>
          </w:p>
        </w:tc>
        <w:tc>
          <w:tcPr>
            <w:tcW w:w="1843" w:type="dxa"/>
            <w:vAlign w:val="center"/>
          </w:tcPr>
          <w:p w14:paraId="703B878E">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UPVC排水管</w:t>
            </w:r>
          </w:p>
        </w:tc>
        <w:tc>
          <w:tcPr>
            <w:tcW w:w="1134" w:type="dxa"/>
            <w:vAlign w:val="center"/>
          </w:tcPr>
          <w:p w14:paraId="36CC482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溶剂粘接</w:t>
            </w:r>
          </w:p>
        </w:tc>
        <w:tc>
          <w:tcPr>
            <w:tcW w:w="685" w:type="dxa"/>
            <w:vAlign w:val="center"/>
          </w:tcPr>
          <w:p w14:paraId="55F8B37E">
            <w:pPr>
              <w:pStyle w:val="80"/>
              <w:adjustRightInd w:val="0"/>
              <w:snapToGrid w:val="0"/>
              <w:ind w:firstLine="0" w:firstLineChars="0"/>
              <w:jc w:val="center"/>
              <w:rPr>
                <w:rFonts w:hint="eastAsia" w:ascii="宋体" w:hAnsi="宋体" w:cs="宋体"/>
                <w:highlight w:val="none"/>
              </w:rPr>
            </w:pPr>
          </w:p>
        </w:tc>
      </w:tr>
      <w:tr w14:paraId="15AA2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continue"/>
            <w:vAlign w:val="center"/>
          </w:tcPr>
          <w:p w14:paraId="574896A4">
            <w:pPr>
              <w:pStyle w:val="80"/>
              <w:adjustRightInd w:val="0"/>
              <w:snapToGrid w:val="0"/>
              <w:ind w:firstLine="0" w:firstLineChars="0"/>
              <w:jc w:val="center"/>
              <w:rPr>
                <w:rFonts w:hint="eastAsia" w:ascii="宋体" w:hAnsi="宋体" w:cs="宋体"/>
                <w:highlight w:val="none"/>
              </w:rPr>
            </w:pPr>
          </w:p>
        </w:tc>
        <w:tc>
          <w:tcPr>
            <w:tcW w:w="1560" w:type="dxa"/>
            <w:vMerge w:val="continue"/>
            <w:vAlign w:val="center"/>
          </w:tcPr>
          <w:p w14:paraId="16C8056C">
            <w:pPr>
              <w:pStyle w:val="80"/>
              <w:adjustRightInd w:val="0"/>
              <w:snapToGrid w:val="0"/>
              <w:ind w:firstLine="0" w:firstLineChars="0"/>
              <w:jc w:val="center"/>
              <w:rPr>
                <w:rFonts w:hint="eastAsia" w:ascii="宋体" w:hAnsi="宋体" w:cs="宋体"/>
                <w:highlight w:val="none"/>
              </w:rPr>
            </w:pPr>
          </w:p>
        </w:tc>
        <w:tc>
          <w:tcPr>
            <w:tcW w:w="2693" w:type="dxa"/>
            <w:vAlign w:val="center"/>
          </w:tcPr>
          <w:p w14:paraId="1284ACAC">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屋面雨水</w:t>
            </w:r>
          </w:p>
        </w:tc>
        <w:tc>
          <w:tcPr>
            <w:tcW w:w="1843" w:type="dxa"/>
            <w:vAlign w:val="center"/>
          </w:tcPr>
          <w:p w14:paraId="06E0EAF3">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S11.2系列实壁加厚PVC-U排水管</w:t>
            </w:r>
          </w:p>
        </w:tc>
        <w:tc>
          <w:tcPr>
            <w:tcW w:w="1134" w:type="dxa"/>
            <w:vAlign w:val="center"/>
          </w:tcPr>
          <w:p w14:paraId="7DA2230C">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溶剂粘接</w:t>
            </w:r>
          </w:p>
        </w:tc>
        <w:tc>
          <w:tcPr>
            <w:tcW w:w="685" w:type="dxa"/>
            <w:vAlign w:val="center"/>
          </w:tcPr>
          <w:p w14:paraId="50277B18">
            <w:pPr>
              <w:pStyle w:val="80"/>
              <w:adjustRightInd w:val="0"/>
              <w:snapToGrid w:val="0"/>
              <w:ind w:firstLine="0" w:firstLineChars="0"/>
              <w:jc w:val="center"/>
              <w:rPr>
                <w:rFonts w:hint="eastAsia" w:ascii="宋体" w:hAnsi="宋体" w:cs="宋体"/>
                <w:highlight w:val="none"/>
              </w:rPr>
            </w:pPr>
          </w:p>
        </w:tc>
      </w:tr>
      <w:tr w14:paraId="3013E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restart"/>
            <w:vAlign w:val="center"/>
          </w:tcPr>
          <w:p w14:paraId="3C5D2B09">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3</w:t>
            </w:r>
          </w:p>
        </w:tc>
        <w:tc>
          <w:tcPr>
            <w:tcW w:w="1560" w:type="dxa"/>
            <w:vMerge w:val="restart"/>
            <w:vAlign w:val="center"/>
          </w:tcPr>
          <w:p w14:paraId="5D48BA48">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室内压力流排水管</w:t>
            </w:r>
          </w:p>
        </w:tc>
        <w:tc>
          <w:tcPr>
            <w:tcW w:w="2693" w:type="dxa"/>
            <w:vAlign w:val="center"/>
          </w:tcPr>
          <w:p w14:paraId="4A1F36F8">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DN≤100mm</w:t>
            </w:r>
          </w:p>
        </w:tc>
        <w:tc>
          <w:tcPr>
            <w:tcW w:w="1843" w:type="dxa"/>
            <w:vAlign w:val="center"/>
          </w:tcPr>
          <w:p w14:paraId="2A8CA7A1">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热镀锌钢管</w:t>
            </w:r>
          </w:p>
        </w:tc>
        <w:tc>
          <w:tcPr>
            <w:tcW w:w="1134" w:type="dxa"/>
            <w:vAlign w:val="center"/>
          </w:tcPr>
          <w:p w14:paraId="710795AA">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丝扣连接</w:t>
            </w:r>
          </w:p>
        </w:tc>
        <w:tc>
          <w:tcPr>
            <w:tcW w:w="685" w:type="dxa"/>
            <w:vMerge w:val="restart"/>
            <w:vAlign w:val="center"/>
          </w:tcPr>
          <w:p w14:paraId="4B059437">
            <w:pPr>
              <w:pStyle w:val="80"/>
              <w:adjustRightInd w:val="0"/>
              <w:snapToGrid w:val="0"/>
              <w:ind w:firstLine="0" w:firstLineChars="0"/>
              <w:jc w:val="center"/>
              <w:rPr>
                <w:rFonts w:hint="eastAsia" w:ascii="宋体" w:hAnsi="宋体" w:cs="宋体"/>
                <w:highlight w:val="none"/>
              </w:rPr>
            </w:pPr>
          </w:p>
        </w:tc>
      </w:tr>
      <w:tr w14:paraId="3B3DA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continue"/>
            <w:vAlign w:val="center"/>
          </w:tcPr>
          <w:p w14:paraId="076E7BBD">
            <w:pPr>
              <w:pStyle w:val="80"/>
              <w:adjustRightInd w:val="0"/>
              <w:snapToGrid w:val="0"/>
              <w:ind w:firstLine="0" w:firstLineChars="0"/>
              <w:jc w:val="center"/>
              <w:rPr>
                <w:rFonts w:hint="eastAsia" w:ascii="宋体" w:hAnsi="宋体" w:cs="宋体"/>
                <w:highlight w:val="none"/>
              </w:rPr>
            </w:pPr>
          </w:p>
        </w:tc>
        <w:tc>
          <w:tcPr>
            <w:tcW w:w="1560" w:type="dxa"/>
            <w:vMerge w:val="continue"/>
            <w:vAlign w:val="center"/>
          </w:tcPr>
          <w:p w14:paraId="348DAA0C">
            <w:pPr>
              <w:pStyle w:val="80"/>
              <w:adjustRightInd w:val="0"/>
              <w:snapToGrid w:val="0"/>
              <w:ind w:firstLine="0" w:firstLineChars="0"/>
              <w:jc w:val="center"/>
              <w:rPr>
                <w:rFonts w:hint="eastAsia" w:ascii="宋体" w:hAnsi="宋体" w:cs="宋体"/>
                <w:highlight w:val="none"/>
              </w:rPr>
            </w:pPr>
          </w:p>
        </w:tc>
        <w:tc>
          <w:tcPr>
            <w:tcW w:w="2693" w:type="dxa"/>
            <w:vAlign w:val="center"/>
          </w:tcPr>
          <w:p w14:paraId="39C1648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DN&gt;100mm</w:t>
            </w:r>
          </w:p>
        </w:tc>
        <w:tc>
          <w:tcPr>
            <w:tcW w:w="1843" w:type="dxa"/>
            <w:vAlign w:val="center"/>
          </w:tcPr>
          <w:p w14:paraId="4B3A6489">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热镀锌钢管</w:t>
            </w:r>
          </w:p>
        </w:tc>
        <w:tc>
          <w:tcPr>
            <w:tcW w:w="1134" w:type="dxa"/>
            <w:vAlign w:val="center"/>
          </w:tcPr>
          <w:p w14:paraId="1A2FBF4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法兰连接</w:t>
            </w:r>
          </w:p>
        </w:tc>
        <w:tc>
          <w:tcPr>
            <w:tcW w:w="685" w:type="dxa"/>
            <w:vMerge w:val="continue"/>
            <w:vAlign w:val="center"/>
          </w:tcPr>
          <w:p w14:paraId="34C9C2A9">
            <w:pPr>
              <w:pStyle w:val="80"/>
              <w:adjustRightInd w:val="0"/>
              <w:snapToGrid w:val="0"/>
              <w:ind w:firstLine="0" w:firstLineChars="0"/>
              <w:jc w:val="center"/>
              <w:rPr>
                <w:rFonts w:hint="eastAsia" w:ascii="宋体" w:hAnsi="宋体" w:cs="宋体"/>
                <w:highlight w:val="none"/>
              </w:rPr>
            </w:pPr>
          </w:p>
        </w:tc>
      </w:tr>
      <w:tr w14:paraId="1BB4A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Align w:val="center"/>
          </w:tcPr>
          <w:p w14:paraId="480611CE">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4</w:t>
            </w:r>
          </w:p>
        </w:tc>
        <w:tc>
          <w:tcPr>
            <w:tcW w:w="1560" w:type="dxa"/>
            <w:vAlign w:val="center"/>
          </w:tcPr>
          <w:p w14:paraId="2BE5DDA9">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空调冷凝水排水管</w:t>
            </w:r>
          </w:p>
        </w:tc>
        <w:tc>
          <w:tcPr>
            <w:tcW w:w="2693" w:type="dxa"/>
            <w:vAlign w:val="center"/>
          </w:tcPr>
          <w:p w14:paraId="2C755D5C">
            <w:pPr>
              <w:pStyle w:val="80"/>
              <w:adjustRightInd w:val="0"/>
              <w:snapToGrid w:val="0"/>
              <w:ind w:firstLine="0" w:firstLineChars="0"/>
              <w:jc w:val="center"/>
              <w:rPr>
                <w:rFonts w:hint="eastAsia" w:ascii="宋体" w:hAnsi="宋体" w:cs="宋体"/>
                <w:highlight w:val="none"/>
              </w:rPr>
            </w:pPr>
          </w:p>
        </w:tc>
        <w:tc>
          <w:tcPr>
            <w:tcW w:w="1843" w:type="dxa"/>
            <w:vAlign w:val="center"/>
          </w:tcPr>
          <w:p w14:paraId="2D8B5868">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DN40 PVC-U排水管</w:t>
            </w:r>
          </w:p>
        </w:tc>
        <w:tc>
          <w:tcPr>
            <w:tcW w:w="1134" w:type="dxa"/>
            <w:vAlign w:val="center"/>
          </w:tcPr>
          <w:p w14:paraId="55CB5A48">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溶剂粘接</w:t>
            </w:r>
          </w:p>
        </w:tc>
        <w:tc>
          <w:tcPr>
            <w:tcW w:w="685" w:type="dxa"/>
            <w:vAlign w:val="center"/>
          </w:tcPr>
          <w:p w14:paraId="75536773">
            <w:pPr>
              <w:pStyle w:val="80"/>
              <w:adjustRightInd w:val="0"/>
              <w:snapToGrid w:val="0"/>
              <w:ind w:firstLine="0" w:firstLineChars="0"/>
              <w:jc w:val="center"/>
              <w:rPr>
                <w:rFonts w:hint="eastAsia" w:ascii="宋体" w:hAnsi="宋体" w:cs="宋体"/>
                <w:highlight w:val="none"/>
              </w:rPr>
            </w:pPr>
          </w:p>
        </w:tc>
      </w:tr>
      <w:tr w14:paraId="038D9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restart"/>
            <w:vAlign w:val="center"/>
          </w:tcPr>
          <w:p w14:paraId="7D17B5AF">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5</w:t>
            </w:r>
          </w:p>
        </w:tc>
        <w:tc>
          <w:tcPr>
            <w:tcW w:w="1560" w:type="dxa"/>
            <w:vMerge w:val="restart"/>
            <w:vAlign w:val="center"/>
          </w:tcPr>
          <w:p w14:paraId="11A200B3">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人防区排水管材</w:t>
            </w:r>
          </w:p>
        </w:tc>
        <w:tc>
          <w:tcPr>
            <w:tcW w:w="2693" w:type="dxa"/>
            <w:vAlign w:val="center"/>
          </w:tcPr>
          <w:p w14:paraId="0F018BE7">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穿过人防围护结构和设于人防围护结构内</w:t>
            </w:r>
          </w:p>
        </w:tc>
        <w:tc>
          <w:tcPr>
            <w:tcW w:w="1843" w:type="dxa"/>
            <w:vAlign w:val="center"/>
          </w:tcPr>
          <w:p w14:paraId="4960CB39">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热镀锌钢管</w:t>
            </w:r>
          </w:p>
        </w:tc>
        <w:tc>
          <w:tcPr>
            <w:tcW w:w="1134" w:type="dxa"/>
            <w:vAlign w:val="center"/>
          </w:tcPr>
          <w:p w14:paraId="21612D4A">
            <w:pPr>
              <w:pStyle w:val="80"/>
              <w:adjustRightInd w:val="0"/>
              <w:snapToGrid w:val="0"/>
              <w:ind w:firstLine="0" w:firstLineChars="0"/>
              <w:jc w:val="center"/>
              <w:rPr>
                <w:rFonts w:hint="eastAsia" w:ascii="宋体" w:hAnsi="宋体" w:cs="宋体"/>
                <w:highlight w:val="none"/>
              </w:rPr>
            </w:pPr>
          </w:p>
        </w:tc>
        <w:tc>
          <w:tcPr>
            <w:tcW w:w="685" w:type="dxa"/>
            <w:vAlign w:val="center"/>
          </w:tcPr>
          <w:p w14:paraId="281332B8">
            <w:pPr>
              <w:pStyle w:val="80"/>
              <w:adjustRightInd w:val="0"/>
              <w:snapToGrid w:val="0"/>
              <w:ind w:firstLine="0" w:firstLineChars="0"/>
              <w:jc w:val="center"/>
              <w:rPr>
                <w:rFonts w:hint="eastAsia" w:ascii="宋体" w:hAnsi="宋体" w:cs="宋体"/>
                <w:highlight w:val="none"/>
              </w:rPr>
            </w:pPr>
          </w:p>
        </w:tc>
      </w:tr>
      <w:tr w14:paraId="3949A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vMerge w:val="continue"/>
            <w:vAlign w:val="center"/>
          </w:tcPr>
          <w:p w14:paraId="69FD07B1">
            <w:pPr>
              <w:pStyle w:val="80"/>
              <w:adjustRightInd w:val="0"/>
              <w:snapToGrid w:val="0"/>
              <w:ind w:firstLine="0" w:firstLineChars="0"/>
              <w:jc w:val="center"/>
              <w:rPr>
                <w:rFonts w:hint="eastAsia" w:ascii="宋体" w:hAnsi="宋体" w:cs="宋体"/>
                <w:highlight w:val="none"/>
              </w:rPr>
            </w:pPr>
          </w:p>
        </w:tc>
        <w:tc>
          <w:tcPr>
            <w:tcW w:w="1560" w:type="dxa"/>
            <w:vMerge w:val="continue"/>
            <w:vAlign w:val="center"/>
          </w:tcPr>
          <w:p w14:paraId="2B1D05F7">
            <w:pPr>
              <w:pStyle w:val="80"/>
              <w:adjustRightInd w:val="0"/>
              <w:snapToGrid w:val="0"/>
              <w:ind w:firstLine="0" w:firstLineChars="0"/>
              <w:jc w:val="center"/>
              <w:rPr>
                <w:rFonts w:hint="eastAsia" w:ascii="宋体" w:hAnsi="宋体" w:cs="宋体"/>
                <w:highlight w:val="none"/>
              </w:rPr>
            </w:pPr>
          </w:p>
        </w:tc>
        <w:tc>
          <w:tcPr>
            <w:tcW w:w="2693" w:type="dxa"/>
            <w:vAlign w:val="center"/>
          </w:tcPr>
          <w:p w14:paraId="137AA774">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结构底板内及以下敷设</w:t>
            </w:r>
          </w:p>
        </w:tc>
        <w:tc>
          <w:tcPr>
            <w:tcW w:w="1843" w:type="dxa"/>
            <w:vAlign w:val="center"/>
          </w:tcPr>
          <w:p w14:paraId="6376D4FF">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机制排水铸铁管或热镀锌钢管</w:t>
            </w:r>
          </w:p>
        </w:tc>
        <w:tc>
          <w:tcPr>
            <w:tcW w:w="1134" w:type="dxa"/>
            <w:vAlign w:val="center"/>
          </w:tcPr>
          <w:p w14:paraId="60D61BE4">
            <w:pPr>
              <w:pStyle w:val="80"/>
              <w:adjustRightInd w:val="0"/>
              <w:snapToGrid w:val="0"/>
              <w:ind w:firstLine="0" w:firstLineChars="0"/>
              <w:jc w:val="center"/>
              <w:rPr>
                <w:rFonts w:hint="eastAsia" w:ascii="宋体" w:hAnsi="宋体" w:cs="宋体"/>
                <w:highlight w:val="none"/>
              </w:rPr>
            </w:pPr>
          </w:p>
        </w:tc>
        <w:tc>
          <w:tcPr>
            <w:tcW w:w="685" w:type="dxa"/>
            <w:vAlign w:val="center"/>
          </w:tcPr>
          <w:p w14:paraId="10F8F131">
            <w:pPr>
              <w:pStyle w:val="80"/>
              <w:adjustRightInd w:val="0"/>
              <w:snapToGrid w:val="0"/>
              <w:ind w:firstLine="0" w:firstLineChars="0"/>
              <w:jc w:val="center"/>
              <w:rPr>
                <w:rFonts w:hint="eastAsia" w:ascii="宋体" w:hAnsi="宋体" w:cs="宋体"/>
                <w:highlight w:val="none"/>
              </w:rPr>
            </w:pPr>
          </w:p>
        </w:tc>
      </w:tr>
      <w:tr w14:paraId="578CD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shd w:val="clear" w:color="auto" w:fill="auto"/>
            <w:vAlign w:val="center"/>
          </w:tcPr>
          <w:p w14:paraId="596BF60E">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6</w:t>
            </w:r>
          </w:p>
        </w:tc>
        <w:tc>
          <w:tcPr>
            <w:tcW w:w="1560" w:type="dxa"/>
            <w:shd w:val="clear" w:color="auto" w:fill="auto"/>
            <w:vAlign w:val="center"/>
          </w:tcPr>
          <w:p w14:paraId="1DCB65D5">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商业</w:t>
            </w:r>
          </w:p>
        </w:tc>
        <w:tc>
          <w:tcPr>
            <w:tcW w:w="2693" w:type="dxa"/>
            <w:shd w:val="clear" w:color="auto" w:fill="auto"/>
            <w:vAlign w:val="center"/>
          </w:tcPr>
          <w:p w14:paraId="1F0E61B1">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餐饮废水管</w:t>
            </w:r>
          </w:p>
        </w:tc>
        <w:tc>
          <w:tcPr>
            <w:tcW w:w="1843" w:type="dxa"/>
            <w:shd w:val="clear" w:color="auto" w:fill="auto"/>
            <w:vAlign w:val="center"/>
          </w:tcPr>
          <w:p w14:paraId="05C67774">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机制柔性铸铁管</w:t>
            </w:r>
          </w:p>
        </w:tc>
        <w:tc>
          <w:tcPr>
            <w:tcW w:w="1134" w:type="dxa"/>
            <w:shd w:val="clear" w:color="auto" w:fill="auto"/>
            <w:vAlign w:val="center"/>
          </w:tcPr>
          <w:p w14:paraId="29E160CD">
            <w:pPr>
              <w:pStyle w:val="80"/>
              <w:adjustRightInd w:val="0"/>
              <w:snapToGrid w:val="0"/>
              <w:ind w:firstLine="0" w:firstLineChars="0"/>
              <w:jc w:val="center"/>
              <w:rPr>
                <w:rFonts w:hint="eastAsia" w:ascii="宋体" w:hAnsi="宋体" w:cs="宋体"/>
                <w:highlight w:val="none"/>
              </w:rPr>
            </w:pPr>
            <w:r>
              <w:rPr>
                <w:rFonts w:hint="eastAsia"/>
                <w:highlight w:val="none"/>
              </w:rPr>
              <w:t>埋地出户管采用法兰连接或不锈钢卡箍连接，其余采用不锈钢卡箍连接</w:t>
            </w:r>
          </w:p>
        </w:tc>
        <w:tc>
          <w:tcPr>
            <w:tcW w:w="685" w:type="dxa"/>
            <w:shd w:val="clear" w:color="auto" w:fill="auto"/>
            <w:vAlign w:val="center"/>
          </w:tcPr>
          <w:p w14:paraId="464B7323">
            <w:pPr>
              <w:pStyle w:val="80"/>
              <w:adjustRightInd w:val="0"/>
              <w:snapToGrid w:val="0"/>
              <w:ind w:firstLine="0" w:firstLineChars="0"/>
              <w:jc w:val="center"/>
              <w:rPr>
                <w:rFonts w:hint="eastAsia" w:ascii="宋体" w:hAnsi="宋体" w:cs="宋体"/>
                <w:highlight w:val="none"/>
              </w:rPr>
            </w:pPr>
          </w:p>
        </w:tc>
      </w:tr>
    </w:tbl>
    <w:p w14:paraId="512CEA7C">
      <w:pPr>
        <w:pStyle w:val="80"/>
        <w:spacing w:line="360" w:lineRule="auto"/>
        <w:ind w:left="420" w:firstLine="0" w:firstLineChars="0"/>
        <w:rPr>
          <w:rFonts w:hint="eastAsia" w:ascii="宋体" w:hAnsi="宋体" w:cs="宋体"/>
          <w:b/>
          <w:sz w:val="24"/>
          <w:szCs w:val="24"/>
          <w:highlight w:val="none"/>
        </w:rPr>
      </w:pPr>
    </w:p>
    <w:p w14:paraId="432C6965">
      <w:pPr>
        <w:pStyle w:val="24"/>
        <w:widowControl/>
        <w:ind w:firstLine="480"/>
        <w:jc w:val="left"/>
        <w:textAlignment w:val="center"/>
        <w:rPr>
          <w:rFonts w:hint="eastAsia" w:hAnsi="宋体" w:cs="宋体"/>
          <w:b/>
          <w:highlight w:val="none"/>
        </w:rPr>
      </w:pPr>
      <w:r>
        <w:rPr>
          <w:rFonts w:hint="eastAsia" w:hAnsi="宋体" w:cs="宋体"/>
          <w:highlight w:val="none"/>
        </w:rPr>
        <w:t>3.3.4 消防设备、材料选型</w:t>
      </w:r>
    </w:p>
    <w:p w14:paraId="19D41312">
      <w:pPr>
        <w:pStyle w:val="24"/>
        <w:ind w:firstLine="480"/>
        <w:rPr>
          <w:rFonts w:hint="eastAsia" w:hAnsi="宋体" w:cs="宋体"/>
          <w:highlight w:val="none"/>
        </w:rPr>
      </w:pPr>
      <w:r>
        <w:rPr>
          <w:rFonts w:hint="eastAsia" w:hAnsi="宋体" w:cs="宋体"/>
          <w:highlight w:val="none"/>
        </w:rPr>
        <w:t xml:space="preserve">3.3.4.1 </w:t>
      </w:r>
    </w:p>
    <w:p w14:paraId="77EC6909">
      <w:pPr>
        <w:pStyle w:val="24"/>
        <w:ind w:firstLine="480"/>
        <w:rPr>
          <w:rFonts w:hint="eastAsia" w:hAnsi="宋体" w:cs="宋体"/>
          <w:highlight w:val="none"/>
        </w:rPr>
      </w:pPr>
      <w:r>
        <w:rPr>
          <w:rFonts w:hint="eastAsia" w:hAnsi="宋体" w:cs="宋体"/>
          <w:highlight w:val="none"/>
        </w:rPr>
        <w:t>住宅标准层及地下室前室的消火栓箱选用带灭火器和消火栓的组合式消防箱，尺寸统一按700宽X 1800高X 240厚（受户型影响时，可选用薄型），参照国标图集15S202《室内消火栓安装》第21页。</w:t>
      </w:r>
    </w:p>
    <w:p w14:paraId="438673C2">
      <w:pPr>
        <w:pStyle w:val="24"/>
        <w:ind w:firstLine="480"/>
        <w:rPr>
          <w:rFonts w:hint="eastAsia" w:hAnsi="宋体" w:cs="宋体"/>
          <w:highlight w:val="none"/>
        </w:rPr>
      </w:pPr>
      <w:r>
        <w:rPr>
          <w:rFonts w:hint="eastAsia" w:hAnsi="宋体" w:cs="宋体"/>
          <w:highlight w:val="none"/>
        </w:rPr>
        <w:t>地下车库区域选用消火栓与灭火器分别独立设置的方式。消火栓箱尺寸统一按</w:t>
      </w:r>
      <w:r>
        <w:rPr>
          <w:rFonts w:hAnsi="宋体" w:cs="宋体"/>
          <w:highlight w:val="none"/>
        </w:rPr>
        <w:t>650宽X800高X240厚，参照国标图集15S202《室内消火栓安装》第8页。</w:t>
      </w:r>
    </w:p>
    <w:p w14:paraId="1813AC20">
      <w:pPr>
        <w:pStyle w:val="24"/>
        <w:ind w:firstLine="480"/>
        <w:rPr>
          <w:rFonts w:hint="eastAsia" w:hAnsi="宋体" w:cs="宋体"/>
          <w:highlight w:val="none"/>
        </w:rPr>
      </w:pPr>
      <w:r>
        <w:rPr>
          <w:rFonts w:hint="eastAsia" w:hAnsi="宋体" w:cs="宋体"/>
          <w:highlight w:val="none"/>
        </w:rPr>
        <w:t>3.3.4.2 地上住宅部分按轻危险级配置手提式磷酸铵盐干粉灭火器MF/ABC1，地上裙房部分按中危险级配置手提式磷酸铵盐干粉灭火器MF/ABC3，地下充电桩车库区域按严重危险级配置手提式磷酸铵盐干粉灭火器MF/ABC5。充电桩基础设施附近，配置灭火剂充装量不小于60L的推车式水基型灭火器。地下普通机动和非机动车库，高低压配电房等设备用房按中危险级配置手提式或推车式磷酸铵盐干粉灭火器。</w:t>
      </w:r>
    </w:p>
    <w:p w14:paraId="45BF0883">
      <w:pPr>
        <w:pStyle w:val="24"/>
        <w:ind w:firstLine="480"/>
        <w:rPr>
          <w:rFonts w:hint="eastAsia" w:hAnsi="宋体" w:cs="宋体"/>
          <w:highlight w:val="none"/>
        </w:rPr>
      </w:pPr>
      <w:r>
        <w:rPr>
          <w:rFonts w:hint="eastAsia" w:hAnsi="宋体" w:cs="宋体"/>
          <w:highlight w:val="none"/>
        </w:rPr>
        <w:t>3.3.4.3 消防水泵采用球墨铸铁泵体和S30408不锈钢叶轮。</w:t>
      </w:r>
    </w:p>
    <w:p w14:paraId="4CB66EF8">
      <w:pPr>
        <w:pStyle w:val="24"/>
        <w:ind w:firstLine="480"/>
        <w:rPr>
          <w:rFonts w:hint="eastAsia" w:hAnsi="宋体" w:cs="宋体"/>
          <w:highlight w:val="none"/>
        </w:rPr>
      </w:pPr>
      <w:r>
        <w:rPr>
          <w:rFonts w:hint="eastAsia" w:hAnsi="宋体" w:cs="宋体"/>
          <w:highlight w:val="none"/>
        </w:rPr>
        <w:t>3.3.4.4 消防给水管管材选用清单表</w:t>
      </w:r>
    </w:p>
    <w:tbl>
      <w:tblPr>
        <w:tblStyle w:val="42"/>
        <w:tblpPr w:leftFromText="180" w:rightFromText="180" w:vertAnchor="text" w:horzAnchor="page" w:tblpXSpec="center" w:tblpY="143"/>
        <w:tblOverlap w:val="never"/>
        <w:tblW w:w="8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
        <w:gridCol w:w="950"/>
        <w:gridCol w:w="2416"/>
        <w:gridCol w:w="1684"/>
        <w:gridCol w:w="1683"/>
        <w:gridCol w:w="1195"/>
      </w:tblGrid>
      <w:tr w14:paraId="5849B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8" w:type="dxa"/>
            <w:vAlign w:val="center"/>
          </w:tcPr>
          <w:p w14:paraId="0DCBF0B8">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编号</w:t>
            </w:r>
          </w:p>
        </w:tc>
        <w:tc>
          <w:tcPr>
            <w:tcW w:w="950" w:type="dxa"/>
            <w:vAlign w:val="center"/>
          </w:tcPr>
          <w:p w14:paraId="63DE8767">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项目</w:t>
            </w:r>
          </w:p>
        </w:tc>
        <w:tc>
          <w:tcPr>
            <w:tcW w:w="2416" w:type="dxa"/>
            <w:vAlign w:val="center"/>
          </w:tcPr>
          <w:p w14:paraId="6AFD5BF9">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适用条件</w:t>
            </w:r>
          </w:p>
        </w:tc>
        <w:tc>
          <w:tcPr>
            <w:tcW w:w="1684" w:type="dxa"/>
            <w:vAlign w:val="center"/>
          </w:tcPr>
          <w:p w14:paraId="14BE4C55">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管材选择</w:t>
            </w:r>
          </w:p>
        </w:tc>
        <w:tc>
          <w:tcPr>
            <w:tcW w:w="1683" w:type="dxa"/>
            <w:vAlign w:val="center"/>
          </w:tcPr>
          <w:p w14:paraId="63830981">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连接形式</w:t>
            </w:r>
          </w:p>
        </w:tc>
        <w:tc>
          <w:tcPr>
            <w:tcW w:w="1195" w:type="dxa"/>
            <w:vAlign w:val="center"/>
          </w:tcPr>
          <w:p w14:paraId="351095A5">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备注</w:t>
            </w:r>
          </w:p>
        </w:tc>
      </w:tr>
      <w:tr w14:paraId="3F407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8" w:type="dxa"/>
            <w:vAlign w:val="center"/>
          </w:tcPr>
          <w:p w14:paraId="1F10A9AD">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1</w:t>
            </w:r>
          </w:p>
        </w:tc>
        <w:tc>
          <w:tcPr>
            <w:tcW w:w="950" w:type="dxa"/>
            <w:vAlign w:val="center"/>
          </w:tcPr>
          <w:p w14:paraId="5D4A09F8">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室外埋地管道</w:t>
            </w:r>
          </w:p>
        </w:tc>
        <w:tc>
          <w:tcPr>
            <w:tcW w:w="2416" w:type="dxa"/>
            <w:vAlign w:val="center"/>
          </w:tcPr>
          <w:p w14:paraId="7C6D4ACD">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系统工作压力≤1.6MP</w:t>
            </w:r>
          </w:p>
        </w:tc>
        <w:tc>
          <w:tcPr>
            <w:tcW w:w="1684" w:type="dxa"/>
            <w:vAlign w:val="center"/>
          </w:tcPr>
          <w:p w14:paraId="07DBA744">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钢丝网骨架PE给水管</w:t>
            </w:r>
          </w:p>
        </w:tc>
        <w:tc>
          <w:tcPr>
            <w:tcW w:w="1683" w:type="dxa"/>
            <w:vAlign w:val="center"/>
          </w:tcPr>
          <w:p w14:paraId="10AC9ADF">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电热熔接口</w:t>
            </w:r>
          </w:p>
        </w:tc>
        <w:tc>
          <w:tcPr>
            <w:tcW w:w="1195" w:type="dxa"/>
            <w:vAlign w:val="center"/>
          </w:tcPr>
          <w:p w14:paraId="48BE1535">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在消防车道下时应设置保护套管</w:t>
            </w:r>
          </w:p>
        </w:tc>
      </w:tr>
      <w:tr w14:paraId="0806A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8" w:type="dxa"/>
            <w:vMerge w:val="restart"/>
            <w:vAlign w:val="center"/>
          </w:tcPr>
          <w:p w14:paraId="26D2D722">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2</w:t>
            </w:r>
          </w:p>
        </w:tc>
        <w:tc>
          <w:tcPr>
            <w:tcW w:w="950" w:type="dxa"/>
            <w:vMerge w:val="restart"/>
            <w:vAlign w:val="center"/>
          </w:tcPr>
          <w:p w14:paraId="0193F2D2">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架空管道</w:t>
            </w:r>
          </w:p>
        </w:tc>
        <w:tc>
          <w:tcPr>
            <w:tcW w:w="2416" w:type="dxa"/>
            <w:vAlign w:val="center"/>
          </w:tcPr>
          <w:p w14:paraId="23D70FFF">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系统工作压力≤1.2MPa</w:t>
            </w:r>
          </w:p>
        </w:tc>
        <w:tc>
          <w:tcPr>
            <w:tcW w:w="1684" w:type="dxa"/>
            <w:vAlign w:val="center"/>
          </w:tcPr>
          <w:p w14:paraId="0C8D7BD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热浸镀锌钢管</w:t>
            </w:r>
          </w:p>
        </w:tc>
        <w:tc>
          <w:tcPr>
            <w:tcW w:w="1683" w:type="dxa"/>
            <w:vMerge w:val="restart"/>
            <w:vAlign w:val="center"/>
          </w:tcPr>
          <w:p w14:paraId="2AD489B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DN≤50采用螺纹连接；DN&gt;50时采用卡箍连接</w:t>
            </w:r>
          </w:p>
        </w:tc>
        <w:tc>
          <w:tcPr>
            <w:tcW w:w="1195" w:type="dxa"/>
            <w:vAlign w:val="center"/>
          </w:tcPr>
          <w:p w14:paraId="36B2E4F7">
            <w:pPr>
              <w:pStyle w:val="80"/>
              <w:adjustRightInd w:val="0"/>
              <w:snapToGrid w:val="0"/>
              <w:ind w:firstLine="0" w:firstLineChars="0"/>
              <w:jc w:val="center"/>
              <w:rPr>
                <w:rFonts w:hint="eastAsia" w:ascii="宋体" w:hAnsi="宋体" w:cs="宋体"/>
                <w:highlight w:val="none"/>
              </w:rPr>
            </w:pPr>
          </w:p>
        </w:tc>
      </w:tr>
      <w:tr w14:paraId="75BD5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8" w:type="dxa"/>
            <w:vMerge w:val="continue"/>
            <w:vAlign w:val="center"/>
          </w:tcPr>
          <w:p w14:paraId="022F02C1">
            <w:pPr>
              <w:pStyle w:val="80"/>
              <w:adjustRightInd w:val="0"/>
              <w:snapToGrid w:val="0"/>
              <w:ind w:firstLine="0" w:firstLineChars="0"/>
              <w:jc w:val="center"/>
              <w:rPr>
                <w:rFonts w:hint="eastAsia" w:ascii="宋体" w:hAnsi="宋体" w:cs="宋体"/>
                <w:highlight w:val="none"/>
              </w:rPr>
            </w:pPr>
          </w:p>
        </w:tc>
        <w:tc>
          <w:tcPr>
            <w:tcW w:w="950" w:type="dxa"/>
            <w:vMerge w:val="continue"/>
            <w:vAlign w:val="center"/>
          </w:tcPr>
          <w:p w14:paraId="60894FB2">
            <w:pPr>
              <w:pStyle w:val="80"/>
              <w:adjustRightInd w:val="0"/>
              <w:snapToGrid w:val="0"/>
              <w:ind w:firstLine="0" w:firstLineChars="0"/>
              <w:jc w:val="center"/>
              <w:rPr>
                <w:rFonts w:hint="eastAsia" w:ascii="宋体" w:hAnsi="宋体" w:cs="宋体"/>
                <w:highlight w:val="none"/>
              </w:rPr>
            </w:pPr>
          </w:p>
        </w:tc>
        <w:tc>
          <w:tcPr>
            <w:tcW w:w="2416" w:type="dxa"/>
            <w:vAlign w:val="center"/>
          </w:tcPr>
          <w:p w14:paraId="0EC3589B">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系统工作压力＞1.2MPa且≤1.6MPa</w:t>
            </w:r>
          </w:p>
        </w:tc>
        <w:tc>
          <w:tcPr>
            <w:tcW w:w="1684" w:type="dxa"/>
            <w:vAlign w:val="center"/>
          </w:tcPr>
          <w:p w14:paraId="772ADCDD">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热浸镀锌加厚钢管</w:t>
            </w:r>
          </w:p>
        </w:tc>
        <w:tc>
          <w:tcPr>
            <w:tcW w:w="1683" w:type="dxa"/>
            <w:vMerge w:val="continue"/>
            <w:vAlign w:val="center"/>
          </w:tcPr>
          <w:p w14:paraId="42681115">
            <w:pPr>
              <w:pStyle w:val="80"/>
              <w:adjustRightInd w:val="0"/>
              <w:snapToGrid w:val="0"/>
              <w:ind w:firstLine="0" w:firstLineChars="0"/>
              <w:jc w:val="center"/>
              <w:rPr>
                <w:rFonts w:hint="eastAsia" w:ascii="宋体" w:hAnsi="宋体" w:cs="宋体"/>
                <w:highlight w:val="none"/>
              </w:rPr>
            </w:pPr>
          </w:p>
        </w:tc>
        <w:tc>
          <w:tcPr>
            <w:tcW w:w="1195" w:type="dxa"/>
            <w:vAlign w:val="center"/>
          </w:tcPr>
          <w:p w14:paraId="2D6423C7">
            <w:pPr>
              <w:pStyle w:val="80"/>
              <w:adjustRightInd w:val="0"/>
              <w:snapToGrid w:val="0"/>
              <w:ind w:firstLine="0" w:firstLineChars="0"/>
              <w:jc w:val="center"/>
              <w:rPr>
                <w:rFonts w:hint="eastAsia" w:ascii="宋体" w:hAnsi="宋体" w:cs="宋体"/>
                <w:highlight w:val="none"/>
              </w:rPr>
            </w:pPr>
          </w:p>
        </w:tc>
      </w:tr>
      <w:tr w14:paraId="4236F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8" w:type="dxa"/>
            <w:vMerge w:val="continue"/>
            <w:vAlign w:val="center"/>
          </w:tcPr>
          <w:p w14:paraId="7BF013C6">
            <w:pPr>
              <w:pStyle w:val="80"/>
              <w:adjustRightInd w:val="0"/>
              <w:snapToGrid w:val="0"/>
              <w:ind w:firstLine="0" w:firstLineChars="0"/>
              <w:jc w:val="center"/>
              <w:rPr>
                <w:rFonts w:hint="eastAsia" w:ascii="宋体" w:hAnsi="宋体" w:cs="宋体"/>
                <w:highlight w:val="none"/>
              </w:rPr>
            </w:pPr>
          </w:p>
        </w:tc>
        <w:tc>
          <w:tcPr>
            <w:tcW w:w="950" w:type="dxa"/>
            <w:vMerge w:val="continue"/>
            <w:vAlign w:val="center"/>
          </w:tcPr>
          <w:p w14:paraId="4433827F">
            <w:pPr>
              <w:pStyle w:val="80"/>
              <w:adjustRightInd w:val="0"/>
              <w:snapToGrid w:val="0"/>
              <w:ind w:firstLine="0" w:firstLineChars="0"/>
              <w:jc w:val="center"/>
              <w:rPr>
                <w:rFonts w:hint="eastAsia" w:ascii="宋体" w:hAnsi="宋体" w:cs="宋体"/>
                <w:highlight w:val="none"/>
              </w:rPr>
            </w:pPr>
          </w:p>
        </w:tc>
        <w:tc>
          <w:tcPr>
            <w:tcW w:w="2416" w:type="dxa"/>
            <w:vAlign w:val="center"/>
          </w:tcPr>
          <w:p w14:paraId="07222DD0">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系统工作压力＞1.6MPa</w:t>
            </w:r>
          </w:p>
        </w:tc>
        <w:tc>
          <w:tcPr>
            <w:tcW w:w="1684" w:type="dxa"/>
            <w:vAlign w:val="center"/>
          </w:tcPr>
          <w:p w14:paraId="454438B6">
            <w:pPr>
              <w:pStyle w:val="80"/>
              <w:adjustRightInd w:val="0"/>
              <w:snapToGrid w:val="0"/>
              <w:ind w:firstLine="0" w:firstLineChars="0"/>
              <w:jc w:val="center"/>
              <w:rPr>
                <w:rFonts w:hint="eastAsia" w:ascii="宋体" w:hAnsi="宋体" w:cs="宋体"/>
                <w:highlight w:val="none"/>
              </w:rPr>
            </w:pPr>
            <w:r>
              <w:rPr>
                <w:rFonts w:hint="eastAsia" w:ascii="宋体" w:hAnsi="宋体" w:cs="宋体"/>
                <w:highlight w:val="none"/>
              </w:rPr>
              <w:t>内外壁热浸镀锌无缝钢管</w:t>
            </w:r>
          </w:p>
        </w:tc>
        <w:tc>
          <w:tcPr>
            <w:tcW w:w="1683" w:type="dxa"/>
            <w:vMerge w:val="continue"/>
            <w:vAlign w:val="center"/>
          </w:tcPr>
          <w:p w14:paraId="65408824">
            <w:pPr>
              <w:pStyle w:val="80"/>
              <w:adjustRightInd w:val="0"/>
              <w:snapToGrid w:val="0"/>
              <w:ind w:firstLine="0" w:firstLineChars="0"/>
              <w:jc w:val="center"/>
              <w:rPr>
                <w:rFonts w:hint="eastAsia" w:ascii="宋体" w:hAnsi="宋体" w:cs="宋体"/>
                <w:highlight w:val="none"/>
              </w:rPr>
            </w:pPr>
          </w:p>
        </w:tc>
        <w:tc>
          <w:tcPr>
            <w:tcW w:w="1195" w:type="dxa"/>
            <w:vAlign w:val="center"/>
          </w:tcPr>
          <w:p w14:paraId="77B3A7BD">
            <w:pPr>
              <w:pStyle w:val="80"/>
              <w:adjustRightInd w:val="0"/>
              <w:snapToGrid w:val="0"/>
              <w:ind w:firstLine="0" w:firstLineChars="0"/>
              <w:jc w:val="center"/>
              <w:rPr>
                <w:rFonts w:hint="eastAsia" w:ascii="宋体" w:hAnsi="宋体" w:cs="宋体"/>
                <w:highlight w:val="none"/>
              </w:rPr>
            </w:pPr>
          </w:p>
        </w:tc>
      </w:tr>
    </w:tbl>
    <w:p w14:paraId="5179A742">
      <w:pPr>
        <w:pStyle w:val="24"/>
        <w:ind w:firstLine="480"/>
        <w:rPr>
          <w:rFonts w:hint="eastAsia" w:hAnsi="宋体" w:cs="宋体"/>
          <w:highlight w:val="none"/>
        </w:rPr>
      </w:pPr>
    </w:p>
    <w:p w14:paraId="4312684B">
      <w:pPr>
        <w:pStyle w:val="24"/>
        <w:ind w:firstLine="0" w:firstLineChars="0"/>
        <w:rPr>
          <w:rFonts w:hint="eastAsia" w:hAnsi="宋体" w:cs="宋体"/>
          <w:highlight w:val="none"/>
        </w:rPr>
      </w:pPr>
    </w:p>
    <w:p w14:paraId="3437CC81">
      <w:pPr>
        <w:pStyle w:val="24"/>
        <w:ind w:firstLine="480"/>
        <w:rPr>
          <w:rFonts w:hint="eastAsia" w:hAnsi="宋体" w:cs="宋体"/>
          <w:highlight w:val="none"/>
        </w:rPr>
      </w:pPr>
      <w:r>
        <w:rPr>
          <w:rFonts w:hint="eastAsia" w:hAnsi="宋体" w:cs="宋体"/>
          <w:highlight w:val="none"/>
        </w:rPr>
        <w:t>3.3.4.5 阀门：消防水泵的吸水管和出水管上应设置明杆闸阀或带自锁装置的蝶阀。设置在室外阀门井内的阀门采用耐腐蚀的明杆闸阀或带启闭刻度的暗杆闸阀，其余架空管道全部采用带启闭刻度的暗杆闸阀，有信号源要求的场所采用信号闸阀。以上阀门均采用弹性座封。室内外均采用球墨铸铁阀体，S30408不锈钢阀芯、阀板、阀杆。阀门工作压力不低于系统的工作压力，且不低于1.6MPa。</w:t>
      </w:r>
    </w:p>
    <w:p w14:paraId="5BAD40BC">
      <w:pPr>
        <w:pStyle w:val="24"/>
        <w:widowControl/>
        <w:ind w:firstLine="480"/>
        <w:jc w:val="left"/>
        <w:textAlignment w:val="center"/>
        <w:rPr>
          <w:rFonts w:hint="eastAsia" w:hAnsi="宋体" w:cs="宋体"/>
          <w:highlight w:val="none"/>
        </w:rPr>
      </w:pPr>
      <w:r>
        <w:rPr>
          <w:rFonts w:hint="eastAsia" w:hAnsi="宋体" w:cs="宋体"/>
          <w:highlight w:val="none"/>
        </w:rPr>
        <w:t>3.3.5 平面布置</w:t>
      </w:r>
    </w:p>
    <w:p w14:paraId="20995E44">
      <w:pPr>
        <w:pStyle w:val="24"/>
        <w:ind w:firstLine="480"/>
        <w:rPr>
          <w:rFonts w:hint="eastAsia" w:hAnsi="宋体" w:cs="宋体"/>
          <w:highlight w:val="none"/>
        </w:rPr>
      </w:pPr>
      <w:r>
        <w:rPr>
          <w:rFonts w:hint="eastAsia" w:hAnsi="宋体" w:cs="宋体"/>
          <w:highlight w:val="none"/>
        </w:rPr>
        <w:t>3.3.5.1 应在户内设置1个给水总阀，优先放置在厨房洗菜盆下方橱柜内，其次放置在生活阳台、入户花园，应布置在可以操作的隐蔽位置。</w:t>
      </w:r>
    </w:p>
    <w:p w14:paraId="36C214BF">
      <w:pPr>
        <w:pStyle w:val="24"/>
        <w:ind w:firstLine="480"/>
        <w:rPr>
          <w:rFonts w:hint="eastAsia" w:hAnsi="宋体" w:cs="宋体"/>
          <w:highlight w:val="none"/>
        </w:rPr>
      </w:pPr>
      <w:r>
        <w:rPr>
          <w:rFonts w:hint="eastAsia" w:hAnsi="宋体" w:cs="宋体"/>
          <w:highlight w:val="none"/>
        </w:rPr>
        <w:t>3.3.5.2 户内给水管全部暗装。入户管管径应经水力计算选取，一卫一厨户型，建议取DN20；二卫一厨及以上户型，建议取DN25。</w:t>
      </w:r>
    </w:p>
    <w:p w14:paraId="4EA2A626">
      <w:pPr>
        <w:pStyle w:val="24"/>
        <w:ind w:firstLine="480"/>
        <w:rPr>
          <w:rFonts w:hint="eastAsia" w:hAnsi="宋体" w:cs="宋体"/>
          <w:highlight w:val="none"/>
        </w:rPr>
      </w:pPr>
      <w:r>
        <w:rPr>
          <w:rFonts w:hint="eastAsia" w:hAnsi="宋体" w:cs="宋体"/>
          <w:highlight w:val="none"/>
        </w:rPr>
        <w:t>3.3.5.3 住宅卫生间应采用同层排水，排水支管应结合室内装修进行隐蔽。</w:t>
      </w:r>
    </w:p>
    <w:p w14:paraId="50CCD393">
      <w:pPr>
        <w:pStyle w:val="24"/>
        <w:ind w:firstLine="480"/>
        <w:rPr>
          <w:rFonts w:hint="eastAsia" w:hAnsi="宋体" w:cs="宋体"/>
          <w:highlight w:val="none"/>
        </w:rPr>
      </w:pPr>
      <w:r>
        <w:rPr>
          <w:rFonts w:hint="eastAsia" w:hAnsi="宋体" w:cs="宋体"/>
          <w:highlight w:val="none"/>
        </w:rPr>
        <w:t>3.3.5.4 住宅卫生间设置沉箱时，沉箱应设置二次排水地漏。沉箱二次排水地漏（不设水封）接至DN50专用排水立管，在首层设置水封深度不小于50mm的存水弯并排至室外废水检查井。</w:t>
      </w:r>
    </w:p>
    <w:p w14:paraId="5CDD8B16">
      <w:pPr>
        <w:pStyle w:val="24"/>
        <w:ind w:firstLine="480"/>
        <w:rPr>
          <w:rFonts w:hint="eastAsia" w:hAnsi="宋体" w:cs="宋体"/>
          <w:highlight w:val="none"/>
        </w:rPr>
      </w:pPr>
      <w:r>
        <w:rPr>
          <w:rFonts w:hint="eastAsia" w:hAnsi="宋体" w:cs="宋体"/>
          <w:highlight w:val="none"/>
        </w:rPr>
        <w:t>3.3.5.5 住宅厨房洗菜盆排水支管采用DN50。</w:t>
      </w:r>
    </w:p>
    <w:p w14:paraId="3A2DBF48">
      <w:pPr>
        <w:pStyle w:val="24"/>
        <w:ind w:firstLine="480"/>
        <w:rPr>
          <w:rFonts w:hint="eastAsia" w:hAnsi="宋体" w:cs="宋体"/>
          <w:highlight w:val="none"/>
        </w:rPr>
      </w:pPr>
      <w:r>
        <w:rPr>
          <w:rFonts w:hint="eastAsia" w:hAnsi="宋体" w:cs="宋体"/>
          <w:highlight w:val="none"/>
        </w:rPr>
        <w:t>3.3.5.6 生活阳台、入户花园、主阳台应设置洗衣机专用给水龙头或取水龙头，并在阳台设一个DN20阀门和轻便消防水龙快速接口，参照国标图集15S202《室内消火栓安装》第50页。</w:t>
      </w:r>
    </w:p>
    <w:p w14:paraId="08100367">
      <w:pPr>
        <w:pStyle w:val="24"/>
        <w:ind w:firstLine="480"/>
        <w:rPr>
          <w:rFonts w:hint="eastAsia" w:hAnsi="宋体" w:cs="宋体"/>
          <w:highlight w:val="none"/>
        </w:rPr>
      </w:pPr>
      <w:r>
        <w:rPr>
          <w:rFonts w:hint="eastAsia" w:hAnsi="宋体" w:cs="宋体"/>
          <w:highlight w:val="none"/>
        </w:rPr>
        <w:t>3.3.5.7 生活阳台洗衣机排水及地面排水应接入废水立管，设置洗衣机的部位应设置能防止溢流和防干涸的洗衣机专用地漏。公共区水管井内设DN50无水封直通式地漏。</w:t>
      </w:r>
    </w:p>
    <w:p w14:paraId="695F3C84">
      <w:pPr>
        <w:pStyle w:val="24"/>
        <w:ind w:firstLine="480"/>
        <w:rPr>
          <w:rFonts w:hint="eastAsia" w:hAnsi="宋体" w:cs="宋体"/>
          <w:highlight w:val="none"/>
        </w:rPr>
      </w:pPr>
      <w:r>
        <w:rPr>
          <w:rFonts w:hint="eastAsia" w:hAnsi="宋体" w:cs="宋体"/>
          <w:highlight w:val="none"/>
        </w:rPr>
        <w:t>3.3.5.8 生活排水集水池中排水泵应设一台备用泵。用于收集地下车库冲洗地面排水的每个集水井内设2台排水泵，分水位投入，不设备用泵。地下室设备机房集水井除工作泵外，还应设备用泵。</w:t>
      </w:r>
      <w:r>
        <w:rPr>
          <w:rFonts w:hint="eastAsia"/>
          <w:highlight w:val="none"/>
        </w:rPr>
        <w:t>每个防火分区不超过</w:t>
      </w:r>
      <w:r>
        <w:rPr>
          <w:highlight w:val="none"/>
        </w:rPr>
        <w:t>3~4</w:t>
      </w:r>
      <w:r>
        <w:rPr>
          <w:rFonts w:hint="eastAsia"/>
          <w:highlight w:val="none"/>
        </w:rPr>
        <w:t>个集水井为宜。车库出入口集水井、电梯集水井、水泵房集水井按双水泵考虑。</w:t>
      </w:r>
    </w:p>
    <w:p w14:paraId="05A17357">
      <w:pPr>
        <w:pStyle w:val="24"/>
        <w:ind w:firstLine="480"/>
        <w:rPr>
          <w:rFonts w:hint="eastAsia" w:hAnsi="宋体" w:cs="宋体"/>
          <w:highlight w:val="none"/>
        </w:rPr>
      </w:pPr>
      <w:r>
        <w:rPr>
          <w:rFonts w:hint="eastAsia" w:hAnsi="宋体" w:cs="宋体"/>
          <w:highlight w:val="none"/>
        </w:rPr>
        <w:t>3.3.5.9 集水井尺寸及排水泵选型应经计算确定，下表仅供设计参考。</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6"/>
        <w:gridCol w:w="1553"/>
        <w:gridCol w:w="1061"/>
        <w:gridCol w:w="1436"/>
        <w:gridCol w:w="2466"/>
      </w:tblGrid>
      <w:tr w14:paraId="067B2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056" w:type="dxa"/>
            <w:gridSpan w:val="4"/>
            <w:vAlign w:val="center"/>
          </w:tcPr>
          <w:p w14:paraId="1DD28CDA">
            <w:pPr>
              <w:pStyle w:val="80"/>
              <w:adjustRightInd w:val="0"/>
              <w:snapToGrid w:val="0"/>
              <w:ind w:firstLine="0" w:firstLineChars="0"/>
              <w:jc w:val="center"/>
              <w:rPr>
                <w:rFonts w:hint="eastAsia" w:ascii="宋体" w:hAnsi="宋体" w:cs="宋体"/>
                <w:b/>
                <w:bCs/>
                <w:highlight w:val="none"/>
              </w:rPr>
            </w:pPr>
            <w:r>
              <w:rPr>
                <w:rFonts w:hint="eastAsia" w:ascii="宋体" w:hAnsi="宋体" w:cs="宋体"/>
                <w:b/>
                <w:bCs/>
                <w:highlight w:val="none"/>
              </w:rPr>
              <w:t>集水井明细表</w:t>
            </w:r>
          </w:p>
        </w:tc>
        <w:tc>
          <w:tcPr>
            <w:tcW w:w="2466" w:type="dxa"/>
            <w:vMerge w:val="restart"/>
            <w:vAlign w:val="center"/>
          </w:tcPr>
          <w:p w14:paraId="31723C2C">
            <w:pPr>
              <w:pStyle w:val="80"/>
              <w:adjustRightInd w:val="0"/>
              <w:snapToGrid w:val="0"/>
              <w:ind w:firstLine="0" w:firstLineChars="0"/>
              <w:jc w:val="center"/>
              <w:rPr>
                <w:b/>
                <w:highlight w:val="none"/>
              </w:rPr>
            </w:pPr>
            <w:r>
              <w:rPr>
                <w:rFonts w:hint="eastAsia"/>
                <w:b/>
                <w:highlight w:val="none"/>
              </w:rPr>
              <w:t>排水泵选型</w:t>
            </w:r>
          </w:p>
        </w:tc>
      </w:tr>
      <w:tr w14:paraId="67A39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06" w:type="dxa"/>
            <w:vAlign w:val="center"/>
          </w:tcPr>
          <w:p w14:paraId="3DA9DFBC">
            <w:pPr>
              <w:pStyle w:val="80"/>
              <w:adjustRightInd w:val="0"/>
              <w:snapToGrid w:val="0"/>
              <w:ind w:firstLine="0" w:firstLineChars="0"/>
              <w:jc w:val="center"/>
              <w:rPr>
                <w:b/>
                <w:highlight w:val="none"/>
              </w:rPr>
            </w:pPr>
            <w:r>
              <w:rPr>
                <w:rFonts w:hint="eastAsia"/>
                <w:b/>
                <w:highlight w:val="none"/>
              </w:rPr>
              <w:t>集水井类型</w:t>
            </w:r>
          </w:p>
        </w:tc>
        <w:tc>
          <w:tcPr>
            <w:tcW w:w="1553" w:type="dxa"/>
            <w:vAlign w:val="center"/>
          </w:tcPr>
          <w:p w14:paraId="38F90504">
            <w:pPr>
              <w:pStyle w:val="80"/>
              <w:adjustRightInd w:val="0"/>
              <w:snapToGrid w:val="0"/>
              <w:ind w:firstLine="0" w:firstLineChars="0"/>
              <w:jc w:val="center"/>
              <w:rPr>
                <w:b/>
                <w:highlight w:val="none"/>
              </w:rPr>
            </w:pPr>
            <w:r>
              <w:rPr>
                <w:rFonts w:hint="eastAsia"/>
                <w:b/>
                <w:highlight w:val="none"/>
              </w:rPr>
              <w:t>平面尺寸（mm）</w:t>
            </w:r>
          </w:p>
        </w:tc>
        <w:tc>
          <w:tcPr>
            <w:tcW w:w="1061" w:type="dxa"/>
            <w:vAlign w:val="center"/>
          </w:tcPr>
          <w:p w14:paraId="44423C80">
            <w:pPr>
              <w:pStyle w:val="80"/>
              <w:adjustRightInd w:val="0"/>
              <w:snapToGrid w:val="0"/>
              <w:ind w:firstLine="0" w:firstLineChars="0"/>
              <w:jc w:val="center"/>
              <w:rPr>
                <w:b/>
                <w:highlight w:val="none"/>
              </w:rPr>
            </w:pPr>
            <w:r>
              <w:rPr>
                <w:rFonts w:hint="eastAsia"/>
                <w:b/>
                <w:highlight w:val="none"/>
              </w:rPr>
              <w:t>井底标高</w:t>
            </w:r>
          </w:p>
        </w:tc>
        <w:tc>
          <w:tcPr>
            <w:tcW w:w="1436" w:type="dxa"/>
            <w:vAlign w:val="center"/>
          </w:tcPr>
          <w:p w14:paraId="3C17D05E">
            <w:pPr>
              <w:pStyle w:val="80"/>
              <w:adjustRightInd w:val="0"/>
              <w:snapToGrid w:val="0"/>
              <w:ind w:firstLine="0" w:firstLineChars="0"/>
              <w:jc w:val="center"/>
              <w:rPr>
                <w:b/>
                <w:highlight w:val="none"/>
              </w:rPr>
            </w:pPr>
            <w:r>
              <w:rPr>
                <w:rFonts w:hint="eastAsia"/>
                <w:b/>
                <w:highlight w:val="none"/>
              </w:rPr>
              <w:t>备注</w:t>
            </w:r>
          </w:p>
        </w:tc>
        <w:tc>
          <w:tcPr>
            <w:tcW w:w="2466" w:type="dxa"/>
            <w:vMerge w:val="continue"/>
            <w:vAlign w:val="center"/>
          </w:tcPr>
          <w:p w14:paraId="78A18621">
            <w:pPr>
              <w:pStyle w:val="80"/>
              <w:adjustRightInd w:val="0"/>
              <w:snapToGrid w:val="0"/>
              <w:ind w:firstLine="0" w:firstLineChars="0"/>
              <w:jc w:val="center"/>
              <w:rPr>
                <w:rStyle w:val="81"/>
                <w:rFonts w:hint="eastAsia" w:ascii="宋体" w:hAnsi="宋体" w:cs="宋体"/>
                <w:b/>
                <w:bCs/>
                <w:highlight w:val="none"/>
              </w:rPr>
            </w:pPr>
          </w:p>
        </w:tc>
      </w:tr>
      <w:tr w14:paraId="24342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06" w:type="dxa"/>
            <w:vAlign w:val="center"/>
          </w:tcPr>
          <w:p w14:paraId="0970BE8E">
            <w:pPr>
              <w:pStyle w:val="80"/>
              <w:adjustRightInd w:val="0"/>
              <w:snapToGrid w:val="0"/>
              <w:ind w:firstLine="0" w:firstLineChars="0"/>
              <w:jc w:val="center"/>
              <w:rPr>
                <w:highlight w:val="none"/>
              </w:rPr>
            </w:pPr>
            <w:r>
              <w:rPr>
                <w:rFonts w:hint="eastAsia"/>
                <w:highlight w:val="none"/>
              </w:rPr>
              <w:t>地下车库普通集水井、发电机房集水井</w:t>
            </w:r>
          </w:p>
        </w:tc>
        <w:tc>
          <w:tcPr>
            <w:tcW w:w="1553" w:type="dxa"/>
            <w:vAlign w:val="center"/>
          </w:tcPr>
          <w:p w14:paraId="454B142B">
            <w:pPr>
              <w:pStyle w:val="80"/>
              <w:adjustRightInd w:val="0"/>
              <w:snapToGrid w:val="0"/>
              <w:ind w:firstLine="0" w:firstLineChars="0"/>
              <w:jc w:val="center"/>
              <w:rPr>
                <w:highlight w:val="none"/>
              </w:rPr>
            </w:pPr>
            <w:r>
              <w:rPr>
                <w:rFonts w:hint="eastAsia"/>
                <w:highlight w:val="none"/>
              </w:rPr>
              <w:t>1200×1200</w:t>
            </w:r>
          </w:p>
        </w:tc>
        <w:tc>
          <w:tcPr>
            <w:tcW w:w="1061" w:type="dxa"/>
            <w:vAlign w:val="center"/>
          </w:tcPr>
          <w:p w14:paraId="6C519381">
            <w:pPr>
              <w:pStyle w:val="80"/>
              <w:adjustRightInd w:val="0"/>
              <w:snapToGrid w:val="0"/>
              <w:ind w:firstLine="0" w:firstLineChars="0"/>
              <w:jc w:val="center"/>
              <w:rPr>
                <w:highlight w:val="none"/>
              </w:rPr>
            </w:pPr>
            <w:r>
              <w:rPr>
                <w:rFonts w:hint="eastAsia"/>
                <w:highlight w:val="none"/>
              </w:rPr>
              <w:t>H-1.20m</w:t>
            </w:r>
          </w:p>
        </w:tc>
        <w:tc>
          <w:tcPr>
            <w:tcW w:w="1436" w:type="dxa"/>
            <w:vMerge w:val="restart"/>
            <w:vAlign w:val="center"/>
          </w:tcPr>
          <w:p w14:paraId="1094AC8F">
            <w:pPr>
              <w:pStyle w:val="80"/>
              <w:adjustRightInd w:val="0"/>
              <w:snapToGrid w:val="0"/>
              <w:ind w:firstLine="0" w:firstLineChars="0"/>
              <w:jc w:val="center"/>
              <w:rPr>
                <w:highlight w:val="none"/>
              </w:rPr>
            </w:pPr>
            <w:r>
              <w:rPr>
                <w:rFonts w:hint="eastAsia"/>
                <w:highlight w:val="none"/>
              </w:rPr>
              <w:t>H为建筑完成面标高</w:t>
            </w:r>
          </w:p>
        </w:tc>
        <w:tc>
          <w:tcPr>
            <w:tcW w:w="2466" w:type="dxa"/>
            <w:vAlign w:val="center"/>
          </w:tcPr>
          <w:p w14:paraId="32ACA49F">
            <w:pPr>
              <w:pStyle w:val="80"/>
              <w:adjustRightInd w:val="0"/>
              <w:snapToGrid w:val="0"/>
              <w:ind w:firstLine="0" w:firstLineChars="0"/>
              <w:jc w:val="center"/>
              <w:rPr>
                <w:highlight w:val="none"/>
              </w:rPr>
            </w:pPr>
            <w:r>
              <w:rPr>
                <w:rFonts w:hint="eastAsia"/>
                <w:highlight w:val="none"/>
              </w:rPr>
              <w:t>Q=15m3/h，H=15m（地下一层）,H=20m（地下二层）</w:t>
            </w:r>
          </w:p>
        </w:tc>
      </w:tr>
      <w:tr w14:paraId="180E9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06" w:type="dxa"/>
            <w:vAlign w:val="center"/>
          </w:tcPr>
          <w:p w14:paraId="7F5055F5">
            <w:pPr>
              <w:pStyle w:val="80"/>
              <w:adjustRightInd w:val="0"/>
              <w:snapToGrid w:val="0"/>
              <w:ind w:firstLine="0" w:firstLineChars="0"/>
              <w:jc w:val="center"/>
              <w:rPr>
                <w:highlight w:val="none"/>
              </w:rPr>
            </w:pPr>
            <w:r>
              <w:rPr>
                <w:rFonts w:hint="eastAsia"/>
                <w:highlight w:val="none"/>
              </w:rPr>
              <w:t>生活、消防泵房、车道入口集水井</w:t>
            </w:r>
          </w:p>
        </w:tc>
        <w:tc>
          <w:tcPr>
            <w:tcW w:w="1553" w:type="dxa"/>
            <w:vAlign w:val="center"/>
          </w:tcPr>
          <w:p w14:paraId="47FE8A32">
            <w:pPr>
              <w:pStyle w:val="80"/>
              <w:adjustRightInd w:val="0"/>
              <w:snapToGrid w:val="0"/>
              <w:ind w:firstLine="0" w:firstLineChars="0"/>
              <w:jc w:val="center"/>
              <w:rPr>
                <w:highlight w:val="none"/>
              </w:rPr>
            </w:pPr>
            <w:r>
              <w:rPr>
                <w:rFonts w:hint="eastAsia"/>
                <w:highlight w:val="none"/>
              </w:rPr>
              <w:t>1500×1500</w:t>
            </w:r>
          </w:p>
        </w:tc>
        <w:tc>
          <w:tcPr>
            <w:tcW w:w="1061" w:type="dxa"/>
            <w:vAlign w:val="center"/>
          </w:tcPr>
          <w:p w14:paraId="0B08731D">
            <w:pPr>
              <w:pStyle w:val="80"/>
              <w:adjustRightInd w:val="0"/>
              <w:snapToGrid w:val="0"/>
              <w:ind w:firstLine="0" w:firstLineChars="0"/>
              <w:jc w:val="center"/>
              <w:rPr>
                <w:highlight w:val="none"/>
              </w:rPr>
            </w:pPr>
            <w:r>
              <w:rPr>
                <w:rFonts w:hint="eastAsia"/>
                <w:highlight w:val="none"/>
              </w:rPr>
              <w:t>H-1.50m</w:t>
            </w:r>
          </w:p>
        </w:tc>
        <w:tc>
          <w:tcPr>
            <w:tcW w:w="1436" w:type="dxa"/>
            <w:vMerge w:val="continue"/>
            <w:vAlign w:val="center"/>
          </w:tcPr>
          <w:p w14:paraId="5E34D5EE">
            <w:pPr>
              <w:pStyle w:val="80"/>
              <w:adjustRightInd w:val="0"/>
              <w:snapToGrid w:val="0"/>
              <w:ind w:firstLine="0" w:firstLineChars="0"/>
              <w:jc w:val="center"/>
              <w:rPr>
                <w:highlight w:val="none"/>
              </w:rPr>
            </w:pPr>
          </w:p>
        </w:tc>
        <w:tc>
          <w:tcPr>
            <w:tcW w:w="2466" w:type="dxa"/>
            <w:vAlign w:val="center"/>
          </w:tcPr>
          <w:p w14:paraId="2C0006B8">
            <w:pPr>
              <w:pStyle w:val="80"/>
              <w:adjustRightInd w:val="0"/>
              <w:snapToGrid w:val="0"/>
              <w:ind w:firstLine="0" w:firstLineChars="0"/>
              <w:jc w:val="center"/>
              <w:rPr>
                <w:highlight w:val="none"/>
              </w:rPr>
            </w:pPr>
            <w:r>
              <w:rPr>
                <w:rFonts w:hint="eastAsia"/>
                <w:highlight w:val="none"/>
              </w:rPr>
              <w:t>Q=40m3/h，H=15m（地下一层）,H=20m（地下二层）</w:t>
            </w:r>
          </w:p>
        </w:tc>
      </w:tr>
      <w:tr w14:paraId="6CF0F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06" w:type="dxa"/>
            <w:vAlign w:val="center"/>
          </w:tcPr>
          <w:p w14:paraId="0228EA92">
            <w:pPr>
              <w:pStyle w:val="80"/>
              <w:adjustRightInd w:val="0"/>
              <w:snapToGrid w:val="0"/>
              <w:ind w:firstLine="0" w:firstLineChars="0"/>
              <w:jc w:val="center"/>
              <w:rPr>
                <w:highlight w:val="none"/>
              </w:rPr>
            </w:pPr>
            <w:r>
              <w:rPr>
                <w:rFonts w:hint="eastAsia"/>
                <w:highlight w:val="none"/>
              </w:rPr>
              <w:t>消防电梯集水井</w:t>
            </w:r>
          </w:p>
        </w:tc>
        <w:tc>
          <w:tcPr>
            <w:tcW w:w="1553" w:type="dxa"/>
            <w:vAlign w:val="center"/>
          </w:tcPr>
          <w:p w14:paraId="76BB9889">
            <w:pPr>
              <w:pStyle w:val="80"/>
              <w:adjustRightInd w:val="0"/>
              <w:snapToGrid w:val="0"/>
              <w:ind w:firstLine="0" w:firstLineChars="0"/>
              <w:jc w:val="center"/>
              <w:rPr>
                <w:highlight w:val="none"/>
              </w:rPr>
            </w:pPr>
            <w:r>
              <w:rPr>
                <w:rFonts w:hint="eastAsia"/>
                <w:highlight w:val="none"/>
              </w:rPr>
              <w:t>1500×1500</w:t>
            </w:r>
          </w:p>
        </w:tc>
        <w:tc>
          <w:tcPr>
            <w:tcW w:w="1061" w:type="dxa"/>
            <w:vAlign w:val="center"/>
          </w:tcPr>
          <w:p w14:paraId="15D7B423">
            <w:pPr>
              <w:pStyle w:val="80"/>
              <w:adjustRightInd w:val="0"/>
              <w:snapToGrid w:val="0"/>
              <w:ind w:firstLine="0" w:firstLineChars="0"/>
              <w:jc w:val="center"/>
              <w:rPr>
                <w:highlight w:val="none"/>
              </w:rPr>
            </w:pPr>
            <w:r>
              <w:rPr>
                <w:rFonts w:hint="eastAsia"/>
                <w:highlight w:val="none"/>
              </w:rPr>
              <w:t>H-1.20m</w:t>
            </w:r>
          </w:p>
        </w:tc>
        <w:tc>
          <w:tcPr>
            <w:tcW w:w="1436" w:type="dxa"/>
            <w:vAlign w:val="center"/>
          </w:tcPr>
          <w:p w14:paraId="0F267092">
            <w:pPr>
              <w:pStyle w:val="80"/>
              <w:adjustRightInd w:val="0"/>
              <w:snapToGrid w:val="0"/>
              <w:ind w:firstLine="0" w:firstLineChars="0"/>
              <w:jc w:val="center"/>
              <w:rPr>
                <w:highlight w:val="none"/>
              </w:rPr>
            </w:pPr>
            <w:r>
              <w:rPr>
                <w:rFonts w:hint="eastAsia"/>
                <w:highlight w:val="none"/>
              </w:rPr>
              <w:t>H为消防电梯基坑底标高</w:t>
            </w:r>
          </w:p>
        </w:tc>
        <w:tc>
          <w:tcPr>
            <w:tcW w:w="2466" w:type="dxa"/>
            <w:vAlign w:val="center"/>
          </w:tcPr>
          <w:p w14:paraId="50B939F3">
            <w:pPr>
              <w:pStyle w:val="80"/>
              <w:adjustRightInd w:val="0"/>
              <w:snapToGrid w:val="0"/>
              <w:ind w:firstLine="0" w:firstLineChars="0"/>
              <w:jc w:val="center"/>
              <w:rPr>
                <w:highlight w:val="none"/>
              </w:rPr>
            </w:pPr>
            <w:r>
              <w:rPr>
                <w:rFonts w:hint="eastAsia"/>
                <w:highlight w:val="none"/>
              </w:rPr>
              <w:t>Q=40m3/h，H=15m（地下一层）,H=20m（地下二层）</w:t>
            </w:r>
          </w:p>
        </w:tc>
      </w:tr>
      <w:tr w14:paraId="25380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06" w:type="dxa"/>
            <w:vAlign w:val="center"/>
          </w:tcPr>
          <w:p w14:paraId="749479EE">
            <w:pPr>
              <w:pStyle w:val="80"/>
              <w:adjustRightInd w:val="0"/>
              <w:snapToGrid w:val="0"/>
              <w:ind w:firstLine="0" w:firstLineChars="0"/>
              <w:jc w:val="center"/>
              <w:rPr>
                <w:highlight w:val="none"/>
              </w:rPr>
            </w:pPr>
            <w:r>
              <w:rPr>
                <w:rFonts w:hint="eastAsia"/>
                <w:highlight w:val="none"/>
              </w:rPr>
              <w:t>人防车库内集水井</w:t>
            </w:r>
          </w:p>
        </w:tc>
        <w:tc>
          <w:tcPr>
            <w:tcW w:w="1553" w:type="dxa"/>
            <w:vAlign w:val="center"/>
          </w:tcPr>
          <w:p w14:paraId="7F168596">
            <w:pPr>
              <w:pStyle w:val="80"/>
              <w:adjustRightInd w:val="0"/>
              <w:snapToGrid w:val="0"/>
              <w:ind w:firstLine="0" w:firstLineChars="0"/>
              <w:jc w:val="center"/>
              <w:rPr>
                <w:highlight w:val="none"/>
              </w:rPr>
            </w:pPr>
            <w:r>
              <w:rPr>
                <w:rFonts w:hint="eastAsia"/>
                <w:highlight w:val="none"/>
              </w:rPr>
              <w:t>1500×1500</w:t>
            </w:r>
          </w:p>
        </w:tc>
        <w:tc>
          <w:tcPr>
            <w:tcW w:w="1061" w:type="dxa"/>
            <w:vAlign w:val="center"/>
          </w:tcPr>
          <w:p w14:paraId="1E0FBB83">
            <w:pPr>
              <w:pStyle w:val="80"/>
              <w:adjustRightInd w:val="0"/>
              <w:snapToGrid w:val="0"/>
              <w:ind w:firstLine="0" w:firstLineChars="0"/>
              <w:jc w:val="center"/>
              <w:rPr>
                <w:highlight w:val="none"/>
              </w:rPr>
            </w:pPr>
            <w:r>
              <w:rPr>
                <w:rFonts w:hint="eastAsia"/>
                <w:highlight w:val="none"/>
              </w:rPr>
              <w:t>H-1.50m</w:t>
            </w:r>
          </w:p>
        </w:tc>
        <w:tc>
          <w:tcPr>
            <w:tcW w:w="1436" w:type="dxa"/>
            <w:vAlign w:val="center"/>
          </w:tcPr>
          <w:p w14:paraId="5C995958">
            <w:pPr>
              <w:pStyle w:val="80"/>
              <w:adjustRightInd w:val="0"/>
              <w:snapToGrid w:val="0"/>
              <w:ind w:firstLine="0" w:firstLineChars="0"/>
              <w:jc w:val="center"/>
              <w:rPr>
                <w:highlight w:val="none"/>
              </w:rPr>
            </w:pPr>
            <w:r>
              <w:rPr>
                <w:rFonts w:hint="eastAsia"/>
                <w:highlight w:val="none"/>
              </w:rPr>
              <w:t>H为建筑完成面标高</w:t>
            </w:r>
          </w:p>
        </w:tc>
        <w:tc>
          <w:tcPr>
            <w:tcW w:w="2466" w:type="dxa"/>
            <w:vAlign w:val="center"/>
          </w:tcPr>
          <w:p w14:paraId="02056D20">
            <w:pPr>
              <w:pStyle w:val="80"/>
              <w:adjustRightInd w:val="0"/>
              <w:snapToGrid w:val="0"/>
              <w:ind w:firstLine="0" w:firstLineChars="0"/>
              <w:jc w:val="center"/>
              <w:rPr>
                <w:highlight w:val="none"/>
              </w:rPr>
            </w:pPr>
            <w:r>
              <w:rPr>
                <w:rFonts w:hint="eastAsia"/>
                <w:highlight w:val="none"/>
              </w:rPr>
              <w:t>Q=15m3/h，H=15m（地下一层）,H=20m（地下二层）</w:t>
            </w:r>
          </w:p>
        </w:tc>
      </w:tr>
    </w:tbl>
    <w:p w14:paraId="7104D184">
      <w:pPr>
        <w:pStyle w:val="24"/>
        <w:ind w:firstLine="480"/>
        <w:rPr>
          <w:rFonts w:hint="eastAsia" w:hAnsi="宋体" w:cs="宋体"/>
          <w:highlight w:val="none"/>
        </w:rPr>
      </w:pPr>
    </w:p>
    <w:p w14:paraId="60E6BB5F">
      <w:pPr>
        <w:pStyle w:val="24"/>
        <w:ind w:firstLine="480"/>
        <w:rPr>
          <w:rFonts w:hint="eastAsia" w:hAnsi="宋体" w:cs="宋体"/>
          <w:highlight w:val="none"/>
        </w:rPr>
      </w:pPr>
    </w:p>
    <w:p w14:paraId="0EAF269F">
      <w:pPr>
        <w:pStyle w:val="24"/>
        <w:ind w:firstLine="480"/>
        <w:rPr>
          <w:rFonts w:hint="eastAsia" w:hAnsi="宋体" w:cs="宋体"/>
          <w:highlight w:val="none"/>
        </w:rPr>
      </w:pPr>
    </w:p>
    <w:p w14:paraId="706965F2">
      <w:pPr>
        <w:pStyle w:val="24"/>
        <w:ind w:firstLine="480"/>
        <w:rPr>
          <w:rFonts w:hint="eastAsia" w:hAnsi="宋体" w:cs="宋体"/>
          <w:highlight w:val="none"/>
        </w:rPr>
      </w:pPr>
      <w:r>
        <w:rPr>
          <w:rFonts w:hint="eastAsia" w:hAnsi="宋体" w:cs="宋体"/>
          <w:highlight w:val="none"/>
        </w:rPr>
        <w:t>3.3.5.10给排水管道穿梁、墙及楼板时预埋套管的选用：</w:t>
      </w:r>
    </w:p>
    <w:tbl>
      <w:tblPr>
        <w:tblStyle w:val="42"/>
        <w:tblW w:w="862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Layout w:type="fixed"/>
        <w:tblCellMar>
          <w:top w:w="0" w:type="dxa"/>
          <w:left w:w="108" w:type="dxa"/>
          <w:bottom w:w="0" w:type="dxa"/>
          <w:right w:w="108" w:type="dxa"/>
        </w:tblCellMar>
      </w:tblPr>
      <w:tblGrid>
        <w:gridCol w:w="1158"/>
        <w:gridCol w:w="2015"/>
        <w:gridCol w:w="2571"/>
        <w:gridCol w:w="2884"/>
      </w:tblGrid>
      <w:tr w14:paraId="4A4F42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shd w:val="clear" w:color="auto" w:fill="FFFFFF"/>
            <w:vAlign w:val="center"/>
          </w:tcPr>
          <w:p w14:paraId="1678D9FF">
            <w:pPr>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管道类别</w:t>
            </w:r>
          </w:p>
        </w:tc>
        <w:tc>
          <w:tcPr>
            <w:tcW w:w="2015" w:type="dxa"/>
            <w:shd w:val="clear" w:color="auto" w:fill="FFFFFF"/>
            <w:vAlign w:val="center"/>
          </w:tcPr>
          <w:p w14:paraId="354FC076">
            <w:pPr>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穿越部位</w:t>
            </w:r>
          </w:p>
        </w:tc>
        <w:tc>
          <w:tcPr>
            <w:tcW w:w="2571" w:type="dxa"/>
            <w:shd w:val="clear" w:color="auto" w:fill="FFFFFF"/>
            <w:vAlign w:val="center"/>
          </w:tcPr>
          <w:p w14:paraId="4F974AE1">
            <w:pPr>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套管形式</w:t>
            </w:r>
          </w:p>
        </w:tc>
        <w:tc>
          <w:tcPr>
            <w:tcW w:w="2884" w:type="dxa"/>
            <w:shd w:val="clear" w:color="auto" w:fill="FFFFFF"/>
            <w:vAlign w:val="center"/>
          </w:tcPr>
          <w:p w14:paraId="7A2075AC">
            <w:pPr>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采用标准图号或具体做法</w:t>
            </w:r>
          </w:p>
        </w:tc>
      </w:tr>
      <w:tr w14:paraId="765144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vMerge w:val="restart"/>
            <w:shd w:val="clear" w:color="auto" w:fill="FFFFFF"/>
            <w:vAlign w:val="center"/>
          </w:tcPr>
          <w:p w14:paraId="5DC3252A">
            <w:pPr>
              <w:jc w:val="center"/>
              <w:rPr>
                <w:rFonts w:hint="eastAsia" w:ascii="宋体" w:hAnsi="宋体" w:eastAsia="宋体" w:cs="宋体"/>
                <w:color w:val="auto"/>
                <w:highlight w:val="none"/>
              </w:rPr>
            </w:pPr>
            <w:r>
              <w:rPr>
                <w:rFonts w:hint="eastAsia" w:ascii="宋体" w:hAnsi="宋体" w:eastAsia="宋体" w:cs="宋体"/>
                <w:color w:val="auto"/>
                <w:highlight w:val="none"/>
              </w:rPr>
              <w:t>给排水管道</w:t>
            </w:r>
          </w:p>
        </w:tc>
        <w:tc>
          <w:tcPr>
            <w:tcW w:w="2015" w:type="dxa"/>
            <w:shd w:val="clear" w:color="auto" w:fill="FFFFFF"/>
            <w:vAlign w:val="center"/>
          </w:tcPr>
          <w:p w14:paraId="2275A2E9">
            <w:pPr>
              <w:jc w:val="center"/>
              <w:rPr>
                <w:rFonts w:hint="eastAsia" w:ascii="宋体" w:hAnsi="宋体" w:eastAsia="宋体" w:cs="宋体"/>
                <w:color w:val="auto"/>
                <w:highlight w:val="none"/>
              </w:rPr>
            </w:pPr>
            <w:r>
              <w:rPr>
                <w:rFonts w:hint="eastAsia" w:ascii="宋体" w:hAnsi="宋体" w:eastAsia="宋体" w:cs="宋体"/>
                <w:color w:val="auto"/>
                <w:highlight w:val="none"/>
              </w:rPr>
              <w:t>楼板（仅给水管）、梁和剪力墙</w:t>
            </w:r>
          </w:p>
        </w:tc>
        <w:tc>
          <w:tcPr>
            <w:tcW w:w="2571" w:type="dxa"/>
            <w:shd w:val="clear" w:color="auto" w:fill="FFFFFF"/>
            <w:vAlign w:val="center"/>
          </w:tcPr>
          <w:p w14:paraId="15F798A4">
            <w:pPr>
              <w:jc w:val="center"/>
              <w:rPr>
                <w:rFonts w:hint="eastAsia" w:ascii="宋体" w:hAnsi="宋体" w:eastAsia="宋体" w:cs="宋体"/>
                <w:color w:val="auto"/>
                <w:highlight w:val="none"/>
              </w:rPr>
            </w:pPr>
            <w:r>
              <w:rPr>
                <w:rFonts w:hint="eastAsia" w:ascii="宋体" w:hAnsi="宋体" w:eastAsia="宋体" w:cs="宋体"/>
                <w:color w:val="auto"/>
                <w:highlight w:val="none"/>
              </w:rPr>
              <w:t>钢套管</w:t>
            </w:r>
          </w:p>
        </w:tc>
        <w:tc>
          <w:tcPr>
            <w:tcW w:w="2884" w:type="dxa"/>
            <w:shd w:val="clear" w:color="auto" w:fill="FFFFFF"/>
            <w:vAlign w:val="center"/>
          </w:tcPr>
          <w:p w14:paraId="56A796CE">
            <w:pPr>
              <w:jc w:val="center"/>
              <w:rPr>
                <w:rFonts w:hint="eastAsia" w:ascii="宋体" w:hAnsi="宋体" w:eastAsia="宋体" w:cs="宋体"/>
                <w:color w:val="auto"/>
                <w:highlight w:val="none"/>
              </w:rPr>
            </w:pPr>
            <w:r>
              <w:rPr>
                <w:rFonts w:hint="eastAsia" w:ascii="宋体" w:hAnsi="宋体" w:eastAsia="宋体" w:cs="宋体"/>
                <w:color w:val="auto"/>
                <w:highlight w:val="none"/>
              </w:rPr>
              <w:t>做法参考国标02S404和10S407-2及相关图集</w:t>
            </w:r>
          </w:p>
        </w:tc>
      </w:tr>
      <w:tr w14:paraId="52FA61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vMerge w:val="continue"/>
            <w:shd w:val="clear" w:color="auto" w:fill="FFFFFF"/>
            <w:vAlign w:val="center"/>
          </w:tcPr>
          <w:p w14:paraId="26C7C435">
            <w:pPr>
              <w:jc w:val="center"/>
              <w:rPr>
                <w:rFonts w:hint="eastAsia" w:ascii="宋体" w:hAnsi="宋体" w:eastAsia="宋体" w:cs="宋体"/>
                <w:color w:val="auto"/>
                <w:highlight w:val="none"/>
              </w:rPr>
            </w:pPr>
          </w:p>
        </w:tc>
        <w:tc>
          <w:tcPr>
            <w:tcW w:w="2015" w:type="dxa"/>
            <w:shd w:val="clear" w:color="auto" w:fill="FFFFFF"/>
            <w:vAlign w:val="center"/>
          </w:tcPr>
          <w:p w14:paraId="58BEF74D">
            <w:pPr>
              <w:jc w:val="center"/>
              <w:rPr>
                <w:rFonts w:hint="eastAsia" w:ascii="宋体" w:hAnsi="宋体" w:eastAsia="宋体" w:cs="宋体"/>
                <w:color w:val="auto"/>
                <w:highlight w:val="none"/>
              </w:rPr>
            </w:pPr>
            <w:r>
              <w:rPr>
                <w:rFonts w:hint="eastAsia" w:ascii="宋体" w:hAnsi="宋体" w:eastAsia="宋体" w:cs="宋体"/>
                <w:color w:val="auto"/>
                <w:highlight w:val="none"/>
              </w:rPr>
              <w:t>穿地下室外墙、穿卫生间侧壁、首层及以上管道穿室外墙体、穿屋面</w:t>
            </w:r>
          </w:p>
        </w:tc>
        <w:tc>
          <w:tcPr>
            <w:tcW w:w="2571" w:type="dxa"/>
            <w:shd w:val="clear" w:color="auto" w:fill="FFFFFF"/>
            <w:vAlign w:val="center"/>
          </w:tcPr>
          <w:p w14:paraId="31221AD7">
            <w:pPr>
              <w:jc w:val="center"/>
              <w:rPr>
                <w:rFonts w:hint="eastAsia" w:ascii="宋体" w:hAnsi="宋体" w:eastAsia="宋体" w:cs="宋体"/>
                <w:color w:val="auto"/>
                <w:highlight w:val="none"/>
              </w:rPr>
            </w:pPr>
            <w:r>
              <w:rPr>
                <w:rFonts w:hint="eastAsia" w:ascii="宋体" w:hAnsi="宋体" w:eastAsia="宋体" w:cs="宋体"/>
                <w:color w:val="auto"/>
                <w:highlight w:val="none"/>
              </w:rPr>
              <w:t>防水钢套管A型</w:t>
            </w:r>
          </w:p>
        </w:tc>
        <w:tc>
          <w:tcPr>
            <w:tcW w:w="2884" w:type="dxa"/>
            <w:shd w:val="clear" w:color="auto" w:fill="FFFFFF"/>
            <w:vAlign w:val="center"/>
          </w:tcPr>
          <w:p w14:paraId="046C8A18">
            <w:pPr>
              <w:jc w:val="center"/>
              <w:rPr>
                <w:rFonts w:hint="eastAsia" w:ascii="宋体" w:hAnsi="宋体" w:eastAsia="宋体" w:cs="宋体"/>
                <w:color w:val="auto"/>
                <w:highlight w:val="none"/>
              </w:rPr>
            </w:pPr>
            <w:r>
              <w:rPr>
                <w:rFonts w:hint="eastAsia" w:ascii="宋体" w:hAnsi="宋体" w:eastAsia="宋体" w:cs="宋体"/>
                <w:color w:val="auto"/>
                <w:highlight w:val="none"/>
              </w:rPr>
              <w:t>做法参考国标02S404和10S407-2及相关图集</w:t>
            </w:r>
          </w:p>
        </w:tc>
      </w:tr>
      <w:tr w14:paraId="170017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FFFFFF"/>
          <w:tblCellMar>
            <w:top w:w="0" w:type="dxa"/>
            <w:left w:w="108" w:type="dxa"/>
            <w:bottom w:w="0" w:type="dxa"/>
            <w:right w:w="108" w:type="dxa"/>
          </w:tblCellMar>
        </w:tblPrEx>
        <w:trPr>
          <w:trHeight w:val="45" w:hRule="atLeast"/>
          <w:jc w:val="center"/>
        </w:trPr>
        <w:tc>
          <w:tcPr>
            <w:tcW w:w="1158" w:type="dxa"/>
            <w:vMerge w:val="continue"/>
            <w:shd w:val="clear" w:color="auto" w:fill="FFFFFF"/>
            <w:vAlign w:val="center"/>
          </w:tcPr>
          <w:p w14:paraId="6A8DBAEA">
            <w:pPr>
              <w:jc w:val="center"/>
              <w:rPr>
                <w:rFonts w:hint="eastAsia" w:ascii="宋体" w:hAnsi="宋体" w:eastAsia="宋体" w:cs="宋体"/>
                <w:color w:val="auto"/>
                <w:highlight w:val="none"/>
              </w:rPr>
            </w:pPr>
          </w:p>
        </w:tc>
        <w:tc>
          <w:tcPr>
            <w:tcW w:w="2015" w:type="dxa"/>
            <w:shd w:val="clear" w:color="auto" w:fill="FFFFFF"/>
            <w:vAlign w:val="center"/>
          </w:tcPr>
          <w:p w14:paraId="5A488FF4">
            <w:pPr>
              <w:jc w:val="center"/>
              <w:rPr>
                <w:rFonts w:hint="eastAsia" w:ascii="宋体" w:hAnsi="宋体" w:eastAsia="宋体" w:cs="宋体"/>
                <w:color w:val="auto"/>
                <w:highlight w:val="none"/>
              </w:rPr>
            </w:pPr>
            <w:r>
              <w:rPr>
                <w:rFonts w:hint="eastAsia" w:ascii="宋体" w:hAnsi="宋体" w:eastAsia="宋体" w:cs="宋体"/>
                <w:color w:val="auto"/>
                <w:highlight w:val="none"/>
              </w:rPr>
              <w:t>穿卫生间侧壁、楼板</w:t>
            </w:r>
          </w:p>
        </w:tc>
        <w:tc>
          <w:tcPr>
            <w:tcW w:w="2571" w:type="dxa"/>
            <w:shd w:val="clear" w:color="auto" w:fill="FFFFFF"/>
            <w:vAlign w:val="center"/>
          </w:tcPr>
          <w:p w14:paraId="2CC76187">
            <w:pPr>
              <w:jc w:val="center"/>
              <w:rPr>
                <w:rFonts w:hint="eastAsia" w:ascii="宋体" w:hAnsi="宋体" w:eastAsia="宋体" w:cs="宋体"/>
                <w:color w:val="auto"/>
                <w:highlight w:val="none"/>
              </w:rPr>
            </w:pPr>
            <w:r>
              <w:rPr>
                <w:rFonts w:hint="eastAsia" w:ascii="宋体" w:hAnsi="宋体" w:eastAsia="宋体" w:cs="宋体"/>
                <w:color w:val="auto"/>
                <w:highlight w:val="none"/>
              </w:rPr>
              <w:t>防水钢套管A型</w:t>
            </w:r>
          </w:p>
        </w:tc>
        <w:tc>
          <w:tcPr>
            <w:tcW w:w="2884" w:type="dxa"/>
            <w:shd w:val="clear" w:color="auto" w:fill="FFFFFF"/>
            <w:vAlign w:val="center"/>
          </w:tcPr>
          <w:p w14:paraId="77F5425E">
            <w:pPr>
              <w:jc w:val="center"/>
              <w:rPr>
                <w:rFonts w:hint="eastAsia" w:ascii="宋体" w:hAnsi="宋体" w:eastAsia="宋体" w:cs="宋体"/>
                <w:color w:val="auto"/>
                <w:highlight w:val="none"/>
              </w:rPr>
            </w:pPr>
            <w:r>
              <w:rPr>
                <w:rFonts w:hint="eastAsia" w:ascii="宋体" w:hAnsi="宋体" w:eastAsia="宋体" w:cs="宋体"/>
                <w:color w:val="auto"/>
                <w:highlight w:val="none"/>
              </w:rPr>
              <w:t>做法参考国标02S404和14J914-2及相关图集</w:t>
            </w:r>
          </w:p>
        </w:tc>
      </w:tr>
      <w:tr w14:paraId="351FF2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vMerge w:val="continue"/>
            <w:shd w:val="clear" w:color="auto" w:fill="FFFFFF"/>
            <w:vAlign w:val="center"/>
          </w:tcPr>
          <w:p w14:paraId="79941206">
            <w:pPr>
              <w:jc w:val="center"/>
              <w:rPr>
                <w:rFonts w:hint="eastAsia" w:ascii="宋体" w:hAnsi="宋体" w:eastAsia="宋体" w:cs="宋体"/>
                <w:color w:val="auto"/>
                <w:highlight w:val="none"/>
              </w:rPr>
            </w:pPr>
          </w:p>
        </w:tc>
        <w:tc>
          <w:tcPr>
            <w:tcW w:w="2015" w:type="dxa"/>
            <w:shd w:val="clear" w:color="auto" w:fill="FFFFFF"/>
            <w:vAlign w:val="center"/>
          </w:tcPr>
          <w:p w14:paraId="40846AEA">
            <w:pPr>
              <w:jc w:val="center"/>
              <w:rPr>
                <w:rFonts w:hint="eastAsia" w:ascii="宋体" w:hAnsi="宋体" w:eastAsia="宋体" w:cs="宋体"/>
                <w:color w:val="auto"/>
                <w:highlight w:val="none"/>
              </w:rPr>
            </w:pPr>
            <w:r>
              <w:rPr>
                <w:rFonts w:hint="eastAsia" w:ascii="宋体" w:hAnsi="宋体" w:eastAsia="宋体" w:cs="宋体"/>
                <w:color w:val="auto"/>
                <w:highlight w:val="none"/>
              </w:rPr>
              <w:t>穿越人防围护结构</w:t>
            </w:r>
          </w:p>
        </w:tc>
        <w:tc>
          <w:tcPr>
            <w:tcW w:w="2571" w:type="dxa"/>
            <w:shd w:val="clear" w:color="auto" w:fill="FFFFFF"/>
            <w:vAlign w:val="center"/>
          </w:tcPr>
          <w:p w14:paraId="33065ADD">
            <w:pPr>
              <w:jc w:val="center"/>
              <w:rPr>
                <w:rFonts w:hint="eastAsia" w:ascii="宋体" w:hAnsi="宋体" w:eastAsia="宋体" w:cs="宋体"/>
                <w:color w:val="auto"/>
                <w:highlight w:val="none"/>
              </w:rPr>
            </w:pPr>
            <w:r>
              <w:rPr>
                <w:rFonts w:hint="eastAsia" w:ascii="宋体" w:hAnsi="宋体" w:eastAsia="宋体" w:cs="宋体"/>
                <w:color w:val="auto"/>
                <w:highlight w:val="none"/>
              </w:rPr>
              <w:t>刚性防水套管或外侧加防护挡板的刚性防水套管</w:t>
            </w:r>
          </w:p>
        </w:tc>
        <w:tc>
          <w:tcPr>
            <w:tcW w:w="2884" w:type="dxa"/>
            <w:shd w:val="clear" w:color="auto" w:fill="FFFFFF"/>
            <w:vAlign w:val="center"/>
          </w:tcPr>
          <w:p w14:paraId="15D8B18C">
            <w:pPr>
              <w:jc w:val="center"/>
              <w:rPr>
                <w:rFonts w:hint="eastAsia" w:ascii="宋体" w:hAnsi="宋体" w:eastAsia="宋体" w:cs="宋体"/>
                <w:color w:val="auto"/>
                <w:highlight w:val="none"/>
              </w:rPr>
            </w:pPr>
            <w:r>
              <w:rPr>
                <w:rFonts w:hint="eastAsia" w:ascii="宋体" w:hAnsi="宋体" w:eastAsia="宋体" w:cs="宋体"/>
                <w:color w:val="auto"/>
                <w:highlight w:val="none"/>
              </w:rPr>
              <w:t>做法按国标02S404和07FS02及相关图集</w:t>
            </w:r>
          </w:p>
        </w:tc>
      </w:tr>
      <w:tr w14:paraId="53DBF4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shd w:val="clear" w:color="auto" w:fill="FFFFFF"/>
            <w:vAlign w:val="center"/>
          </w:tcPr>
          <w:p w14:paraId="25A6B32D">
            <w:pPr>
              <w:jc w:val="center"/>
              <w:rPr>
                <w:rFonts w:hint="eastAsia" w:ascii="宋体" w:hAnsi="宋体" w:eastAsia="宋体" w:cs="宋体"/>
                <w:color w:val="auto"/>
                <w:highlight w:val="none"/>
              </w:rPr>
            </w:pPr>
            <w:r>
              <w:rPr>
                <w:rFonts w:hint="eastAsia" w:ascii="宋体" w:hAnsi="宋体" w:eastAsia="宋体" w:cs="宋体"/>
                <w:color w:val="auto"/>
                <w:highlight w:val="none"/>
              </w:rPr>
              <w:t>排水管（铸铁）</w:t>
            </w:r>
          </w:p>
        </w:tc>
        <w:tc>
          <w:tcPr>
            <w:tcW w:w="2015" w:type="dxa"/>
            <w:shd w:val="clear" w:color="auto" w:fill="FFFFFF"/>
            <w:vAlign w:val="center"/>
          </w:tcPr>
          <w:p w14:paraId="0734924E">
            <w:pPr>
              <w:jc w:val="center"/>
              <w:rPr>
                <w:rFonts w:hint="eastAsia" w:ascii="宋体" w:hAnsi="宋体" w:eastAsia="宋体" w:cs="宋体"/>
                <w:color w:val="auto"/>
                <w:highlight w:val="none"/>
              </w:rPr>
            </w:pPr>
            <w:r>
              <w:rPr>
                <w:rFonts w:hint="eastAsia" w:ascii="宋体" w:hAnsi="宋体" w:eastAsia="宋体" w:cs="宋体"/>
                <w:color w:val="auto"/>
                <w:highlight w:val="none"/>
              </w:rPr>
              <w:t>楼板</w:t>
            </w:r>
          </w:p>
        </w:tc>
        <w:tc>
          <w:tcPr>
            <w:tcW w:w="2571" w:type="dxa"/>
            <w:shd w:val="clear" w:color="auto" w:fill="FFFFFF"/>
            <w:vAlign w:val="center"/>
          </w:tcPr>
          <w:p w14:paraId="06DD5C5B">
            <w:pPr>
              <w:jc w:val="center"/>
              <w:rPr>
                <w:rFonts w:hint="eastAsia" w:ascii="宋体" w:hAnsi="宋体" w:eastAsia="宋体" w:cs="宋体"/>
                <w:color w:val="auto"/>
                <w:highlight w:val="none"/>
              </w:rPr>
            </w:pPr>
            <w:r>
              <w:rPr>
                <w:rFonts w:hint="eastAsia" w:ascii="宋体" w:hAnsi="宋体" w:eastAsia="宋体" w:cs="宋体"/>
                <w:color w:val="auto"/>
                <w:highlight w:val="none"/>
              </w:rPr>
              <w:t>钢套管、止水节</w:t>
            </w:r>
          </w:p>
        </w:tc>
        <w:tc>
          <w:tcPr>
            <w:tcW w:w="2884" w:type="dxa"/>
            <w:vMerge w:val="restart"/>
            <w:shd w:val="clear" w:color="auto" w:fill="FFFFFF"/>
            <w:vAlign w:val="center"/>
          </w:tcPr>
          <w:p w14:paraId="752CD45D">
            <w:pPr>
              <w:jc w:val="center"/>
              <w:rPr>
                <w:rFonts w:hint="eastAsia" w:ascii="宋体" w:hAnsi="宋体" w:eastAsia="宋体" w:cs="宋体"/>
                <w:color w:val="auto"/>
                <w:highlight w:val="none"/>
              </w:rPr>
            </w:pPr>
            <w:r>
              <w:rPr>
                <w:rFonts w:hint="eastAsia" w:ascii="宋体" w:hAnsi="宋体" w:eastAsia="宋体" w:cs="宋体"/>
                <w:color w:val="auto"/>
                <w:highlight w:val="none"/>
              </w:rPr>
              <w:t>管径大于DN100的排水管无止水节产品时，可用钢套管</w:t>
            </w:r>
          </w:p>
        </w:tc>
      </w:tr>
      <w:tr w14:paraId="25BBDC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 w:hRule="atLeast"/>
          <w:jc w:val="center"/>
        </w:trPr>
        <w:tc>
          <w:tcPr>
            <w:tcW w:w="1158" w:type="dxa"/>
            <w:shd w:val="clear" w:color="auto" w:fill="FFFFFF"/>
            <w:vAlign w:val="center"/>
          </w:tcPr>
          <w:p w14:paraId="3845E16B">
            <w:pPr>
              <w:jc w:val="center"/>
              <w:rPr>
                <w:rFonts w:hint="eastAsia" w:ascii="宋体" w:hAnsi="宋体" w:eastAsia="宋体" w:cs="宋体"/>
                <w:color w:val="auto"/>
                <w:highlight w:val="none"/>
              </w:rPr>
            </w:pPr>
            <w:r>
              <w:rPr>
                <w:rFonts w:hint="eastAsia" w:ascii="宋体" w:hAnsi="宋体" w:eastAsia="宋体" w:cs="宋体"/>
                <w:color w:val="auto"/>
                <w:highlight w:val="none"/>
              </w:rPr>
              <w:t>排水管（UPVC）</w:t>
            </w:r>
          </w:p>
        </w:tc>
        <w:tc>
          <w:tcPr>
            <w:tcW w:w="2015" w:type="dxa"/>
            <w:shd w:val="clear" w:color="auto" w:fill="FFFFFF"/>
            <w:vAlign w:val="center"/>
          </w:tcPr>
          <w:p w14:paraId="6BE5A088">
            <w:pPr>
              <w:jc w:val="center"/>
              <w:rPr>
                <w:rFonts w:hint="eastAsia" w:ascii="宋体" w:hAnsi="宋体" w:eastAsia="宋体" w:cs="宋体"/>
                <w:color w:val="auto"/>
                <w:highlight w:val="none"/>
              </w:rPr>
            </w:pPr>
            <w:r>
              <w:rPr>
                <w:rFonts w:hint="eastAsia" w:ascii="宋体" w:hAnsi="宋体" w:eastAsia="宋体" w:cs="宋体"/>
                <w:color w:val="auto"/>
                <w:highlight w:val="none"/>
              </w:rPr>
              <w:t>楼板</w:t>
            </w:r>
          </w:p>
        </w:tc>
        <w:tc>
          <w:tcPr>
            <w:tcW w:w="2571" w:type="dxa"/>
            <w:shd w:val="clear" w:color="auto" w:fill="FFFFFF"/>
            <w:vAlign w:val="center"/>
          </w:tcPr>
          <w:p w14:paraId="634C795D">
            <w:pPr>
              <w:jc w:val="center"/>
              <w:rPr>
                <w:rFonts w:hint="eastAsia" w:ascii="宋体" w:hAnsi="宋体" w:eastAsia="宋体" w:cs="宋体"/>
                <w:color w:val="auto"/>
                <w:highlight w:val="none"/>
              </w:rPr>
            </w:pPr>
            <w:r>
              <w:rPr>
                <w:rFonts w:hint="eastAsia" w:ascii="宋体" w:hAnsi="宋体" w:eastAsia="宋体" w:cs="宋体"/>
                <w:color w:val="auto"/>
                <w:highlight w:val="none"/>
              </w:rPr>
              <w:t>止水节</w:t>
            </w:r>
          </w:p>
        </w:tc>
        <w:tc>
          <w:tcPr>
            <w:tcW w:w="2884" w:type="dxa"/>
            <w:vMerge w:val="continue"/>
            <w:shd w:val="clear" w:color="auto" w:fill="FFFFFF"/>
            <w:vAlign w:val="center"/>
          </w:tcPr>
          <w:p w14:paraId="07D8DDA6">
            <w:pPr>
              <w:jc w:val="center"/>
              <w:rPr>
                <w:rFonts w:hint="eastAsia" w:ascii="宋体" w:hAnsi="宋体" w:eastAsia="宋体" w:cs="宋体"/>
                <w:color w:val="auto"/>
                <w:highlight w:val="none"/>
              </w:rPr>
            </w:pPr>
          </w:p>
        </w:tc>
      </w:tr>
    </w:tbl>
    <w:p w14:paraId="32FD973C">
      <w:pPr>
        <w:ind w:firstLine="420" w:firstLineChars="200"/>
        <w:rPr>
          <w:rFonts w:hint="eastAsia" w:ascii="宋体" w:hAnsi="宋体" w:eastAsia="宋体" w:cs="宋体"/>
          <w:color w:val="auto"/>
          <w:sz w:val="21"/>
          <w:szCs w:val="21"/>
          <w:highlight w:val="none"/>
          <w:lang w:val="zh-CN"/>
        </w:rPr>
      </w:pPr>
      <w:r>
        <w:rPr>
          <w:rFonts w:hint="eastAsia" w:hAnsi="宋体" w:cs="宋体"/>
          <w:color w:val="auto"/>
          <w:sz w:val="21"/>
          <w:szCs w:val="16"/>
          <w:highlight w:val="none"/>
        </w:rPr>
        <w:t>备</w:t>
      </w:r>
      <w:r>
        <w:rPr>
          <w:rFonts w:hint="eastAsia" w:ascii="宋体" w:hAnsi="宋体" w:eastAsia="宋体" w:cs="宋体"/>
          <w:color w:val="auto"/>
          <w:sz w:val="21"/>
          <w:szCs w:val="21"/>
          <w:highlight w:val="none"/>
          <w:lang w:val="zh-CN"/>
        </w:rPr>
        <w:t>注：</w:t>
      </w:r>
    </w:p>
    <w:p w14:paraId="459FA8AC">
      <w:pPr>
        <w:ind w:firstLine="420" w:firstLineChars="200"/>
        <w:rPr>
          <w:rFonts w:hint="eastAsia" w:ascii="宋体" w:hAnsi="宋体" w:eastAsia="宋体" w:cs="宋体"/>
          <w:color w:val="auto"/>
          <w:sz w:val="21"/>
          <w:szCs w:val="21"/>
          <w:highlight w:val="none"/>
          <w:lang w:val="zh-CN"/>
        </w:rPr>
      </w:pPr>
      <w:r>
        <w:rPr>
          <w:rFonts w:hint="eastAsia" w:ascii="宋体" w:hAnsi="宋体" w:eastAsia="宋体" w:cs="宋体"/>
          <w:color w:val="auto"/>
          <w:sz w:val="21"/>
          <w:szCs w:val="21"/>
          <w:highlight w:val="none"/>
        </w:rPr>
        <w:t>1）</w:t>
      </w:r>
      <w:r>
        <w:rPr>
          <w:rFonts w:hint="eastAsia" w:ascii="宋体" w:hAnsi="宋体" w:eastAsia="宋体" w:cs="宋体"/>
          <w:color w:val="auto"/>
          <w:sz w:val="21"/>
          <w:szCs w:val="21"/>
          <w:highlight w:val="none"/>
          <w:lang w:val="zh-CN"/>
        </w:rPr>
        <w:t>立管穿空调板须预留套管。</w:t>
      </w:r>
    </w:p>
    <w:p w14:paraId="19169A17">
      <w:pPr>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2）有工业化装配式要求的项目，按装配式建筑要求执行。</w:t>
      </w:r>
    </w:p>
    <w:p w14:paraId="13222266">
      <w:pPr>
        <w:rPr>
          <w:rStyle w:val="81"/>
          <w:rFonts w:hint="eastAsia" w:ascii="宋体" w:hAnsi="宋体" w:cs="宋体"/>
          <w:color w:val="auto"/>
          <w:sz w:val="21"/>
          <w:szCs w:val="21"/>
          <w:highlight w:val="none"/>
        </w:rPr>
      </w:pPr>
      <w:r>
        <w:rPr>
          <w:rFonts w:hint="eastAsia" w:ascii="宋体" w:hAnsi="宋体" w:eastAsia="宋体" w:cs="宋体"/>
          <w:color w:val="auto"/>
          <w:highlight w:val="none"/>
        </w:rPr>
        <w:br w:type="page"/>
      </w:r>
    </w:p>
    <w:p w14:paraId="1F8E65D1">
      <w:pPr>
        <w:pStyle w:val="5"/>
        <w:keepNext w:val="0"/>
        <w:keepLines w:val="0"/>
        <w:snapToGrid/>
        <w:spacing w:before="156" w:beforeLines="50" w:after="0"/>
        <w:rPr>
          <w:rFonts w:hint="eastAsia" w:ascii="宋体" w:hAnsi="宋体" w:eastAsia="宋体" w:cs="宋体"/>
          <w:color w:val="auto"/>
          <w:sz w:val="24"/>
          <w:szCs w:val="28"/>
          <w:highlight w:val="none"/>
        </w:rPr>
      </w:pPr>
      <w:bookmarkStart w:id="337" w:name="_Toc11957"/>
      <w:bookmarkStart w:id="338" w:name="_Toc7029"/>
      <w:bookmarkStart w:id="339" w:name="_Toc104581743"/>
      <w:bookmarkStart w:id="340" w:name="_Toc19236"/>
      <w:bookmarkStart w:id="341" w:name="_Toc12925"/>
      <w:r>
        <w:rPr>
          <w:rFonts w:hint="eastAsia" w:ascii="宋体" w:hAnsi="宋体" w:eastAsia="宋体" w:cs="宋体"/>
          <w:color w:val="auto"/>
          <w:sz w:val="24"/>
          <w:szCs w:val="28"/>
          <w:highlight w:val="none"/>
        </w:rPr>
        <w:t>4.电气设计</w:t>
      </w:r>
      <w:bookmarkEnd w:id="337"/>
      <w:bookmarkEnd w:id="338"/>
      <w:bookmarkEnd w:id="339"/>
      <w:bookmarkEnd w:id="340"/>
      <w:bookmarkEnd w:id="341"/>
    </w:p>
    <w:p w14:paraId="34E4D6B2">
      <w:pPr>
        <w:pStyle w:val="6"/>
        <w:keepNext w:val="0"/>
        <w:keepLines w:val="0"/>
        <w:snapToGrid/>
        <w:spacing w:before="156" w:beforeLines="50"/>
        <w:ind w:firstLine="482" w:firstLineChars="200"/>
        <w:rPr>
          <w:rFonts w:hint="eastAsia" w:ascii="宋体" w:hAnsi="宋体" w:eastAsia="宋体" w:cs="宋体"/>
          <w:color w:val="auto"/>
          <w:sz w:val="24"/>
          <w:szCs w:val="24"/>
          <w:highlight w:val="none"/>
        </w:rPr>
      </w:pPr>
      <w:bookmarkStart w:id="342" w:name="_Toc7671"/>
      <w:r>
        <w:rPr>
          <w:rFonts w:hint="eastAsia" w:ascii="宋体" w:hAnsi="宋体" w:eastAsia="宋体" w:cs="宋体"/>
          <w:color w:val="auto"/>
          <w:sz w:val="24"/>
          <w:szCs w:val="24"/>
          <w:highlight w:val="none"/>
        </w:rPr>
        <w:t>4.1 设计依据</w:t>
      </w:r>
      <w:bookmarkEnd w:id="342"/>
    </w:p>
    <w:p w14:paraId="4A0D475A">
      <w:pPr>
        <w:pStyle w:val="24"/>
        <w:ind w:firstLine="480"/>
        <w:rPr>
          <w:rFonts w:hint="eastAsia" w:hAnsi="宋体" w:cs="宋体"/>
          <w:szCs w:val="24"/>
          <w:highlight w:val="none"/>
        </w:rPr>
      </w:pPr>
      <w:r>
        <w:rPr>
          <w:rFonts w:hint="eastAsia" w:hAnsi="宋体" w:cs="宋体"/>
          <w:szCs w:val="24"/>
          <w:highlight w:val="none"/>
        </w:rPr>
        <w:t>4.1.1 在限额设计的基础上保障安置区内用户的电气设备和人身和财产的安全需要，使所设计的系统满足安全、适用和经济基本需要等性能要求。</w:t>
      </w:r>
    </w:p>
    <w:p w14:paraId="7A77159E">
      <w:pPr>
        <w:pStyle w:val="24"/>
        <w:ind w:firstLine="480"/>
        <w:rPr>
          <w:rFonts w:hint="eastAsia" w:hAnsi="宋体" w:cs="宋体"/>
          <w:szCs w:val="24"/>
          <w:highlight w:val="none"/>
        </w:rPr>
      </w:pPr>
      <w:r>
        <w:rPr>
          <w:rFonts w:hint="eastAsia" w:hAnsi="宋体" w:cs="宋体"/>
          <w:szCs w:val="24"/>
          <w:highlight w:val="none"/>
        </w:rPr>
        <w:t>4.1.2 制定各控制指标项，实现安置区设计的标准化。</w:t>
      </w:r>
    </w:p>
    <w:p w14:paraId="45854B01">
      <w:pPr>
        <w:pStyle w:val="24"/>
        <w:ind w:firstLine="480"/>
        <w:rPr>
          <w:rFonts w:hint="eastAsia" w:hAnsi="宋体" w:cs="宋体"/>
          <w:szCs w:val="24"/>
          <w:highlight w:val="none"/>
        </w:rPr>
      </w:pPr>
      <w:r>
        <w:rPr>
          <w:rFonts w:hint="eastAsia" w:hAnsi="宋体" w:cs="宋体"/>
          <w:szCs w:val="24"/>
          <w:highlight w:val="none"/>
        </w:rPr>
        <w:t>4.1.3 国家现行的主要设计规范及标准最新版本：</w:t>
      </w:r>
    </w:p>
    <w:p w14:paraId="259B41E7">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《建筑设计防火规范》                      GB50016-2014 （2018版）</w:t>
      </w:r>
    </w:p>
    <w:p w14:paraId="503BFAE8">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《建筑照明设计标准》                      GB50034-2013</w:t>
      </w:r>
    </w:p>
    <w:p w14:paraId="281574C5">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《人民防空地下室设计规范》                GB 50038-2005(2023年版)</w:t>
      </w:r>
    </w:p>
    <w:p w14:paraId="5A2D5EEA">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《人民防空地下室防火规范》                GB50098-2009</w:t>
      </w:r>
    </w:p>
    <w:p w14:paraId="199F1D70">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《供配电系统设计规范》                    GB50052-2009</w:t>
      </w:r>
    </w:p>
    <w:p w14:paraId="083910C8">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《20kV及以下变电所设计规范》             GB50053-2013</w:t>
      </w:r>
    </w:p>
    <w:p w14:paraId="104579E3">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《低压配电设计规范》                      GB50054-2011</w:t>
      </w:r>
    </w:p>
    <w:p w14:paraId="5461B9E7">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《通用用电设备配电设计规范》              GB50055-2011</w:t>
      </w:r>
    </w:p>
    <w:p w14:paraId="4425B4D9">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《建筑物防雷设计规范》                    GB50057-2010</w:t>
      </w:r>
    </w:p>
    <w:p w14:paraId="7597D22E">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《汽车库、修车库、停车场设计防火规范》    GB50067-2014</w:t>
      </w:r>
    </w:p>
    <w:p w14:paraId="5C671762">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《民用建筑设计统一标准》                  GB50352-2019</w:t>
      </w:r>
    </w:p>
    <w:p w14:paraId="79F9015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《建筑物电子信息系统防雷技术规范》        GB50343-2012</w:t>
      </w:r>
    </w:p>
    <w:p w14:paraId="60B622CD">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《住宅建筑规范》                          GB50368-2005</w:t>
      </w:r>
    </w:p>
    <w:p w14:paraId="46620064">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《建筑通用防火规范》 </w:t>
      </w:r>
      <w:r>
        <w:rPr>
          <w:rFonts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rPr>
        <w:t>GB55037-2022</w:t>
      </w:r>
    </w:p>
    <w:p w14:paraId="38B5E813">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《民用建筑通用规范》 </w:t>
      </w:r>
      <w:r>
        <w:rPr>
          <w:rFonts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rPr>
        <w:t>GB55031-2022</w:t>
      </w:r>
    </w:p>
    <w:p w14:paraId="35950263">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《消防设施通用规范》 </w:t>
      </w:r>
      <w:r>
        <w:rPr>
          <w:rFonts w:ascii="宋体" w:hAnsi="宋体" w:eastAsia="宋体" w:cs="宋体"/>
          <w:color w:val="auto"/>
          <w:sz w:val="24"/>
          <w:szCs w:val="24"/>
          <w:highlight w:val="none"/>
        </w:rPr>
        <w:t xml:space="preserve">                     GB55036-2022</w:t>
      </w:r>
    </w:p>
    <w:p w14:paraId="30894F81">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w:t>
      </w:r>
      <w:bookmarkStart w:id="343" w:name="OLE_LINK15"/>
      <w:r>
        <w:rPr>
          <w:rFonts w:hint="eastAsia" w:ascii="宋体" w:hAnsi="宋体" w:eastAsia="宋体" w:cs="宋体"/>
          <w:color w:val="auto"/>
          <w:sz w:val="24"/>
          <w:szCs w:val="24"/>
          <w:highlight w:val="none"/>
        </w:rPr>
        <w:t>住宅项目</w:t>
      </w:r>
      <w:bookmarkEnd w:id="343"/>
      <w:r>
        <w:rPr>
          <w:rFonts w:hint="eastAsia" w:ascii="宋体" w:hAnsi="宋体" w:eastAsia="宋体" w:cs="宋体"/>
          <w:color w:val="auto"/>
          <w:sz w:val="24"/>
          <w:szCs w:val="24"/>
          <w:highlight w:val="none"/>
        </w:rPr>
        <w:t xml:space="preserve">规范》                          </w:t>
      </w:r>
      <w:r>
        <w:rPr>
          <w:rFonts w:ascii="宋体" w:hAnsi="宋体" w:eastAsia="宋体" w:cs="宋体"/>
          <w:color w:val="auto"/>
          <w:sz w:val="24"/>
          <w:szCs w:val="24"/>
          <w:highlight w:val="none"/>
        </w:rPr>
        <w:t>GB 55038-2025</w:t>
      </w:r>
    </w:p>
    <w:p w14:paraId="1EBBE2E7">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《居民住宅小区电力配置规范》              GB/T36040-2018</w:t>
      </w:r>
    </w:p>
    <w:p w14:paraId="28FC85FF">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《火灾自动报警系统设计规范》               GB50116-2013</w:t>
      </w:r>
    </w:p>
    <w:p w14:paraId="7AAD4573">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《消防应急照明和疏散指示系统技术标准》    GB51309-2018</w:t>
      </w:r>
    </w:p>
    <w:p w14:paraId="644E475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《民用建筑电气设计标准》                  GB51348-2019</w:t>
      </w:r>
    </w:p>
    <w:p w14:paraId="2A14748E">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《托儿所、幼儿园建筑设计规范》            JGJ39-2016（2019版）</w:t>
      </w:r>
    </w:p>
    <w:p w14:paraId="6DC84725">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《住宅建筑电气设计规范》                  JGJ242-2011</w:t>
      </w:r>
    </w:p>
    <w:p w14:paraId="375E554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《教育建筑电气设计规范》                  JGJ 310-2013</w:t>
      </w:r>
    </w:p>
    <w:p w14:paraId="38FB0C04">
      <w:pPr>
        <w:pStyle w:val="38"/>
        <w:widowControl/>
        <w:ind w:firstLine="480" w:firstLineChars="200"/>
        <w:jc w:val="both"/>
        <w:rPr>
          <w:rFonts w:hint="eastAsia" w:ascii="宋体" w:hAnsi="宋体" w:cs="宋体"/>
          <w:szCs w:val="24"/>
          <w:highlight w:val="none"/>
        </w:rPr>
      </w:pPr>
      <w:r>
        <w:rPr>
          <w:rFonts w:hint="eastAsia" w:ascii="宋体" w:hAnsi="宋体" w:cs="宋体"/>
          <w:szCs w:val="24"/>
          <w:highlight w:val="none"/>
        </w:rPr>
        <w:t>《</w:t>
      </w:r>
      <w:r>
        <w:rPr>
          <w:rStyle w:val="161"/>
          <w:b w:val="0"/>
          <w:bCs w:val="0"/>
          <w:highlight w:val="none"/>
        </w:rPr>
        <w:t>建筑电气与智能化通用规范</w:t>
      </w:r>
      <w:r>
        <w:rPr>
          <w:rFonts w:hint="eastAsia" w:ascii="宋体" w:hAnsi="宋体" w:cs="宋体"/>
          <w:szCs w:val="24"/>
          <w:highlight w:val="none"/>
        </w:rPr>
        <w:t xml:space="preserve">》           </w:t>
      </w:r>
      <w:r>
        <w:rPr>
          <w:rStyle w:val="45"/>
          <w:b w:val="0"/>
          <w:highlight w:val="none"/>
        </w:rPr>
        <w:t xml:space="preserve">GB 55024-2022 </w:t>
      </w:r>
    </w:p>
    <w:p w14:paraId="1208D344">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《建筑环境通用规范》</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GB 55016-2021</w:t>
      </w:r>
    </w:p>
    <w:p w14:paraId="779D9B10">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《建筑节能与可再生能源利用通用规范》</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GB 55015-2021</w:t>
      </w:r>
    </w:p>
    <w:p w14:paraId="745299F6">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《绿色建筑评价标准》</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GB/T 50378-2019（2024年修订版）</w:t>
      </w:r>
    </w:p>
    <w:p w14:paraId="1FE97AF7">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《广东省绿色建筑设计规范》</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DBJ/T 15-201-2020</w:t>
      </w:r>
    </w:p>
    <w:p w14:paraId="5B1F0E4D">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《公共建筑节能设计标准》</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GB 50189-2015</w:t>
      </w:r>
    </w:p>
    <w:p w14:paraId="51747F21">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《老年人照料设施建筑设计标准》</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JGJ 450-2018</w:t>
      </w:r>
    </w:p>
    <w:p w14:paraId="7D3E090C">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《中小学校设计规范》</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GB 50099-2011</w:t>
      </w:r>
    </w:p>
    <w:p w14:paraId="4FEE1F6C">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《商店建筑设计规范》</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 xml:space="preserve">JG J48-2014 </w:t>
      </w:r>
    </w:p>
    <w:p w14:paraId="7D385B0E">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《商店建筑电气设计规范》</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JGJ 392-2016</w:t>
      </w:r>
    </w:p>
    <w:p w14:paraId="760A2CB5">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zh-CN"/>
        </w:rPr>
        <w:t>《饮食建筑设计规范》</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JGJ 64-2017</w:t>
      </w:r>
    </w:p>
    <w:p w14:paraId="7F620912">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《电动汽车充电基础设施建设技术规程》     DBJ／T 15-150-2018 广东省标准</w:t>
      </w:r>
    </w:p>
    <w:p w14:paraId="6F02F857">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《民用建筑电线电缆防火技术规程》         DBJ/T 15-226-2021广东省标准</w:t>
      </w:r>
    </w:p>
    <w:p w14:paraId="5FFE04B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《车库建筑设计规范》                      JGJ 100-2015</w:t>
      </w:r>
    </w:p>
    <w:p w14:paraId="2F088620">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《商店建筑电气设计规范》                  JGJ 392-2016</w:t>
      </w:r>
    </w:p>
    <w:p w14:paraId="750E4DB1">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《广东省居住建筑节能设计标准》            DBJ/T145-133-2018</w:t>
      </w:r>
    </w:p>
    <w:p w14:paraId="40C777DC">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《广东省绿色建筑设计规范》                DBJ/T15-201-2020</w:t>
      </w:r>
    </w:p>
    <w:p w14:paraId="3F4E16CD">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zh-CN"/>
        </w:rPr>
        <w:t>中小学校教室照明技术规范》</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val="zh-CN"/>
        </w:rPr>
        <w:t>DB44/T 2335—2021</w:t>
      </w:r>
    </w:p>
    <w:p w14:paraId="31CD952F">
      <w:pPr>
        <w:pStyle w:val="63"/>
        <w:spacing w:line="360" w:lineRule="auto"/>
        <w:ind w:firstLine="480"/>
        <w:rPr>
          <w:rFonts w:hint="eastAsia" w:ascii="宋体" w:hAnsi="宋体" w:eastAsia="宋体" w:cs="宋体"/>
          <w:color w:val="auto"/>
          <w:sz w:val="24"/>
          <w:szCs w:val="24"/>
          <w:highlight w:val="none"/>
          <w:lang w:val="zh-CN"/>
        </w:rPr>
      </w:pPr>
      <w:r>
        <w:rPr>
          <w:rFonts w:hint="eastAsia" w:ascii="宋体" w:hAnsi="宋体" w:eastAsia="宋体" w:cs="宋体"/>
          <w:color w:val="auto"/>
          <w:sz w:val="24"/>
          <w:szCs w:val="24"/>
          <w:highlight w:val="none"/>
          <w:lang w:val="zh-CN"/>
        </w:rPr>
        <w:t>《广州市绿色建筑设计与审查指南(2020版)》</w:t>
      </w:r>
    </w:p>
    <w:p w14:paraId="36E0F654">
      <w:pPr>
        <w:pStyle w:val="24"/>
        <w:numPr>
          <w:ilvl w:val="255"/>
          <w:numId w:val="0"/>
        </w:numPr>
        <w:ind w:firstLine="199" w:firstLineChars="83"/>
        <w:rPr>
          <w:rFonts w:hint="eastAsia" w:hAnsi="宋体" w:cs="宋体"/>
          <w:szCs w:val="24"/>
          <w:highlight w:val="none"/>
        </w:rPr>
      </w:pPr>
      <w:r>
        <w:rPr>
          <w:rFonts w:hint="eastAsia" w:hAnsi="宋体" w:cs="宋体"/>
          <w:szCs w:val="24"/>
          <w:highlight w:val="none"/>
        </w:rPr>
        <w:t>《广州供电局业扩报装及配套项目管理细则》（Q-CSG-GPG2083001-2022）；</w:t>
      </w:r>
    </w:p>
    <w:p w14:paraId="6F56CE94">
      <w:pPr>
        <w:pStyle w:val="24"/>
        <w:numPr>
          <w:ilvl w:val="255"/>
          <w:numId w:val="0"/>
        </w:numPr>
        <w:ind w:firstLine="240" w:firstLineChars="100"/>
        <w:rPr>
          <w:rFonts w:hint="eastAsia" w:hAnsi="宋体" w:cs="宋体"/>
          <w:szCs w:val="24"/>
          <w:highlight w:val="none"/>
        </w:rPr>
      </w:pPr>
      <w:r>
        <w:rPr>
          <w:rFonts w:hint="eastAsia" w:hAnsi="宋体" w:cs="宋体"/>
          <w:szCs w:val="24"/>
          <w:highlight w:val="none"/>
        </w:rPr>
        <w:t>《广州供电局电动汽车充(换)电基础设施用电报装业务办理指南》(广供电市部〔2023〕38号）</w:t>
      </w:r>
    </w:p>
    <w:p w14:paraId="703FEA57">
      <w:pPr>
        <w:pStyle w:val="24"/>
        <w:numPr>
          <w:ilvl w:val="255"/>
          <w:numId w:val="0"/>
        </w:numPr>
        <w:ind w:firstLine="240" w:firstLineChars="100"/>
        <w:rPr>
          <w:rFonts w:hint="eastAsia" w:hAnsi="宋体" w:cs="宋体"/>
          <w:szCs w:val="24"/>
          <w:highlight w:val="none"/>
        </w:rPr>
      </w:pPr>
      <w:r>
        <w:rPr>
          <w:rFonts w:hint="eastAsia" w:hAnsi="宋体" w:cs="宋体"/>
          <w:szCs w:val="24"/>
          <w:highlight w:val="none"/>
        </w:rPr>
        <w:t>《广州电网规划设计技术导则》（</w:t>
      </w:r>
      <w:r>
        <w:rPr>
          <w:rFonts w:hAnsi="宋体" w:cs="宋体"/>
          <w:szCs w:val="24"/>
          <w:highlight w:val="none"/>
        </w:rPr>
        <w:t>广东电网有限责任公司广州供电局</w:t>
      </w:r>
      <w:r>
        <w:rPr>
          <w:rFonts w:hint="eastAsia" w:hAnsi="宋体" w:cs="宋体"/>
          <w:szCs w:val="24"/>
          <w:highlight w:val="none"/>
        </w:rPr>
        <w:t>2023年10月17日印发）</w:t>
      </w:r>
    </w:p>
    <w:p w14:paraId="5F0DFF12">
      <w:pPr>
        <w:pStyle w:val="24"/>
        <w:numPr>
          <w:ilvl w:val="255"/>
          <w:numId w:val="0"/>
        </w:numPr>
        <w:ind w:firstLine="480" w:firstLineChars="200"/>
        <w:rPr>
          <w:rFonts w:hint="eastAsia" w:hAnsi="宋体" w:cs="宋体"/>
          <w:szCs w:val="24"/>
          <w:highlight w:val="none"/>
        </w:rPr>
      </w:pPr>
    </w:p>
    <w:p w14:paraId="36FF2BEF">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344" w:name="_Toc104581745"/>
      <w:bookmarkStart w:id="345" w:name="_Toc20796"/>
      <w:bookmarkStart w:id="346" w:name="_Toc8506"/>
      <w:bookmarkStart w:id="347" w:name="_Toc7151"/>
      <w:r>
        <w:rPr>
          <w:rFonts w:hint="eastAsia" w:ascii="宋体" w:hAnsi="宋体" w:eastAsia="宋体" w:cs="宋体"/>
          <w:color w:val="auto"/>
          <w:sz w:val="24"/>
          <w:szCs w:val="24"/>
          <w:highlight w:val="none"/>
        </w:rPr>
        <w:t>4.2 关键指标</w:t>
      </w:r>
      <w:bookmarkEnd w:id="344"/>
      <w:bookmarkEnd w:id="345"/>
      <w:bookmarkEnd w:id="346"/>
      <w:bookmarkEnd w:id="347"/>
    </w:p>
    <w:p w14:paraId="764533DB">
      <w:pPr>
        <w:pStyle w:val="24"/>
        <w:ind w:firstLine="480"/>
        <w:rPr>
          <w:rFonts w:hint="eastAsia" w:hAnsi="宋体" w:cs="宋体"/>
          <w:szCs w:val="24"/>
          <w:highlight w:val="none"/>
          <w:lang w:val="zh-CN"/>
        </w:rPr>
      </w:pPr>
      <w:r>
        <w:rPr>
          <w:rFonts w:hint="eastAsia" w:hAnsi="宋体" w:cs="宋体"/>
          <w:szCs w:val="24"/>
          <w:highlight w:val="none"/>
        </w:rPr>
        <w:t xml:space="preserve">4.2.1 </w:t>
      </w:r>
      <w:r>
        <w:rPr>
          <w:rFonts w:hint="eastAsia" w:hAnsi="宋体" w:cs="宋体"/>
          <w:szCs w:val="24"/>
          <w:highlight w:val="none"/>
          <w:lang w:val="zh-CN"/>
        </w:rPr>
        <w:t>严格控制所设计的系统种类，以保障安置区内用户的电气和人身和财产的安全需要为基准，在节约成本的前提下满足后期扩展需要。</w:t>
      </w:r>
    </w:p>
    <w:p w14:paraId="57E35610">
      <w:pPr>
        <w:pStyle w:val="24"/>
        <w:ind w:firstLine="480"/>
        <w:rPr>
          <w:rFonts w:hint="eastAsia" w:hAnsi="宋体" w:cs="宋体"/>
          <w:szCs w:val="24"/>
          <w:highlight w:val="none"/>
          <w:lang w:val="zh-CN"/>
        </w:rPr>
      </w:pPr>
      <w:r>
        <w:rPr>
          <w:rFonts w:hint="eastAsia" w:hAnsi="宋体" w:cs="宋体"/>
          <w:szCs w:val="24"/>
          <w:highlight w:val="none"/>
        </w:rPr>
        <w:t xml:space="preserve">4.2.2 </w:t>
      </w:r>
      <w:r>
        <w:rPr>
          <w:rFonts w:hint="eastAsia" w:hAnsi="宋体" w:cs="宋体"/>
          <w:szCs w:val="24"/>
          <w:highlight w:val="none"/>
          <w:lang w:val="zh-CN"/>
        </w:rPr>
        <w:t>电动车充电场所配电设置限流式电气防火保护器。</w:t>
      </w:r>
    </w:p>
    <w:p w14:paraId="4769873E">
      <w:pPr>
        <w:pStyle w:val="24"/>
        <w:ind w:firstLine="480"/>
        <w:rPr>
          <w:rFonts w:hint="eastAsia" w:hAnsi="宋体" w:cs="宋体"/>
          <w:szCs w:val="24"/>
          <w:highlight w:val="none"/>
          <w:lang w:val="zh-CN"/>
        </w:rPr>
      </w:pPr>
      <w:r>
        <w:rPr>
          <w:rFonts w:hint="eastAsia" w:hAnsi="宋体" w:cs="宋体"/>
          <w:szCs w:val="24"/>
          <w:highlight w:val="none"/>
        </w:rPr>
        <w:t xml:space="preserve">4.2.3 </w:t>
      </w:r>
      <w:r>
        <w:rPr>
          <w:rFonts w:hint="eastAsia" w:hAnsi="宋体" w:cs="宋体"/>
          <w:szCs w:val="24"/>
          <w:highlight w:val="none"/>
          <w:lang w:val="zh-CN"/>
        </w:rPr>
        <w:t>居住建筑、公建配套建筑</w:t>
      </w:r>
    </w:p>
    <w:p w14:paraId="367630C9">
      <w:pPr>
        <w:pStyle w:val="24"/>
        <w:ind w:firstLine="482"/>
        <w:rPr>
          <w:rFonts w:hint="eastAsia" w:hAnsi="宋体" w:cs="宋体"/>
          <w:b/>
          <w:bCs/>
          <w:szCs w:val="24"/>
          <w:highlight w:val="none"/>
        </w:rPr>
      </w:pPr>
      <w:r>
        <w:rPr>
          <w:rFonts w:hint="eastAsia" w:hAnsi="宋体" w:cs="宋体"/>
          <w:b/>
          <w:bCs/>
          <w:szCs w:val="24"/>
          <w:highlight w:val="none"/>
        </w:rPr>
        <w:t>4.2.3.1 负荷计算</w:t>
      </w:r>
    </w:p>
    <w:p w14:paraId="6F3A71FF">
      <w:pPr>
        <w:pStyle w:val="85"/>
        <w:spacing w:before="0" w:beforeAutospacing="0" w:after="0" w:afterAutospacing="0" w:line="360" w:lineRule="auto"/>
        <w:ind w:left="0" w:firstLine="480" w:firstLineChars="200"/>
        <w:rPr>
          <w:rFonts w:hint="eastAsia" w:ascii="宋体" w:hAnsi="宋体" w:cs="宋体"/>
          <w:sz w:val="24"/>
          <w:szCs w:val="24"/>
          <w:highlight w:val="none"/>
        </w:rPr>
      </w:pPr>
      <w:bookmarkStart w:id="348" w:name="_Toc12895"/>
      <w:r>
        <w:rPr>
          <w:rStyle w:val="81"/>
          <w:rFonts w:hint="eastAsia" w:ascii="宋体" w:hAnsi="宋体" w:cs="宋体"/>
          <w:sz w:val="24"/>
          <w:szCs w:val="24"/>
          <w:highlight w:val="none"/>
        </w:rPr>
        <w:t>①负居住区供电的负荷计算单位指标或密度不宜小于表的数值</w:t>
      </w:r>
    </w:p>
    <w:p w14:paraId="303441D1">
      <w:pPr>
        <w:pStyle w:val="7"/>
        <w:numPr>
          <w:ilvl w:val="3"/>
          <w:numId w:val="0"/>
        </w:numPr>
        <w:rPr>
          <w:rStyle w:val="81"/>
          <w:rFonts w:hint="eastAsia" w:ascii="宋体" w:hAnsi="宋体" w:cs="宋体"/>
          <w:b w:val="0"/>
          <w:bCs/>
          <w:kern w:val="0"/>
          <w:szCs w:val="24"/>
          <w:highlight w:val="none"/>
        </w:rPr>
      </w:pPr>
      <w:r>
        <w:rPr>
          <w:rFonts w:hint="eastAsia" w:ascii="宋体" w:hAnsi="宋体" w:cs="宋体"/>
          <w:b w:val="0"/>
          <w:bCs/>
          <w:szCs w:val="24"/>
          <w:highlight w:val="none"/>
        </w:rPr>
        <w:t>户型用电负荷密度表</w:t>
      </w:r>
    </w:p>
    <w:tbl>
      <w:tblPr>
        <w:tblStyle w:val="42"/>
        <w:tblW w:w="83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5"/>
        <w:gridCol w:w="1651"/>
        <w:gridCol w:w="1609"/>
        <w:gridCol w:w="1701"/>
        <w:gridCol w:w="2041"/>
      </w:tblGrid>
      <w:tr w14:paraId="6FEC7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986" w:type="dxa"/>
            <w:gridSpan w:val="2"/>
            <w:tcBorders>
              <w:top w:val="single" w:color="auto" w:sz="4" w:space="0"/>
              <w:left w:val="single" w:color="auto" w:sz="4" w:space="0"/>
              <w:bottom w:val="single" w:color="auto" w:sz="4" w:space="0"/>
              <w:right w:val="single" w:color="auto" w:sz="4" w:space="0"/>
            </w:tcBorders>
            <w:vAlign w:val="center"/>
          </w:tcPr>
          <w:p w14:paraId="5FCDC444">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负荷类型</w:t>
            </w:r>
          </w:p>
        </w:tc>
        <w:tc>
          <w:tcPr>
            <w:tcW w:w="1609" w:type="dxa"/>
            <w:tcBorders>
              <w:top w:val="single" w:color="auto" w:sz="4" w:space="0"/>
              <w:left w:val="single" w:color="auto" w:sz="4" w:space="0"/>
              <w:bottom w:val="single" w:color="auto" w:sz="4" w:space="0"/>
              <w:right w:val="single" w:color="auto" w:sz="4" w:space="0"/>
            </w:tcBorders>
            <w:vAlign w:val="center"/>
          </w:tcPr>
          <w:p w14:paraId="73EF60A2">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用电功率或负荷密度</w:t>
            </w:r>
          </w:p>
        </w:tc>
        <w:tc>
          <w:tcPr>
            <w:tcW w:w="1701" w:type="dxa"/>
            <w:tcBorders>
              <w:top w:val="single" w:color="auto" w:sz="4" w:space="0"/>
              <w:left w:val="single" w:color="auto" w:sz="4" w:space="0"/>
              <w:bottom w:val="single" w:color="auto" w:sz="4" w:space="0"/>
              <w:right w:val="single" w:color="auto" w:sz="4" w:space="0"/>
            </w:tcBorders>
            <w:vAlign w:val="center"/>
          </w:tcPr>
          <w:p w14:paraId="415B1153">
            <w:pPr>
              <w:adjustRightInd w:val="0"/>
              <w:spacing w:line="360" w:lineRule="auto"/>
              <w:jc w:val="center"/>
              <w:rPr>
                <w:rFonts w:hint="eastAsia" w:ascii="宋体" w:hAnsi="宋体" w:eastAsia="宋体" w:cs="宋体"/>
                <w:b/>
                <w:bCs/>
                <w:color w:val="auto"/>
                <w:kern w:val="0"/>
                <w:sz w:val="21"/>
                <w:szCs w:val="21"/>
                <w:highlight w:val="none"/>
              </w:rPr>
            </w:pPr>
          </w:p>
        </w:tc>
        <w:tc>
          <w:tcPr>
            <w:tcW w:w="2041" w:type="dxa"/>
            <w:tcBorders>
              <w:top w:val="single" w:color="auto" w:sz="4" w:space="0"/>
              <w:left w:val="single" w:color="auto" w:sz="4" w:space="0"/>
              <w:right w:val="single" w:color="auto" w:sz="4" w:space="0"/>
            </w:tcBorders>
            <w:vAlign w:val="center"/>
          </w:tcPr>
          <w:p w14:paraId="5DB47B56">
            <w:pPr>
              <w:adjustRightInd w:val="0"/>
              <w:spacing w:line="360" w:lineRule="auto"/>
              <w:jc w:val="center"/>
              <w:rPr>
                <w:rFonts w:hint="eastAsia" w:ascii="宋体" w:hAnsi="宋体" w:eastAsia="宋体" w:cs="宋体"/>
                <w:b/>
                <w:bCs/>
                <w:color w:val="auto"/>
                <w:kern w:val="0"/>
                <w:sz w:val="21"/>
                <w:szCs w:val="21"/>
                <w:highlight w:val="none"/>
              </w:rPr>
            </w:pPr>
          </w:p>
        </w:tc>
      </w:tr>
      <w:tr w14:paraId="7CF6A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tcBorders>
              <w:top w:val="single" w:color="auto" w:sz="4" w:space="0"/>
              <w:left w:val="single" w:color="auto" w:sz="4" w:space="0"/>
              <w:bottom w:val="single" w:color="auto" w:sz="4" w:space="0"/>
              <w:right w:val="single" w:color="auto" w:sz="4" w:space="0"/>
            </w:tcBorders>
            <w:vAlign w:val="center"/>
          </w:tcPr>
          <w:p w14:paraId="5DD57DF6">
            <w:pPr>
              <w:adjustRightInd w:val="0"/>
              <w:spacing w:line="360" w:lineRule="auto"/>
              <w:jc w:val="center"/>
              <w:rPr>
                <w:rFonts w:hint="eastAsia" w:ascii="宋体" w:hAnsi="宋体" w:eastAsia="宋体" w:cs="宋体"/>
                <w:color w:val="auto"/>
                <w:kern w:val="0"/>
                <w:sz w:val="21"/>
                <w:szCs w:val="21"/>
                <w:highlight w:val="none"/>
              </w:rPr>
            </w:pPr>
          </w:p>
        </w:tc>
        <w:tc>
          <w:tcPr>
            <w:tcW w:w="1651" w:type="dxa"/>
            <w:tcBorders>
              <w:top w:val="single" w:color="auto" w:sz="4" w:space="0"/>
              <w:left w:val="single" w:color="auto" w:sz="4" w:space="0"/>
              <w:bottom w:val="single" w:color="auto" w:sz="4" w:space="0"/>
              <w:right w:val="single" w:color="auto" w:sz="4" w:space="0"/>
            </w:tcBorders>
            <w:vAlign w:val="center"/>
          </w:tcPr>
          <w:p w14:paraId="624E2A6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建筑面积</w:t>
            </w:r>
          </w:p>
          <w:p w14:paraId="6BBD515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S（m</w:t>
            </w:r>
            <w:r>
              <w:rPr>
                <w:rFonts w:hint="eastAsia" w:ascii="宋体" w:hAnsi="宋体" w:eastAsia="宋体" w:cs="宋体"/>
                <w:color w:val="auto"/>
                <w:kern w:val="0"/>
                <w:sz w:val="21"/>
                <w:szCs w:val="21"/>
                <w:highlight w:val="none"/>
                <w:vertAlign w:val="superscript"/>
              </w:rPr>
              <w:t>2</w:t>
            </w:r>
            <w:r>
              <w:rPr>
                <w:rFonts w:hint="eastAsia" w:ascii="宋体" w:hAnsi="宋体" w:eastAsia="宋体" w:cs="宋体"/>
                <w:color w:val="auto"/>
                <w:kern w:val="0"/>
                <w:sz w:val="21"/>
                <w:szCs w:val="21"/>
                <w:highlight w:val="none"/>
              </w:rPr>
              <w:t>）</w:t>
            </w:r>
          </w:p>
        </w:tc>
        <w:tc>
          <w:tcPr>
            <w:tcW w:w="1609" w:type="dxa"/>
            <w:tcBorders>
              <w:top w:val="single" w:color="auto" w:sz="4" w:space="0"/>
              <w:left w:val="single" w:color="auto" w:sz="4" w:space="0"/>
              <w:bottom w:val="single" w:color="auto" w:sz="4" w:space="0"/>
              <w:right w:val="single" w:color="auto" w:sz="4" w:space="0"/>
            </w:tcBorders>
            <w:vAlign w:val="center"/>
          </w:tcPr>
          <w:p w14:paraId="58E6389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用电负荷（kW）</w:t>
            </w:r>
          </w:p>
        </w:tc>
        <w:tc>
          <w:tcPr>
            <w:tcW w:w="1701" w:type="dxa"/>
            <w:tcBorders>
              <w:top w:val="single" w:color="auto" w:sz="4" w:space="0"/>
              <w:left w:val="single" w:color="auto" w:sz="4" w:space="0"/>
              <w:bottom w:val="single" w:color="auto" w:sz="4" w:space="0"/>
              <w:right w:val="single" w:color="auto" w:sz="4" w:space="0"/>
            </w:tcBorders>
            <w:vAlign w:val="center"/>
          </w:tcPr>
          <w:p w14:paraId="1316E04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进线开关</w:t>
            </w:r>
          </w:p>
        </w:tc>
        <w:tc>
          <w:tcPr>
            <w:tcW w:w="2041" w:type="dxa"/>
            <w:tcBorders>
              <w:top w:val="single" w:color="auto" w:sz="4" w:space="0"/>
              <w:left w:val="single" w:color="auto" w:sz="4" w:space="0"/>
              <w:right w:val="single" w:color="auto" w:sz="4" w:space="0"/>
            </w:tcBorders>
            <w:vAlign w:val="center"/>
          </w:tcPr>
          <w:p w14:paraId="6FA7370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导线(WDZ</w:t>
            </w:r>
            <w:r>
              <w:rPr>
                <w:rFonts w:hint="eastAsia" w:ascii="宋体" w:hAnsi="宋体" w:eastAsia="宋体" w:cs="宋体"/>
                <w:color w:val="auto"/>
                <w:sz w:val="21"/>
                <w:szCs w:val="21"/>
                <w:highlight w:val="none"/>
              </w:rPr>
              <w:t>-</w:t>
            </w:r>
            <w:r>
              <w:rPr>
                <w:rFonts w:hint="eastAsia" w:ascii="宋体" w:hAnsi="宋体" w:eastAsia="宋体" w:cs="宋体"/>
                <w:color w:val="auto"/>
                <w:kern w:val="0"/>
                <w:sz w:val="21"/>
                <w:szCs w:val="21"/>
                <w:highlight w:val="none"/>
              </w:rPr>
              <w:t>BYJ)</w:t>
            </w:r>
          </w:p>
        </w:tc>
      </w:tr>
      <w:tr w14:paraId="5F1C2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vMerge w:val="restart"/>
            <w:tcBorders>
              <w:top w:val="single" w:color="auto" w:sz="4" w:space="0"/>
              <w:left w:val="single" w:color="auto" w:sz="4" w:space="0"/>
              <w:right w:val="single" w:color="auto" w:sz="4" w:space="0"/>
            </w:tcBorders>
            <w:vAlign w:val="center"/>
          </w:tcPr>
          <w:p w14:paraId="1D7AA2B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住宅</w:t>
            </w:r>
          </w:p>
        </w:tc>
        <w:tc>
          <w:tcPr>
            <w:tcW w:w="1651" w:type="dxa"/>
            <w:tcBorders>
              <w:top w:val="single" w:color="auto" w:sz="4" w:space="0"/>
              <w:left w:val="single" w:color="auto" w:sz="4" w:space="0"/>
              <w:right w:val="single" w:color="auto" w:sz="4" w:space="0"/>
            </w:tcBorders>
            <w:vAlign w:val="center"/>
          </w:tcPr>
          <w:p w14:paraId="04C0C19D">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S≤60</w:t>
            </w:r>
          </w:p>
        </w:tc>
        <w:tc>
          <w:tcPr>
            <w:tcW w:w="1609" w:type="dxa"/>
            <w:tcBorders>
              <w:top w:val="single" w:color="auto" w:sz="4" w:space="0"/>
              <w:left w:val="single" w:color="auto" w:sz="4" w:space="0"/>
              <w:bottom w:val="single" w:color="auto" w:sz="4" w:space="0"/>
              <w:right w:val="single" w:color="auto" w:sz="4" w:space="0"/>
            </w:tcBorders>
            <w:vAlign w:val="center"/>
          </w:tcPr>
          <w:p w14:paraId="71D05EED">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w:t>
            </w:r>
          </w:p>
        </w:tc>
        <w:tc>
          <w:tcPr>
            <w:tcW w:w="1701" w:type="dxa"/>
            <w:tcBorders>
              <w:top w:val="single" w:color="auto" w:sz="4" w:space="0"/>
              <w:left w:val="single" w:color="auto" w:sz="4" w:space="0"/>
              <w:bottom w:val="single" w:color="auto" w:sz="4" w:space="0"/>
              <w:right w:val="single" w:color="auto" w:sz="4" w:space="0"/>
            </w:tcBorders>
            <w:vAlign w:val="center"/>
          </w:tcPr>
          <w:p w14:paraId="61D6A17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50A</w:t>
            </w:r>
            <w:r>
              <w:rPr>
                <w:rFonts w:hint="eastAsia" w:ascii="宋体" w:hAnsi="宋体" w:eastAsia="宋体" w:cs="宋体"/>
                <w:color w:val="auto"/>
                <w:sz w:val="21"/>
                <w:szCs w:val="21"/>
                <w:highlight w:val="none"/>
              </w:rPr>
              <w:t>/</w:t>
            </w:r>
            <w:r>
              <w:rPr>
                <w:rFonts w:hint="eastAsia" w:ascii="宋体" w:hAnsi="宋体" w:eastAsia="宋体" w:cs="宋体"/>
                <w:color w:val="auto"/>
                <w:kern w:val="0"/>
                <w:sz w:val="21"/>
                <w:szCs w:val="21"/>
                <w:highlight w:val="none"/>
              </w:rPr>
              <w:t>2P</w:t>
            </w:r>
          </w:p>
        </w:tc>
        <w:tc>
          <w:tcPr>
            <w:tcW w:w="2041" w:type="dxa"/>
            <w:tcBorders>
              <w:top w:val="single" w:color="auto" w:sz="4" w:space="0"/>
              <w:left w:val="single" w:color="auto" w:sz="4" w:space="0"/>
              <w:bottom w:val="single" w:color="auto" w:sz="4" w:space="0"/>
              <w:right w:val="single" w:color="auto" w:sz="4" w:space="0"/>
            </w:tcBorders>
            <w:vAlign w:val="center"/>
          </w:tcPr>
          <w:p w14:paraId="01FCECFC">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10/PC32</w:t>
            </w:r>
          </w:p>
        </w:tc>
      </w:tr>
      <w:tr w14:paraId="20A1D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vMerge w:val="continue"/>
            <w:tcBorders>
              <w:left w:val="single" w:color="auto" w:sz="4" w:space="0"/>
              <w:right w:val="single" w:color="auto" w:sz="4" w:space="0"/>
            </w:tcBorders>
            <w:vAlign w:val="center"/>
          </w:tcPr>
          <w:p w14:paraId="56FB2912">
            <w:pPr>
              <w:adjustRightInd w:val="0"/>
              <w:spacing w:line="360" w:lineRule="auto"/>
              <w:jc w:val="center"/>
              <w:rPr>
                <w:rFonts w:hint="eastAsia" w:ascii="宋体" w:hAnsi="宋体" w:eastAsia="宋体" w:cs="宋体"/>
                <w:color w:val="auto"/>
                <w:kern w:val="0"/>
                <w:sz w:val="21"/>
                <w:szCs w:val="21"/>
                <w:highlight w:val="none"/>
              </w:rPr>
            </w:pPr>
          </w:p>
        </w:tc>
        <w:tc>
          <w:tcPr>
            <w:tcW w:w="1651" w:type="dxa"/>
            <w:tcBorders>
              <w:top w:val="single" w:color="auto" w:sz="4" w:space="0"/>
              <w:left w:val="single" w:color="auto" w:sz="4" w:space="0"/>
              <w:bottom w:val="single" w:color="auto" w:sz="4" w:space="0"/>
              <w:right w:val="single" w:color="auto" w:sz="4" w:space="0"/>
            </w:tcBorders>
            <w:vAlign w:val="center"/>
          </w:tcPr>
          <w:p w14:paraId="7C637439">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60＜S≤90</w:t>
            </w:r>
          </w:p>
        </w:tc>
        <w:tc>
          <w:tcPr>
            <w:tcW w:w="1609" w:type="dxa"/>
            <w:tcBorders>
              <w:top w:val="single" w:color="auto" w:sz="4" w:space="0"/>
              <w:left w:val="single" w:color="auto" w:sz="4" w:space="0"/>
              <w:bottom w:val="single" w:color="auto" w:sz="4" w:space="0"/>
              <w:right w:val="single" w:color="auto" w:sz="4" w:space="0"/>
            </w:tcBorders>
            <w:vAlign w:val="center"/>
          </w:tcPr>
          <w:p w14:paraId="0E6EA300">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8</w:t>
            </w:r>
          </w:p>
        </w:tc>
        <w:tc>
          <w:tcPr>
            <w:tcW w:w="1701" w:type="dxa"/>
            <w:tcBorders>
              <w:top w:val="single" w:color="auto" w:sz="4" w:space="0"/>
              <w:left w:val="single" w:color="auto" w:sz="4" w:space="0"/>
              <w:bottom w:val="single" w:color="auto" w:sz="4" w:space="0"/>
              <w:right w:val="single" w:color="auto" w:sz="4" w:space="0"/>
            </w:tcBorders>
            <w:vAlign w:val="center"/>
          </w:tcPr>
          <w:p w14:paraId="456FE6E1">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63A/2P</w:t>
            </w:r>
          </w:p>
        </w:tc>
        <w:tc>
          <w:tcPr>
            <w:tcW w:w="2041" w:type="dxa"/>
            <w:tcBorders>
              <w:top w:val="single" w:color="auto" w:sz="4" w:space="0"/>
              <w:left w:val="single" w:color="auto" w:sz="4" w:space="0"/>
              <w:bottom w:val="single" w:color="auto" w:sz="4" w:space="0"/>
              <w:right w:val="single" w:color="auto" w:sz="4" w:space="0"/>
            </w:tcBorders>
            <w:vAlign w:val="center"/>
          </w:tcPr>
          <w:p w14:paraId="70F9223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16/PC32</w:t>
            </w:r>
          </w:p>
        </w:tc>
      </w:tr>
      <w:tr w14:paraId="08A95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vMerge w:val="continue"/>
            <w:tcBorders>
              <w:left w:val="single" w:color="auto" w:sz="4" w:space="0"/>
              <w:right w:val="single" w:color="auto" w:sz="4" w:space="0"/>
            </w:tcBorders>
            <w:vAlign w:val="center"/>
          </w:tcPr>
          <w:p w14:paraId="7CCB1652">
            <w:pPr>
              <w:adjustRightInd w:val="0"/>
              <w:spacing w:line="360" w:lineRule="auto"/>
              <w:jc w:val="center"/>
              <w:rPr>
                <w:rFonts w:hint="eastAsia" w:ascii="宋体" w:hAnsi="宋体" w:eastAsia="宋体" w:cs="宋体"/>
                <w:color w:val="auto"/>
                <w:kern w:val="0"/>
                <w:sz w:val="21"/>
                <w:szCs w:val="21"/>
                <w:highlight w:val="none"/>
              </w:rPr>
            </w:pPr>
          </w:p>
        </w:tc>
        <w:tc>
          <w:tcPr>
            <w:tcW w:w="1651" w:type="dxa"/>
            <w:tcBorders>
              <w:top w:val="single" w:color="auto" w:sz="4" w:space="0"/>
              <w:left w:val="single" w:color="auto" w:sz="4" w:space="0"/>
              <w:bottom w:val="single" w:color="auto" w:sz="4" w:space="0"/>
              <w:right w:val="single" w:color="auto" w:sz="4" w:space="0"/>
            </w:tcBorders>
            <w:vAlign w:val="center"/>
          </w:tcPr>
          <w:p w14:paraId="1624507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90＜S≤140</w:t>
            </w:r>
          </w:p>
        </w:tc>
        <w:tc>
          <w:tcPr>
            <w:tcW w:w="1609" w:type="dxa"/>
            <w:tcBorders>
              <w:top w:val="single" w:color="auto" w:sz="4" w:space="0"/>
              <w:left w:val="single" w:color="auto" w:sz="4" w:space="0"/>
              <w:bottom w:val="single" w:color="auto" w:sz="4" w:space="0"/>
              <w:right w:val="single" w:color="auto" w:sz="4" w:space="0"/>
            </w:tcBorders>
            <w:vAlign w:val="center"/>
          </w:tcPr>
          <w:p w14:paraId="0A2F7E5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10</w:t>
            </w:r>
          </w:p>
        </w:tc>
        <w:tc>
          <w:tcPr>
            <w:tcW w:w="1701" w:type="dxa"/>
            <w:tcBorders>
              <w:top w:val="single" w:color="auto" w:sz="4" w:space="0"/>
              <w:left w:val="single" w:color="auto" w:sz="4" w:space="0"/>
              <w:bottom w:val="single" w:color="auto" w:sz="4" w:space="0"/>
              <w:right w:val="single" w:color="auto" w:sz="4" w:space="0"/>
            </w:tcBorders>
            <w:vAlign w:val="center"/>
          </w:tcPr>
          <w:p w14:paraId="5B0E56F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80A/2P</w:t>
            </w:r>
          </w:p>
        </w:tc>
        <w:tc>
          <w:tcPr>
            <w:tcW w:w="2041" w:type="dxa"/>
            <w:tcBorders>
              <w:top w:val="single" w:color="auto" w:sz="4" w:space="0"/>
              <w:left w:val="single" w:color="auto" w:sz="4" w:space="0"/>
              <w:bottom w:val="single" w:color="auto" w:sz="4" w:space="0"/>
              <w:right w:val="single" w:color="auto" w:sz="4" w:space="0"/>
            </w:tcBorders>
            <w:vAlign w:val="center"/>
          </w:tcPr>
          <w:p w14:paraId="502A7A79">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25+1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16/PC32+PC25</w:t>
            </w:r>
          </w:p>
        </w:tc>
      </w:tr>
      <w:tr w14:paraId="6E9B9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vMerge w:val="continue"/>
            <w:tcBorders>
              <w:left w:val="single" w:color="auto" w:sz="4" w:space="0"/>
              <w:bottom w:val="single" w:color="auto" w:sz="4" w:space="0"/>
              <w:right w:val="single" w:color="auto" w:sz="4" w:space="0"/>
            </w:tcBorders>
            <w:vAlign w:val="center"/>
          </w:tcPr>
          <w:p w14:paraId="6398AB94">
            <w:pPr>
              <w:adjustRightInd w:val="0"/>
              <w:spacing w:line="360" w:lineRule="auto"/>
              <w:jc w:val="center"/>
              <w:rPr>
                <w:rFonts w:hint="eastAsia" w:ascii="宋体" w:hAnsi="宋体" w:eastAsia="宋体" w:cs="宋体"/>
                <w:color w:val="auto"/>
                <w:kern w:val="0"/>
                <w:sz w:val="21"/>
                <w:szCs w:val="21"/>
                <w:highlight w:val="none"/>
              </w:rPr>
            </w:pPr>
          </w:p>
        </w:tc>
        <w:tc>
          <w:tcPr>
            <w:tcW w:w="1651" w:type="dxa"/>
            <w:tcBorders>
              <w:top w:val="single" w:color="auto" w:sz="4" w:space="0"/>
              <w:left w:val="single" w:color="auto" w:sz="4" w:space="0"/>
              <w:bottom w:val="single" w:color="auto" w:sz="4" w:space="0"/>
              <w:right w:val="single" w:color="auto" w:sz="4" w:space="0"/>
            </w:tcBorders>
            <w:vAlign w:val="center"/>
          </w:tcPr>
          <w:p w14:paraId="72FB4180">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140＜S≤180</w:t>
            </w:r>
          </w:p>
        </w:tc>
        <w:tc>
          <w:tcPr>
            <w:tcW w:w="1609" w:type="dxa"/>
            <w:tcBorders>
              <w:top w:val="single" w:color="auto" w:sz="4" w:space="0"/>
              <w:left w:val="single" w:color="auto" w:sz="4" w:space="0"/>
              <w:bottom w:val="single" w:color="auto" w:sz="4" w:space="0"/>
              <w:right w:val="single" w:color="auto" w:sz="4" w:space="0"/>
            </w:tcBorders>
            <w:vAlign w:val="center"/>
          </w:tcPr>
          <w:p w14:paraId="2C0CCB8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11~12</w:t>
            </w:r>
          </w:p>
        </w:tc>
        <w:tc>
          <w:tcPr>
            <w:tcW w:w="1701" w:type="dxa"/>
            <w:tcBorders>
              <w:top w:val="single" w:color="auto" w:sz="4" w:space="0"/>
              <w:left w:val="single" w:color="auto" w:sz="4" w:space="0"/>
              <w:bottom w:val="single" w:color="auto" w:sz="4" w:space="0"/>
              <w:right w:val="single" w:color="auto" w:sz="4" w:space="0"/>
            </w:tcBorders>
            <w:vAlign w:val="center"/>
          </w:tcPr>
          <w:p w14:paraId="01E9CA6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80A/2P</w:t>
            </w:r>
          </w:p>
        </w:tc>
        <w:tc>
          <w:tcPr>
            <w:tcW w:w="2041" w:type="dxa"/>
            <w:tcBorders>
              <w:top w:val="single" w:color="auto" w:sz="4" w:space="0"/>
              <w:left w:val="single" w:color="auto" w:sz="4" w:space="0"/>
              <w:bottom w:val="single" w:color="auto" w:sz="4" w:space="0"/>
              <w:right w:val="single" w:color="auto" w:sz="4" w:space="0"/>
            </w:tcBorders>
            <w:vAlign w:val="center"/>
          </w:tcPr>
          <w:p w14:paraId="01066D4C">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25+1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16/PC32+PC25</w:t>
            </w:r>
          </w:p>
        </w:tc>
      </w:tr>
      <w:tr w14:paraId="371E9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tcBorders>
              <w:top w:val="single" w:color="auto" w:sz="4" w:space="0"/>
              <w:left w:val="single" w:color="auto" w:sz="4" w:space="0"/>
              <w:bottom w:val="single" w:color="auto" w:sz="4" w:space="0"/>
              <w:right w:val="single" w:color="auto" w:sz="4" w:space="0"/>
            </w:tcBorders>
            <w:vAlign w:val="center"/>
          </w:tcPr>
          <w:p w14:paraId="6346C11C">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餐饮</w:t>
            </w:r>
          </w:p>
        </w:tc>
        <w:tc>
          <w:tcPr>
            <w:tcW w:w="3260" w:type="dxa"/>
            <w:gridSpan w:val="2"/>
            <w:tcBorders>
              <w:top w:val="single" w:color="auto" w:sz="4" w:space="0"/>
              <w:left w:val="single" w:color="auto" w:sz="4" w:space="0"/>
              <w:bottom w:val="single" w:color="auto" w:sz="4" w:space="0"/>
              <w:right w:val="single" w:color="auto" w:sz="4" w:space="0"/>
            </w:tcBorders>
            <w:vAlign w:val="center"/>
          </w:tcPr>
          <w:p w14:paraId="2C6B4B08">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通燃气250W/m</w:t>
            </w:r>
            <w:r>
              <w:rPr>
                <w:rFonts w:hint="eastAsia" w:ascii="宋体" w:hAnsi="宋体" w:eastAsia="宋体" w:cs="宋体"/>
                <w:color w:val="auto"/>
                <w:kern w:val="0"/>
                <w:sz w:val="21"/>
                <w:szCs w:val="21"/>
                <w:highlight w:val="none"/>
                <w:vertAlign w:val="superscript"/>
              </w:rPr>
              <w:t>2</w:t>
            </w:r>
            <w:r>
              <w:rPr>
                <w:rFonts w:hint="eastAsia" w:ascii="宋体" w:hAnsi="宋体" w:eastAsia="宋体" w:cs="宋体"/>
                <w:color w:val="auto"/>
                <w:kern w:val="0"/>
                <w:sz w:val="21"/>
                <w:szCs w:val="21"/>
                <w:highlight w:val="none"/>
              </w:rPr>
              <w:t>，不通燃气500W/m</w:t>
            </w:r>
            <w:r>
              <w:rPr>
                <w:rFonts w:hint="eastAsia" w:ascii="宋体" w:hAnsi="宋体" w:eastAsia="宋体" w:cs="宋体"/>
                <w:color w:val="auto"/>
                <w:kern w:val="0"/>
                <w:sz w:val="21"/>
                <w:szCs w:val="21"/>
                <w:highlight w:val="none"/>
                <w:vertAlign w:val="superscript"/>
              </w:rPr>
              <w:t>2</w:t>
            </w:r>
          </w:p>
        </w:tc>
        <w:tc>
          <w:tcPr>
            <w:tcW w:w="1701" w:type="dxa"/>
            <w:tcBorders>
              <w:top w:val="single" w:color="auto" w:sz="4" w:space="0"/>
              <w:left w:val="single" w:color="auto" w:sz="4" w:space="0"/>
              <w:bottom w:val="single" w:color="auto" w:sz="4" w:space="0"/>
              <w:right w:val="single" w:color="auto" w:sz="4" w:space="0"/>
            </w:tcBorders>
            <w:vAlign w:val="center"/>
          </w:tcPr>
          <w:p w14:paraId="2B2A2F0D">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不小于32A/3P</w:t>
            </w:r>
          </w:p>
        </w:tc>
        <w:tc>
          <w:tcPr>
            <w:tcW w:w="2041" w:type="dxa"/>
            <w:tcBorders>
              <w:top w:val="single" w:color="auto" w:sz="4" w:space="0"/>
              <w:left w:val="single" w:color="auto" w:sz="4" w:space="0"/>
              <w:bottom w:val="single" w:color="auto" w:sz="4" w:space="0"/>
              <w:right w:val="single" w:color="auto" w:sz="4" w:space="0"/>
            </w:tcBorders>
            <w:vAlign w:val="center"/>
          </w:tcPr>
          <w:p w14:paraId="0C5BC198">
            <w:pPr>
              <w:adjustRightInd w:val="0"/>
              <w:spacing w:line="360" w:lineRule="auto"/>
              <w:jc w:val="center"/>
              <w:rPr>
                <w:rFonts w:hint="eastAsia" w:ascii="宋体" w:hAnsi="宋体" w:eastAsia="宋体" w:cs="宋体"/>
                <w:color w:val="auto"/>
                <w:kern w:val="0"/>
                <w:sz w:val="21"/>
                <w:szCs w:val="21"/>
                <w:highlight w:val="none"/>
              </w:rPr>
            </w:pPr>
          </w:p>
        </w:tc>
      </w:tr>
      <w:tr w14:paraId="1BD49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tcBorders>
              <w:top w:val="single" w:color="auto" w:sz="4" w:space="0"/>
              <w:left w:val="single" w:color="auto" w:sz="4" w:space="0"/>
              <w:bottom w:val="single" w:color="auto" w:sz="4" w:space="0"/>
              <w:right w:val="single" w:color="auto" w:sz="4" w:space="0"/>
            </w:tcBorders>
            <w:vAlign w:val="center"/>
          </w:tcPr>
          <w:p w14:paraId="2C6EF0AC">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商业</w:t>
            </w:r>
          </w:p>
        </w:tc>
        <w:tc>
          <w:tcPr>
            <w:tcW w:w="3260" w:type="dxa"/>
            <w:gridSpan w:val="2"/>
            <w:tcBorders>
              <w:top w:val="single" w:color="auto" w:sz="4" w:space="0"/>
              <w:left w:val="single" w:color="auto" w:sz="4" w:space="0"/>
              <w:bottom w:val="single" w:color="auto" w:sz="4" w:space="0"/>
              <w:right w:val="single" w:color="auto" w:sz="4" w:space="0"/>
            </w:tcBorders>
            <w:vAlign w:val="center"/>
          </w:tcPr>
          <w:p w14:paraId="3713C84F">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按120Wm</w:t>
            </w:r>
            <w:r>
              <w:rPr>
                <w:rFonts w:hint="eastAsia" w:ascii="宋体" w:hAnsi="宋体" w:eastAsia="宋体" w:cs="宋体"/>
                <w:color w:val="auto"/>
                <w:kern w:val="0"/>
                <w:sz w:val="21"/>
                <w:szCs w:val="21"/>
                <w:highlight w:val="none"/>
                <w:vertAlign w:val="superscript"/>
              </w:rPr>
              <w:t>2</w:t>
            </w:r>
            <w:r>
              <w:rPr>
                <w:rFonts w:hint="eastAsia" w:ascii="宋体" w:hAnsi="宋体" w:eastAsia="宋体" w:cs="宋体"/>
                <w:color w:val="auto"/>
                <w:kern w:val="0"/>
                <w:sz w:val="21"/>
                <w:szCs w:val="21"/>
                <w:highlight w:val="none"/>
              </w:rPr>
              <w:t>计算</w:t>
            </w:r>
          </w:p>
        </w:tc>
        <w:tc>
          <w:tcPr>
            <w:tcW w:w="1701" w:type="dxa"/>
            <w:tcBorders>
              <w:top w:val="single" w:color="auto" w:sz="4" w:space="0"/>
              <w:left w:val="single" w:color="auto" w:sz="4" w:space="0"/>
              <w:bottom w:val="single" w:color="auto" w:sz="4" w:space="0"/>
              <w:right w:val="single" w:color="auto" w:sz="4" w:space="0"/>
            </w:tcBorders>
            <w:vAlign w:val="center"/>
          </w:tcPr>
          <w:p w14:paraId="0CF83FAA">
            <w:pPr>
              <w:adjustRightInd w:val="0"/>
              <w:spacing w:line="360" w:lineRule="auto"/>
              <w:jc w:val="center"/>
              <w:rPr>
                <w:rFonts w:hint="eastAsia" w:ascii="宋体" w:hAnsi="宋体" w:eastAsia="宋体" w:cs="宋体"/>
                <w:color w:val="auto"/>
                <w:kern w:val="0"/>
                <w:sz w:val="21"/>
                <w:szCs w:val="21"/>
                <w:highlight w:val="none"/>
              </w:rPr>
            </w:pPr>
          </w:p>
        </w:tc>
        <w:tc>
          <w:tcPr>
            <w:tcW w:w="2041" w:type="dxa"/>
            <w:tcBorders>
              <w:top w:val="single" w:color="auto" w:sz="4" w:space="0"/>
              <w:left w:val="single" w:color="auto" w:sz="4" w:space="0"/>
              <w:bottom w:val="single" w:color="auto" w:sz="4" w:space="0"/>
              <w:right w:val="single" w:color="auto" w:sz="4" w:space="0"/>
            </w:tcBorders>
            <w:vAlign w:val="center"/>
          </w:tcPr>
          <w:p w14:paraId="2AAF22BE">
            <w:pPr>
              <w:adjustRightInd w:val="0"/>
              <w:spacing w:line="360" w:lineRule="auto"/>
              <w:jc w:val="center"/>
              <w:rPr>
                <w:rFonts w:hint="eastAsia" w:ascii="宋体" w:hAnsi="宋体" w:eastAsia="宋体" w:cs="宋体"/>
                <w:color w:val="auto"/>
                <w:kern w:val="0"/>
                <w:sz w:val="21"/>
                <w:szCs w:val="21"/>
                <w:highlight w:val="none"/>
              </w:rPr>
            </w:pPr>
          </w:p>
        </w:tc>
      </w:tr>
      <w:tr w14:paraId="144DC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335" w:type="dxa"/>
            <w:tcBorders>
              <w:top w:val="single" w:color="auto" w:sz="4" w:space="0"/>
              <w:left w:val="single" w:color="auto" w:sz="4" w:space="0"/>
              <w:bottom w:val="single" w:color="auto" w:sz="4" w:space="0"/>
              <w:right w:val="single" w:color="auto" w:sz="4" w:space="0"/>
            </w:tcBorders>
            <w:vAlign w:val="center"/>
          </w:tcPr>
          <w:p w14:paraId="46F8C2F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办公</w:t>
            </w:r>
          </w:p>
        </w:tc>
        <w:tc>
          <w:tcPr>
            <w:tcW w:w="3260" w:type="dxa"/>
            <w:gridSpan w:val="2"/>
            <w:tcBorders>
              <w:top w:val="single" w:color="auto" w:sz="4" w:space="0"/>
              <w:left w:val="single" w:color="auto" w:sz="4" w:space="0"/>
              <w:bottom w:val="single" w:color="auto" w:sz="4" w:space="0"/>
              <w:right w:val="single" w:color="auto" w:sz="4" w:space="0"/>
            </w:tcBorders>
            <w:vAlign w:val="center"/>
          </w:tcPr>
          <w:p w14:paraId="505CCED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按100Wm</w:t>
            </w:r>
            <w:r>
              <w:rPr>
                <w:rFonts w:hint="eastAsia" w:ascii="宋体" w:hAnsi="宋体" w:eastAsia="宋体" w:cs="宋体"/>
                <w:color w:val="auto"/>
                <w:kern w:val="0"/>
                <w:sz w:val="21"/>
                <w:szCs w:val="21"/>
                <w:highlight w:val="none"/>
                <w:vertAlign w:val="superscript"/>
              </w:rPr>
              <w:t>2</w:t>
            </w:r>
            <w:r>
              <w:rPr>
                <w:rFonts w:hint="eastAsia" w:ascii="宋体" w:hAnsi="宋体" w:eastAsia="宋体" w:cs="宋体"/>
                <w:color w:val="auto"/>
                <w:kern w:val="0"/>
                <w:sz w:val="21"/>
                <w:szCs w:val="21"/>
                <w:highlight w:val="none"/>
              </w:rPr>
              <w:t>计算</w:t>
            </w:r>
          </w:p>
        </w:tc>
        <w:tc>
          <w:tcPr>
            <w:tcW w:w="1701" w:type="dxa"/>
            <w:tcBorders>
              <w:top w:val="single" w:color="auto" w:sz="4" w:space="0"/>
              <w:left w:val="single" w:color="auto" w:sz="4" w:space="0"/>
              <w:bottom w:val="single" w:color="auto" w:sz="4" w:space="0"/>
              <w:right w:val="single" w:color="auto" w:sz="4" w:space="0"/>
            </w:tcBorders>
            <w:vAlign w:val="center"/>
          </w:tcPr>
          <w:p w14:paraId="13787FD4">
            <w:pPr>
              <w:adjustRightInd w:val="0"/>
              <w:spacing w:line="360" w:lineRule="auto"/>
              <w:jc w:val="center"/>
              <w:rPr>
                <w:rFonts w:hint="eastAsia" w:ascii="宋体" w:hAnsi="宋体" w:eastAsia="宋体" w:cs="宋体"/>
                <w:color w:val="auto"/>
                <w:kern w:val="0"/>
                <w:sz w:val="21"/>
                <w:szCs w:val="21"/>
                <w:highlight w:val="none"/>
              </w:rPr>
            </w:pPr>
          </w:p>
        </w:tc>
        <w:tc>
          <w:tcPr>
            <w:tcW w:w="2041" w:type="dxa"/>
            <w:tcBorders>
              <w:top w:val="single" w:color="auto" w:sz="4" w:space="0"/>
              <w:left w:val="single" w:color="auto" w:sz="4" w:space="0"/>
              <w:bottom w:val="single" w:color="auto" w:sz="4" w:space="0"/>
              <w:right w:val="single" w:color="auto" w:sz="4" w:space="0"/>
            </w:tcBorders>
            <w:vAlign w:val="center"/>
          </w:tcPr>
          <w:p w14:paraId="10CC9A72">
            <w:pPr>
              <w:adjustRightInd w:val="0"/>
              <w:spacing w:line="360" w:lineRule="auto"/>
              <w:jc w:val="center"/>
              <w:rPr>
                <w:rFonts w:hint="eastAsia" w:ascii="宋体" w:hAnsi="宋体" w:eastAsia="宋体" w:cs="宋体"/>
                <w:color w:val="auto"/>
                <w:kern w:val="0"/>
                <w:sz w:val="21"/>
                <w:szCs w:val="21"/>
                <w:highlight w:val="none"/>
              </w:rPr>
            </w:pPr>
          </w:p>
        </w:tc>
      </w:tr>
    </w:tbl>
    <w:p w14:paraId="066EDE57">
      <w:pPr>
        <w:spacing w:line="360" w:lineRule="auto"/>
        <w:ind w:firstLine="210" w:firstLineChars="100"/>
        <w:rPr>
          <w:rFonts w:hint="eastAsia" w:ascii="宋体" w:hAnsi="宋体" w:eastAsia="宋体" w:cs="宋体"/>
          <w:color w:val="auto"/>
          <w:sz w:val="21"/>
          <w:szCs w:val="21"/>
          <w:highlight w:val="none"/>
        </w:rPr>
      </w:pPr>
    </w:p>
    <w:p w14:paraId="66545238">
      <w:pPr>
        <w:spacing w:line="360" w:lineRule="auto"/>
        <w:ind w:firstLine="210" w:firstLineChars="1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注：1）住宅超过140m2部分按30W/m2~40W/</w:t>
      </w:r>
      <w:bookmarkStart w:id="349" w:name="OLE_LINK10"/>
      <w:bookmarkStart w:id="350" w:name="OLE_LINK9"/>
      <w:bookmarkStart w:id="351" w:name="OLE_LINK11"/>
      <w:bookmarkStart w:id="352" w:name="OLE_LINK8"/>
      <w:r>
        <w:rPr>
          <w:rFonts w:hint="eastAsia" w:ascii="宋体" w:hAnsi="宋体" w:eastAsia="宋体" w:cs="宋体"/>
          <w:color w:val="auto"/>
          <w:sz w:val="21"/>
          <w:szCs w:val="21"/>
          <w:highlight w:val="none"/>
        </w:rPr>
        <w:t>m2</w:t>
      </w:r>
      <w:bookmarkEnd w:id="349"/>
      <w:bookmarkEnd w:id="350"/>
      <w:bookmarkEnd w:id="351"/>
      <w:bookmarkEnd w:id="352"/>
      <w:r>
        <w:rPr>
          <w:rFonts w:hint="eastAsia" w:ascii="宋体" w:hAnsi="宋体" w:eastAsia="宋体" w:cs="宋体"/>
          <w:color w:val="auto"/>
          <w:sz w:val="21"/>
          <w:szCs w:val="21"/>
          <w:highlight w:val="none"/>
        </w:rPr>
        <w:t>计算用电负荷；</w:t>
      </w:r>
    </w:p>
    <w:p w14:paraId="4BE32B66">
      <w:pPr>
        <w:pStyle w:val="63"/>
        <w:spacing w:line="360" w:lineRule="auto"/>
        <w:ind w:left="21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2）住宅大于等于15kW或有三相配电设备时按三相配电进行设计。</w:t>
      </w:r>
    </w:p>
    <w:p w14:paraId="6504C7F6">
      <w:pPr>
        <w:pStyle w:val="24"/>
        <w:ind w:firstLine="482"/>
        <w:rPr>
          <w:rFonts w:hint="eastAsia" w:hAnsi="宋体" w:cs="宋体"/>
          <w:b/>
          <w:bCs/>
          <w:szCs w:val="24"/>
          <w:highlight w:val="none"/>
        </w:rPr>
      </w:pPr>
      <w:r>
        <w:rPr>
          <w:rFonts w:hint="eastAsia" w:hAnsi="宋体" w:cs="宋体"/>
          <w:b/>
          <w:bCs/>
          <w:szCs w:val="24"/>
          <w:highlight w:val="none"/>
        </w:rPr>
        <w:t>4.2.3.2 变压器容量选择原则</w:t>
      </w:r>
    </w:p>
    <w:p w14:paraId="0378156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①公用变压器容量选择：居住区公用配电变压器，应采取“小容量，多布点”的原则，因地制宜。配电变压器应靠近负荷中心。</w:t>
      </w:r>
    </w:p>
    <w:p w14:paraId="30D95BD2">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②变压器的需要系数根据居住区居民住宅总户数确定，住宅用电负荷的需要系数可以参考表：</w:t>
      </w:r>
    </w:p>
    <w:p w14:paraId="1DA44D80">
      <w:pPr>
        <w:pStyle w:val="7"/>
        <w:numPr>
          <w:ilvl w:val="3"/>
          <w:numId w:val="0"/>
        </w:numPr>
        <w:ind w:firstLine="960" w:firstLineChars="400"/>
        <w:rPr>
          <w:rFonts w:hint="eastAsia" w:ascii="宋体" w:hAnsi="宋体" w:cs="宋体"/>
          <w:b w:val="0"/>
          <w:bCs/>
          <w:szCs w:val="24"/>
          <w:highlight w:val="none"/>
        </w:rPr>
      </w:pPr>
      <w:r>
        <w:rPr>
          <w:rFonts w:hint="eastAsia" w:ascii="宋体" w:hAnsi="宋体" w:cs="宋体"/>
          <w:b w:val="0"/>
          <w:bCs/>
          <w:szCs w:val="24"/>
          <w:highlight w:val="none"/>
        </w:rPr>
        <w:t>住宅用电负荷的需要系数</w:t>
      </w:r>
    </w:p>
    <w:tbl>
      <w:tblPr>
        <w:tblStyle w:val="42"/>
        <w:tblW w:w="6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94"/>
        <w:gridCol w:w="2551"/>
        <w:gridCol w:w="2101"/>
      </w:tblGrid>
      <w:tr w14:paraId="7A9F7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433DE28B">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按单相配电计算时连接的基本户数</w:t>
            </w:r>
          </w:p>
        </w:tc>
        <w:tc>
          <w:tcPr>
            <w:tcW w:w="2551" w:type="dxa"/>
            <w:vAlign w:val="center"/>
          </w:tcPr>
          <w:p w14:paraId="3828CD6E">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按三相配电计算时连接的基本户数</w:t>
            </w:r>
          </w:p>
        </w:tc>
        <w:tc>
          <w:tcPr>
            <w:tcW w:w="2101" w:type="dxa"/>
            <w:vAlign w:val="center"/>
          </w:tcPr>
          <w:p w14:paraId="105DD420">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需要系数</w:t>
            </w:r>
          </w:p>
        </w:tc>
      </w:tr>
      <w:tr w14:paraId="18C58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52A3A311">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w:t>
            </w:r>
          </w:p>
        </w:tc>
        <w:tc>
          <w:tcPr>
            <w:tcW w:w="2551" w:type="dxa"/>
            <w:vAlign w:val="center"/>
          </w:tcPr>
          <w:p w14:paraId="6AB3AC00">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3~9</w:t>
            </w:r>
          </w:p>
        </w:tc>
        <w:tc>
          <w:tcPr>
            <w:tcW w:w="2101" w:type="dxa"/>
            <w:vAlign w:val="center"/>
          </w:tcPr>
          <w:p w14:paraId="09DA5A43">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0.90~1.00</w:t>
            </w:r>
          </w:p>
        </w:tc>
      </w:tr>
      <w:tr w14:paraId="723D9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6C45153B">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4~8</w:t>
            </w:r>
          </w:p>
        </w:tc>
        <w:tc>
          <w:tcPr>
            <w:tcW w:w="2551" w:type="dxa"/>
            <w:vAlign w:val="center"/>
          </w:tcPr>
          <w:p w14:paraId="314C5CC4">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12~24</w:t>
            </w:r>
          </w:p>
        </w:tc>
        <w:tc>
          <w:tcPr>
            <w:tcW w:w="2101" w:type="dxa"/>
            <w:vAlign w:val="center"/>
          </w:tcPr>
          <w:p w14:paraId="598F8712">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0.65~0.90</w:t>
            </w:r>
          </w:p>
        </w:tc>
      </w:tr>
      <w:tr w14:paraId="0B83B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40A5CD3F">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9~12</w:t>
            </w:r>
          </w:p>
        </w:tc>
        <w:tc>
          <w:tcPr>
            <w:tcW w:w="2551" w:type="dxa"/>
            <w:vAlign w:val="center"/>
          </w:tcPr>
          <w:p w14:paraId="33BFBBC9">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27~36</w:t>
            </w:r>
          </w:p>
        </w:tc>
        <w:tc>
          <w:tcPr>
            <w:tcW w:w="2101" w:type="dxa"/>
            <w:vAlign w:val="center"/>
          </w:tcPr>
          <w:p w14:paraId="5D93D5F3">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0.50~0.65</w:t>
            </w:r>
          </w:p>
        </w:tc>
      </w:tr>
      <w:tr w14:paraId="799EB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568A28BD">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13~24</w:t>
            </w:r>
          </w:p>
        </w:tc>
        <w:tc>
          <w:tcPr>
            <w:tcW w:w="2551" w:type="dxa"/>
            <w:vAlign w:val="center"/>
          </w:tcPr>
          <w:p w14:paraId="0D49C270">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39~72</w:t>
            </w:r>
          </w:p>
        </w:tc>
        <w:tc>
          <w:tcPr>
            <w:tcW w:w="2101" w:type="dxa"/>
            <w:vAlign w:val="center"/>
          </w:tcPr>
          <w:p w14:paraId="61B50C1E">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0.45~0.50</w:t>
            </w:r>
          </w:p>
        </w:tc>
      </w:tr>
      <w:tr w14:paraId="6ACE1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589407D0">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25~124</w:t>
            </w:r>
          </w:p>
        </w:tc>
        <w:tc>
          <w:tcPr>
            <w:tcW w:w="2551" w:type="dxa"/>
            <w:vAlign w:val="center"/>
          </w:tcPr>
          <w:p w14:paraId="41FCA5FB">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75~372</w:t>
            </w:r>
          </w:p>
        </w:tc>
        <w:tc>
          <w:tcPr>
            <w:tcW w:w="2101" w:type="dxa"/>
            <w:vAlign w:val="center"/>
          </w:tcPr>
          <w:p w14:paraId="14786BD9">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0.4~0.45</w:t>
            </w:r>
          </w:p>
        </w:tc>
      </w:tr>
      <w:tr w14:paraId="63AED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7FABC001">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125~259</w:t>
            </w:r>
          </w:p>
        </w:tc>
        <w:tc>
          <w:tcPr>
            <w:tcW w:w="2551" w:type="dxa"/>
            <w:vAlign w:val="center"/>
          </w:tcPr>
          <w:p w14:paraId="7AF1EE0E">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375~777</w:t>
            </w:r>
          </w:p>
        </w:tc>
        <w:tc>
          <w:tcPr>
            <w:tcW w:w="2101" w:type="dxa"/>
            <w:vAlign w:val="center"/>
          </w:tcPr>
          <w:p w14:paraId="2E468D7E">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0.30~0.40</w:t>
            </w:r>
          </w:p>
        </w:tc>
      </w:tr>
      <w:tr w14:paraId="713F86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294" w:type="dxa"/>
            <w:vAlign w:val="center"/>
          </w:tcPr>
          <w:p w14:paraId="46A3A278">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260~300</w:t>
            </w:r>
          </w:p>
        </w:tc>
        <w:tc>
          <w:tcPr>
            <w:tcW w:w="2551" w:type="dxa"/>
            <w:vAlign w:val="center"/>
          </w:tcPr>
          <w:p w14:paraId="0E9CBD13">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780~900</w:t>
            </w:r>
          </w:p>
        </w:tc>
        <w:tc>
          <w:tcPr>
            <w:tcW w:w="2101" w:type="dxa"/>
            <w:vAlign w:val="center"/>
          </w:tcPr>
          <w:p w14:paraId="2E0E2F76">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0.26~0.30</w:t>
            </w:r>
          </w:p>
        </w:tc>
      </w:tr>
    </w:tbl>
    <w:p w14:paraId="2D0965AC">
      <w:pPr>
        <w:pStyle w:val="85"/>
        <w:spacing w:before="0" w:after="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③</w:t>
      </w:r>
      <w:r>
        <w:rPr>
          <w:rStyle w:val="81"/>
          <w:rFonts w:ascii="宋体" w:hAnsi="宋体" w:cs="宋体"/>
          <w:sz w:val="24"/>
          <w:szCs w:val="24"/>
          <w:highlight w:val="none"/>
        </w:rPr>
        <w:t>居住住宅小区的车位宜按慢充方式计算用电负荷，每个慢充充电设施充电功率按</w:t>
      </w:r>
      <w:r>
        <w:rPr>
          <w:rStyle w:val="81"/>
          <w:rFonts w:hint="eastAsia" w:ascii="宋体" w:hAnsi="宋体" w:cs="宋体"/>
          <w:sz w:val="24"/>
          <w:szCs w:val="24"/>
          <w:highlight w:val="none"/>
        </w:rPr>
        <w:t>8</w:t>
      </w:r>
      <w:r>
        <w:rPr>
          <w:rStyle w:val="81"/>
          <w:rFonts w:ascii="宋体" w:hAnsi="宋体" w:cs="宋体"/>
          <w:sz w:val="24"/>
          <w:szCs w:val="24"/>
          <w:highlight w:val="none"/>
        </w:rPr>
        <w:t>kW计算，需要系数取0.5。</w:t>
      </w:r>
    </w:p>
    <w:p w14:paraId="5C8E4EA0">
      <w:pPr>
        <w:pStyle w:val="24"/>
        <w:numPr>
          <w:ilvl w:val="255"/>
          <w:numId w:val="0"/>
        </w:numPr>
        <w:ind w:firstLine="199" w:firstLineChars="83"/>
        <w:rPr>
          <w:rStyle w:val="81"/>
          <w:rFonts w:hint="eastAsia" w:ascii="宋体" w:hAnsi="宋体" w:cs="宋体"/>
          <w:sz w:val="24"/>
          <w:szCs w:val="24"/>
          <w:highlight w:val="none"/>
        </w:rPr>
      </w:pPr>
      <w:r>
        <w:rPr>
          <w:rStyle w:val="81"/>
          <w:rFonts w:hint="eastAsia" w:ascii="宋体" w:hAnsi="宋体" w:cs="宋体"/>
          <w:sz w:val="24"/>
          <w:szCs w:val="24"/>
          <w:highlight w:val="none"/>
        </w:rPr>
        <w:t>住宅充电设施按</w:t>
      </w:r>
      <w:r>
        <w:rPr>
          <w:rStyle w:val="81"/>
          <w:rFonts w:ascii="宋体" w:hAnsi="宋体" w:cs="宋体"/>
          <w:sz w:val="24"/>
          <w:szCs w:val="24"/>
          <w:highlight w:val="none"/>
        </w:rPr>
        <w:t>100%车位预留安装条件，其中：</w:t>
      </w:r>
      <w:r>
        <w:rPr>
          <w:rStyle w:val="81"/>
          <w:rFonts w:hint="eastAsia" w:ascii="宋体" w:hAnsi="宋体" w:cs="宋体"/>
          <w:sz w:val="24"/>
          <w:szCs w:val="24"/>
          <w:highlight w:val="none"/>
        </w:rPr>
        <w:t>按广州市最新政策要求（</w:t>
      </w:r>
      <w:r>
        <w:rPr>
          <w:rFonts w:hint="eastAsia" w:hAnsi="宋体" w:cs="宋体"/>
          <w:szCs w:val="24"/>
          <w:highlight w:val="none"/>
        </w:rPr>
        <w:t>《广州供电局业扩报装及配套项目管理细则》（Q-CSG-GPG2083001-2022）；《广州供电局电动汽车充(换)电基础设施用电报装业务办理指南》(广供电市部〔2023〕38号）《广州电网规划设计技术导则》（</w:t>
      </w:r>
      <w:r>
        <w:rPr>
          <w:rFonts w:hAnsi="宋体" w:cs="宋体"/>
          <w:szCs w:val="24"/>
          <w:highlight w:val="none"/>
        </w:rPr>
        <w:t>广东电网有限责任公司广州供电局</w:t>
      </w:r>
      <w:r>
        <w:rPr>
          <w:rFonts w:hint="eastAsia" w:hAnsi="宋体" w:cs="宋体"/>
          <w:szCs w:val="24"/>
          <w:highlight w:val="none"/>
        </w:rPr>
        <w:t>2023年10月17日印发）等相关政策和规范)</w:t>
      </w:r>
      <w:r>
        <w:rPr>
          <w:rStyle w:val="81"/>
          <w:rFonts w:hint="eastAsia" w:ascii="宋体" w:hAnsi="宋体" w:cs="宋体"/>
          <w:sz w:val="24"/>
          <w:szCs w:val="24"/>
          <w:highlight w:val="none"/>
        </w:rPr>
        <w:t>设计。</w:t>
      </w:r>
    </w:p>
    <w:p w14:paraId="5A6B337B">
      <w:pPr>
        <w:pStyle w:val="85"/>
        <w:spacing w:before="0" w:after="0" w:line="360" w:lineRule="auto"/>
        <w:ind w:firstLine="480" w:firstLineChars="200"/>
        <w:rPr>
          <w:rStyle w:val="81"/>
          <w:rFonts w:hint="eastAsia" w:ascii="宋体" w:hAnsi="宋体" w:cs="宋体"/>
          <w:sz w:val="24"/>
          <w:szCs w:val="24"/>
          <w:highlight w:val="none"/>
        </w:rPr>
      </w:pPr>
      <w:r>
        <w:rPr>
          <w:rStyle w:val="81"/>
          <w:rFonts w:ascii="宋体" w:hAnsi="宋体" w:cs="宋体"/>
          <w:sz w:val="24"/>
          <w:szCs w:val="24"/>
          <w:highlight w:val="none"/>
        </w:rPr>
        <w:t>1）高、低压配电柜、变压器按</w:t>
      </w:r>
      <w:r>
        <w:rPr>
          <w:rStyle w:val="81"/>
          <w:rFonts w:hint="eastAsia" w:ascii="宋体" w:hAnsi="宋体" w:cs="宋体"/>
          <w:sz w:val="24"/>
          <w:szCs w:val="24"/>
          <w:highlight w:val="none"/>
        </w:rPr>
        <w:t>100%</w:t>
      </w:r>
      <w:r>
        <w:rPr>
          <w:rStyle w:val="81"/>
          <w:rFonts w:ascii="宋体" w:hAnsi="宋体" w:cs="宋体"/>
          <w:sz w:val="24"/>
          <w:szCs w:val="24"/>
          <w:highlight w:val="none"/>
        </w:rPr>
        <w:t>安装到位；</w:t>
      </w:r>
    </w:p>
    <w:p w14:paraId="5DA2C9FA">
      <w:pPr>
        <w:pStyle w:val="85"/>
        <w:spacing w:before="0" w:after="0" w:line="360" w:lineRule="auto"/>
        <w:ind w:firstLine="480" w:firstLineChars="200"/>
        <w:rPr>
          <w:rStyle w:val="81"/>
          <w:rFonts w:hint="eastAsia" w:ascii="宋体" w:hAnsi="宋体" w:cs="宋体"/>
          <w:sz w:val="24"/>
          <w:szCs w:val="24"/>
          <w:highlight w:val="none"/>
        </w:rPr>
      </w:pPr>
      <w:r>
        <w:rPr>
          <w:rStyle w:val="81"/>
          <w:rFonts w:ascii="宋体" w:hAnsi="宋体" w:cs="宋体"/>
          <w:sz w:val="24"/>
          <w:szCs w:val="24"/>
          <w:highlight w:val="none"/>
        </w:rPr>
        <w:t>2）低压配电房至充电桩电表间的电缆桥架、充电桩电表箱按100%安装到位，低压配电房至充电桩电表间的电缆按</w:t>
      </w:r>
      <w:r>
        <w:rPr>
          <w:rStyle w:val="81"/>
          <w:rFonts w:hint="eastAsia" w:ascii="宋体" w:hAnsi="宋体" w:cs="宋体"/>
          <w:sz w:val="24"/>
          <w:szCs w:val="24"/>
          <w:highlight w:val="none"/>
        </w:rPr>
        <w:t>10</w:t>
      </w:r>
      <w:r>
        <w:rPr>
          <w:rStyle w:val="81"/>
          <w:rFonts w:ascii="宋体" w:hAnsi="宋体" w:cs="宋体"/>
          <w:sz w:val="24"/>
          <w:szCs w:val="24"/>
          <w:highlight w:val="none"/>
        </w:rPr>
        <w:t>0%安装到位；</w:t>
      </w:r>
    </w:p>
    <w:p w14:paraId="492B62EC">
      <w:pPr>
        <w:pStyle w:val="85"/>
        <w:spacing w:before="0" w:after="0" w:line="360" w:lineRule="auto"/>
        <w:ind w:firstLine="480" w:firstLineChars="200"/>
        <w:rPr>
          <w:rStyle w:val="81"/>
          <w:rFonts w:hint="eastAsia" w:ascii="宋体" w:hAnsi="宋体" w:cs="宋体"/>
          <w:sz w:val="24"/>
          <w:szCs w:val="24"/>
          <w:highlight w:val="none"/>
        </w:rPr>
      </w:pPr>
      <w:r>
        <w:rPr>
          <w:rStyle w:val="81"/>
          <w:rFonts w:ascii="宋体" w:hAnsi="宋体" w:cs="宋体"/>
          <w:sz w:val="24"/>
          <w:szCs w:val="24"/>
          <w:highlight w:val="none"/>
        </w:rPr>
        <w:t>3）充电桩电表箱至各车位的电缆桥架按100%安装到位，不含充电桩电表箱至车位配电电缆；</w:t>
      </w:r>
    </w:p>
    <w:p w14:paraId="207ECF2E">
      <w:pPr>
        <w:pStyle w:val="85"/>
        <w:spacing w:before="0" w:after="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（车位充电设施预留安装条件以咨询当地供电部门的意见为准。）</w:t>
      </w:r>
    </w:p>
    <w:p w14:paraId="3BDECA37">
      <w:pPr>
        <w:pStyle w:val="85"/>
        <w:spacing w:before="0" w:after="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④商业、办公等的公共停车位的机动车充电桩充电设施，在低压柜预留配电回路车位数按照30%配置；充电功率不少于30kW/车位。</w:t>
      </w:r>
    </w:p>
    <w:p w14:paraId="6D0063CA">
      <w:pPr>
        <w:pStyle w:val="85"/>
        <w:spacing w:before="0" w:after="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⑥在放置电动自行车区域设置配电箱（仅总断路器），并设专用计量，末端点位配电由物业管理公司完善。负荷估算宜按150W/台，规划总容量按照20%的需要系数计算。</w:t>
      </w:r>
    </w:p>
    <w:p w14:paraId="430124FC">
      <w:pPr>
        <w:pStyle w:val="85"/>
        <w:spacing w:before="0" w:after="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⑦公用配电变压器的长期工作负载率不宜大于80%。</w:t>
      </w:r>
    </w:p>
    <w:p w14:paraId="1DF4A0E7">
      <w:pPr>
        <w:pStyle w:val="85"/>
        <w:spacing w:before="0" w:after="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⑧专用变压器负荷计算：按照计算负荷容量选取，变压器长期工作负载率不宜大于85%。</w:t>
      </w:r>
    </w:p>
    <w:p w14:paraId="4CCD9117">
      <w:pPr>
        <w:pStyle w:val="85"/>
        <w:spacing w:before="0" w:after="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⑨应选用干式配电变压器。</w:t>
      </w:r>
    </w:p>
    <w:p w14:paraId="0543EAAA">
      <w:pPr>
        <w:pStyle w:val="85"/>
        <w:spacing w:before="0" w:after="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⑩住宅公用变压器容量宜选择为630kVA、800kVA，不建议超过800kVA。。</w:t>
      </w:r>
    </w:p>
    <w:p w14:paraId="198E1DEE">
      <w:pPr>
        <w:pStyle w:val="85"/>
        <w:spacing w:before="0" w:after="0" w:line="360" w:lineRule="auto"/>
        <w:ind w:firstLine="480" w:firstLineChars="200"/>
        <w:rPr>
          <w:rStyle w:val="81"/>
          <w:rFonts w:hint="eastAsia" w:ascii="宋体" w:hAnsi="宋体" w:cs="宋体"/>
          <w:sz w:val="24"/>
          <w:szCs w:val="24"/>
          <w:highlight w:val="none"/>
        </w:rPr>
      </w:pPr>
      <w:r>
        <w:rPr>
          <w:rStyle w:val="81"/>
          <w:rFonts w:ascii="Cambria Math" w:hAnsi="Cambria Math" w:cs="Cambria Math"/>
          <w:sz w:val="24"/>
          <w:szCs w:val="24"/>
          <w:highlight w:val="none"/>
        </w:rPr>
        <w:t>⑪</w:t>
      </w:r>
      <w:r>
        <w:rPr>
          <w:rStyle w:val="81"/>
          <w:rFonts w:hint="eastAsia" w:ascii="宋体" w:hAnsi="宋体" w:cs="宋体"/>
          <w:sz w:val="24"/>
          <w:szCs w:val="24"/>
          <w:highlight w:val="none"/>
        </w:rPr>
        <w:t>非住宅用电报装容量超过100kW时，原则上应由专用变压器供电；容量在100kW以下时，可由公用变压器供电，但应另设低压配电房。</w:t>
      </w:r>
    </w:p>
    <w:p w14:paraId="7C1EE057">
      <w:pPr>
        <w:pStyle w:val="85"/>
        <w:spacing w:before="0" w:after="0" w:line="360" w:lineRule="auto"/>
        <w:ind w:firstLine="480" w:firstLineChars="200"/>
        <w:rPr>
          <w:rStyle w:val="81"/>
          <w:rFonts w:hint="eastAsia" w:ascii="宋体" w:hAnsi="宋体" w:cs="宋体"/>
          <w:sz w:val="24"/>
          <w:szCs w:val="24"/>
          <w:highlight w:val="none"/>
        </w:rPr>
      </w:pPr>
      <w:r>
        <w:rPr>
          <w:rStyle w:val="81"/>
          <w:rFonts w:ascii="Cambria Math" w:hAnsi="Cambria Math" w:cs="Cambria Math"/>
          <w:sz w:val="24"/>
          <w:szCs w:val="24"/>
          <w:highlight w:val="none"/>
        </w:rPr>
        <w:t>⑫</w:t>
      </w:r>
      <w:r>
        <w:rPr>
          <w:rStyle w:val="81"/>
          <w:rFonts w:hint="eastAsia" w:ascii="宋体" w:hAnsi="宋体" w:cs="宋体"/>
          <w:sz w:val="24"/>
          <w:szCs w:val="24"/>
          <w:highlight w:val="none"/>
        </w:rPr>
        <w:t>专用变压器单台容量不宜大于1600kVA；当需要容量大于1600kVA时，宜选用两台及以上变压器。当用电负荷距离较远时，宜增设专用变压器房或适当加大导线截面，以满足压降要求。建议供电半径不超过250m。</w:t>
      </w:r>
    </w:p>
    <w:p w14:paraId="4791623D">
      <w:pPr>
        <w:pStyle w:val="24"/>
        <w:ind w:firstLine="482"/>
        <w:rPr>
          <w:rFonts w:hint="eastAsia" w:hAnsi="宋体" w:cs="宋体"/>
          <w:b/>
          <w:bCs/>
          <w:szCs w:val="24"/>
          <w:highlight w:val="none"/>
        </w:rPr>
      </w:pPr>
      <w:r>
        <w:rPr>
          <w:rFonts w:hint="eastAsia" w:hAnsi="宋体" w:cs="宋体"/>
          <w:b/>
          <w:bCs/>
          <w:szCs w:val="24"/>
          <w:highlight w:val="none"/>
        </w:rPr>
        <w:t>4.2.3.3 电能计量</w:t>
      </w:r>
    </w:p>
    <w:p w14:paraId="2F72A916">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①住宅用电采用低压计量，实行一户一表，并安装集中抄表装置。</w:t>
      </w:r>
    </w:p>
    <w:p w14:paraId="5CCD6C2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②电梯、公共照明（含航空障碍灯）、应急照明、生活水泵应各自独立设置电能计量装置。</w:t>
      </w:r>
    </w:p>
    <w:p w14:paraId="4FBC33F2">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③专用变压器的用户，应按照不同使用功能和不同设备类别，如景观用电、物管用房、地下车库动力、车库照明等分别安装用电计量装置。商业用电低压出线回路宜设置带RS485联网接口和计量功能的多功能数显表，互感器0.2S级，若商业店铺由供电部门管理则可不设带联网接口和计量功能的多功能数显表。</w:t>
      </w:r>
      <w:bookmarkEnd w:id="348"/>
    </w:p>
    <w:p w14:paraId="0221A1D6">
      <w:pPr>
        <w:pStyle w:val="24"/>
        <w:ind w:firstLine="482"/>
        <w:rPr>
          <w:rFonts w:hint="eastAsia" w:hAnsi="宋体" w:cs="宋体"/>
          <w:b/>
          <w:bCs/>
          <w:szCs w:val="24"/>
          <w:highlight w:val="none"/>
        </w:rPr>
      </w:pPr>
      <w:r>
        <w:rPr>
          <w:rFonts w:hint="eastAsia" w:hAnsi="宋体" w:cs="宋体"/>
          <w:b/>
          <w:bCs/>
          <w:szCs w:val="24"/>
          <w:highlight w:val="none"/>
        </w:rPr>
        <w:t>4.2.3.4电气设备房要求</w:t>
      </w:r>
    </w:p>
    <w:p w14:paraId="5F4A36D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①市政10kV开关房应设在建筑物首层，并尽量设在道路的东、南面。公用综合房、公用低压配电房应设在建筑物首层。供非居住性质用电的专用配电房应设置在建筑物首层及以上，当条件限制且地下有两层及以上时，可设置在地下负一层，业主单位应承诺配置充足强排设备并承担相应责任。同时，当设于地下室时应征得当地供电部门同意。</w:t>
      </w:r>
    </w:p>
    <w:p w14:paraId="3D2643A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②市政10kV开关房净空尺寸不小于6000mm*4000mm*4500mm（长*宽*高）。双公变综合房净空不小于7500mm*6500mm*4300mm；公用低压配电房、专用变压器房、专用低压配电房的长宽尺寸根据变配电系统需要确定，其房间净高不应小于4300mm。上述电房净高为电缆沟底至梁底的净高，开关房电缆沟1000mm，综合房电缆沟800mm，要求电缆沟完成后，室内地面高于室外地面300mm。</w:t>
      </w:r>
    </w:p>
    <w:p w14:paraId="7FFF1A76">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③电房楼板应满足设备安装承重要求，开关房楼板结构承重不低于1.5吨/平方米，综合房、变压器房楼板结构承重不低于3吨/平方米。</w:t>
      </w:r>
    </w:p>
    <w:p w14:paraId="78A7202B">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④电房内（中央位置）不应有柱、通风井等影响房间净空的设置。</w:t>
      </w:r>
    </w:p>
    <w:p w14:paraId="3E8A02D7">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⑤电气设备房上方不应有卫生间、浴室、厨房等积水场所，当与经常积水场所贴临时应加双层隔墙，中间考虑排水。电房不得跨建筑物变形缝设置。电房内不应有给水、排水、排污等无关管道。</w:t>
      </w:r>
    </w:p>
    <w:p w14:paraId="4F9BB743">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⑥电气设备房上方不宜有覆土绿化，不可避免时，顶板不宜设置反梁；当设置反梁时，反梁上应设置过水洞。</w:t>
      </w:r>
    </w:p>
    <w:p w14:paraId="23D27848">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⑦电房位置应尽量靠近车道出入口或设备区出入口以便于设备搬运。电房外应保留足够设备进出通道，通道净宽及净高不小于2500mm。</w:t>
      </w:r>
    </w:p>
    <w:p w14:paraId="5C5D2E0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⑧发电机房不应布置在人员密集场所的上一层、下一层或贴邻，不宜设置在住宅正下方。宜靠近一级负荷或专变配电室设置。</w:t>
      </w:r>
    </w:p>
    <w:p w14:paraId="7DBCCF5C">
      <w:pPr>
        <w:pStyle w:val="24"/>
        <w:ind w:firstLine="482"/>
        <w:rPr>
          <w:rFonts w:hint="eastAsia" w:hAnsi="宋体" w:cs="宋体"/>
          <w:b/>
          <w:bCs/>
          <w:szCs w:val="24"/>
          <w:highlight w:val="none"/>
        </w:rPr>
      </w:pPr>
      <w:r>
        <w:rPr>
          <w:rFonts w:hint="eastAsia" w:hAnsi="宋体" w:cs="宋体"/>
          <w:b/>
          <w:bCs/>
          <w:szCs w:val="24"/>
          <w:highlight w:val="none"/>
        </w:rPr>
        <w:t>4.2.3.5 电力电缆进出建筑物敷管及通道对土建专业的要求</w:t>
      </w:r>
    </w:p>
    <w:p w14:paraId="4F6BFB6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①当建筑物有地下室且电房位于建筑物中部的情况下，应考虑进入建筑物的电缆走廊设置，首层覆土应满足新建电缆沟的埋深要求。</w:t>
      </w:r>
    </w:p>
    <w:p w14:paraId="7C9959F0">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②开关房进出电缆按12线电缆沟考虑。</w:t>
      </w:r>
    </w:p>
    <w:p w14:paraId="221C481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③电力电缆走廊应避开化粪池、污水管等有埋深冲突的管线。</w:t>
      </w:r>
    </w:p>
    <w:p w14:paraId="32079186">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④由开关房至各变电房的高压电缆应在室外埋设，不得采用电缆桥架在地下室敷设（专变房设于地下时，局部无法避免除外）。</w:t>
      </w:r>
    </w:p>
    <w:p w14:paraId="6766875C">
      <w:pPr>
        <w:pStyle w:val="24"/>
        <w:ind w:firstLine="482"/>
        <w:rPr>
          <w:rFonts w:hint="eastAsia" w:hAnsi="宋体" w:cs="宋体"/>
          <w:szCs w:val="24"/>
          <w:highlight w:val="none"/>
        </w:rPr>
      </w:pPr>
      <w:r>
        <w:rPr>
          <w:rFonts w:hint="eastAsia" w:hAnsi="宋体" w:cs="宋体"/>
          <w:b/>
          <w:bCs/>
          <w:szCs w:val="24"/>
          <w:highlight w:val="none"/>
        </w:rPr>
        <w:t xml:space="preserve">4.2.3.6 </w:t>
      </w:r>
      <w:r>
        <w:rPr>
          <w:rFonts w:hint="eastAsia" w:hAnsi="宋体" w:cs="宋体"/>
          <w:szCs w:val="24"/>
          <w:highlight w:val="none"/>
        </w:rPr>
        <w:t>供电电源的选择、高、低压系统供电形式、变配电房的设置、负荷计算、计量要求、电力电缆敷设要求等，均应满足南方电网、广东电网及当地供电部门的相关要求。</w:t>
      </w:r>
    </w:p>
    <w:p w14:paraId="6363D1C6">
      <w:pPr>
        <w:pStyle w:val="24"/>
        <w:ind w:firstLine="482"/>
        <w:rPr>
          <w:rFonts w:hint="eastAsia" w:hAnsi="宋体" w:cs="宋体"/>
          <w:szCs w:val="24"/>
          <w:highlight w:val="none"/>
        </w:rPr>
      </w:pPr>
      <w:r>
        <w:rPr>
          <w:rFonts w:hint="eastAsia" w:hAnsi="宋体" w:cs="宋体"/>
          <w:b/>
          <w:bCs/>
          <w:szCs w:val="24"/>
          <w:highlight w:val="none"/>
        </w:rPr>
        <w:t xml:space="preserve">4.2.3.7 </w:t>
      </w:r>
      <w:r>
        <w:rPr>
          <w:rFonts w:hint="eastAsia" w:hAnsi="宋体" w:cs="宋体"/>
          <w:szCs w:val="24"/>
          <w:highlight w:val="none"/>
        </w:rPr>
        <w:t>高层住宅应按照当地空管局规定设置航空障碍标志灯。</w:t>
      </w:r>
    </w:p>
    <w:p w14:paraId="077394B7">
      <w:pPr>
        <w:pStyle w:val="24"/>
        <w:ind w:firstLine="482"/>
        <w:rPr>
          <w:rFonts w:hint="eastAsia" w:hAnsi="宋体" w:cs="宋体"/>
          <w:szCs w:val="24"/>
          <w:highlight w:val="none"/>
          <w:lang w:val="zh-CN"/>
        </w:rPr>
      </w:pPr>
      <w:bookmarkStart w:id="353" w:name="_Toc72337780"/>
      <w:r>
        <w:rPr>
          <w:rFonts w:hint="eastAsia" w:hAnsi="宋体" w:cs="宋体"/>
          <w:b/>
          <w:bCs/>
          <w:szCs w:val="24"/>
          <w:highlight w:val="none"/>
        </w:rPr>
        <w:t xml:space="preserve">4.2.4 </w:t>
      </w:r>
      <w:r>
        <w:rPr>
          <w:rFonts w:hint="eastAsia" w:hAnsi="宋体" w:cs="宋体"/>
          <w:szCs w:val="24"/>
          <w:highlight w:val="none"/>
          <w:lang w:val="zh-CN"/>
        </w:rPr>
        <w:t>学校、幼儿园（</w:t>
      </w:r>
      <w:r>
        <w:rPr>
          <w:rFonts w:hint="eastAsia" w:hAnsi="宋体" w:cs="宋体"/>
          <w:szCs w:val="24"/>
          <w:highlight w:val="none"/>
        </w:rPr>
        <w:t>如有</w:t>
      </w:r>
      <w:r>
        <w:rPr>
          <w:rFonts w:hint="eastAsia" w:hAnsi="宋体" w:cs="宋体"/>
          <w:szCs w:val="24"/>
          <w:highlight w:val="none"/>
          <w:lang w:val="zh-CN"/>
        </w:rPr>
        <w:t>）</w:t>
      </w:r>
    </w:p>
    <w:bookmarkEnd w:id="353"/>
    <w:p w14:paraId="781CE6A7">
      <w:pPr>
        <w:pStyle w:val="85"/>
        <w:spacing w:before="0" w:beforeAutospacing="0" w:after="0" w:afterAutospacing="0" w:line="360" w:lineRule="auto"/>
        <w:ind w:left="0" w:firstLine="482" w:firstLineChars="200"/>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4.2.4.1 供电电源</w:t>
      </w:r>
    </w:p>
    <w:p w14:paraId="07C97B06">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①正常电源采用10kV电源供电。</w:t>
      </w:r>
    </w:p>
    <w:p w14:paraId="57814D73">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②自备应急电源宜采用快速自启动应急发电机组。应急发电机组单台机组容量不宜大于1600kW；当单台容量大于1600kW时，宜选用两台及以上机组。发电机供电半径不宜超过250m，当用电负荷距离较远时，宜增设发电机房或适当加大导线截面，以满足压降要求。</w:t>
      </w:r>
    </w:p>
    <w:p w14:paraId="16851E6E">
      <w:pPr>
        <w:pStyle w:val="85"/>
        <w:spacing w:before="0" w:beforeAutospacing="0" w:after="0" w:afterAutospacing="0" w:line="360" w:lineRule="auto"/>
        <w:ind w:left="0" w:firstLine="482" w:firstLineChars="200"/>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4.2.4.2 高、低压配电系统</w:t>
      </w:r>
    </w:p>
    <w:p w14:paraId="0BED19C9">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①10KV高压配电系统采用单母线接线方式。高压柜采用中置柜。</w:t>
      </w:r>
    </w:p>
    <w:p w14:paraId="2202F3DC">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②低压配电系统接地形式：采用TN-S接地系统。</w:t>
      </w:r>
    </w:p>
    <w:p w14:paraId="66520F78">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③校区内的建筑群在满足规范和配电合理的情况下应集中设置变配电房。低压线路的供电半径一般不宜超过250m。对于群体建筑，当计算容量较大，且供电半径超过250m时，宜增设变配电房。附设在建筑内的变配电房，不应与教室、宿舍相贴邻。</w:t>
      </w:r>
    </w:p>
    <w:p w14:paraId="7528528C">
      <w:pPr>
        <w:pStyle w:val="85"/>
        <w:spacing w:before="0" w:beforeAutospacing="0" w:after="0" w:afterAutospacing="0" w:line="360" w:lineRule="auto"/>
        <w:ind w:left="0" w:firstLine="482" w:firstLineChars="200"/>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4.2.4.3 变配电所</w:t>
      </w:r>
    </w:p>
    <w:p w14:paraId="26F3AA8A">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①开关房应设在建筑物首层，净空尺寸不小于6m*4m*4.5m。在设计阶段应与当地供电部门协调永久电房设置要求。</w:t>
      </w:r>
    </w:p>
    <w:p w14:paraId="6CE23657">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②10/0.4kV变电所按广州供电部门要求设置，并应留有适当的备用位置，具体要求为：</w:t>
      </w:r>
    </w:p>
    <w:p w14:paraId="3D4B8903">
      <w:pPr>
        <w:pStyle w:val="85"/>
        <w:numPr>
          <w:ilvl w:val="0"/>
          <w:numId w:val="2"/>
        </w:numPr>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房间净高不应小于4.3m（梁底至电缆沟底）。</w:t>
      </w:r>
    </w:p>
    <w:p w14:paraId="15D41707">
      <w:pPr>
        <w:pStyle w:val="85"/>
        <w:numPr>
          <w:ilvl w:val="0"/>
          <w:numId w:val="2"/>
        </w:numPr>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电房楼板应满足设备安装承重要求，开关房、高压配电室、低压配电室结构楼板结构承重不低于1.5吨/平方米，变压器房结构楼板结构承重不低于3.0吨/平方米。</w:t>
      </w:r>
    </w:p>
    <w:p w14:paraId="04842058">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③变压器容量应根据计算容量选择，负荷率取70%～85%。单台变压器容量不宜大于1600kVA，并应选用结线组别为D,ynll的三相干式变压器。</w:t>
      </w:r>
    </w:p>
    <w:p w14:paraId="5BD9774E">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④变电所设备原则上高压、低压、变压器分室布置，变压器需带强迫通风和温控装置。</w:t>
      </w:r>
    </w:p>
    <w:p w14:paraId="40C2D309">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⑤变压器低压侧应采用集中功率因数补偿及谐波治理，安装调谐滤波电容器组，以抑制、吸收部分三次及以上谐波，并要求补偿后高压侧功率因数不得低于0.9。</w:t>
      </w:r>
    </w:p>
    <w:p w14:paraId="0D26E919">
      <w:pPr>
        <w:pStyle w:val="85"/>
        <w:spacing w:before="0" w:beforeAutospacing="0" w:after="0" w:afterAutospacing="0" w:line="360" w:lineRule="auto"/>
        <w:ind w:left="0" w:firstLine="482" w:firstLineChars="200"/>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4.2.4.4 电力和照明系统</w:t>
      </w:r>
    </w:p>
    <w:p w14:paraId="28C91BFB">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①应根据建筑的功能、归属等情况，对照明、电梯、空调、给水排水等系统的用电能耗进行分项、分区、分户计量。</w:t>
      </w:r>
    </w:p>
    <w:p w14:paraId="464332FE">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②下列负荷必须采用双回路供电，并在末端自动切换：消防设备、网络中心、计算机主机房等。</w:t>
      </w:r>
    </w:p>
    <w:p w14:paraId="1B0806B4">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③二级及以下建筑中的中小学采用无卤低烟阻燃型电线电缆。大中型幼儿园选用无卤低烟低毒阻燃型电线电缆。</w:t>
      </w:r>
    </w:p>
    <w:p w14:paraId="1DF5E55C">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④单体建筑每层宜分别设置强、弱电间。如受条件限制合用时，强、弱电线应分别在配电间两侧敷设或采取隔离措施。</w:t>
      </w:r>
    </w:p>
    <w:p w14:paraId="7D6CB636">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⑤建筑物内的末端照明、插座配电线路应采用暗敷方式。动力配电线路可根据实际情况确定。</w:t>
      </w:r>
    </w:p>
    <w:p w14:paraId="4E9733DF">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⑥插座回路、电开水器回路、室外照明回路以及其它环境潮湿场所的电气设备回路应设置漏电保护装置。</w:t>
      </w:r>
    </w:p>
    <w:p w14:paraId="19ADCE67">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⑦阅览室、书库、教室、会议室、办公室、活动室等宜采用细管径三基色直管形荧光灯。</w:t>
      </w:r>
    </w:p>
    <w:p w14:paraId="3BD3F778">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⑧在每座建筑物的总配电开关处应设计SPD，各层配电箱及重要设备配电箱进线或跨越防雷区的线路装设电涌保护器并在防雷区分界处作等电位连接。</w:t>
      </w:r>
    </w:p>
    <w:p w14:paraId="4DC99D52">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⑨校区内小市政照明及景观照明应设独立回路，接入相应的变配电房，以便学校管理。</w:t>
      </w:r>
    </w:p>
    <w:p w14:paraId="4AA52DC0">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⑩小学照明系统的设计，应满足《广州市教育局关于印发广州市中小学校教室照明技术指引的通知》（穗教发（2018）54号）文件的相关要求。</w:t>
      </w:r>
    </w:p>
    <w:p w14:paraId="3DD90C38">
      <w:pPr>
        <w:pStyle w:val="85"/>
        <w:spacing w:before="0" w:beforeAutospacing="0" w:after="0" w:afterAutospacing="0" w:line="360" w:lineRule="auto"/>
        <w:ind w:left="0" w:firstLine="482" w:firstLineChars="200"/>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4.2.4.5 建筑防雷与接地</w:t>
      </w:r>
    </w:p>
    <w:p w14:paraId="4AB6A8A5">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①接地型式采用TN-S系统。所有用电设备、变配电设备正常不带电的金属外壳、构件与插座接地孔等均需与PE线可靠连接。</w:t>
      </w:r>
    </w:p>
    <w:p w14:paraId="5C7095C9">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②本工程应采取总等电位和局部等电位联结措施。盥洗室、淋浴室、游泳池及其他可能有人进入的景观水池应设置局部等电位联结装置。</w:t>
      </w:r>
    </w:p>
    <w:p w14:paraId="662F23AC">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③校区网络中心、计算机房、安防监控中心及强、弱电间应设置接地干线。接地干线采用40x4镀锌扁钢，其下端应与接地装置相连，且在每层与结构钢筋相焊接。接地干线在每层预留等电位端子。</w:t>
      </w:r>
    </w:p>
    <w:p w14:paraId="39786DA7">
      <w:pPr>
        <w:pStyle w:val="85"/>
        <w:spacing w:before="0" w:beforeAutospacing="0" w:after="0" w:afterAutospacing="0" w:line="360" w:lineRule="auto"/>
        <w:ind w:left="0" w:firstLine="480" w:firstLineChars="200"/>
        <w:jc w:val="left"/>
        <w:rPr>
          <w:rStyle w:val="81"/>
          <w:rFonts w:hint="eastAsia" w:ascii="宋体" w:hAnsi="宋体" w:cs="宋体"/>
          <w:sz w:val="24"/>
          <w:szCs w:val="24"/>
          <w:highlight w:val="none"/>
        </w:rPr>
      </w:pPr>
      <w:r>
        <w:rPr>
          <w:rStyle w:val="81"/>
          <w:rFonts w:hint="eastAsia" w:ascii="宋体" w:hAnsi="宋体" w:cs="宋体"/>
          <w:sz w:val="24"/>
          <w:szCs w:val="24"/>
          <w:highlight w:val="none"/>
        </w:rPr>
        <w:t>④建筑物中各类接地采用联合接地装置，在联合接地装置上应分别引出：变配电系统保护接地、弱电系统工作接地、总等电位联结、电梯井道、测量接地电阻等不同用途的接地端子。</w:t>
      </w:r>
    </w:p>
    <w:p w14:paraId="5C137649">
      <w:pPr>
        <w:pStyle w:val="85"/>
        <w:spacing w:before="0" w:beforeAutospacing="0" w:after="0" w:afterAutospacing="0" w:line="360" w:lineRule="auto"/>
        <w:ind w:left="0" w:firstLine="482" w:firstLineChars="200"/>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4.2.4.6 教学楼电气设计要求</w:t>
      </w:r>
    </w:p>
    <w:p w14:paraId="71ADA775">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教室内应设置吸顶式摇头扇及（或）壁扇，其配电应采用单独回路，每回路数量不宜超过10台。</w:t>
      </w:r>
    </w:p>
    <w:p w14:paraId="2DFE24A6">
      <w:pPr>
        <w:pStyle w:val="85"/>
        <w:spacing w:before="0" w:beforeAutospacing="0" w:after="0" w:afterAutospacing="0" w:line="360" w:lineRule="auto"/>
        <w:ind w:left="0" w:firstLine="482" w:firstLineChars="200"/>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4.2.4.7 宿舍电气设计要求</w:t>
      </w:r>
    </w:p>
    <w:p w14:paraId="09D0B293">
      <w:pPr>
        <w:pStyle w:val="85"/>
        <w:numPr>
          <w:ilvl w:val="255"/>
          <w:numId w:val="0"/>
        </w:numPr>
        <w:spacing w:before="0" w:beforeAutospacing="0" w:after="0" w:afterAutospacing="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宿舍每居室用电负荷标准应按使用要求确定，并不宜小于1.5kW，宿舍公共部分和供中小学使用的宿舍居室用电应集中计量。</w:t>
      </w:r>
    </w:p>
    <w:p w14:paraId="265F62B5">
      <w:pPr>
        <w:pStyle w:val="85"/>
        <w:numPr>
          <w:ilvl w:val="255"/>
          <w:numId w:val="0"/>
        </w:numPr>
        <w:spacing w:before="0" w:beforeAutospacing="0" w:after="0" w:afterAutospacing="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每间宿舍应根据其管理模式与校方协商是否设置户内配电箱。如果设置，则其电源总开关建议采用可同时断开相线和中性线的开关电器。</w:t>
      </w:r>
    </w:p>
    <w:p w14:paraId="345A8129">
      <w:pPr>
        <w:pStyle w:val="85"/>
        <w:numPr>
          <w:ilvl w:val="255"/>
          <w:numId w:val="0"/>
        </w:numPr>
        <w:spacing w:before="0" w:beforeAutospacing="0" w:after="0" w:afterAutospacing="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每间宿舍插座数量应根据其管理模式与校方协商确定。按照房间居住人数设置相应的强电、弱电插座。</w:t>
      </w:r>
    </w:p>
    <w:p w14:paraId="0F19DFB5">
      <w:pPr>
        <w:pStyle w:val="85"/>
        <w:numPr>
          <w:ilvl w:val="255"/>
          <w:numId w:val="0"/>
        </w:numPr>
        <w:spacing w:before="0" w:beforeAutospacing="0" w:after="0" w:afterAutospacing="0" w:line="360" w:lineRule="auto"/>
        <w:ind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每间宿舍内均应设置吸顶式摇头扇。</w:t>
      </w:r>
    </w:p>
    <w:p w14:paraId="6EA7E61D">
      <w:pPr>
        <w:pStyle w:val="85"/>
        <w:spacing w:before="0" w:beforeAutospacing="0" w:after="0" w:afterAutospacing="0" w:line="360" w:lineRule="auto"/>
        <w:ind w:left="0" w:firstLine="482" w:firstLineChars="200"/>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4.2.4.8 幼儿园电气设计要求</w:t>
      </w:r>
    </w:p>
    <w:p w14:paraId="3A33CBB0">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托儿所、幼儿园的电气设计应符合《托儿所、幼儿园建筑设计规范》相关要求。</w:t>
      </w:r>
      <w:bookmarkStart w:id="354" w:name="_Toc6048"/>
      <w:bookmarkStart w:id="355" w:name="_Toc104581746"/>
      <w:bookmarkStart w:id="356" w:name="_Toc27912"/>
      <w:bookmarkStart w:id="357" w:name="_Toc9481"/>
    </w:p>
    <w:p w14:paraId="701A012A">
      <w:pPr>
        <w:pStyle w:val="85"/>
        <w:spacing w:before="0" w:beforeAutospacing="0" w:after="0" w:afterAutospacing="0" w:line="360" w:lineRule="auto"/>
        <w:ind w:left="0" w:firstLine="482" w:firstLineChars="200"/>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4.3通用指标</w:t>
      </w:r>
      <w:bookmarkEnd w:id="354"/>
      <w:bookmarkEnd w:id="355"/>
      <w:bookmarkEnd w:id="356"/>
      <w:bookmarkEnd w:id="357"/>
    </w:p>
    <w:p w14:paraId="30ABAD7B">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供电电源</w:t>
      </w:r>
    </w:p>
    <w:p w14:paraId="452B2006">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1.1 正常电源采用10kV电源供电。</w:t>
      </w:r>
    </w:p>
    <w:p w14:paraId="227865F1">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1.2 自备应急电源宜采用快速自启动应急发电机组。应急发电机组单台机组容量不宜大于1600kW；当单台容量大于1600kW时，宜选用两台及以上机组。发电机供电半径不宜超过250m，当用电负荷距离较远时，宜增设发电机房或适当加大导线截面，以满足压降要求。</w:t>
      </w:r>
    </w:p>
    <w:p w14:paraId="7FEB8745">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高、低压配电系统</w:t>
      </w:r>
    </w:p>
    <w:p w14:paraId="09B14F2A">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2.1 10kV电源宜采用环网供电，每个环网点公用变压器的台数不能超过2台。</w:t>
      </w:r>
    </w:p>
    <w:p w14:paraId="7236C3B7">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2.2 高压配电系统采用单母线接线方式。</w:t>
      </w:r>
    </w:p>
    <w:p w14:paraId="39FF2BEE">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2.3 专变10KV系统采用中置柜供电。</w:t>
      </w:r>
    </w:p>
    <w:p w14:paraId="0D452B65">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 低压及动力配电系统:</w:t>
      </w:r>
    </w:p>
    <w:p w14:paraId="319E84AE">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2.4.1 低压配电系统接地形式：采用TN-S、TN-C-S接地系统或两种接地系统的组合。</w:t>
      </w:r>
    </w:p>
    <w:p w14:paraId="2954C986">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2.4.2 公用变压器低压配电系统采用单母线接线方式。</w:t>
      </w:r>
    </w:p>
    <w:p w14:paraId="34C3EA01">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2.4.3 住户用电、电梯、生活水泵、公共照明（地下室照明除外）、充电桩应由公用变压器供电；</w:t>
      </w:r>
    </w:p>
    <w:p w14:paraId="5AF4F769">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2.4.4 非住宅用电设备（本条第3款除外的用电负荷）及消防用电设备正常电源宜由专用变压器供电。</w:t>
      </w:r>
    </w:p>
    <w:p w14:paraId="02C46930">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2.4.5 所有设备的备用电源均由应急发电机组供电。</w:t>
      </w:r>
    </w:p>
    <w:p w14:paraId="44041B72">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2.4.6 低压出线回路开关额定电流不大于630A时选用塑壳断路器，大于或等于800A时选用框架断路器。低压柜断路器运行分断能力Ics（kA）按Ics=100%Icu取值，满足下表的下限值选取产品：</w:t>
      </w:r>
    </w:p>
    <w:tbl>
      <w:tblPr>
        <w:tblStyle w:val="42"/>
        <w:tblW w:w="80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5"/>
        <w:gridCol w:w="1701"/>
        <w:gridCol w:w="1559"/>
        <w:gridCol w:w="1793"/>
      </w:tblGrid>
      <w:tr w14:paraId="71FA0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2985" w:type="dxa"/>
          </w:tcPr>
          <w:p w14:paraId="6C9DC96B">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变压器容量S（kVA）</w:t>
            </w:r>
          </w:p>
        </w:tc>
        <w:tc>
          <w:tcPr>
            <w:tcW w:w="1701" w:type="dxa"/>
          </w:tcPr>
          <w:p w14:paraId="7C44F904">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≤400</w:t>
            </w:r>
          </w:p>
        </w:tc>
        <w:tc>
          <w:tcPr>
            <w:tcW w:w="1559" w:type="dxa"/>
          </w:tcPr>
          <w:p w14:paraId="7D120510">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500≤S≤800</w:t>
            </w:r>
          </w:p>
        </w:tc>
        <w:tc>
          <w:tcPr>
            <w:tcW w:w="1793" w:type="dxa"/>
          </w:tcPr>
          <w:p w14:paraId="37592555">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1000≤S≤1600</w:t>
            </w:r>
          </w:p>
        </w:tc>
      </w:tr>
      <w:tr w14:paraId="681EF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985" w:type="dxa"/>
          </w:tcPr>
          <w:p w14:paraId="1F93F4B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低压侧主进线开关/联络开关</w:t>
            </w:r>
          </w:p>
          <w:p w14:paraId="0A1EE8D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Ics（kA）</w:t>
            </w:r>
          </w:p>
        </w:tc>
        <w:tc>
          <w:tcPr>
            <w:tcW w:w="1701" w:type="dxa"/>
            <w:vAlign w:val="center"/>
          </w:tcPr>
          <w:p w14:paraId="5ED859D3">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25</w:t>
            </w:r>
          </w:p>
        </w:tc>
        <w:tc>
          <w:tcPr>
            <w:tcW w:w="1559" w:type="dxa"/>
            <w:vAlign w:val="center"/>
          </w:tcPr>
          <w:p w14:paraId="2CFAD0F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35</w:t>
            </w:r>
          </w:p>
        </w:tc>
        <w:tc>
          <w:tcPr>
            <w:tcW w:w="1793" w:type="dxa"/>
            <w:vAlign w:val="center"/>
          </w:tcPr>
          <w:p w14:paraId="2D2E667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50</w:t>
            </w:r>
          </w:p>
        </w:tc>
      </w:tr>
      <w:tr w14:paraId="59BDF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985" w:type="dxa"/>
          </w:tcPr>
          <w:p w14:paraId="062E1864">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低压馈出开关Ics（KA）</w:t>
            </w:r>
          </w:p>
        </w:tc>
        <w:tc>
          <w:tcPr>
            <w:tcW w:w="1701" w:type="dxa"/>
          </w:tcPr>
          <w:p w14:paraId="316A778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18≤Ics≤35</w:t>
            </w:r>
          </w:p>
        </w:tc>
        <w:tc>
          <w:tcPr>
            <w:tcW w:w="1559" w:type="dxa"/>
          </w:tcPr>
          <w:p w14:paraId="5C78C059">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25≤Ics≤50</w:t>
            </w:r>
          </w:p>
        </w:tc>
        <w:tc>
          <w:tcPr>
            <w:tcW w:w="1793" w:type="dxa"/>
          </w:tcPr>
          <w:p w14:paraId="1F7800A8">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35≤Ics≤65</w:t>
            </w:r>
          </w:p>
        </w:tc>
      </w:tr>
    </w:tbl>
    <w:p w14:paraId="68A79B5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2.4.7 变压器低压侧主开关采用3段保护。联络开关和馈线开关采用2段保护。低压出线开关额定电流630A及以下时采用塑壳断路器，630A以前采用框架断路器。</w:t>
      </w:r>
    </w:p>
    <w:p w14:paraId="01003913">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2.4.8 1000kVA及以下变压器最小出线开关宜不小于40A，出线电缆宜不小于10平方；1000KVA&lt;S≤1600kVA变压器低压柜最小出线开关不小于50A，出线电缆不小于16平方。</w:t>
      </w:r>
    </w:p>
    <w:p w14:paraId="009A2BCE">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2.4.9 对于消防动力等突然断电比过负荷造成损失更大的线路，不应设置过负荷保护。消防控制室、消防水泵房、防烟和排烟风机房的消防用电设备及消防电梯等的供电，应在其配电线路的最末一级配电箱处设置自动切换装置。</w:t>
      </w:r>
    </w:p>
    <w:p w14:paraId="358F1D28">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2.4.10 各栋塔楼电梯、公共照明（含航空障碍灯）、应急照明主供电源均由公变低压电房专用回路供电，备用电源由发电机配电柜直接供电或设区域备用电源总箱供电；</w:t>
      </w:r>
    </w:p>
    <w:p w14:paraId="4E5E6A06">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2.4.11 通信设备间、消防及监控中心机房、电信间应采用双回路供电；电信间电源由住宅车库照明双电源切换箱或通信设备间双电源切换箱供给；各层弱电井电源插座就地取电。</w:t>
      </w:r>
    </w:p>
    <w:p w14:paraId="17163549">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2.4.12 通信设备间、电信间配电根据智能化专业要求设计。</w:t>
      </w:r>
    </w:p>
    <w:p w14:paraId="4A06E179">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2.4.13 双电源切换开关采用带隔离功能的PC级双电源切换开关，当系统为放射式供电时，除消防水泵房、消防控制中心、消防电梯机房外，其前端不设保护开关；当系统为树干式供电时，其前端应设断路器保护。</w:t>
      </w:r>
    </w:p>
    <w:p w14:paraId="0504C26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2.4.14 消防末端配电箱应设置在消防水泵房、消防电梯机房、消防控制室、防烟排烟风机房和各防火分区的配电小间内；各防火分区内的防排烟风机、消防排水泵、防火卷帘等可分别由配电小间内的双电源切换箱放射式、树干式供电。</w:t>
      </w:r>
    </w:p>
    <w:p w14:paraId="22A22B3B">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配电箱、控制箱系统</w:t>
      </w:r>
    </w:p>
    <w:p w14:paraId="4261330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3.1 住户配电箱进线开关应能同时切断相线和中性线，不带剩余电流动作保护功能的出线开关均采用单极断路器。剩余电流脱扣器（RCD）类型选用1P+N电子式。</w:t>
      </w:r>
    </w:p>
    <w:p w14:paraId="25F0518A">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3.2 套内空调、普通插座和照明应分回路配电，厨房插座应设置独立回路，每个卫生间设一个独立回路，为卫生间内照明、插座等所有用电设备供电。</w:t>
      </w:r>
    </w:p>
    <w:p w14:paraId="0F74F07B">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3.3 照明回路1个16A；柜机空调回路1个20A；厨房插座回路1个20A；每个卫生间1个20A回路；普通插座回路1个16A(插座数量达到20个及以上时分两个回路）；单台挂机空调插座回路16A，两台挂机空调插座回路20A。</w:t>
      </w:r>
    </w:p>
    <w:p w14:paraId="143A4DE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3.4 家用电器回路或插座回路应设置额定剩余动作电流值不大于30mA的剩余电流保护器。</w:t>
      </w:r>
    </w:p>
    <w:p w14:paraId="1BCAE7F1">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3.5 剩余电流动作保护器应选择A型。</w:t>
      </w:r>
    </w:p>
    <w:p w14:paraId="5230C04C">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3.6 VRV空调外机配电回路断路器采用D特性脱扣曲线，其它断路器采用C特性脱扣曲线。</w:t>
      </w:r>
    </w:p>
    <w:p w14:paraId="334E02D8">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3.7 弱电箱电源由就近普通插座回路引来，弱电箱电源为配电末端，不再向外配出管线。</w:t>
      </w:r>
    </w:p>
    <w:p w14:paraId="52CFED23">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3.8 当系统为放射式供电时，二级配电总箱的总开关采用隔离开关，除商铺配电箱进线开关外，以减少配电系统级数。</w:t>
      </w:r>
    </w:p>
    <w:p w14:paraId="0DC93B4C">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3.9 分</w:t>
      </w:r>
      <w:r>
        <w:rPr>
          <w:rStyle w:val="81"/>
          <w:rFonts w:hint="eastAsia" w:ascii="宋体" w:hAnsi="宋体" w:cs="宋体"/>
          <w:sz w:val="24"/>
          <w:szCs w:val="24"/>
          <w:highlight w:val="none"/>
          <w:lang w:val="zh-CN"/>
        </w:rPr>
        <w:t>断能力满足要求时，额定功率5.5kW及以下的普通动力用电设备，其配电开关</w:t>
      </w:r>
      <w:r>
        <w:rPr>
          <w:rStyle w:val="81"/>
          <w:rFonts w:hint="eastAsia" w:ascii="宋体" w:hAnsi="宋体" w:cs="宋体"/>
          <w:sz w:val="24"/>
          <w:szCs w:val="24"/>
          <w:highlight w:val="none"/>
        </w:rPr>
        <w:t>宜</w:t>
      </w:r>
      <w:r>
        <w:rPr>
          <w:rStyle w:val="81"/>
          <w:rFonts w:hint="eastAsia" w:ascii="宋体" w:hAnsi="宋体" w:cs="宋体"/>
          <w:sz w:val="24"/>
          <w:szCs w:val="24"/>
          <w:highlight w:val="none"/>
          <w:lang w:val="zh-CN"/>
        </w:rPr>
        <w:t>采用D型脱扣曲线微型断路器</w:t>
      </w:r>
      <w:r>
        <w:rPr>
          <w:rStyle w:val="81"/>
          <w:rFonts w:hint="eastAsia" w:ascii="宋体" w:hAnsi="宋体" w:cs="宋体"/>
          <w:sz w:val="24"/>
          <w:szCs w:val="24"/>
          <w:highlight w:val="none"/>
        </w:rPr>
        <w:t>。</w:t>
      </w:r>
    </w:p>
    <w:p w14:paraId="7BF49571">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3.10 住宅电表箱内出线开关与住户配电箱总开关选型不考虑级差配合。</w:t>
      </w:r>
    </w:p>
    <w:p w14:paraId="71161126">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3.11 有机房电梯配电箱系统设计包括：电梯控制箱配电、轿厢用电、井道照明（220V带剩余电流保护）、轿厢空调、机房空调插座（与机房检修插座共回路）、机房照明（与机房通风共回路）。无机房电梯配电箱系统设计包括：电梯控制箱配电、轿厢用电、井道照明（220V带剩余电流保护）、轿厢空调。消防电梯机房的空调及普通插座回路视情况由客梯配电箱供给、或由公共照明配电箱供给。</w:t>
      </w:r>
    </w:p>
    <w:p w14:paraId="769CDDCE">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配电箱、控制箱安装</w:t>
      </w:r>
    </w:p>
    <w:p w14:paraId="7AF6238A">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4.1 高度为600mm及以下的配电箱（户内配电箱除外），电井或设备间内的配电箱底边安装高度为1.5m，用户使用空间的配电箱底边安装高度为1.8m。当在电井内安装位置紧张时，两个箱体可上下安装，下层箱体底边距地0.5米，上层箱体为平时非经常操作，并能保证箱体前有不小于0.8米的操作空间，配电箱门能正常打开。</w:t>
      </w:r>
    </w:p>
    <w:p w14:paraId="4FBE6123">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4.2 600mm＜高度≤1000mm的配电箱，，电井或设备间内的配电箱底边安装高度适当降低，但不宜低于1.2m。当在电井内安装位置紧张时，两个箱体可上下安装，下层箱体底边距地不小于0.3米，两层箱体之间间距不小于0.4米，上层箱顶距地不大于2.2米，并能保证箱体前有不小于0.8米的操作空间，配电箱门能正常打开。</w:t>
      </w:r>
    </w:p>
    <w:p w14:paraId="55A16D3B">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4.3 高度大于1.0m的配电箱（电表箱除外），底部抬高150~200mm落地安装。</w:t>
      </w:r>
    </w:p>
    <w:p w14:paraId="2CE8516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4.4 住宅户内配电箱应设在入户门侧（优选门后），其尺寸与开关回路数有关，以最终机电图纸为准。前期参考如下尺寸设计：（应根据模数确定配电箱体尺寸）</w:t>
      </w:r>
    </w:p>
    <w:tbl>
      <w:tblPr>
        <w:tblStyle w:val="42"/>
        <w:tblW w:w="79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5"/>
        <w:gridCol w:w="1985"/>
        <w:gridCol w:w="1984"/>
        <w:gridCol w:w="1984"/>
      </w:tblGrid>
      <w:tr w14:paraId="6BBB0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985" w:type="dxa"/>
            <w:vAlign w:val="center"/>
          </w:tcPr>
          <w:p w14:paraId="678744D0">
            <w:pPr>
              <w:adjustRightInd w:val="0"/>
              <w:spacing w:line="360" w:lineRule="auto"/>
              <w:jc w:val="center"/>
              <w:rPr>
                <w:rStyle w:val="92"/>
                <w:rFonts w:hint="eastAsia"/>
                <w:b/>
                <w:bCs/>
                <w:color w:val="auto"/>
                <w:sz w:val="21"/>
                <w:szCs w:val="21"/>
                <w:highlight w:val="none"/>
              </w:rPr>
            </w:pPr>
            <w:r>
              <w:rPr>
                <w:rStyle w:val="92"/>
                <w:rFonts w:hint="eastAsia"/>
                <w:b/>
                <w:bCs/>
                <w:color w:val="auto"/>
                <w:sz w:val="21"/>
                <w:szCs w:val="21"/>
                <w:highlight w:val="none"/>
              </w:rPr>
              <w:t>元器件位数</w:t>
            </w:r>
          </w:p>
        </w:tc>
        <w:tc>
          <w:tcPr>
            <w:tcW w:w="1985" w:type="dxa"/>
            <w:vAlign w:val="center"/>
          </w:tcPr>
          <w:p w14:paraId="4B67D773">
            <w:pPr>
              <w:adjustRightInd w:val="0"/>
              <w:spacing w:line="360" w:lineRule="auto"/>
              <w:jc w:val="center"/>
              <w:rPr>
                <w:rStyle w:val="92"/>
                <w:rFonts w:hint="eastAsia"/>
                <w:b/>
                <w:bCs/>
                <w:color w:val="auto"/>
                <w:sz w:val="21"/>
                <w:szCs w:val="21"/>
                <w:highlight w:val="none"/>
              </w:rPr>
            </w:pPr>
            <w:r>
              <w:rPr>
                <w:rStyle w:val="92"/>
                <w:rFonts w:hint="eastAsia"/>
                <w:b/>
                <w:bCs/>
                <w:color w:val="auto"/>
                <w:sz w:val="21"/>
                <w:szCs w:val="21"/>
                <w:highlight w:val="none"/>
              </w:rPr>
              <w:t>电箱尺寸</w:t>
            </w:r>
          </w:p>
          <w:p w14:paraId="69C1223A">
            <w:pPr>
              <w:adjustRightInd w:val="0"/>
              <w:spacing w:line="360" w:lineRule="auto"/>
              <w:jc w:val="center"/>
              <w:rPr>
                <w:rStyle w:val="92"/>
                <w:rFonts w:hint="eastAsia"/>
                <w:b/>
                <w:bCs/>
                <w:color w:val="auto"/>
                <w:sz w:val="21"/>
                <w:szCs w:val="21"/>
                <w:highlight w:val="none"/>
              </w:rPr>
            </w:pPr>
            <w:r>
              <w:rPr>
                <w:rStyle w:val="92"/>
                <w:rFonts w:hint="eastAsia"/>
                <w:b/>
                <w:bCs/>
                <w:color w:val="auto"/>
                <w:sz w:val="21"/>
                <w:szCs w:val="21"/>
                <w:highlight w:val="none"/>
              </w:rPr>
              <w:t>W×H×D（mm）</w:t>
            </w:r>
          </w:p>
        </w:tc>
        <w:tc>
          <w:tcPr>
            <w:tcW w:w="1984" w:type="dxa"/>
            <w:vAlign w:val="center"/>
          </w:tcPr>
          <w:p w14:paraId="314B07E7">
            <w:pPr>
              <w:adjustRightInd w:val="0"/>
              <w:spacing w:line="360" w:lineRule="auto"/>
              <w:jc w:val="center"/>
              <w:rPr>
                <w:rStyle w:val="92"/>
                <w:rFonts w:hint="eastAsia"/>
                <w:b/>
                <w:bCs/>
                <w:color w:val="auto"/>
                <w:sz w:val="21"/>
                <w:szCs w:val="21"/>
                <w:highlight w:val="none"/>
              </w:rPr>
            </w:pPr>
            <w:r>
              <w:rPr>
                <w:rStyle w:val="92"/>
                <w:rFonts w:hint="eastAsia"/>
                <w:b/>
                <w:bCs/>
                <w:color w:val="auto"/>
                <w:sz w:val="21"/>
                <w:szCs w:val="21"/>
                <w:highlight w:val="none"/>
              </w:rPr>
              <w:t>电箱留洞尺寸</w:t>
            </w:r>
          </w:p>
          <w:p w14:paraId="267AF3EC">
            <w:pPr>
              <w:adjustRightInd w:val="0"/>
              <w:spacing w:line="360" w:lineRule="auto"/>
              <w:jc w:val="center"/>
              <w:rPr>
                <w:rStyle w:val="92"/>
                <w:rFonts w:hint="eastAsia"/>
                <w:b/>
                <w:bCs/>
                <w:color w:val="auto"/>
                <w:sz w:val="21"/>
                <w:szCs w:val="21"/>
                <w:highlight w:val="none"/>
              </w:rPr>
            </w:pPr>
            <w:r>
              <w:rPr>
                <w:rStyle w:val="92"/>
                <w:rFonts w:hint="eastAsia"/>
                <w:b/>
                <w:bCs/>
                <w:color w:val="auto"/>
                <w:sz w:val="21"/>
                <w:szCs w:val="21"/>
                <w:highlight w:val="none"/>
              </w:rPr>
              <w:t>W×H×D（mm）</w:t>
            </w:r>
          </w:p>
        </w:tc>
        <w:tc>
          <w:tcPr>
            <w:tcW w:w="1984" w:type="dxa"/>
            <w:vAlign w:val="center"/>
          </w:tcPr>
          <w:p w14:paraId="55EC77C1">
            <w:pPr>
              <w:adjustRightInd w:val="0"/>
              <w:spacing w:line="360" w:lineRule="auto"/>
              <w:jc w:val="center"/>
              <w:rPr>
                <w:rStyle w:val="92"/>
                <w:rFonts w:hint="eastAsia"/>
                <w:b/>
                <w:bCs/>
                <w:color w:val="auto"/>
                <w:sz w:val="21"/>
                <w:szCs w:val="21"/>
                <w:highlight w:val="none"/>
              </w:rPr>
            </w:pPr>
            <w:r>
              <w:rPr>
                <w:rStyle w:val="92"/>
                <w:rFonts w:hint="eastAsia"/>
                <w:b/>
                <w:bCs/>
                <w:color w:val="auto"/>
                <w:sz w:val="21"/>
                <w:szCs w:val="21"/>
                <w:highlight w:val="none"/>
              </w:rPr>
              <w:t>底边距地嵌墙安装高度（m）</w:t>
            </w:r>
          </w:p>
        </w:tc>
      </w:tr>
      <w:tr w14:paraId="6511F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5" w:type="dxa"/>
            <w:vAlign w:val="center"/>
          </w:tcPr>
          <w:p w14:paraId="019BD13F">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12</w:t>
            </w:r>
          </w:p>
        </w:tc>
        <w:tc>
          <w:tcPr>
            <w:tcW w:w="1985" w:type="dxa"/>
            <w:vAlign w:val="center"/>
          </w:tcPr>
          <w:p w14:paraId="51B70A2B">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274×200×120</w:t>
            </w:r>
          </w:p>
        </w:tc>
        <w:tc>
          <w:tcPr>
            <w:tcW w:w="1984" w:type="dxa"/>
            <w:vAlign w:val="center"/>
          </w:tcPr>
          <w:p w14:paraId="760DFADF">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350×250×120</w:t>
            </w:r>
          </w:p>
        </w:tc>
        <w:tc>
          <w:tcPr>
            <w:tcW w:w="1984" w:type="dxa"/>
            <w:vAlign w:val="center"/>
          </w:tcPr>
          <w:p w14:paraId="115E2DDB">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1.80</w:t>
            </w:r>
          </w:p>
        </w:tc>
      </w:tr>
      <w:tr w14:paraId="00CBC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5" w:type="dxa"/>
            <w:vAlign w:val="center"/>
          </w:tcPr>
          <w:p w14:paraId="7CB02C36">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15</w:t>
            </w:r>
          </w:p>
        </w:tc>
        <w:tc>
          <w:tcPr>
            <w:tcW w:w="1985" w:type="dxa"/>
            <w:vAlign w:val="center"/>
          </w:tcPr>
          <w:p w14:paraId="0D9CFFE4">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328×200×120</w:t>
            </w:r>
          </w:p>
        </w:tc>
        <w:tc>
          <w:tcPr>
            <w:tcW w:w="1984" w:type="dxa"/>
            <w:vAlign w:val="center"/>
          </w:tcPr>
          <w:p w14:paraId="5B11936F">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400×250×120</w:t>
            </w:r>
          </w:p>
        </w:tc>
        <w:tc>
          <w:tcPr>
            <w:tcW w:w="1984" w:type="dxa"/>
            <w:vAlign w:val="center"/>
          </w:tcPr>
          <w:p w14:paraId="4C51FFB6">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1.80</w:t>
            </w:r>
          </w:p>
        </w:tc>
      </w:tr>
      <w:tr w14:paraId="724F6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5" w:type="dxa"/>
            <w:vAlign w:val="center"/>
          </w:tcPr>
          <w:p w14:paraId="23F78332">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18</w:t>
            </w:r>
          </w:p>
        </w:tc>
        <w:tc>
          <w:tcPr>
            <w:tcW w:w="1985" w:type="dxa"/>
            <w:vAlign w:val="center"/>
          </w:tcPr>
          <w:p w14:paraId="6970D8AC">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383×220×120</w:t>
            </w:r>
          </w:p>
        </w:tc>
        <w:tc>
          <w:tcPr>
            <w:tcW w:w="1984" w:type="dxa"/>
            <w:vAlign w:val="center"/>
          </w:tcPr>
          <w:p w14:paraId="29353D14">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450×300×120</w:t>
            </w:r>
          </w:p>
        </w:tc>
        <w:tc>
          <w:tcPr>
            <w:tcW w:w="1984" w:type="dxa"/>
            <w:vAlign w:val="center"/>
          </w:tcPr>
          <w:p w14:paraId="7A74EA59">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1.80</w:t>
            </w:r>
          </w:p>
        </w:tc>
      </w:tr>
      <w:tr w14:paraId="70386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5" w:type="dxa"/>
            <w:vAlign w:val="center"/>
          </w:tcPr>
          <w:p w14:paraId="6A3503CE">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20</w:t>
            </w:r>
          </w:p>
        </w:tc>
        <w:tc>
          <w:tcPr>
            <w:tcW w:w="1985" w:type="dxa"/>
            <w:vAlign w:val="center"/>
          </w:tcPr>
          <w:p w14:paraId="0EDFEDCD">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419×220×120</w:t>
            </w:r>
          </w:p>
        </w:tc>
        <w:tc>
          <w:tcPr>
            <w:tcW w:w="1984" w:type="dxa"/>
            <w:vAlign w:val="center"/>
          </w:tcPr>
          <w:p w14:paraId="3FB27D88">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500×300×120</w:t>
            </w:r>
          </w:p>
        </w:tc>
        <w:tc>
          <w:tcPr>
            <w:tcW w:w="1984" w:type="dxa"/>
            <w:vAlign w:val="center"/>
          </w:tcPr>
          <w:p w14:paraId="3D869CC1">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1.80</w:t>
            </w:r>
          </w:p>
        </w:tc>
      </w:tr>
      <w:tr w14:paraId="0B588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85" w:type="dxa"/>
            <w:vAlign w:val="center"/>
          </w:tcPr>
          <w:p w14:paraId="3E4DA846">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24</w:t>
            </w:r>
          </w:p>
        </w:tc>
        <w:tc>
          <w:tcPr>
            <w:tcW w:w="1985" w:type="dxa"/>
            <w:vAlign w:val="center"/>
          </w:tcPr>
          <w:p w14:paraId="443D54A1">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274×310×120</w:t>
            </w:r>
          </w:p>
        </w:tc>
        <w:tc>
          <w:tcPr>
            <w:tcW w:w="1984" w:type="dxa"/>
            <w:vAlign w:val="center"/>
          </w:tcPr>
          <w:p w14:paraId="7FE47E19">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350×400×120</w:t>
            </w:r>
          </w:p>
        </w:tc>
        <w:tc>
          <w:tcPr>
            <w:tcW w:w="1984" w:type="dxa"/>
            <w:vAlign w:val="center"/>
          </w:tcPr>
          <w:p w14:paraId="7BC68E92">
            <w:pPr>
              <w:adjustRightInd w:val="0"/>
              <w:spacing w:line="360" w:lineRule="auto"/>
              <w:jc w:val="center"/>
              <w:rPr>
                <w:rStyle w:val="92"/>
                <w:rFonts w:hint="eastAsia"/>
                <w:color w:val="auto"/>
                <w:sz w:val="21"/>
                <w:szCs w:val="21"/>
                <w:highlight w:val="none"/>
              </w:rPr>
            </w:pPr>
            <w:r>
              <w:rPr>
                <w:rStyle w:val="92"/>
                <w:rFonts w:hint="eastAsia"/>
                <w:color w:val="auto"/>
                <w:sz w:val="21"/>
                <w:szCs w:val="21"/>
                <w:highlight w:val="none"/>
              </w:rPr>
              <w:t>1.80</w:t>
            </w:r>
          </w:p>
        </w:tc>
      </w:tr>
    </w:tbl>
    <w:p w14:paraId="5DAF429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4.5 相邻两户的配电箱背对背时应左右错位安装，水平净距≥100mm。</w:t>
      </w:r>
    </w:p>
    <w:p w14:paraId="279A00E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4.6 配电箱不应在空调正下方安装。</w:t>
      </w:r>
    </w:p>
    <w:p w14:paraId="5A228A25">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线路敷设要求</w:t>
      </w:r>
    </w:p>
    <w:p w14:paraId="7A1A858E">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5.1 住宅入户线路宜穿管暗敷，应结合暗敷管的综合排布与结构专业协调楼板厚度。</w:t>
      </w:r>
    </w:p>
    <w:p w14:paraId="668289C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5.2 住宅套内、非人防区的非消防线路除特别要求外的配电线路暗敷埋管时采用PC管；有吊顶的吊顶内管材采用金属管。住宅标准层的进户线配管管径大于40mm时，可采用两根管（不大于PC32）暗敷。</w:t>
      </w:r>
    </w:p>
    <w:p w14:paraId="38ED68F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5.3 配电线路的金属管材优先采用JDG管，特殊场所可采用SC管。</w:t>
      </w:r>
    </w:p>
    <w:p w14:paraId="06E1CB38">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5.4 地下室桥架不宜从防火卷帘上方穿越。当现场条件难以满足，且安装卷帘箱后顶部具有不少于200mm空间时除外。</w:t>
      </w:r>
    </w:p>
    <w:p w14:paraId="1F3DC8E3">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5.5 桥架宜避开大堂主入口及活动区域主入口正上方区域，当地下室无法避开时，桥架应尽量抬高。</w:t>
      </w:r>
    </w:p>
    <w:p w14:paraId="20506005">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住宅套内电器设置要求及安装</w:t>
      </w:r>
    </w:p>
    <w:p w14:paraId="46805218">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6.1 套内电器布置应遵循合理设置、方便使用、经济适用的原则。</w:t>
      </w:r>
    </w:p>
    <w:p w14:paraId="43DA37F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6.2 每套住宅应设住户配电箱。</w:t>
      </w:r>
    </w:p>
    <w:p w14:paraId="25A2B383">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6.3 住户配电箱位置不应影响美观，并应注意避免靠近潮湿区域，定位由建筑专业或装修专业确定。</w:t>
      </w:r>
    </w:p>
    <w:p w14:paraId="6DCD70D1">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6.4 住宅套内各房间、客厅、餐厅及厨房、卫生间、阳台各设置普通吸顶灯1盏，当装修有要求时，以装修要求为准。</w:t>
      </w:r>
    </w:p>
    <w:p w14:paraId="7D6E0605">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6.5 套内专用电器插座（如抽油烟机、冰箱、洗衣机、热水器、空调等）的位置应与日后电器的安装位置相适应。</w:t>
      </w:r>
    </w:p>
    <w:p w14:paraId="00E9F70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6.6 卫生间照明及排气扇的控制开关应设于卫生间门外。</w:t>
      </w:r>
    </w:p>
    <w:p w14:paraId="2AB5F80C">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6.7 除装修有要求外，套内电源插座设置可参照：</w:t>
      </w:r>
    </w:p>
    <w:p w14:paraId="21F9A28E">
      <w:pPr>
        <w:pStyle w:val="7"/>
        <w:numPr>
          <w:ilvl w:val="3"/>
          <w:numId w:val="0"/>
        </w:numPr>
        <w:rPr>
          <w:rFonts w:hint="eastAsia" w:ascii="宋体" w:hAnsi="宋体" w:cs="宋体"/>
          <w:b w:val="0"/>
          <w:bCs/>
          <w:szCs w:val="24"/>
          <w:highlight w:val="none"/>
        </w:rPr>
      </w:pPr>
      <w:r>
        <w:rPr>
          <w:rFonts w:hint="eastAsia" w:ascii="宋体" w:hAnsi="宋体" w:cs="宋体"/>
          <w:szCs w:val="24"/>
          <w:highlight w:val="none"/>
        </w:rPr>
        <w:t>住宅套内电源插座设置数量</w:t>
      </w:r>
    </w:p>
    <w:tbl>
      <w:tblPr>
        <w:tblStyle w:val="42"/>
        <w:tblW w:w="91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1"/>
        <w:gridCol w:w="3610"/>
        <w:gridCol w:w="3225"/>
        <w:gridCol w:w="1529"/>
      </w:tblGrid>
      <w:tr w14:paraId="12AC6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791" w:type="dxa"/>
            <w:vAlign w:val="center"/>
          </w:tcPr>
          <w:p w14:paraId="00DDD76D">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序号</w:t>
            </w:r>
          </w:p>
        </w:tc>
        <w:tc>
          <w:tcPr>
            <w:tcW w:w="3610" w:type="dxa"/>
            <w:vAlign w:val="center"/>
          </w:tcPr>
          <w:p w14:paraId="599E2469">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部位</w:t>
            </w:r>
          </w:p>
        </w:tc>
        <w:tc>
          <w:tcPr>
            <w:tcW w:w="3225" w:type="dxa"/>
            <w:vAlign w:val="center"/>
          </w:tcPr>
          <w:p w14:paraId="22E7ADFF">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设置要求</w:t>
            </w:r>
          </w:p>
        </w:tc>
        <w:tc>
          <w:tcPr>
            <w:tcW w:w="1529" w:type="dxa"/>
            <w:vAlign w:val="center"/>
          </w:tcPr>
          <w:p w14:paraId="2D0ACECE">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插座数量（个）</w:t>
            </w:r>
          </w:p>
        </w:tc>
      </w:tr>
      <w:tr w14:paraId="4B1DB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7BDFAE95">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3610" w:type="dxa"/>
            <w:vAlign w:val="center"/>
          </w:tcPr>
          <w:p w14:paraId="4F3992CC">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起居室（厅）、兼起居室的卧室</w:t>
            </w:r>
          </w:p>
        </w:tc>
        <w:tc>
          <w:tcPr>
            <w:tcW w:w="3225" w:type="dxa"/>
            <w:vAlign w:val="center"/>
          </w:tcPr>
          <w:p w14:paraId="6EC181EF">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单相两孔、三孔电源插座</w:t>
            </w:r>
          </w:p>
        </w:tc>
        <w:tc>
          <w:tcPr>
            <w:tcW w:w="1529" w:type="dxa"/>
            <w:vAlign w:val="center"/>
          </w:tcPr>
          <w:p w14:paraId="10A2A843">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r>
      <w:tr w14:paraId="024D7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4F1B4188">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3610" w:type="dxa"/>
            <w:vAlign w:val="center"/>
          </w:tcPr>
          <w:p w14:paraId="63ADCDE7">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卧室</w:t>
            </w:r>
          </w:p>
        </w:tc>
        <w:tc>
          <w:tcPr>
            <w:tcW w:w="3225" w:type="dxa"/>
            <w:vAlign w:val="center"/>
          </w:tcPr>
          <w:p w14:paraId="1DC10C68">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单相两孔、三孔电源插座</w:t>
            </w:r>
          </w:p>
        </w:tc>
        <w:tc>
          <w:tcPr>
            <w:tcW w:w="1529" w:type="dxa"/>
            <w:vAlign w:val="center"/>
          </w:tcPr>
          <w:p w14:paraId="1205C46E">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r>
      <w:tr w14:paraId="36AF9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6FEF1A35">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3610" w:type="dxa"/>
            <w:vAlign w:val="center"/>
          </w:tcPr>
          <w:p w14:paraId="42CD5A3E">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厨房</w:t>
            </w:r>
          </w:p>
        </w:tc>
        <w:tc>
          <w:tcPr>
            <w:tcW w:w="3225" w:type="dxa"/>
            <w:vAlign w:val="center"/>
          </w:tcPr>
          <w:p w14:paraId="5B0BD829">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单相两孔、三孔电源插座</w:t>
            </w:r>
          </w:p>
        </w:tc>
        <w:tc>
          <w:tcPr>
            <w:tcW w:w="1529" w:type="dxa"/>
            <w:vAlign w:val="center"/>
          </w:tcPr>
          <w:p w14:paraId="70707C5A">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p w14:paraId="265F7245">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（电热炊具）</w:t>
            </w:r>
          </w:p>
        </w:tc>
      </w:tr>
      <w:tr w14:paraId="07CBD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0974CC5B">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3610" w:type="dxa"/>
            <w:vAlign w:val="center"/>
          </w:tcPr>
          <w:p w14:paraId="60D064BF">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卫生间</w:t>
            </w:r>
          </w:p>
        </w:tc>
        <w:tc>
          <w:tcPr>
            <w:tcW w:w="3225" w:type="dxa"/>
            <w:vAlign w:val="center"/>
          </w:tcPr>
          <w:p w14:paraId="35B5DB3D">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单相两孔、三孔电源插座</w:t>
            </w:r>
          </w:p>
        </w:tc>
        <w:tc>
          <w:tcPr>
            <w:tcW w:w="1529" w:type="dxa"/>
            <w:vAlign w:val="center"/>
          </w:tcPr>
          <w:p w14:paraId="1CA88390">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r w14:paraId="17A23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329C23A7">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3610" w:type="dxa"/>
            <w:vAlign w:val="center"/>
          </w:tcPr>
          <w:p w14:paraId="2B10830E">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阳台</w:t>
            </w:r>
          </w:p>
        </w:tc>
        <w:tc>
          <w:tcPr>
            <w:tcW w:w="3225" w:type="dxa"/>
            <w:vAlign w:val="center"/>
          </w:tcPr>
          <w:p w14:paraId="33806B35">
            <w:pPr>
              <w:spacing w:line="360" w:lineRule="auto"/>
              <w:jc w:val="center"/>
              <w:rPr>
                <w:rFonts w:hint="eastAsia" w:ascii="宋体" w:hAnsi="宋体" w:eastAsia="宋体" w:cs="宋体"/>
                <w:color w:val="auto"/>
                <w:sz w:val="21"/>
                <w:szCs w:val="21"/>
                <w:highlight w:val="none"/>
              </w:rPr>
            </w:pPr>
          </w:p>
        </w:tc>
        <w:tc>
          <w:tcPr>
            <w:tcW w:w="1529" w:type="dxa"/>
            <w:vAlign w:val="center"/>
          </w:tcPr>
          <w:p w14:paraId="609D8FCB">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根据安装条件确定</w:t>
            </w:r>
          </w:p>
        </w:tc>
      </w:tr>
      <w:tr w14:paraId="7270A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91" w:type="dxa"/>
            <w:vAlign w:val="center"/>
          </w:tcPr>
          <w:p w14:paraId="458FA218">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w:t>
            </w:r>
          </w:p>
        </w:tc>
        <w:tc>
          <w:tcPr>
            <w:tcW w:w="3610" w:type="dxa"/>
            <w:vAlign w:val="center"/>
          </w:tcPr>
          <w:p w14:paraId="324A56E6">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洗衣机、冰箱、排油烟机、排风机、排气扇、空调机、电热水器、消毒柜、马桶</w:t>
            </w:r>
          </w:p>
        </w:tc>
        <w:tc>
          <w:tcPr>
            <w:tcW w:w="3225" w:type="dxa"/>
            <w:vAlign w:val="center"/>
          </w:tcPr>
          <w:p w14:paraId="68F489C6">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单相三孔电源插座</w:t>
            </w:r>
          </w:p>
        </w:tc>
        <w:tc>
          <w:tcPr>
            <w:tcW w:w="1529" w:type="dxa"/>
            <w:vAlign w:val="center"/>
          </w:tcPr>
          <w:p w14:paraId="08565111">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各1个</w:t>
            </w:r>
          </w:p>
        </w:tc>
      </w:tr>
    </w:tbl>
    <w:p w14:paraId="67DE715D">
      <w:pPr>
        <w:pStyle w:val="85"/>
        <w:adjustRightInd w:val="0"/>
        <w:snapToGrid w:val="0"/>
        <w:spacing w:before="0" w:beforeAutospacing="0" w:after="0" w:afterAutospacing="0" w:line="360" w:lineRule="auto"/>
        <w:ind w:left="0" w:firstLine="420" w:firstLineChars="200"/>
        <w:rPr>
          <w:highlight w:val="none"/>
        </w:rPr>
      </w:pPr>
      <w:r>
        <w:rPr>
          <w:rFonts w:hint="eastAsia"/>
          <w:highlight w:val="none"/>
        </w:rPr>
        <w:t>注：</w:t>
      </w:r>
    </w:p>
    <w:p w14:paraId="5BAFEA8E">
      <w:pPr>
        <w:pStyle w:val="85"/>
        <w:adjustRightInd w:val="0"/>
        <w:snapToGrid w:val="0"/>
        <w:spacing w:before="0" w:beforeAutospacing="0" w:after="0" w:afterAutospacing="0" w:line="360" w:lineRule="auto"/>
        <w:ind w:left="0" w:firstLine="420" w:firstLineChars="200"/>
        <w:rPr>
          <w:rFonts w:hint="eastAsia" w:ascii="宋体" w:hAnsi="宋体" w:cs="宋体"/>
          <w:highlight w:val="none"/>
        </w:rPr>
      </w:pPr>
      <w:r>
        <w:rPr>
          <w:rFonts w:hint="eastAsia"/>
          <w:highlight w:val="none"/>
        </w:rPr>
        <w:t>1）</w:t>
      </w:r>
      <w:r>
        <w:rPr>
          <w:rFonts w:hint="eastAsia" w:ascii="宋体" w:hAnsi="宋体" w:cs="宋体"/>
          <w:highlight w:val="none"/>
        </w:rPr>
        <w:t>上表序号1~5设置的电源插座数量不包括序号6专用设备所需设置的电源插座数量。</w:t>
      </w:r>
    </w:p>
    <w:p w14:paraId="06C62766">
      <w:pPr>
        <w:pStyle w:val="85"/>
        <w:adjustRightInd w:val="0"/>
        <w:snapToGrid w:val="0"/>
        <w:spacing w:before="0" w:beforeAutospacing="0" w:after="0" w:afterAutospacing="0" w:line="360" w:lineRule="auto"/>
        <w:ind w:left="0" w:firstLine="420" w:firstLineChars="200"/>
        <w:rPr>
          <w:rFonts w:hint="eastAsia" w:ascii="宋体" w:hAnsi="宋体" w:cs="宋体"/>
          <w:highlight w:val="none"/>
        </w:rPr>
      </w:pPr>
      <w:r>
        <w:rPr>
          <w:rFonts w:hint="eastAsia" w:ascii="宋体" w:hAnsi="宋体" w:cs="宋体"/>
          <w:highlight w:val="none"/>
        </w:rPr>
        <w:t>2）当卧室设有书桌时，在书桌处增设一个单相两、三孔电源插座。</w:t>
      </w:r>
    </w:p>
    <w:p w14:paraId="7AE23769">
      <w:pPr>
        <w:pStyle w:val="85"/>
        <w:adjustRightInd w:val="0"/>
        <w:snapToGrid w:val="0"/>
        <w:spacing w:before="0" w:beforeAutospacing="0" w:after="0" w:afterAutospacing="0" w:line="360" w:lineRule="auto"/>
        <w:ind w:left="0" w:firstLine="420" w:firstLineChars="200"/>
        <w:rPr>
          <w:rFonts w:hint="eastAsia" w:ascii="宋体" w:hAnsi="宋体" w:cs="宋体"/>
          <w:highlight w:val="none"/>
        </w:rPr>
      </w:pPr>
      <w:r>
        <w:rPr>
          <w:rFonts w:hint="eastAsia" w:ascii="宋体" w:hAnsi="宋体" w:cs="宋体"/>
          <w:highlight w:val="none"/>
        </w:rPr>
        <w:t>3）洗衣机、分体式空调、电热水器及厨房的电源插座选用带开关控制的电源插座，未封闭阳台及洗衣机应选用防护等级为IP54型电源插座。</w:t>
      </w:r>
    </w:p>
    <w:p w14:paraId="5374C2A9">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6.8 除装修有要求外，套内电器规格及安装要求可参照：</w:t>
      </w:r>
    </w:p>
    <w:p w14:paraId="415CAFA0">
      <w:pPr>
        <w:pStyle w:val="7"/>
        <w:numPr>
          <w:ilvl w:val="3"/>
          <w:numId w:val="0"/>
        </w:numPr>
        <w:rPr>
          <w:rFonts w:hint="eastAsia" w:ascii="宋体" w:hAnsi="宋体" w:cs="宋体"/>
          <w:b w:val="0"/>
          <w:bCs/>
          <w:szCs w:val="24"/>
          <w:highlight w:val="none"/>
        </w:rPr>
      </w:pPr>
      <w:r>
        <w:rPr>
          <w:rFonts w:hint="eastAsia" w:ascii="宋体" w:hAnsi="宋体" w:cs="宋体"/>
          <w:szCs w:val="24"/>
          <w:highlight w:val="none"/>
        </w:rPr>
        <w:t>住宅套内电器规格及安装要求</w:t>
      </w:r>
    </w:p>
    <w:tbl>
      <w:tblPr>
        <w:tblStyle w:val="42"/>
        <w:tblW w:w="80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9"/>
        <w:gridCol w:w="3617"/>
        <w:gridCol w:w="2144"/>
      </w:tblGrid>
      <w:tr w14:paraId="50203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1BCA6BFD">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种类</w:t>
            </w:r>
          </w:p>
        </w:tc>
        <w:tc>
          <w:tcPr>
            <w:tcW w:w="3617" w:type="dxa"/>
            <w:vAlign w:val="center"/>
          </w:tcPr>
          <w:p w14:paraId="3F9D7ABD">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规格</w:t>
            </w:r>
          </w:p>
        </w:tc>
        <w:tc>
          <w:tcPr>
            <w:tcW w:w="2144" w:type="dxa"/>
            <w:vAlign w:val="center"/>
          </w:tcPr>
          <w:p w14:paraId="177A767C">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安装高度</w:t>
            </w:r>
          </w:p>
        </w:tc>
      </w:tr>
      <w:tr w14:paraId="46EDF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7E781D12">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住户配电箱</w:t>
            </w:r>
          </w:p>
        </w:tc>
        <w:tc>
          <w:tcPr>
            <w:tcW w:w="3617" w:type="dxa"/>
            <w:vAlign w:val="center"/>
          </w:tcPr>
          <w:p w14:paraId="61002E67">
            <w:pPr>
              <w:adjustRightInd w:val="0"/>
              <w:spacing w:line="360" w:lineRule="auto"/>
              <w:jc w:val="center"/>
              <w:rPr>
                <w:rFonts w:hint="eastAsia" w:ascii="宋体" w:hAnsi="宋体" w:eastAsia="宋体" w:cs="宋体"/>
                <w:color w:val="auto"/>
                <w:sz w:val="21"/>
                <w:szCs w:val="21"/>
                <w:highlight w:val="none"/>
              </w:rPr>
            </w:pPr>
          </w:p>
        </w:tc>
        <w:tc>
          <w:tcPr>
            <w:tcW w:w="2144" w:type="dxa"/>
            <w:vAlign w:val="center"/>
          </w:tcPr>
          <w:p w14:paraId="5F0110C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1800mm</w:t>
            </w:r>
          </w:p>
        </w:tc>
      </w:tr>
      <w:tr w14:paraId="7B11E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32AB7C1C">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开关</w:t>
            </w:r>
          </w:p>
        </w:tc>
        <w:tc>
          <w:tcPr>
            <w:tcW w:w="3617" w:type="dxa"/>
            <w:vAlign w:val="center"/>
          </w:tcPr>
          <w:p w14:paraId="77C51755">
            <w:pPr>
              <w:adjustRightInd w:val="0"/>
              <w:spacing w:line="360" w:lineRule="auto"/>
              <w:jc w:val="center"/>
              <w:rPr>
                <w:rFonts w:hint="eastAsia" w:ascii="宋体" w:hAnsi="宋体" w:eastAsia="宋体" w:cs="宋体"/>
                <w:color w:val="auto"/>
                <w:sz w:val="21"/>
                <w:szCs w:val="21"/>
                <w:highlight w:val="none"/>
              </w:rPr>
            </w:pPr>
          </w:p>
        </w:tc>
        <w:tc>
          <w:tcPr>
            <w:tcW w:w="2144" w:type="dxa"/>
            <w:vAlign w:val="center"/>
          </w:tcPr>
          <w:p w14:paraId="5F1D1DE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1400mm</w:t>
            </w:r>
          </w:p>
        </w:tc>
      </w:tr>
      <w:tr w14:paraId="0F23A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789619B4">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普通插座</w:t>
            </w:r>
          </w:p>
        </w:tc>
        <w:tc>
          <w:tcPr>
            <w:tcW w:w="3617" w:type="dxa"/>
            <w:vAlign w:val="center"/>
          </w:tcPr>
          <w:p w14:paraId="3164F5B8">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10A，二三级双联</w:t>
            </w:r>
          </w:p>
        </w:tc>
        <w:tc>
          <w:tcPr>
            <w:tcW w:w="2144" w:type="dxa"/>
            <w:vAlign w:val="center"/>
          </w:tcPr>
          <w:p w14:paraId="093359E8">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300mm</w:t>
            </w:r>
          </w:p>
          <w:p w14:paraId="120CC664">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（有家具处按照家具高度定）</w:t>
            </w:r>
          </w:p>
        </w:tc>
      </w:tr>
      <w:tr w14:paraId="5D7BC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6669627C">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厨房电热炊具插座</w:t>
            </w:r>
          </w:p>
        </w:tc>
        <w:tc>
          <w:tcPr>
            <w:tcW w:w="3617" w:type="dxa"/>
            <w:vAlign w:val="center"/>
          </w:tcPr>
          <w:p w14:paraId="73F42A27">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10A，二三级双联，带开关</w:t>
            </w:r>
          </w:p>
        </w:tc>
        <w:tc>
          <w:tcPr>
            <w:tcW w:w="2144" w:type="dxa"/>
            <w:vAlign w:val="center"/>
          </w:tcPr>
          <w:p w14:paraId="790204B6">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1400mm</w:t>
            </w:r>
          </w:p>
        </w:tc>
      </w:tr>
      <w:tr w14:paraId="50605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705C99E0">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厨房抽油烟机插座</w:t>
            </w:r>
          </w:p>
        </w:tc>
        <w:tc>
          <w:tcPr>
            <w:tcW w:w="3617" w:type="dxa"/>
            <w:vAlign w:val="center"/>
          </w:tcPr>
          <w:p w14:paraId="2B882082">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10A，三级</w:t>
            </w:r>
          </w:p>
        </w:tc>
        <w:tc>
          <w:tcPr>
            <w:tcW w:w="2144" w:type="dxa"/>
            <w:vAlign w:val="center"/>
          </w:tcPr>
          <w:p w14:paraId="2053F81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2200mm</w:t>
            </w:r>
          </w:p>
        </w:tc>
      </w:tr>
      <w:tr w14:paraId="2596C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1B5D0FD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电冰箱插座</w:t>
            </w:r>
          </w:p>
        </w:tc>
        <w:tc>
          <w:tcPr>
            <w:tcW w:w="3617" w:type="dxa"/>
            <w:vAlign w:val="center"/>
          </w:tcPr>
          <w:p w14:paraId="5C35D50B">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10A，二三级双联，带开关</w:t>
            </w:r>
          </w:p>
        </w:tc>
        <w:tc>
          <w:tcPr>
            <w:tcW w:w="2144" w:type="dxa"/>
            <w:vAlign w:val="center"/>
          </w:tcPr>
          <w:p w14:paraId="183ADF57">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1400mm</w:t>
            </w:r>
          </w:p>
        </w:tc>
      </w:tr>
      <w:tr w14:paraId="08720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2436CD16">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洗衣机插座</w:t>
            </w:r>
          </w:p>
        </w:tc>
        <w:tc>
          <w:tcPr>
            <w:tcW w:w="3617" w:type="dxa"/>
            <w:vAlign w:val="center"/>
          </w:tcPr>
          <w:p w14:paraId="65668BB9">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10A，三级双联，带开关，带防水盖板</w:t>
            </w:r>
          </w:p>
        </w:tc>
        <w:tc>
          <w:tcPr>
            <w:tcW w:w="2144" w:type="dxa"/>
            <w:vAlign w:val="center"/>
          </w:tcPr>
          <w:p w14:paraId="2A0B2408">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1400mm</w:t>
            </w:r>
          </w:p>
        </w:tc>
      </w:tr>
      <w:tr w14:paraId="1AE33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19CFDA0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燃气热水器插座</w:t>
            </w:r>
          </w:p>
        </w:tc>
        <w:tc>
          <w:tcPr>
            <w:tcW w:w="3617" w:type="dxa"/>
            <w:vAlign w:val="center"/>
          </w:tcPr>
          <w:p w14:paraId="55ED267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10A，二三级双联，带开关</w:t>
            </w:r>
          </w:p>
        </w:tc>
        <w:tc>
          <w:tcPr>
            <w:tcW w:w="2144" w:type="dxa"/>
            <w:vAlign w:val="center"/>
          </w:tcPr>
          <w:p w14:paraId="05EAC70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2200mm（当设于洗衣机正上方时1600mm）</w:t>
            </w:r>
          </w:p>
        </w:tc>
      </w:tr>
      <w:tr w14:paraId="61D0F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1941B07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卫生间排气扇插座</w:t>
            </w:r>
          </w:p>
        </w:tc>
        <w:tc>
          <w:tcPr>
            <w:tcW w:w="3617" w:type="dxa"/>
            <w:vAlign w:val="center"/>
          </w:tcPr>
          <w:p w14:paraId="081C79F0">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10A，三级，带防水盖板</w:t>
            </w:r>
          </w:p>
        </w:tc>
        <w:tc>
          <w:tcPr>
            <w:tcW w:w="2144" w:type="dxa"/>
            <w:vAlign w:val="center"/>
          </w:tcPr>
          <w:p w14:paraId="477EAD73">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≥2300mm</w:t>
            </w:r>
          </w:p>
        </w:tc>
      </w:tr>
      <w:tr w14:paraId="43E2B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319" w:type="dxa"/>
            <w:vAlign w:val="center"/>
          </w:tcPr>
          <w:p w14:paraId="2892873C">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空调机插座</w:t>
            </w:r>
          </w:p>
        </w:tc>
        <w:tc>
          <w:tcPr>
            <w:tcW w:w="3617" w:type="dxa"/>
            <w:vAlign w:val="center"/>
          </w:tcPr>
          <w:p w14:paraId="185ACF3B">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16A，三级</w:t>
            </w:r>
          </w:p>
        </w:tc>
        <w:tc>
          <w:tcPr>
            <w:tcW w:w="2144" w:type="dxa"/>
            <w:vAlign w:val="center"/>
          </w:tcPr>
          <w:p w14:paraId="6ECCDA6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2200mm/300mm</w:t>
            </w:r>
          </w:p>
        </w:tc>
      </w:tr>
    </w:tbl>
    <w:p w14:paraId="6B26DC6A">
      <w:pPr>
        <w:pStyle w:val="85"/>
        <w:adjustRightInd w:val="0"/>
        <w:snapToGrid w:val="0"/>
        <w:spacing w:before="0" w:beforeAutospacing="0" w:after="0" w:afterAutospacing="0" w:line="360" w:lineRule="auto"/>
        <w:ind w:left="0" w:firstLine="420" w:firstLineChars="200"/>
        <w:rPr>
          <w:rFonts w:hint="eastAsia" w:ascii="宋体" w:hAnsi="宋体" w:cs="宋体"/>
          <w:highlight w:val="none"/>
        </w:rPr>
      </w:pPr>
      <w:r>
        <w:rPr>
          <w:rFonts w:hint="eastAsia" w:ascii="宋体" w:hAnsi="宋体" w:cs="宋体"/>
          <w:highlight w:val="none"/>
        </w:rPr>
        <w:t>注：</w:t>
      </w:r>
    </w:p>
    <w:p w14:paraId="4CE2C5F1">
      <w:pPr>
        <w:pStyle w:val="85"/>
        <w:adjustRightInd w:val="0"/>
        <w:snapToGrid w:val="0"/>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1）所有插座均带安全保护门，设于卫生间、阳台及洗手盆下方的插座应带防溅盖板。</w:t>
      </w:r>
    </w:p>
    <w:p w14:paraId="32D09D12">
      <w:pPr>
        <w:pStyle w:val="85"/>
        <w:adjustRightInd w:val="0"/>
        <w:snapToGrid w:val="0"/>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2）电器安装高度是指电器底边距地面完成面的高度。</w:t>
      </w:r>
    </w:p>
    <w:p w14:paraId="0826924F">
      <w:pPr>
        <w:pStyle w:val="85"/>
        <w:adjustRightInd w:val="0"/>
        <w:snapToGrid w:val="0"/>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3）空调机插座形式（壁挂式或柜式）应根据房间具体需求选定，并应与建筑、给排水专业预留条件协调一致。</w:t>
      </w:r>
    </w:p>
    <w:p w14:paraId="4AC7A136">
      <w:pPr>
        <w:pStyle w:val="85"/>
        <w:adjustRightInd w:val="0"/>
        <w:snapToGrid w:val="0"/>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4）面板开关及插座均为暗装。</w:t>
      </w:r>
    </w:p>
    <w:p w14:paraId="67807D84">
      <w:pPr>
        <w:pStyle w:val="85"/>
        <w:adjustRightInd w:val="0"/>
        <w:snapToGrid w:val="0"/>
        <w:spacing w:before="0" w:beforeAutospacing="0" w:after="0" w:afterAutospacing="0" w:line="360" w:lineRule="auto"/>
        <w:ind w:left="0" w:firstLine="480" w:firstLineChars="200"/>
        <w:rPr>
          <w:rFonts w:hint="eastAsia" w:ascii="宋体" w:hAnsi="宋体" w:cs="宋体"/>
          <w:sz w:val="24"/>
          <w:szCs w:val="24"/>
          <w:highlight w:val="none"/>
        </w:rPr>
      </w:pPr>
      <w:r>
        <w:rPr>
          <w:rStyle w:val="81"/>
          <w:rFonts w:hint="eastAsia" w:ascii="宋体" w:hAnsi="宋体" w:cs="宋体"/>
          <w:sz w:val="24"/>
          <w:szCs w:val="24"/>
          <w:highlight w:val="none"/>
        </w:rPr>
        <w:t>5)若有装修设计时，安装高度和位置以装修为准。</w:t>
      </w:r>
    </w:p>
    <w:p w14:paraId="475C162E">
      <w:pPr>
        <w:pStyle w:val="85"/>
        <w:spacing w:before="0" w:beforeAutospacing="0" w:after="0" w:afterAutospacing="0" w:line="360" w:lineRule="auto"/>
        <w:ind w:left="442" w:leftChars="201" w:firstLine="14" w:firstLineChars="6"/>
        <w:rPr>
          <w:rStyle w:val="81"/>
          <w:rFonts w:hint="eastAsia" w:ascii="宋体" w:hAnsi="宋体" w:cs="宋体"/>
          <w:sz w:val="24"/>
          <w:szCs w:val="24"/>
          <w:highlight w:val="none"/>
        </w:rPr>
      </w:pPr>
      <w:r>
        <w:rPr>
          <w:rStyle w:val="81"/>
          <w:rFonts w:hint="eastAsia" w:ascii="宋体" w:hAnsi="宋体" w:cs="宋体"/>
          <w:sz w:val="24"/>
          <w:szCs w:val="24"/>
          <w:highlight w:val="none"/>
        </w:rPr>
        <w:t>6.9 除装修有要求外，住宅套内灯具面板开关设置可按单控设置。</w:t>
      </w:r>
    </w:p>
    <w:p w14:paraId="32CBCBC3">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电气照明</w:t>
      </w:r>
    </w:p>
    <w:p w14:paraId="4F54C4A4">
      <w:pPr>
        <w:pStyle w:val="85"/>
        <w:tabs>
          <w:tab w:val="left" w:pos="0"/>
        </w:tabs>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7.1 住宅标准层走道及楼梯间照明应采用高效节能的照明灯具和光源，并采用节能自熄开关控制，不应采用白炽灯。</w:t>
      </w:r>
    </w:p>
    <w:p w14:paraId="0208A864">
      <w:pPr>
        <w:pStyle w:val="85"/>
        <w:tabs>
          <w:tab w:val="left" w:pos="0"/>
        </w:tabs>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7.2 设置消防应急照明和疏散指示系统的建筑，采用集中电源集中控制系统，在火灾状态下，由应急照明控制器应急点亮。</w:t>
      </w:r>
    </w:p>
    <w:p w14:paraId="2130AB85">
      <w:pPr>
        <w:pStyle w:val="85"/>
        <w:tabs>
          <w:tab w:val="left" w:pos="0"/>
        </w:tabs>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7.3 楼层设备间和强、弱电竖井应设照明和检修插座。</w:t>
      </w:r>
    </w:p>
    <w:p w14:paraId="6330C0B8">
      <w:pPr>
        <w:pStyle w:val="85"/>
        <w:tabs>
          <w:tab w:val="left" w:pos="0"/>
        </w:tabs>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7.4 消防应急照明系统在蓄电池电源供电时的持续工作时间应满足《建筑设计防火规范》GB 50016-2014(2018年版)及《消防应急照明和疏散指示系统技术标准》GB 51309的相关要求。非消防情况下供电时间不小于15min。</w:t>
      </w:r>
    </w:p>
    <w:p w14:paraId="605E348C">
      <w:pPr>
        <w:pStyle w:val="85"/>
        <w:tabs>
          <w:tab w:val="left" w:pos="0"/>
        </w:tabs>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7.5 应急照明采用吸顶或壁装，每个回路不宜超过60盏灯。</w:t>
      </w:r>
    </w:p>
    <w:p w14:paraId="1912D9AB">
      <w:pPr>
        <w:pStyle w:val="85"/>
        <w:tabs>
          <w:tab w:val="left" w:pos="0"/>
        </w:tabs>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7.6 每个应急照明集中电源箱供电范围不宜超过8层。</w:t>
      </w:r>
    </w:p>
    <w:p w14:paraId="033543CD">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地下室设计</w:t>
      </w:r>
    </w:p>
    <w:p w14:paraId="2D76B84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8.1 地库集水坑、坡道雨水坑、电梯集水坑、消防泵房、报警阀间等场所的潜污泵可按消防电源考虑，由就近消防设备配电箱（控制箱）配电；为某个非消防设备房（如生活泵房、雨水回用机房、中水处理机房等）专设的潜污泵，可由就近的消防电源配电。</w:t>
      </w:r>
    </w:p>
    <w:p w14:paraId="3E898851">
      <w:pPr>
        <w:pStyle w:val="85"/>
        <w:spacing w:before="0" w:beforeAutospacing="0" w:after="0" w:afterAutospacing="0" w:line="360" w:lineRule="auto"/>
        <w:ind w:left="442" w:leftChars="201" w:firstLine="14" w:firstLineChars="6"/>
        <w:rPr>
          <w:rStyle w:val="81"/>
          <w:rFonts w:hint="eastAsia" w:ascii="宋体" w:hAnsi="宋体" w:cs="宋体"/>
          <w:sz w:val="24"/>
          <w:szCs w:val="24"/>
          <w:highlight w:val="none"/>
        </w:rPr>
      </w:pPr>
      <w:r>
        <w:rPr>
          <w:rStyle w:val="81"/>
          <w:rFonts w:hint="eastAsia" w:ascii="宋体" w:hAnsi="宋体" w:cs="宋体"/>
          <w:sz w:val="24"/>
          <w:szCs w:val="24"/>
          <w:highlight w:val="none"/>
        </w:rPr>
        <w:t>8.2 消防水箱、水池液位显示信号应引入消防控制室。</w:t>
      </w:r>
    </w:p>
    <w:p w14:paraId="3D3F5F32">
      <w:pPr>
        <w:pStyle w:val="85"/>
        <w:spacing w:before="0" w:beforeAutospacing="0" w:after="0" w:afterAutospacing="0" w:line="360" w:lineRule="auto"/>
        <w:ind w:left="442" w:leftChars="201" w:firstLine="14" w:firstLineChars="6"/>
        <w:rPr>
          <w:rStyle w:val="81"/>
          <w:rFonts w:hint="eastAsia" w:ascii="宋体" w:hAnsi="宋体" w:cs="宋体"/>
          <w:sz w:val="24"/>
          <w:szCs w:val="24"/>
          <w:highlight w:val="none"/>
        </w:rPr>
      </w:pPr>
      <w:r>
        <w:rPr>
          <w:rStyle w:val="81"/>
          <w:rFonts w:hint="eastAsia" w:ascii="宋体" w:hAnsi="宋体" w:cs="宋体"/>
          <w:sz w:val="24"/>
          <w:szCs w:val="24"/>
          <w:highlight w:val="none"/>
        </w:rPr>
        <w:t>8.3 生活水箱液位显示信号应引入监控室，便于物业监管。</w:t>
      </w:r>
    </w:p>
    <w:p w14:paraId="4333DDDA">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8.4 消防、生活水泵房控制柜、配电柜底抬高300mm（距装修完成面）安装或设置控制室安装，控制室内地面与泵房地面同一高度时，控制室门口应设置不小于300mm的挡水门槛。</w:t>
      </w:r>
    </w:p>
    <w:p w14:paraId="37D2C21F">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地上公共区域设计</w:t>
      </w:r>
    </w:p>
    <w:p w14:paraId="2B6DF581">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9.1 高层住宅普通公共照明箱，应多层集中设置。公共照明为一级负荷时，电源在末端切换；公共照明为二级负荷时，在地下室或首层公共照明总箱切换后单回路为各层公共照明箱供电。</w:t>
      </w:r>
    </w:p>
    <w:p w14:paraId="34703253">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9.2 标准层电梯厅及走道宜3~5层设1个照明回路；在无人时可接受灯光熄灭的无天然采光的住宅等场所的楼梯间及走廊选用一体化的红外人体感应节能自熄LED吸顶灯或筒灯；在无人时不能接受灯光完全熄灭的办公、旅馆、住宅等建筑物的公共走廊、电梯间、前室、楼梯间、公共厕所等场所选用一体化的红外人体感应全亮/微亮双亮度自动切换LED吸顶灯或筒灯；住宅电梯前室及大堂不能全部采用节能自熄LED灯，必须至少保留一盏一体化的红外人体感应全亮/微亮双亮度自动切换LED吸顶灯或筒灯。</w:t>
      </w:r>
    </w:p>
    <w:p w14:paraId="4F477989">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9.3 快递柜选址区域至少预留一个单相电源插座。</w:t>
      </w:r>
    </w:p>
    <w:p w14:paraId="040E5F61">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9.4 首层电梯厅处预留一个广告电源插座，安装高度2.0m。</w:t>
      </w:r>
    </w:p>
    <w:p w14:paraId="366DC137">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住宅底商设计标准</w:t>
      </w:r>
    </w:p>
    <w:p w14:paraId="2B9A1E91">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10.1 多层独立商业设计要求：</w:t>
      </w:r>
    </w:p>
    <w:p w14:paraId="5293745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10.1.1 通燃气时，功率负荷密度按250W/m2标准设计；不通燃气时，功率负荷密度500W/m2标准设计。</w:t>
      </w:r>
    </w:p>
    <w:p w14:paraId="7DE4363A">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10.1.2 商业电源一根总进线，空调、动力、照明负荷不分开单独进线。</w:t>
      </w:r>
    </w:p>
    <w:p w14:paraId="3701477B">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10.1.3 若多层独立商业分成多个商铺出售，则按底商铺标准进行设计。</w:t>
      </w:r>
    </w:p>
    <w:p w14:paraId="47200FA0">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10.2 每个商铺配电箱仅预留总开关，不预留出线回路。</w:t>
      </w:r>
    </w:p>
    <w:p w14:paraId="3404541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10.3 商铺应设置集中电表箱分户计量，当由物业收取电费时，预留预付费电表。</w:t>
      </w:r>
    </w:p>
    <w:p w14:paraId="251A4CC6">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物业用房及公建配套设施设计标准</w:t>
      </w:r>
    </w:p>
    <w:p w14:paraId="7D0002AC">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11.1 物业办公用房、社区服务中心等用房功率负荷密度100W/m2；配电箱底边距地1.6m明装，配电箱内设总进线断路器并预留出线回路。</w:t>
      </w:r>
    </w:p>
    <w:p w14:paraId="047369EA">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11.2 当装修有要求时，室内照明、插座等配电按装修要求设计到位。</w:t>
      </w:r>
    </w:p>
    <w:p w14:paraId="5AB2D8F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11.3 当公建配套有移交标准要求时，按移交标准要求。</w:t>
      </w:r>
    </w:p>
    <w:p w14:paraId="1A3BA82C">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防雷与接地</w:t>
      </w:r>
    </w:p>
    <w:p w14:paraId="7DAF6B49">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Style w:val="81"/>
          <w:rFonts w:hint="eastAsia" w:ascii="宋体" w:hAnsi="宋体" w:cs="宋体"/>
          <w:sz w:val="24"/>
          <w:szCs w:val="24"/>
          <w:highlight w:val="none"/>
        </w:rPr>
        <w:t>防雷与接地的设计按《建筑物防雷设计规范》下限设计，如接闪带采用10mm。</w:t>
      </w:r>
    </w:p>
    <w:p w14:paraId="4DB3BE6A">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火灾自动报警系统</w:t>
      </w:r>
    </w:p>
    <w:p w14:paraId="039CBBC2">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13.1 建筑高度不大于54m的高层住宅建筑，其公共部位宜设置火灾自动报警系统，当设置需要联动控制的消防设施时，公共场所应设置火灾自动报警系统。</w:t>
      </w:r>
    </w:p>
    <w:p w14:paraId="2EDBAD63">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13.2 住宅公共走廊或电梯厅、楼梯间应设消防应急广播。楼梯间每三层设置一个。</w:t>
      </w:r>
    </w:p>
    <w:p w14:paraId="3C977360">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13.3 各住宅楼栋首层设区域显示器。</w:t>
      </w:r>
    </w:p>
    <w:p w14:paraId="1931FD7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13.4 消火栓按钮采用带状态指示灯的产品，消火栓按钮安装在消火栓箱内。</w:t>
      </w:r>
    </w:p>
    <w:p w14:paraId="2DD6BFE3">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13.5 高层住宅建筑应设电气火灾监控系统，在楼层配电箱内设电气火灾探测器。</w:t>
      </w:r>
    </w:p>
    <w:p w14:paraId="228C3DA2">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13.6 火灾自动报警系统的供电线路、消防联动总线及消防控制线路应采用耐火铜芯电线、电缆；纯报警总线、消防应急广播线、消防专用电话线、防火门监控线、电气火灾监控线、消防电源监控线等传输线路应采用阻燃耐火电缆电缆；</w:t>
      </w:r>
    </w:p>
    <w:p w14:paraId="79254557">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Fonts w:hint="eastAsia" w:ascii="宋体" w:hAnsi="宋体" w:cs="宋体"/>
          <w:sz w:val="24"/>
          <w:szCs w:val="24"/>
          <w:highlight w:val="none"/>
        </w:rPr>
        <w:t>13.7 在人员密集场所疏散通道采用的火灾自动报警系统的报警总线，应选择燃烧性能B1级的电线、电缆；其他场所的报警总线应选择燃烧性能不低于B2级的电线、电缆。消防联动总线及联动控制线应选择耐火铜芯电线、电缆。电线、电缆的燃烧性能应符合现行国家标准《电缆及光缆燃烧性能分级》GB 31247的规定。</w:t>
      </w:r>
    </w:p>
    <w:p w14:paraId="25E2247A">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13.8 火灾自动报警系统线路均穿金属线槽或金属管敷设。</w:t>
      </w:r>
    </w:p>
    <w:p w14:paraId="6F9E182F">
      <w:pPr>
        <w:pStyle w:val="24"/>
        <w:numPr>
          <w:ilvl w:val="0"/>
          <w:numId w:val="3"/>
        </w:numPr>
        <w:ind w:firstLine="482"/>
        <w:rPr>
          <w:rFonts w:hint="eastAsia" w:hAnsi="宋体" w:cs="宋体"/>
          <w:b/>
          <w:bCs/>
          <w:szCs w:val="24"/>
          <w:highlight w:val="none"/>
        </w:rPr>
      </w:pPr>
      <w:r>
        <w:rPr>
          <w:rFonts w:hint="eastAsia" w:hAnsi="宋体" w:cs="宋体"/>
          <w:b/>
          <w:bCs/>
          <w:szCs w:val="24"/>
          <w:highlight w:val="none"/>
        </w:rPr>
        <w:t>设备材料选型</w:t>
      </w:r>
    </w:p>
    <w:p w14:paraId="1F12C84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14.1 暗敷于墙内或混凝土内的刚性塑料导管应采用燃烧性能等级B2级、壁厚1.8mm及以上的导管。明敷时应采用燃烧性能等级B1级、壁厚1.6mm及以上的导管。明敷于潮湿场所或埋于素土内的金属导管，应釆用管壁厚度不小于2.0mm的钢导管，并釆取防腐措施。明敷或暗敷于干燥场所的金属导管宜采用管壁厚度不小于1.5mm的镀锌钢导管。</w:t>
      </w:r>
    </w:p>
    <w:p w14:paraId="2E9AE3F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14.2 室外电力线路穿管管材采用高强度PVC管，过车行道处采取穿钢管等机械保护措施。</w:t>
      </w:r>
    </w:p>
    <w:p w14:paraId="0727C10A">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14.3 导体及线缆选择：</w:t>
      </w:r>
    </w:p>
    <w:p w14:paraId="1B25555B">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14.3.1 住宅套内的电源线穿管埋楼板暗敷时采用阻燃型电线。</w:t>
      </w:r>
    </w:p>
    <w:p w14:paraId="02484ACC">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14.3.2 住宅供电干线采用母线槽供电时，母线槽防护等级不低于IP54。</w:t>
      </w:r>
    </w:p>
    <w:p w14:paraId="2A6A1335">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14.3.3 二类高层住宅建筑中明敷的线缆应选用低烟、低毒的阻燃类线缆，电缆阻燃类别应根据同一通道内电缆的非金属含量确定，不低于C类。</w:t>
      </w:r>
    </w:p>
    <w:p w14:paraId="426F9A58">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14.3.4 住宅建筑公共疏散通道的照明及应急照明应采用低烟无卤阻燃线缆。</w:t>
      </w:r>
    </w:p>
    <w:p w14:paraId="4E80F46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Fonts w:hint="eastAsia" w:ascii="宋体" w:hAnsi="宋体" w:cs="宋体"/>
          <w:sz w:val="24"/>
          <w:szCs w:val="24"/>
          <w:highlight w:val="none"/>
        </w:rPr>
        <w:t>14.3.5 二级及以下建筑中的大中型商店建筑、公交车站的线缆采用无卤低烟阻燃型电线电缆。老年人照料设施选用无卤低烟低毒阻燃型电线电缆。</w:t>
      </w:r>
    </w:p>
    <w:p w14:paraId="442C72A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14.3.6 对于下列情况应采用矿物绝缘不燃性电缆。</w:t>
      </w:r>
    </w:p>
    <w:p w14:paraId="78382239">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14.4 消防控制室、消防水泵房、消防电梯、消防风机等的供电主干线。</w:t>
      </w:r>
    </w:p>
    <w:p w14:paraId="1C85DA92">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14.5与非消防线路共沟共井的消防配电线路。</w:t>
      </w:r>
    </w:p>
    <w:p w14:paraId="561EE23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14.5.1 配电箱、用电设备及其配电线路均在室外的配电线缆可采用非阻燃电线电缆。</w:t>
      </w:r>
    </w:p>
    <w:p w14:paraId="79DA17C5">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14.5.2 非变频三相动力设备配电线路采用N线与PE线同截面线缆其它采用N线与相线同截面线缆。</w:t>
      </w:r>
    </w:p>
    <w:p w14:paraId="3ECEEA0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14.6 电线电缆与开关整定值匹配表（注：均为最小匹配表）：</w:t>
      </w:r>
    </w:p>
    <w:p w14:paraId="22F62747">
      <w:pPr>
        <w:pStyle w:val="85"/>
        <w:spacing w:before="0" w:beforeAutospacing="0" w:after="0" w:afterAutospacing="0" w:line="360" w:lineRule="auto"/>
        <w:ind w:left="440" w:leftChars="200" w:firstLine="480"/>
        <w:rPr>
          <w:rStyle w:val="81"/>
          <w:rFonts w:hint="eastAsia" w:ascii="宋体" w:hAnsi="宋体" w:cs="宋体"/>
          <w:sz w:val="24"/>
          <w:szCs w:val="24"/>
          <w:highlight w:val="none"/>
        </w:rPr>
      </w:pPr>
      <w:r>
        <w:rPr>
          <w:rStyle w:val="81"/>
          <w:rFonts w:hint="eastAsia" w:ascii="宋体" w:hAnsi="宋体" w:cs="宋体"/>
          <w:sz w:val="24"/>
          <w:szCs w:val="24"/>
          <w:highlight w:val="none"/>
        </w:rPr>
        <w:t>14.6.1 绝缘电线与开关整定值匹配表（一）</w:t>
      </w:r>
    </w:p>
    <w:tbl>
      <w:tblPr>
        <w:tblStyle w:val="42"/>
        <w:tblW w:w="61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6"/>
        <w:gridCol w:w="3543"/>
      </w:tblGrid>
      <w:tr w14:paraId="4FFDB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vAlign w:val="center"/>
          </w:tcPr>
          <w:p w14:paraId="584DA2DD">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开关整定值（A）</w:t>
            </w:r>
          </w:p>
        </w:tc>
        <w:tc>
          <w:tcPr>
            <w:tcW w:w="3543" w:type="dxa"/>
            <w:vAlign w:val="center"/>
          </w:tcPr>
          <w:p w14:paraId="356DCA7C">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BV聚氯乙烯绝缘电线截面（mm</w:t>
            </w:r>
            <w:r>
              <w:rPr>
                <w:rFonts w:hint="eastAsia" w:ascii="宋体" w:hAnsi="宋体" w:eastAsia="宋体" w:cs="宋体"/>
                <w:b/>
                <w:bCs/>
                <w:color w:val="auto"/>
                <w:kern w:val="0"/>
                <w:sz w:val="21"/>
                <w:szCs w:val="21"/>
                <w:highlight w:val="none"/>
                <w:vertAlign w:val="superscript"/>
              </w:rPr>
              <w:t>2</w:t>
            </w:r>
            <w:r>
              <w:rPr>
                <w:rFonts w:hint="eastAsia" w:ascii="宋体" w:hAnsi="宋体" w:eastAsia="宋体" w:cs="宋体"/>
                <w:b/>
                <w:bCs/>
                <w:color w:val="auto"/>
                <w:kern w:val="0"/>
                <w:sz w:val="21"/>
                <w:szCs w:val="21"/>
                <w:highlight w:val="none"/>
              </w:rPr>
              <w:t>）</w:t>
            </w:r>
          </w:p>
        </w:tc>
      </w:tr>
      <w:tr w14:paraId="1E71E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5301F72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10、16</w:t>
            </w:r>
          </w:p>
        </w:tc>
        <w:tc>
          <w:tcPr>
            <w:tcW w:w="3543" w:type="dxa"/>
            <w:shd w:val="clear" w:color="000000" w:fill="FFFFFF"/>
            <w:vAlign w:val="center"/>
          </w:tcPr>
          <w:p w14:paraId="0D73618C">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2.5</w:t>
            </w:r>
          </w:p>
        </w:tc>
      </w:tr>
      <w:tr w14:paraId="678B6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1358542D">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20</w:t>
            </w:r>
          </w:p>
        </w:tc>
        <w:tc>
          <w:tcPr>
            <w:tcW w:w="3543" w:type="dxa"/>
            <w:shd w:val="clear" w:color="000000" w:fill="FFFFFF"/>
            <w:vAlign w:val="center"/>
          </w:tcPr>
          <w:p w14:paraId="3EA1FD9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4</w:t>
            </w:r>
          </w:p>
        </w:tc>
      </w:tr>
      <w:tr w14:paraId="09AD6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69835B2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25</w:t>
            </w:r>
          </w:p>
        </w:tc>
        <w:tc>
          <w:tcPr>
            <w:tcW w:w="3543" w:type="dxa"/>
            <w:shd w:val="clear" w:color="000000" w:fill="FFFFFF"/>
            <w:vAlign w:val="center"/>
          </w:tcPr>
          <w:p w14:paraId="6F4D75C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6</w:t>
            </w:r>
          </w:p>
        </w:tc>
      </w:tr>
      <w:tr w14:paraId="193A1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5BC8ABB0">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32、40</w:t>
            </w:r>
          </w:p>
        </w:tc>
        <w:tc>
          <w:tcPr>
            <w:tcW w:w="3543" w:type="dxa"/>
            <w:shd w:val="clear" w:color="000000" w:fill="FFFFFF"/>
            <w:vAlign w:val="center"/>
          </w:tcPr>
          <w:p w14:paraId="3C6F69C9">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10</w:t>
            </w:r>
          </w:p>
        </w:tc>
      </w:tr>
      <w:tr w14:paraId="48F2D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65B5114C">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50</w:t>
            </w:r>
          </w:p>
        </w:tc>
        <w:tc>
          <w:tcPr>
            <w:tcW w:w="3543" w:type="dxa"/>
            <w:shd w:val="clear" w:color="000000" w:fill="FFFFFF"/>
            <w:vAlign w:val="center"/>
          </w:tcPr>
          <w:p w14:paraId="6E658D8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16</w:t>
            </w:r>
          </w:p>
        </w:tc>
      </w:tr>
      <w:tr w14:paraId="596B0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646" w:type="dxa"/>
            <w:shd w:val="clear" w:color="000000" w:fill="FFFFFF"/>
            <w:vAlign w:val="center"/>
          </w:tcPr>
          <w:p w14:paraId="26929D2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63</w:t>
            </w:r>
          </w:p>
        </w:tc>
        <w:tc>
          <w:tcPr>
            <w:tcW w:w="3543" w:type="dxa"/>
            <w:shd w:val="clear" w:color="000000" w:fill="FFFFFF"/>
            <w:vAlign w:val="center"/>
          </w:tcPr>
          <w:p w14:paraId="61A3867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25+1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16</w:t>
            </w:r>
          </w:p>
        </w:tc>
      </w:tr>
    </w:tbl>
    <w:p w14:paraId="7A20E616">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14.6.2 绝缘电线与开关整定值匹配表（二）</w:t>
      </w:r>
    </w:p>
    <w:tbl>
      <w:tblPr>
        <w:tblStyle w:val="42"/>
        <w:tblW w:w="61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40"/>
        <w:gridCol w:w="3487"/>
      </w:tblGrid>
      <w:tr w14:paraId="5C9F3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vAlign w:val="center"/>
          </w:tcPr>
          <w:p w14:paraId="5B27D480">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开关整定值（A）</w:t>
            </w:r>
          </w:p>
        </w:tc>
        <w:tc>
          <w:tcPr>
            <w:tcW w:w="3487" w:type="dxa"/>
            <w:vAlign w:val="center"/>
          </w:tcPr>
          <w:p w14:paraId="22100BBE">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BV聚氯乙烯绝缘电线截面（mm</w:t>
            </w:r>
            <w:r>
              <w:rPr>
                <w:rFonts w:hint="eastAsia" w:ascii="宋体" w:hAnsi="宋体" w:eastAsia="宋体" w:cs="宋体"/>
                <w:b/>
                <w:bCs/>
                <w:color w:val="auto"/>
                <w:kern w:val="0"/>
                <w:sz w:val="21"/>
                <w:szCs w:val="21"/>
                <w:highlight w:val="none"/>
                <w:vertAlign w:val="superscript"/>
              </w:rPr>
              <w:t>2</w:t>
            </w:r>
            <w:r>
              <w:rPr>
                <w:rFonts w:hint="eastAsia" w:ascii="宋体" w:hAnsi="宋体" w:eastAsia="宋体" w:cs="宋体"/>
                <w:b/>
                <w:bCs/>
                <w:color w:val="auto"/>
                <w:kern w:val="0"/>
                <w:sz w:val="21"/>
                <w:szCs w:val="21"/>
                <w:highlight w:val="none"/>
              </w:rPr>
              <w:t>）</w:t>
            </w:r>
          </w:p>
        </w:tc>
      </w:tr>
      <w:tr w14:paraId="0DBEA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6340290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16</w:t>
            </w:r>
          </w:p>
        </w:tc>
        <w:tc>
          <w:tcPr>
            <w:tcW w:w="3487" w:type="dxa"/>
            <w:shd w:val="clear" w:color="000000" w:fill="FFFFFF"/>
            <w:vAlign w:val="center"/>
          </w:tcPr>
          <w:p w14:paraId="2F73EFA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2.5</w:t>
            </w:r>
          </w:p>
        </w:tc>
      </w:tr>
      <w:tr w14:paraId="5B12A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66372E4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20</w:t>
            </w:r>
          </w:p>
        </w:tc>
        <w:tc>
          <w:tcPr>
            <w:tcW w:w="3487" w:type="dxa"/>
            <w:shd w:val="clear" w:color="000000" w:fill="FFFFFF"/>
            <w:vAlign w:val="center"/>
          </w:tcPr>
          <w:p w14:paraId="6DF7EB81">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4</w:t>
            </w:r>
          </w:p>
        </w:tc>
      </w:tr>
      <w:tr w14:paraId="5BFC2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74E3C0C1">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25</w:t>
            </w:r>
          </w:p>
        </w:tc>
        <w:tc>
          <w:tcPr>
            <w:tcW w:w="3487" w:type="dxa"/>
            <w:shd w:val="clear" w:color="000000" w:fill="FFFFFF"/>
            <w:vAlign w:val="center"/>
          </w:tcPr>
          <w:p w14:paraId="60669F5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6</w:t>
            </w:r>
          </w:p>
        </w:tc>
      </w:tr>
      <w:tr w14:paraId="7A02A9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7388D620">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32</w:t>
            </w:r>
          </w:p>
        </w:tc>
        <w:tc>
          <w:tcPr>
            <w:tcW w:w="3487" w:type="dxa"/>
            <w:shd w:val="clear" w:color="000000" w:fill="FFFFFF"/>
            <w:vAlign w:val="center"/>
          </w:tcPr>
          <w:p w14:paraId="638B81E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10</w:t>
            </w:r>
          </w:p>
        </w:tc>
      </w:tr>
      <w:tr w14:paraId="52E74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532C4FC9">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40</w:t>
            </w:r>
          </w:p>
        </w:tc>
        <w:tc>
          <w:tcPr>
            <w:tcW w:w="3487" w:type="dxa"/>
            <w:shd w:val="clear" w:color="000000" w:fill="FFFFFF"/>
            <w:vAlign w:val="center"/>
          </w:tcPr>
          <w:p w14:paraId="65FDC12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5×16</w:t>
            </w:r>
          </w:p>
        </w:tc>
      </w:tr>
      <w:tr w14:paraId="58820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640" w:type="dxa"/>
            <w:shd w:val="clear" w:color="000000" w:fill="FFFFFF"/>
            <w:vAlign w:val="center"/>
          </w:tcPr>
          <w:p w14:paraId="0D23618F">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50，63</w:t>
            </w:r>
          </w:p>
        </w:tc>
        <w:tc>
          <w:tcPr>
            <w:tcW w:w="3487" w:type="dxa"/>
            <w:shd w:val="clear" w:color="000000" w:fill="FFFFFF"/>
            <w:vAlign w:val="center"/>
          </w:tcPr>
          <w:p w14:paraId="2162707C">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5×16</w:t>
            </w:r>
          </w:p>
        </w:tc>
      </w:tr>
    </w:tbl>
    <w:p w14:paraId="1063D91C">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p>
    <w:p w14:paraId="618CBC98">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14.6.3 绝缘电线与开关整定值匹配表（三）</w:t>
      </w:r>
    </w:p>
    <w:tbl>
      <w:tblPr>
        <w:tblStyle w:val="42"/>
        <w:tblW w:w="69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96"/>
        <w:gridCol w:w="5055"/>
      </w:tblGrid>
      <w:tr w14:paraId="2450B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vAlign w:val="center"/>
          </w:tcPr>
          <w:p w14:paraId="6F2C009D">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开关整定值（A）</w:t>
            </w:r>
          </w:p>
        </w:tc>
        <w:tc>
          <w:tcPr>
            <w:tcW w:w="5055" w:type="dxa"/>
            <w:vAlign w:val="center"/>
          </w:tcPr>
          <w:p w14:paraId="0620685F">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WDZ</w:t>
            </w:r>
            <w:r>
              <w:rPr>
                <w:rFonts w:hint="eastAsia" w:ascii="宋体" w:hAnsi="宋体" w:eastAsia="宋体" w:cs="宋体"/>
                <w:b/>
                <w:bCs/>
                <w:color w:val="auto"/>
                <w:sz w:val="21"/>
                <w:szCs w:val="21"/>
                <w:highlight w:val="none"/>
              </w:rPr>
              <w:t>-</w:t>
            </w:r>
            <w:r>
              <w:rPr>
                <w:rFonts w:hint="eastAsia" w:ascii="宋体" w:hAnsi="宋体" w:eastAsia="宋体" w:cs="宋体"/>
                <w:b/>
                <w:bCs/>
                <w:color w:val="auto"/>
                <w:kern w:val="0"/>
                <w:sz w:val="21"/>
                <w:szCs w:val="21"/>
                <w:highlight w:val="none"/>
              </w:rPr>
              <w:t>BYJ交联聚乙烯及乙丙橡胶绝缘电线截面（mm</w:t>
            </w:r>
            <w:r>
              <w:rPr>
                <w:rFonts w:hint="eastAsia" w:ascii="宋体" w:hAnsi="宋体" w:eastAsia="宋体" w:cs="宋体"/>
                <w:b/>
                <w:bCs/>
                <w:color w:val="auto"/>
                <w:kern w:val="0"/>
                <w:sz w:val="21"/>
                <w:szCs w:val="21"/>
                <w:highlight w:val="none"/>
                <w:vertAlign w:val="superscript"/>
              </w:rPr>
              <w:t>2</w:t>
            </w:r>
            <w:r>
              <w:rPr>
                <w:rFonts w:hint="eastAsia" w:ascii="宋体" w:hAnsi="宋体" w:eastAsia="宋体" w:cs="宋体"/>
                <w:b/>
                <w:bCs/>
                <w:color w:val="auto"/>
                <w:kern w:val="0"/>
                <w:sz w:val="21"/>
                <w:szCs w:val="21"/>
                <w:highlight w:val="none"/>
              </w:rPr>
              <w:t>）</w:t>
            </w:r>
          </w:p>
        </w:tc>
      </w:tr>
      <w:tr w14:paraId="4DDDF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shd w:val="clear" w:color="000000" w:fill="FFFFFF"/>
            <w:vAlign w:val="center"/>
          </w:tcPr>
          <w:p w14:paraId="476A39B0">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16</w:t>
            </w:r>
          </w:p>
        </w:tc>
        <w:tc>
          <w:tcPr>
            <w:tcW w:w="5055" w:type="dxa"/>
            <w:shd w:val="clear" w:color="000000" w:fill="FFFFFF"/>
            <w:vAlign w:val="center"/>
          </w:tcPr>
          <w:p w14:paraId="5133DE2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2.5</w:t>
            </w:r>
          </w:p>
        </w:tc>
      </w:tr>
      <w:tr w14:paraId="75B1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shd w:val="clear" w:color="000000" w:fill="FFFFFF"/>
            <w:vAlign w:val="center"/>
          </w:tcPr>
          <w:p w14:paraId="574D1E6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20</w:t>
            </w:r>
          </w:p>
        </w:tc>
        <w:tc>
          <w:tcPr>
            <w:tcW w:w="5055" w:type="dxa"/>
            <w:shd w:val="clear" w:color="000000" w:fill="FFFFFF"/>
            <w:vAlign w:val="center"/>
          </w:tcPr>
          <w:p w14:paraId="4493D079">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4</w:t>
            </w:r>
          </w:p>
        </w:tc>
      </w:tr>
      <w:tr w14:paraId="34CA3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shd w:val="clear" w:color="000000" w:fill="FFFFFF"/>
            <w:vAlign w:val="center"/>
          </w:tcPr>
          <w:p w14:paraId="375E220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25,32</w:t>
            </w:r>
          </w:p>
        </w:tc>
        <w:tc>
          <w:tcPr>
            <w:tcW w:w="5055" w:type="dxa"/>
            <w:shd w:val="clear" w:color="000000" w:fill="FFFFFF"/>
            <w:vAlign w:val="center"/>
          </w:tcPr>
          <w:p w14:paraId="314B676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6</w:t>
            </w:r>
          </w:p>
        </w:tc>
      </w:tr>
      <w:tr w14:paraId="7F37F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shd w:val="clear" w:color="000000" w:fill="FFFFFF"/>
            <w:vAlign w:val="center"/>
          </w:tcPr>
          <w:p w14:paraId="4CCB907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40</w:t>
            </w:r>
          </w:p>
        </w:tc>
        <w:tc>
          <w:tcPr>
            <w:tcW w:w="5055" w:type="dxa"/>
            <w:shd w:val="clear" w:color="000000" w:fill="FFFFFF"/>
            <w:vAlign w:val="center"/>
          </w:tcPr>
          <w:p w14:paraId="3871C24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10</w:t>
            </w:r>
          </w:p>
        </w:tc>
      </w:tr>
      <w:tr w14:paraId="2EC14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896" w:type="dxa"/>
            <w:shd w:val="clear" w:color="000000" w:fill="FFFFFF"/>
            <w:vAlign w:val="center"/>
          </w:tcPr>
          <w:p w14:paraId="2002A6A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50,63</w:t>
            </w:r>
          </w:p>
        </w:tc>
        <w:tc>
          <w:tcPr>
            <w:tcW w:w="5055" w:type="dxa"/>
            <w:shd w:val="clear" w:color="000000" w:fill="FFFFFF"/>
            <w:vAlign w:val="center"/>
          </w:tcPr>
          <w:p w14:paraId="20C132A9">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16</w:t>
            </w:r>
          </w:p>
        </w:tc>
      </w:tr>
    </w:tbl>
    <w:p w14:paraId="47092F54">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14.6.4绝缘电线与开关整定值匹配表（四）</w:t>
      </w:r>
    </w:p>
    <w:tbl>
      <w:tblPr>
        <w:tblStyle w:val="42"/>
        <w:tblW w:w="69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3"/>
        <w:gridCol w:w="5077"/>
      </w:tblGrid>
      <w:tr w14:paraId="5AB5E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vAlign w:val="center"/>
          </w:tcPr>
          <w:p w14:paraId="46697425">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开关整定值（A）</w:t>
            </w:r>
          </w:p>
        </w:tc>
        <w:tc>
          <w:tcPr>
            <w:tcW w:w="5077" w:type="dxa"/>
            <w:vAlign w:val="center"/>
          </w:tcPr>
          <w:p w14:paraId="569985FC">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WDZ</w:t>
            </w:r>
            <w:r>
              <w:rPr>
                <w:rFonts w:hint="eastAsia" w:ascii="宋体" w:hAnsi="宋体" w:eastAsia="宋体" w:cs="宋体"/>
                <w:b/>
                <w:bCs/>
                <w:color w:val="auto"/>
                <w:sz w:val="21"/>
                <w:szCs w:val="21"/>
                <w:highlight w:val="none"/>
              </w:rPr>
              <w:t>-</w:t>
            </w:r>
            <w:r>
              <w:rPr>
                <w:rFonts w:hint="eastAsia" w:ascii="宋体" w:hAnsi="宋体" w:eastAsia="宋体" w:cs="宋体"/>
                <w:b/>
                <w:bCs/>
                <w:color w:val="auto"/>
                <w:kern w:val="0"/>
                <w:sz w:val="21"/>
                <w:szCs w:val="21"/>
                <w:highlight w:val="none"/>
              </w:rPr>
              <w:t>BYJ交联聚乙烯及乙丙橡胶绝缘电线截面（mm</w:t>
            </w:r>
            <w:r>
              <w:rPr>
                <w:rFonts w:hint="eastAsia" w:ascii="宋体" w:hAnsi="宋体" w:eastAsia="宋体" w:cs="宋体"/>
                <w:b/>
                <w:bCs/>
                <w:color w:val="auto"/>
                <w:kern w:val="0"/>
                <w:sz w:val="21"/>
                <w:szCs w:val="21"/>
                <w:highlight w:val="none"/>
                <w:vertAlign w:val="superscript"/>
              </w:rPr>
              <w:t>2</w:t>
            </w:r>
            <w:r>
              <w:rPr>
                <w:rFonts w:hint="eastAsia" w:ascii="宋体" w:hAnsi="宋体" w:eastAsia="宋体" w:cs="宋体"/>
                <w:b/>
                <w:bCs/>
                <w:color w:val="auto"/>
                <w:kern w:val="0"/>
                <w:sz w:val="21"/>
                <w:szCs w:val="21"/>
                <w:highlight w:val="none"/>
              </w:rPr>
              <w:t>）</w:t>
            </w:r>
          </w:p>
        </w:tc>
      </w:tr>
      <w:tr w14:paraId="03445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shd w:val="clear" w:color="000000" w:fill="FFFFFF"/>
            <w:vAlign w:val="center"/>
          </w:tcPr>
          <w:p w14:paraId="0F594B38">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16</w:t>
            </w:r>
          </w:p>
        </w:tc>
        <w:tc>
          <w:tcPr>
            <w:tcW w:w="5077" w:type="dxa"/>
            <w:shd w:val="clear" w:color="000000" w:fill="FFFFFF"/>
            <w:vAlign w:val="center"/>
          </w:tcPr>
          <w:p w14:paraId="6FA7611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2.5</w:t>
            </w:r>
          </w:p>
        </w:tc>
      </w:tr>
      <w:tr w14:paraId="097A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shd w:val="clear" w:color="000000" w:fill="FFFFFF"/>
            <w:vAlign w:val="center"/>
          </w:tcPr>
          <w:p w14:paraId="6FAD6CD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20</w:t>
            </w:r>
          </w:p>
        </w:tc>
        <w:tc>
          <w:tcPr>
            <w:tcW w:w="5077" w:type="dxa"/>
            <w:shd w:val="clear" w:color="000000" w:fill="FFFFFF"/>
            <w:vAlign w:val="center"/>
          </w:tcPr>
          <w:p w14:paraId="6B35C95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4</w:t>
            </w:r>
          </w:p>
        </w:tc>
      </w:tr>
      <w:tr w14:paraId="0B55D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shd w:val="clear" w:color="000000" w:fill="FFFFFF"/>
            <w:vAlign w:val="center"/>
          </w:tcPr>
          <w:p w14:paraId="3941040C">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25，32</w:t>
            </w:r>
          </w:p>
        </w:tc>
        <w:tc>
          <w:tcPr>
            <w:tcW w:w="5077" w:type="dxa"/>
            <w:shd w:val="clear" w:color="000000" w:fill="FFFFFF"/>
            <w:vAlign w:val="center"/>
          </w:tcPr>
          <w:p w14:paraId="0E45157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6</w:t>
            </w:r>
          </w:p>
        </w:tc>
      </w:tr>
      <w:tr w14:paraId="1A943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shd w:val="clear" w:color="000000" w:fill="FFFFFF"/>
            <w:vAlign w:val="center"/>
          </w:tcPr>
          <w:p w14:paraId="7626B6CD">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40</w:t>
            </w:r>
          </w:p>
        </w:tc>
        <w:tc>
          <w:tcPr>
            <w:tcW w:w="5077" w:type="dxa"/>
            <w:shd w:val="clear" w:color="000000" w:fill="FFFFFF"/>
            <w:vAlign w:val="center"/>
          </w:tcPr>
          <w:p w14:paraId="463FD9D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10</w:t>
            </w:r>
          </w:p>
        </w:tc>
      </w:tr>
      <w:tr w14:paraId="27A1D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03" w:type="dxa"/>
            <w:shd w:val="clear" w:color="000000" w:fill="FFFFFF"/>
            <w:vAlign w:val="center"/>
          </w:tcPr>
          <w:p w14:paraId="431512FC">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50，63</w:t>
            </w:r>
          </w:p>
        </w:tc>
        <w:tc>
          <w:tcPr>
            <w:tcW w:w="5077" w:type="dxa"/>
            <w:shd w:val="clear" w:color="000000" w:fill="FFFFFF"/>
            <w:vAlign w:val="center"/>
          </w:tcPr>
          <w:p w14:paraId="1A86276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16</w:t>
            </w:r>
          </w:p>
        </w:tc>
      </w:tr>
    </w:tbl>
    <w:p w14:paraId="061A909C">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14.6.5 交联电缆与开关整定值匹配表</w:t>
      </w:r>
    </w:p>
    <w:tbl>
      <w:tblPr>
        <w:tblStyle w:val="42"/>
        <w:tblW w:w="68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36"/>
        <w:gridCol w:w="4957"/>
      </w:tblGrid>
      <w:tr w14:paraId="58C51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936" w:type="dxa"/>
            <w:vAlign w:val="center"/>
          </w:tcPr>
          <w:p w14:paraId="442A5889">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w:t>
            </w:r>
          </w:p>
        </w:tc>
        <w:tc>
          <w:tcPr>
            <w:tcW w:w="4957" w:type="dxa"/>
            <w:vAlign w:val="center"/>
          </w:tcPr>
          <w:p w14:paraId="27934B86">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eastAsia="宋体" w:cs="宋体"/>
                <w:b/>
                <w:bCs/>
                <w:color w:val="auto"/>
                <w:kern w:val="0"/>
                <w:sz w:val="21"/>
                <w:szCs w:val="21"/>
                <w:highlight w:val="none"/>
              </w:rPr>
              <w:t>YJV（WDZ</w:t>
            </w:r>
            <w:r>
              <w:rPr>
                <w:rFonts w:hint="eastAsia" w:ascii="宋体" w:hAnsi="宋体" w:eastAsia="宋体" w:cs="宋体"/>
                <w:b/>
                <w:bCs/>
                <w:color w:val="auto"/>
                <w:sz w:val="21"/>
                <w:szCs w:val="21"/>
                <w:highlight w:val="none"/>
              </w:rPr>
              <w:t>-</w:t>
            </w:r>
            <w:r>
              <w:rPr>
                <w:rFonts w:hint="eastAsia" w:ascii="宋体" w:hAnsi="宋体" w:eastAsia="宋体" w:cs="宋体"/>
                <w:b/>
                <w:bCs/>
                <w:color w:val="auto"/>
                <w:kern w:val="0"/>
                <w:sz w:val="21"/>
                <w:szCs w:val="21"/>
                <w:highlight w:val="none"/>
              </w:rPr>
              <w:t>YJY）电缆截面（mm</w:t>
            </w:r>
            <w:r>
              <w:rPr>
                <w:rFonts w:hint="eastAsia" w:ascii="宋体" w:hAnsi="宋体" w:eastAsia="宋体" w:cs="宋体"/>
                <w:b/>
                <w:bCs/>
                <w:color w:val="auto"/>
                <w:kern w:val="0"/>
                <w:sz w:val="21"/>
                <w:szCs w:val="21"/>
                <w:highlight w:val="none"/>
                <w:vertAlign w:val="superscript"/>
              </w:rPr>
              <w:t>2</w:t>
            </w:r>
            <w:r>
              <w:rPr>
                <w:rFonts w:hint="eastAsia" w:ascii="宋体" w:hAnsi="宋体" w:eastAsia="宋体" w:cs="宋体"/>
                <w:b/>
                <w:bCs/>
                <w:color w:val="auto"/>
                <w:kern w:val="0"/>
                <w:sz w:val="21"/>
                <w:szCs w:val="21"/>
                <w:highlight w:val="none"/>
              </w:rPr>
              <w:t>）</w:t>
            </w:r>
          </w:p>
        </w:tc>
      </w:tr>
      <w:tr w14:paraId="7C101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1D5C50E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16</w:t>
            </w:r>
          </w:p>
        </w:tc>
        <w:tc>
          <w:tcPr>
            <w:tcW w:w="4957" w:type="dxa"/>
            <w:shd w:val="clear" w:color="000000" w:fill="FFFFFF"/>
            <w:vAlign w:val="center"/>
          </w:tcPr>
          <w:p w14:paraId="7998F58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2.5</w:t>
            </w:r>
          </w:p>
        </w:tc>
      </w:tr>
      <w:tr w14:paraId="2A73F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0F835818">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20，25</w:t>
            </w:r>
          </w:p>
        </w:tc>
        <w:tc>
          <w:tcPr>
            <w:tcW w:w="4957" w:type="dxa"/>
            <w:shd w:val="clear" w:color="000000" w:fill="FFFFFF"/>
            <w:vAlign w:val="center"/>
          </w:tcPr>
          <w:p w14:paraId="3CD74B6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4</w:t>
            </w:r>
          </w:p>
        </w:tc>
      </w:tr>
      <w:tr w14:paraId="3413D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3DE7B7A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32</w:t>
            </w:r>
          </w:p>
        </w:tc>
        <w:tc>
          <w:tcPr>
            <w:tcW w:w="4957" w:type="dxa"/>
            <w:shd w:val="clear" w:color="000000" w:fill="FFFFFF"/>
            <w:vAlign w:val="center"/>
          </w:tcPr>
          <w:p w14:paraId="7D7CB40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6</w:t>
            </w:r>
          </w:p>
        </w:tc>
      </w:tr>
      <w:tr w14:paraId="74CB7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790FE66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40</w:t>
            </w:r>
          </w:p>
        </w:tc>
        <w:tc>
          <w:tcPr>
            <w:tcW w:w="4957" w:type="dxa"/>
            <w:shd w:val="clear" w:color="000000" w:fill="FFFFFF"/>
            <w:vAlign w:val="center"/>
          </w:tcPr>
          <w:p w14:paraId="72063FD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10</w:t>
            </w:r>
          </w:p>
        </w:tc>
      </w:tr>
      <w:tr w14:paraId="52E34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3C81147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50，63</w:t>
            </w:r>
          </w:p>
        </w:tc>
        <w:tc>
          <w:tcPr>
            <w:tcW w:w="4957" w:type="dxa"/>
            <w:shd w:val="clear" w:color="000000" w:fill="FFFFFF"/>
            <w:vAlign w:val="center"/>
          </w:tcPr>
          <w:p w14:paraId="3EFB89D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16</w:t>
            </w:r>
          </w:p>
        </w:tc>
      </w:tr>
      <w:tr w14:paraId="365DA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7427EC0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80</w:t>
            </w:r>
          </w:p>
        </w:tc>
        <w:tc>
          <w:tcPr>
            <w:tcW w:w="4957" w:type="dxa"/>
            <w:shd w:val="clear" w:color="000000" w:fill="FFFFFF"/>
            <w:vAlign w:val="center"/>
          </w:tcPr>
          <w:p w14:paraId="3A9662E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25+1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16</w:t>
            </w:r>
          </w:p>
        </w:tc>
      </w:tr>
      <w:tr w14:paraId="4FBBB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42220C6D">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100</w:t>
            </w:r>
          </w:p>
        </w:tc>
        <w:tc>
          <w:tcPr>
            <w:tcW w:w="4957" w:type="dxa"/>
            <w:shd w:val="clear" w:color="000000" w:fill="FFFFFF"/>
            <w:vAlign w:val="center"/>
          </w:tcPr>
          <w:p w14:paraId="2F439BC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35+1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16</w:t>
            </w:r>
          </w:p>
        </w:tc>
      </w:tr>
      <w:tr w14:paraId="2E8A9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7054E3F9">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125</w:t>
            </w:r>
          </w:p>
        </w:tc>
        <w:tc>
          <w:tcPr>
            <w:tcW w:w="4957" w:type="dxa"/>
            <w:shd w:val="clear" w:color="000000" w:fill="FFFFFF"/>
            <w:vAlign w:val="center"/>
          </w:tcPr>
          <w:p w14:paraId="03BAC0FF">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50+1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25</w:t>
            </w:r>
          </w:p>
        </w:tc>
      </w:tr>
      <w:tr w14:paraId="2C740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1685050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140，160</w:t>
            </w:r>
          </w:p>
        </w:tc>
        <w:tc>
          <w:tcPr>
            <w:tcW w:w="4957" w:type="dxa"/>
            <w:shd w:val="clear" w:color="000000" w:fill="FFFFFF"/>
            <w:vAlign w:val="center"/>
          </w:tcPr>
          <w:p w14:paraId="081F1BA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70+1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35</w:t>
            </w:r>
          </w:p>
        </w:tc>
      </w:tr>
      <w:tr w14:paraId="0F161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7B79548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180，200</w:t>
            </w:r>
          </w:p>
        </w:tc>
        <w:tc>
          <w:tcPr>
            <w:tcW w:w="4957" w:type="dxa"/>
            <w:shd w:val="clear" w:color="000000" w:fill="FFFFFF"/>
            <w:vAlign w:val="center"/>
          </w:tcPr>
          <w:p w14:paraId="78AC8FD0">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95+1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50</w:t>
            </w:r>
          </w:p>
        </w:tc>
      </w:tr>
      <w:tr w14:paraId="26D94B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5D93235D">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225</w:t>
            </w:r>
          </w:p>
        </w:tc>
        <w:tc>
          <w:tcPr>
            <w:tcW w:w="4957" w:type="dxa"/>
            <w:shd w:val="clear" w:color="000000" w:fill="FFFFFF"/>
            <w:vAlign w:val="center"/>
          </w:tcPr>
          <w:p w14:paraId="70C09321">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120+1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70</w:t>
            </w:r>
          </w:p>
        </w:tc>
      </w:tr>
      <w:tr w14:paraId="58B3E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793FD590">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250</w:t>
            </w:r>
          </w:p>
        </w:tc>
        <w:tc>
          <w:tcPr>
            <w:tcW w:w="4957" w:type="dxa"/>
            <w:shd w:val="clear" w:color="000000" w:fill="FFFFFF"/>
            <w:vAlign w:val="center"/>
          </w:tcPr>
          <w:p w14:paraId="20F100A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150+1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70</w:t>
            </w:r>
          </w:p>
        </w:tc>
      </w:tr>
      <w:tr w14:paraId="25F23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08BF673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315（320）</w:t>
            </w:r>
          </w:p>
        </w:tc>
        <w:tc>
          <w:tcPr>
            <w:tcW w:w="4957" w:type="dxa"/>
            <w:shd w:val="clear" w:color="000000" w:fill="FFFFFF"/>
            <w:vAlign w:val="center"/>
          </w:tcPr>
          <w:p w14:paraId="31E7D56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240+1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120</w:t>
            </w:r>
          </w:p>
        </w:tc>
      </w:tr>
      <w:tr w14:paraId="7F97B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57F9214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350</w:t>
            </w:r>
          </w:p>
        </w:tc>
        <w:tc>
          <w:tcPr>
            <w:tcW w:w="4957" w:type="dxa"/>
            <w:shd w:val="clear" w:color="000000" w:fill="FFFFFF"/>
            <w:vAlign w:val="center"/>
          </w:tcPr>
          <w:p w14:paraId="0B7E1927">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240+1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120</w:t>
            </w:r>
          </w:p>
        </w:tc>
      </w:tr>
      <w:tr w14:paraId="6FEF4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000000" w:fill="FFFFFF"/>
            <w:vAlign w:val="center"/>
          </w:tcPr>
          <w:p w14:paraId="79B24C50">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400</w:t>
            </w:r>
          </w:p>
        </w:tc>
        <w:tc>
          <w:tcPr>
            <w:tcW w:w="4957" w:type="dxa"/>
            <w:shd w:val="clear" w:color="000000" w:fill="FFFFFF"/>
            <w:vAlign w:val="center"/>
          </w:tcPr>
          <w:p w14:paraId="482698F7">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300+1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150或</w:t>
            </w:r>
          </w:p>
          <w:p w14:paraId="0BC717F9">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120+1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70）</w:t>
            </w:r>
          </w:p>
        </w:tc>
      </w:tr>
      <w:tr w14:paraId="56E87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auto" w:fill="auto"/>
            <w:vAlign w:val="center"/>
          </w:tcPr>
          <w:p w14:paraId="4ACC830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500</w:t>
            </w:r>
          </w:p>
        </w:tc>
        <w:tc>
          <w:tcPr>
            <w:tcW w:w="4957" w:type="dxa"/>
            <w:shd w:val="clear" w:color="000000" w:fill="FFFFFF"/>
            <w:vAlign w:val="center"/>
          </w:tcPr>
          <w:p w14:paraId="22CABE0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150+1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70）</w:t>
            </w:r>
          </w:p>
        </w:tc>
      </w:tr>
      <w:tr w14:paraId="54837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shd w:val="clear" w:color="auto" w:fill="auto"/>
            <w:vAlign w:val="center"/>
          </w:tcPr>
          <w:p w14:paraId="2ECCEC11">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630</w:t>
            </w:r>
          </w:p>
        </w:tc>
        <w:tc>
          <w:tcPr>
            <w:tcW w:w="4957" w:type="dxa"/>
            <w:shd w:val="clear" w:color="000000" w:fill="FFFFFF"/>
            <w:vAlign w:val="center"/>
          </w:tcPr>
          <w:p w14:paraId="068918A7">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185+1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95）</w:t>
            </w:r>
          </w:p>
        </w:tc>
      </w:tr>
      <w:tr w14:paraId="08EF8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936" w:type="dxa"/>
            <w:vAlign w:val="center"/>
          </w:tcPr>
          <w:p w14:paraId="523781A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700</w:t>
            </w:r>
          </w:p>
        </w:tc>
        <w:tc>
          <w:tcPr>
            <w:tcW w:w="4957" w:type="dxa"/>
            <w:vAlign w:val="center"/>
          </w:tcPr>
          <w:p w14:paraId="3676DC5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2（4</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240+1</w:t>
            </w:r>
            <w:r>
              <w:rPr>
                <w:rStyle w:val="92"/>
                <w:rFonts w:hint="eastAsia"/>
                <w:color w:val="auto"/>
                <w:sz w:val="21"/>
                <w:szCs w:val="21"/>
                <w:highlight w:val="none"/>
              </w:rPr>
              <w:t>×</w:t>
            </w:r>
            <w:r>
              <w:rPr>
                <w:rFonts w:hint="eastAsia" w:ascii="宋体" w:hAnsi="宋体" w:eastAsia="宋体" w:cs="宋体"/>
                <w:color w:val="auto"/>
                <w:kern w:val="0"/>
                <w:sz w:val="21"/>
                <w:szCs w:val="21"/>
                <w:highlight w:val="none"/>
              </w:rPr>
              <w:t>120）</w:t>
            </w:r>
          </w:p>
        </w:tc>
      </w:tr>
    </w:tbl>
    <w:p w14:paraId="6814B767">
      <w:pPr>
        <w:pStyle w:val="63"/>
        <w:spacing w:line="360" w:lineRule="auto"/>
        <w:ind w:left="420"/>
        <w:rPr>
          <w:rFonts w:hint="eastAsia" w:ascii="宋体" w:hAnsi="宋体" w:eastAsia="宋体" w:cs="宋体"/>
          <w:bCs/>
          <w:color w:val="auto"/>
          <w:sz w:val="21"/>
          <w:szCs w:val="21"/>
          <w:highlight w:val="none"/>
        </w:rPr>
      </w:pPr>
    </w:p>
    <w:p w14:paraId="7DCCC753">
      <w:pPr>
        <w:pStyle w:val="63"/>
        <w:spacing w:line="360" w:lineRule="auto"/>
        <w:ind w:left="420"/>
        <w:rPr>
          <w:rStyle w:val="81"/>
          <w:rFonts w:hint="eastAsia" w:ascii="宋体" w:hAnsi="宋体" w:cs="宋体"/>
          <w:bCs/>
          <w:color w:val="auto"/>
          <w:sz w:val="21"/>
          <w:szCs w:val="21"/>
          <w:highlight w:val="none"/>
        </w:rPr>
      </w:pPr>
      <w:r>
        <w:rPr>
          <w:rFonts w:hint="eastAsia" w:ascii="宋体" w:hAnsi="宋体" w:eastAsia="宋体" w:cs="宋体"/>
          <w:bCs/>
          <w:color w:val="auto"/>
          <w:sz w:val="21"/>
          <w:szCs w:val="21"/>
          <w:highlight w:val="none"/>
        </w:rPr>
        <w:t>注：柔性矿物绝缘电缆与开关整定值匹配同上表。</w:t>
      </w:r>
    </w:p>
    <w:p w14:paraId="3407C459">
      <w:pPr>
        <w:pStyle w:val="85"/>
        <w:spacing w:beforeAutospacing="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14.6.5各区域照明灯具选型及设计标准表</w:t>
      </w:r>
    </w:p>
    <w:tbl>
      <w:tblPr>
        <w:tblStyle w:val="42"/>
        <w:tblW w:w="82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6"/>
        <w:gridCol w:w="893"/>
        <w:gridCol w:w="1418"/>
        <w:gridCol w:w="1430"/>
        <w:gridCol w:w="1806"/>
        <w:gridCol w:w="1554"/>
      </w:tblGrid>
      <w:tr w14:paraId="6C544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196" w:type="dxa"/>
            <w:vMerge w:val="restart"/>
            <w:vAlign w:val="center"/>
          </w:tcPr>
          <w:p w14:paraId="2904544A">
            <w:pPr>
              <w:adjustRightInd w:val="0"/>
              <w:spacing w:line="360" w:lineRule="auto"/>
              <w:jc w:val="center"/>
              <w:rPr>
                <w:rFonts w:hint="eastAsia" w:ascii="宋体" w:hAnsi="宋体" w:eastAsia="宋体" w:cs="宋体"/>
                <w:b/>
                <w:color w:val="auto"/>
                <w:sz w:val="21"/>
                <w:szCs w:val="21"/>
                <w:highlight w:val="none"/>
              </w:rPr>
            </w:pPr>
            <w:r>
              <w:rPr>
                <w:rFonts w:hint="eastAsia" w:ascii="宋体" w:hAnsi="宋体" w:eastAsia="宋体" w:cs="宋体"/>
                <w:b/>
                <w:color w:val="auto"/>
                <w:kern w:val="0"/>
                <w:sz w:val="21"/>
                <w:szCs w:val="21"/>
                <w:highlight w:val="none"/>
              </w:rPr>
              <w:t>场所</w:t>
            </w:r>
          </w:p>
        </w:tc>
        <w:tc>
          <w:tcPr>
            <w:tcW w:w="893" w:type="dxa"/>
            <w:vMerge w:val="restart"/>
            <w:vAlign w:val="center"/>
          </w:tcPr>
          <w:p w14:paraId="26225913">
            <w:pPr>
              <w:adjustRightInd w:val="0"/>
              <w:spacing w:line="360" w:lineRule="auto"/>
              <w:jc w:val="center"/>
              <w:rPr>
                <w:rFonts w:hint="eastAsia" w:ascii="宋体" w:hAnsi="宋体" w:eastAsia="宋体" w:cs="宋体"/>
                <w:b/>
                <w:color w:val="auto"/>
                <w:sz w:val="21"/>
                <w:szCs w:val="21"/>
                <w:highlight w:val="none"/>
              </w:rPr>
            </w:pPr>
            <w:r>
              <w:rPr>
                <w:rFonts w:hint="eastAsia" w:ascii="宋体" w:hAnsi="宋体" w:eastAsia="宋体" w:cs="宋体"/>
                <w:b/>
                <w:color w:val="auto"/>
                <w:kern w:val="0"/>
                <w:sz w:val="21"/>
                <w:szCs w:val="21"/>
                <w:highlight w:val="none"/>
              </w:rPr>
              <w:t>照度值（Lx）</w:t>
            </w:r>
          </w:p>
        </w:tc>
        <w:tc>
          <w:tcPr>
            <w:tcW w:w="2848" w:type="dxa"/>
            <w:gridSpan w:val="2"/>
            <w:vAlign w:val="center"/>
          </w:tcPr>
          <w:p w14:paraId="0EBFFE9A">
            <w:pPr>
              <w:adjustRightInd w:val="0"/>
              <w:spacing w:line="360" w:lineRule="auto"/>
              <w:jc w:val="center"/>
              <w:rPr>
                <w:rFonts w:hint="eastAsia" w:ascii="宋体" w:hAnsi="宋体" w:eastAsia="宋体" w:cs="宋体"/>
                <w:b/>
                <w:color w:val="auto"/>
                <w:sz w:val="21"/>
                <w:szCs w:val="21"/>
                <w:highlight w:val="none"/>
              </w:rPr>
            </w:pPr>
            <w:r>
              <w:rPr>
                <w:rFonts w:hint="eastAsia" w:ascii="宋体" w:hAnsi="宋体" w:eastAsia="宋体" w:cs="宋体"/>
                <w:b/>
                <w:color w:val="auto"/>
                <w:kern w:val="0"/>
                <w:sz w:val="21"/>
                <w:szCs w:val="21"/>
                <w:highlight w:val="none"/>
              </w:rPr>
              <w:t>选用灯具</w:t>
            </w:r>
          </w:p>
        </w:tc>
        <w:tc>
          <w:tcPr>
            <w:tcW w:w="1806" w:type="dxa"/>
            <w:vMerge w:val="restart"/>
            <w:vAlign w:val="center"/>
          </w:tcPr>
          <w:p w14:paraId="76972578">
            <w:pPr>
              <w:adjustRightInd w:val="0"/>
              <w:spacing w:line="360" w:lineRule="auto"/>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光源类型及</w:t>
            </w:r>
          </w:p>
          <w:p w14:paraId="1F857065">
            <w:pPr>
              <w:adjustRightInd w:val="0"/>
              <w:spacing w:line="360" w:lineRule="auto"/>
              <w:jc w:val="center"/>
              <w:rPr>
                <w:rFonts w:hint="eastAsia" w:ascii="宋体" w:hAnsi="宋体" w:eastAsia="宋体" w:cs="宋体"/>
                <w:b/>
                <w:color w:val="auto"/>
                <w:sz w:val="21"/>
                <w:szCs w:val="21"/>
                <w:highlight w:val="none"/>
              </w:rPr>
            </w:pPr>
            <w:r>
              <w:rPr>
                <w:rFonts w:hint="eastAsia" w:ascii="宋体" w:hAnsi="宋体" w:eastAsia="宋体" w:cs="宋体"/>
                <w:b/>
                <w:color w:val="auto"/>
                <w:kern w:val="0"/>
                <w:sz w:val="21"/>
                <w:szCs w:val="21"/>
                <w:highlight w:val="none"/>
              </w:rPr>
              <w:t>安装位置</w:t>
            </w:r>
          </w:p>
        </w:tc>
        <w:tc>
          <w:tcPr>
            <w:tcW w:w="1554" w:type="dxa"/>
            <w:vMerge w:val="restart"/>
            <w:vAlign w:val="center"/>
          </w:tcPr>
          <w:p w14:paraId="5D3599A6">
            <w:pPr>
              <w:adjustRightInd w:val="0"/>
              <w:spacing w:line="360" w:lineRule="auto"/>
              <w:jc w:val="center"/>
              <w:rPr>
                <w:rFonts w:hint="eastAsia" w:ascii="宋体" w:hAnsi="宋体" w:eastAsia="宋体" w:cs="宋体"/>
                <w:b/>
                <w:color w:val="auto"/>
                <w:sz w:val="21"/>
                <w:szCs w:val="21"/>
                <w:highlight w:val="none"/>
              </w:rPr>
            </w:pPr>
            <w:r>
              <w:rPr>
                <w:rFonts w:hint="eastAsia" w:ascii="宋体" w:hAnsi="宋体" w:eastAsia="宋体" w:cs="宋体"/>
                <w:b/>
                <w:color w:val="auto"/>
                <w:kern w:val="0"/>
                <w:sz w:val="21"/>
                <w:szCs w:val="21"/>
                <w:highlight w:val="none"/>
              </w:rPr>
              <w:t>控制方式</w:t>
            </w:r>
          </w:p>
        </w:tc>
      </w:tr>
      <w:tr w14:paraId="20883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196" w:type="dxa"/>
            <w:vMerge w:val="continue"/>
            <w:vAlign w:val="center"/>
          </w:tcPr>
          <w:p w14:paraId="79812F34">
            <w:pPr>
              <w:adjustRightInd w:val="0"/>
              <w:spacing w:line="360" w:lineRule="auto"/>
              <w:jc w:val="center"/>
              <w:rPr>
                <w:rFonts w:hint="eastAsia" w:ascii="宋体" w:hAnsi="宋体" w:eastAsia="宋体" w:cs="宋体"/>
                <w:color w:val="auto"/>
                <w:kern w:val="0"/>
                <w:sz w:val="21"/>
                <w:szCs w:val="21"/>
                <w:highlight w:val="none"/>
              </w:rPr>
            </w:pPr>
          </w:p>
        </w:tc>
        <w:tc>
          <w:tcPr>
            <w:tcW w:w="893" w:type="dxa"/>
            <w:vMerge w:val="continue"/>
            <w:vAlign w:val="center"/>
          </w:tcPr>
          <w:p w14:paraId="6BFCE73B">
            <w:pPr>
              <w:adjustRightInd w:val="0"/>
              <w:spacing w:line="360" w:lineRule="auto"/>
              <w:jc w:val="center"/>
              <w:rPr>
                <w:rFonts w:hint="eastAsia" w:ascii="宋体" w:hAnsi="宋体" w:eastAsia="宋体" w:cs="宋体"/>
                <w:color w:val="auto"/>
                <w:kern w:val="0"/>
                <w:sz w:val="21"/>
                <w:szCs w:val="21"/>
                <w:highlight w:val="none"/>
              </w:rPr>
            </w:pPr>
          </w:p>
        </w:tc>
        <w:tc>
          <w:tcPr>
            <w:tcW w:w="1418" w:type="dxa"/>
            <w:vAlign w:val="center"/>
          </w:tcPr>
          <w:p w14:paraId="603FC0B0">
            <w:pPr>
              <w:adjustRightInd w:val="0"/>
              <w:spacing w:line="360" w:lineRule="auto"/>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一般装修</w:t>
            </w:r>
          </w:p>
        </w:tc>
        <w:tc>
          <w:tcPr>
            <w:tcW w:w="1430" w:type="dxa"/>
            <w:vAlign w:val="center"/>
          </w:tcPr>
          <w:p w14:paraId="08CFFC54">
            <w:pPr>
              <w:adjustRightInd w:val="0"/>
              <w:spacing w:line="360" w:lineRule="auto"/>
              <w:jc w:val="center"/>
              <w:rPr>
                <w:rFonts w:hint="eastAsia" w:ascii="宋体" w:hAnsi="宋体" w:eastAsia="宋体" w:cs="宋体"/>
                <w:b/>
                <w:color w:val="auto"/>
                <w:sz w:val="21"/>
                <w:szCs w:val="21"/>
                <w:highlight w:val="none"/>
              </w:rPr>
            </w:pPr>
            <w:r>
              <w:rPr>
                <w:rFonts w:hint="eastAsia" w:ascii="宋体" w:hAnsi="宋体" w:eastAsia="宋体" w:cs="宋体"/>
                <w:b/>
                <w:color w:val="auto"/>
                <w:kern w:val="0"/>
                <w:sz w:val="21"/>
                <w:szCs w:val="21"/>
                <w:highlight w:val="none"/>
              </w:rPr>
              <w:t>精装</w:t>
            </w:r>
          </w:p>
        </w:tc>
        <w:tc>
          <w:tcPr>
            <w:tcW w:w="1806" w:type="dxa"/>
            <w:vMerge w:val="continue"/>
            <w:vAlign w:val="center"/>
          </w:tcPr>
          <w:p w14:paraId="2E0FD492">
            <w:pPr>
              <w:adjustRightInd w:val="0"/>
              <w:spacing w:line="360" w:lineRule="auto"/>
              <w:jc w:val="center"/>
              <w:rPr>
                <w:rFonts w:hint="eastAsia" w:ascii="宋体" w:hAnsi="宋体" w:eastAsia="宋体" w:cs="宋体"/>
                <w:color w:val="auto"/>
                <w:sz w:val="21"/>
                <w:szCs w:val="21"/>
                <w:highlight w:val="none"/>
              </w:rPr>
            </w:pPr>
          </w:p>
        </w:tc>
        <w:tc>
          <w:tcPr>
            <w:tcW w:w="1554" w:type="dxa"/>
            <w:vMerge w:val="continue"/>
            <w:vAlign w:val="center"/>
          </w:tcPr>
          <w:p w14:paraId="305AA567">
            <w:pPr>
              <w:adjustRightInd w:val="0"/>
              <w:spacing w:line="360" w:lineRule="auto"/>
              <w:jc w:val="center"/>
              <w:rPr>
                <w:rFonts w:hint="eastAsia" w:ascii="宋体" w:hAnsi="宋体" w:eastAsia="宋体" w:cs="宋体"/>
                <w:color w:val="auto"/>
                <w:sz w:val="21"/>
                <w:szCs w:val="21"/>
                <w:highlight w:val="none"/>
              </w:rPr>
            </w:pPr>
          </w:p>
        </w:tc>
      </w:tr>
      <w:tr w14:paraId="28055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255AE5B6">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机动车行车道</w:t>
            </w:r>
          </w:p>
        </w:tc>
        <w:tc>
          <w:tcPr>
            <w:tcW w:w="893" w:type="dxa"/>
            <w:vAlign w:val="center"/>
          </w:tcPr>
          <w:p w14:paraId="2B2B390E">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50</w:t>
            </w:r>
          </w:p>
        </w:tc>
        <w:tc>
          <w:tcPr>
            <w:tcW w:w="1418" w:type="dxa"/>
            <w:vAlign w:val="center"/>
          </w:tcPr>
          <w:p w14:paraId="3438A1E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线槽灯</w:t>
            </w:r>
          </w:p>
        </w:tc>
        <w:tc>
          <w:tcPr>
            <w:tcW w:w="1430" w:type="dxa"/>
            <w:vAlign w:val="center"/>
          </w:tcPr>
          <w:p w14:paraId="7BA90B1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1F1C47B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LED雷达双亮度感应灯</w:t>
            </w:r>
          </w:p>
        </w:tc>
        <w:tc>
          <w:tcPr>
            <w:tcW w:w="1554" w:type="dxa"/>
            <w:vAlign w:val="center"/>
          </w:tcPr>
          <w:p w14:paraId="1AF79B16">
            <w:pPr>
              <w:adjustRightInd w:val="0"/>
              <w:spacing w:line="360" w:lineRule="auto"/>
              <w:jc w:val="center"/>
              <w:rPr>
                <w:rFonts w:hint="eastAsia" w:ascii="宋体" w:hAnsi="宋体" w:eastAsia="宋体" w:cs="宋体"/>
                <w:color w:val="auto"/>
                <w:sz w:val="21"/>
                <w:szCs w:val="21"/>
                <w:highlight w:val="none"/>
              </w:rPr>
            </w:pPr>
          </w:p>
        </w:tc>
      </w:tr>
      <w:tr w14:paraId="30207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6F88F8C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机动车库停车位</w:t>
            </w:r>
          </w:p>
        </w:tc>
        <w:tc>
          <w:tcPr>
            <w:tcW w:w="893" w:type="dxa"/>
            <w:vAlign w:val="center"/>
          </w:tcPr>
          <w:p w14:paraId="74BD423C">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30</w:t>
            </w:r>
          </w:p>
        </w:tc>
        <w:tc>
          <w:tcPr>
            <w:tcW w:w="1418" w:type="dxa"/>
            <w:vAlign w:val="center"/>
          </w:tcPr>
          <w:p w14:paraId="1BA2E48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支架灯</w:t>
            </w:r>
          </w:p>
          <w:p w14:paraId="53258B5F">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（管吊）</w:t>
            </w:r>
          </w:p>
        </w:tc>
        <w:tc>
          <w:tcPr>
            <w:tcW w:w="1430" w:type="dxa"/>
            <w:vAlign w:val="center"/>
          </w:tcPr>
          <w:p w14:paraId="6260992C">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2EE108C6">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LED雷达自熄灯，</w:t>
            </w:r>
          </w:p>
        </w:tc>
        <w:tc>
          <w:tcPr>
            <w:tcW w:w="1554" w:type="dxa"/>
            <w:vAlign w:val="center"/>
          </w:tcPr>
          <w:p w14:paraId="0A1A5AF7">
            <w:pPr>
              <w:adjustRightInd w:val="0"/>
              <w:spacing w:line="360" w:lineRule="auto"/>
              <w:jc w:val="center"/>
              <w:rPr>
                <w:rFonts w:hint="eastAsia" w:ascii="宋体" w:hAnsi="宋体" w:eastAsia="宋体" w:cs="宋体"/>
                <w:color w:val="auto"/>
                <w:kern w:val="0"/>
                <w:sz w:val="21"/>
                <w:szCs w:val="21"/>
                <w:highlight w:val="none"/>
              </w:rPr>
            </w:pPr>
          </w:p>
        </w:tc>
      </w:tr>
      <w:tr w14:paraId="36AFB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67905AF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机动车坡道</w:t>
            </w:r>
          </w:p>
        </w:tc>
        <w:tc>
          <w:tcPr>
            <w:tcW w:w="893" w:type="dxa"/>
            <w:vAlign w:val="center"/>
          </w:tcPr>
          <w:p w14:paraId="27FFA58E">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30</w:t>
            </w:r>
          </w:p>
        </w:tc>
        <w:tc>
          <w:tcPr>
            <w:tcW w:w="1418" w:type="dxa"/>
            <w:vAlign w:val="center"/>
          </w:tcPr>
          <w:p w14:paraId="157F05E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支架灯（吸顶或侧壁）</w:t>
            </w:r>
          </w:p>
        </w:tc>
        <w:tc>
          <w:tcPr>
            <w:tcW w:w="1430" w:type="dxa"/>
            <w:vAlign w:val="center"/>
          </w:tcPr>
          <w:p w14:paraId="4512A6DE">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779869B6">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LED雷达双亮度感应灯</w:t>
            </w:r>
          </w:p>
        </w:tc>
        <w:tc>
          <w:tcPr>
            <w:tcW w:w="1554" w:type="dxa"/>
            <w:vAlign w:val="center"/>
          </w:tcPr>
          <w:p w14:paraId="2D1C6DDE">
            <w:pPr>
              <w:adjustRightInd w:val="0"/>
              <w:spacing w:line="360" w:lineRule="auto"/>
              <w:jc w:val="center"/>
              <w:rPr>
                <w:rFonts w:hint="eastAsia" w:ascii="宋体" w:hAnsi="宋体" w:eastAsia="宋体" w:cs="宋体"/>
                <w:color w:val="auto"/>
                <w:sz w:val="21"/>
                <w:szCs w:val="21"/>
                <w:highlight w:val="none"/>
              </w:rPr>
            </w:pPr>
          </w:p>
        </w:tc>
      </w:tr>
      <w:tr w14:paraId="0687C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0DEB4A6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非机动</w:t>
            </w:r>
          </w:p>
          <w:p w14:paraId="169274FD">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车库行车库（含坡道）</w:t>
            </w:r>
          </w:p>
        </w:tc>
        <w:tc>
          <w:tcPr>
            <w:tcW w:w="893" w:type="dxa"/>
            <w:vAlign w:val="center"/>
          </w:tcPr>
          <w:p w14:paraId="0B9ED56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75</w:t>
            </w:r>
          </w:p>
        </w:tc>
        <w:tc>
          <w:tcPr>
            <w:tcW w:w="1418" w:type="dxa"/>
            <w:vAlign w:val="center"/>
          </w:tcPr>
          <w:p w14:paraId="676D421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支架灯</w:t>
            </w:r>
          </w:p>
          <w:p w14:paraId="658DEB69">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（管吊）</w:t>
            </w:r>
          </w:p>
        </w:tc>
        <w:tc>
          <w:tcPr>
            <w:tcW w:w="1430" w:type="dxa"/>
            <w:vAlign w:val="center"/>
          </w:tcPr>
          <w:p w14:paraId="108D00A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0C5FA50C">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LED雷达双亮度感应灯</w:t>
            </w:r>
          </w:p>
        </w:tc>
        <w:tc>
          <w:tcPr>
            <w:tcW w:w="1554" w:type="dxa"/>
            <w:vAlign w:val="center"/>
          </w:tcPr>
          <w:p w14:paraId="4C4B79AD">
            <w:pPr>
              <w:adjustRightInd w:val="0"/>
              <w:spacing w:line="360" w:lineRule="auto"/>
              <w:jc w:val="center"/>
              <w:rPr>
                <w:rFonts w:hint="eastAsia" w:ascii="宋体" w:hAnsi="宋体" w:eastAsia="宋体" w:cs="宋体"/>
                <w:color w:val="auto"/>
                <w:kern w:val="0"/>
                <w:sz w:val="21"/>
                <w:szCs w:val="21"/>
                <w:highlight w:val="none"/>
              </w:rPr>
            </w:pPr>
          </w:p>
        </w:tc>
      </w:tr>
      <w:tr w14:paraId="26792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217CF1FF">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高、低压</w:t>
            </w:r>
          </w:p>
          <w:p w14:paraId="515C97B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变配电房、</w:t>
            </w:r>
          </w:p>
          <w:p w14:paraId="6834CCF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发电机房、</w:t>
            </w:r>
          </w:p>
          <w:p w14:paraId="4CA76A1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配电间</w:t>
            </w:r>
          </w:p>
        </w:tc>
        <w:tc>
          <w:tcPr>
            <w:tcW w:w="893" w:type="dxa"/>
            <w:vAlign w:val="center"/>
          </w:tcPr>
          <w:p w14:paraId="4D9D7F5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200（变压器室100）</w:t>
            </w:r>
          </w:p>
        </w:tc>
        <w:tc>
          <w:tcPr>
            <w:tcW w:w="1418" w:type="dxa"/>
            <w:vAlign w:val="center"/>
          </w:tcPr>
          <w:p w14:paraId="2E2C2DE3">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支架灯，柜前吊装，柜后支架灯壁装，高度不低于2.5m</w:t>
            </w:r>
          </w:p>
        </w:tc>
        <w:tc>
          <w:tcPr>
            <w:tcW w:w="1430" w:type="dxa"/>
            <w:vAlign w:val="center"/>
          </w:tcPr>
          <w:p w14:paraId="6FE93727">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60F5BD4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LED灯，</w:t>
            </w:r>
          </w:p>
          <w:p w14:paraId="4E6ABB5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灯具应避免安装于设备正上方</w:t>
            </w:r>
          </w:p>
        </w:tc>
        <w:tc>
          <w:tcPr>
            <w:tcW w:w="1554" w:type="dxa"/>
            <w:vAlign w:val="center"/>
          </w:tcPr>
          <w:p w14:paraId="6FA19FB7">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普通翘板开关控制，底距地1.4m</w:t>
            </w:r>
          </w:p>
        </w:tc>
      </w:tr>
      <w:tr w14:paraId="04E05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1118EA7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风机房</w:t>
            </w:r>
          </w:p>
        </w:tc>
        <w:tc>
          <w:tcPr>
            <w:tcW w:w="893" w:type="dxa"/>
            <w:vAlign w:val="center"/>
          </w:tcPr>
          <w:p w14:paraId="03E82E6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100</w:t>
            </w:r>
          </w:p>
        </w:tc>
        <w:tc>
          <w:tcPr>
            <w:tcW w:w="1418" w:type="dxa"/>
            <w:vAlign w:val="center"/>
          </w:tcPr>
          <w:p w14:paraId="7D49D8D8">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支架灯壁装</w:t>
            </w:r>
          </w:p>
        </w:tc>
        <w:tc>
          <w:tcPr>
            <w:tcW w:w="1430" w:type="dxa"/>
            <w:vAlign w:val="center"/>
          </w:tcPr>
          <w:p w14:paraId="1510E117">
            <w:pPr>
              <w:adjustRightInd w:val="0"/>
              <w:spacing w:line="360" w:lineRule="auto"/>
              <w:jc w:val="center"/>
              <w:rPr>
                <w:rFonts w:hint="eastAsia" w:ascii="宋体" w:hAnsi="宋体" w:eastAsia="宋体" w:cs="宋体"/>
                <w:color w:val="auto"/>
                <w:sz w:val="21"/>
                <w:szCs w:val="21"/>
                <w:highlight w:val="none"/>
              </w:rPr>
            </w:pPr>
          </w:p>
        </w:tc>
        <w:tc>
          <w:tcPr>
            <w:tcW w:w="1806" w:type="dxa"/>
            <w:vAlign w:val="center"/>
          </w:tcPr>
          <w:p w14:paraId="4397E45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LED灯，</w:t>
            </w:r>
          </w:p>
          <w:p w14:paraId="351F5477">
            <w:pPr>
              <w:adjustRightInd w:val="0"/>
              <w:spacing w:line="360" w:lineRule="auto"/>
              <w:jc w:val="center"/>
              <w:rPr>
                <w:rFonts w:hint="eastAsia" w:ascii="宋体" w:hAnsi="宋体" w:eastAsia="宋体" w:cs="宋体"/>
                <w:color w:val="auto"/>
                <w:kern w:val="0"/>
                <w:sz w:val="21"/>
                <w:szCs w:val="21"/>
                <w:highlight w:val="none"/>
              </w:rPr>
            </w:pPr>
          </w:p>
        </w:tc>
        <w:tc>
          <w:tcPr>
            <w:tcW w:w="1554" w:type="dxa"/>
            <w:vAlign w:val="center"/>
          </w:tcPr>
          <w:p w14:paraId="0DF82CE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普通翘板开关控制，底距地1.4m</w:t>
            </w:r>
          </w:p>
        </w:tc>
      </w:tr>
      <w:tr w14:paraId="7D5BC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2D4904F9">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消防</w:t>
            </w:r>
          </w:p>
          <w:p w14:paraId="65509A5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控制室、</w:t>
            </w:r>
          </w:p>
          <w:p w14:paraId="603D4222">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弱电机房</w:t>
            </w:r>
          </w:p>
        </w:tc>
        <w:tc>
          <w:tcPr>
            <w:tcW w:w="893" w:type="dxa"/>
            <w:vAlign w:val="center"/>
          </w:tcPr>
          <w:p w14:paraId="291F0658">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300/500</w:t>
            </w:r>
          </w:p>
        </w:tc>
        <w:tc>
          <w:tcPr>
            <w:tcW w:w="1418" w:type="dxa"/>
            <w:vAlign w:val="center"/>
          </w:tcPr>
          <w:p w14:paraId="26431857">
            <w:pPr>
              <w:adjustRightInd w:val="0"/>
              <w:spacing w:line="360" w:lineRule="auto"/>
              <w:jc w:val="center"/>
              <w:rPr>
                <w:rFonts w:hint="eastAsia" w:ascii="宋体" w:hAnsi="宋体" w:eastAsia="宋体" w:cs="宋体"/>
                <w:color w:val="auto"/>
                <w:kern w:val="0"/>
                <w:sz w:val="21"/>
                <w:szCs w:val="21"/>
                <w:highlight w:val="none"/>
              </w:rPr>
            </w:pPr>
            <w:bookmarkStart w:id="358" w:name="OLE_LINK18"/>
            <w:bookmarkStart w:id="359" w:name="OLE_LINK19"/>
            <w:r>
              <w:rPr>
                <w:rFonts w:hint="eastAsia" w:ascii="宋体" w:hAnsi="宋体" w:eastAsia="宋体" w:cs="宋体"/>
                <w:color w:val="auto"/>
                <w:kern w:val="0"/>
                <w:sz w:val="21"/>
                <w:szCs w:val="21"/>
                <w:highlight w:val="none"/>
              </w:rPr>
              <w:t>吊顶：</w:t>
            </w:r>
          </w:p>
          <w:p w14:paraId="7709882F">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嵌入式灯盘</w:t>
            </w:r>
          </w:p>
          <w:p w14:paraId="43BA775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不吊顶：</w:t>
            </w:r>
          </w:p>
          <w:p w14:paraId="6380758E">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支架灯</w:t>
            </w:r>
            <w:bookmarkEnd w:id="358"/>
            <w:bookmarkEnd w:id="359"/>
          </w:p>
        </w:tc>
        <w:tc>
          <w:tcPr>
            <w:tcW w:w="1430" w:type="dxa"/>
            <w:vAlign w:val="center"/>
          </w:tcPr>
          <w:p w14:paraId="522AB096">
            <w:pPr>
              <w:adjustRightInd w:val="0"/>
              <w:spacing w:line="360" w:lineRule="auto"/>
              <w:jc w:val="center"/>
              <w:rPr>
                <w:rFonts w:hint="eastAsia" w:ascii="宋体" w:hAnsi="宋体" w:eastAsia="宋体" w:cs="宋体"/>
                <w:color w:val="auto"/>
                <w:sz w:val="21"/>
                <w:szCs w:val="21"/>
                <w:highlight w:val="none"/>
              </w:rPr>
            </w:pPr>
          </w:p>
        </w:tc>
        <w:tc>
          <w:tcPr>
            <w:tcW w:w="1806" w:type="dxa"/>
            <w:vAlign w:val="center"/>
          </w:tcPr>
          <w:p w14:paraId="4AC548D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LED灯，</w:t>
            </w:r>
          </w:p>
          <w:p w14:paraId="0D87BACB">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色温4000K</w:t>
            </w:r>
          </w:p>
        </w:tc>
        <w:tc>
          <w:tcPr>
            <w:tcW w:w="1554" w:type="dxa"/>
            <w:vAlign w:val="center"/>
          </w:tcPr>
          <w:p w14:paraId="2B15C60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普通翘板开关控制，底距地1.4m</w:t>
            </w:r>
          </w:p>
        </w:tc>
      </w:tr>
      <w:tr w14:paraId="7F9E6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44B1C53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物业客户中心、</w:t>
            </w:r>
          </w:p>
          <w:p w14:paraId="72E85228">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办公室</w:t>
            </w:r>
          </w:p>
        </w:tc>
        <w:tc>
          <w:tcPr>
            <w:tcW w:w="893" w:type="dxa"/>
            <w:vAlign w:val="center"/>
          </w:tcPr>
          <w:p w14:paraId="55A4ADA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300</w:t>
            </w:r>
          </w:p>
        </w:tc>
        <w:tc>
          <w:tcPr>
            <w:tcW w:w="1418" w:type="dxa"/>
            <w:vAlign w:val="center"/>
          </w:tcPr>
          <w:p w14:paraId="29A7F4CF">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吊顶：</w:t>
            </w:r>
          </w:p>
          <w:p w14:paraId="2B6761B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嵌入式灯盘</w:t>
            </w:r>
          </w:p>
          <w:p w14:paraId="381BC1D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不吊顶：</w:t>
            </w:r>
          </w:p>
          <w:p w14:paraId="1BE8C062">
            <w:pPr>
              <w:adjustRightInd w:val="0"/>
              <w:spacing w:line="360" w:lineRule="auto"/>
              <w:jc w:val="center"/>
              <w:rPr>
                <w:rFonts w:hint="eastAsia" w:ascii="宋体" w:hAnsi="宋体" w:eastAsia="宋体" w:cs="宋体"/>
                <w:color w:val="auto"/>
                <w:sz w:val="21"/>
                <w:szCs w:val="21"/>
                <w:highlight w:val="none"/>
              </w:rPr>
            </w:pPr>
          </w:p>
        </w:tc>
        <w:tc>
          <w:tcPr>
            <w:tcW w:w="1430" w:type="dxa"/>
            <w:vAlign w:val="center"/>
          </w:tcPr>
          <w:p w14:paraId="4B293090">
            <w:pPr>
              <w:adjustRightInd w:val="0"/>
              <w:spacing w:line="360" w:lineRule="auto"/>
              <w:jc w:val="center"/>
              <w:rPr>
                <w:rFonts w:hint="eastAsia" w:ascii="宋体" w:hAnsi="宋体" w:eastAsia="宋体" w:cs="宋体"/>
                <w:color w:val="auto"/>
                <w:sz w:val="21"/>
                <w:szCs w:val="21"/>
                <w:highlight w:val="none"/>
              </w:rPr>
            </w:pPr>
          </w:p>
        </w:tc>
        <w:tc>
          <w:tcPr>
            <w:tcW w:w="1806" w:type="dxa"/>
            <w:vAlign w:val="center"/>
          </w:tcPr>
          <w:p w14:paraId="0638F0AA">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LED灯，</w:t>
            </w:r>
          </w:p>
          <w:p w14:paraId="51754FE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色温4000K</w:t>
            </w:r>
          </w:p>
        </w:tc>
        <w:tc>
          <w:tcPr>
            <w:tcW w:w="1554" w:type="dxa"/>
            <w:vAlign w:val="center"/>
          </w:tcPr>
          <w:p w14:paraId="1C86EF7E">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普通翘板开关控制，底距地1.4m</w:t>
            </w:r>
          </w:p>
        </w:tc>
      </w:tr>
      <w:tr w14:paraId="69C25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7BB329A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生活水泵房、消防水泵房</w:t>
            </w:r>
          </w:p>
        </w:tc>
        <w:tc>
          <w:tcPr>
            <w:tcW w:w="893" w:type="dxa"/>
            <w:vAlign w:val="center"/>
          </w:tcPr>
          <w:p w14:paraId="2352D127">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100</w:t>
            </w:r>
          </w:p>
        </w:tc>
        <w:tc>
          <w:tcPr>
            <w:tcW w:w="1418" w:type="dxa"/>
            <w:vAlign w:val="center"/>
          </w:tcPr>
          <w:p w14:paraId="3B2E9006">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支架灯（防水防尘型）</w:t>
            </w:r>
          </w:p>
        </w:tc>
        <w:tc>
          <w:tcPr>
            <w:tcW w:w="1430" w:type="dxa"/>
            <w:vAlign w:val="center"/>
          </w:tcPr>
          <w:p w14:paraId="0457FB44">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3E4F2550">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LED灯，</w:t>
            </w:r>
          </w:p>
          <w:p w14:paraId="7D573E1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灯具应避免安装于设备正上方</w:t>
            </w:r>
          </w:p>
        </w:tc>
        <w:tc>
          <w:tcPr>
            <w:tcW w:w="1554" w:type="dxa"/>
            <w:vAlign w:val="center"/>
          </w:tcPr>
          <w:p w14:paraId="16F5AB89">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普通翘板开关控制，底距地1.4m</w:t>
            </w:r>
          </w:p>
        </w:tc>
      </w:tr>
      <w:tr w14:paraId="063D7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6068F06B">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水井、</w:t>
            </w:r>
          </w:p>
          <w:p w14:paraId="34DC27D7">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电井</w:t>
            </w:r>
          </w:p>
        </w:tc>
        <w:tc>
          <w:tcPr>
            <w:tcW w:w="893" w:type="dxa"/>
            <w:vAlign w:val="center"/>
          </w:tcPr>
          <w:p w14:paraId="7CF13D5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100</w:t>
            </w:r>
          </w:p>
        </w:tc>
        <w:tc>
          <w:tcPr>
            <w:tcW w:w="1418" w:type="dxa"/>
            <w:vAlign w:val="center"/>
          </w:tcPr>
          <w:p w14:paraId="4DCA40F0">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壁灯</w:t>
            </w:r>
          </w:p>
        </w:tc>
        <w:tc>
          <w:tcPr>
            <w:tcW w:w="1430" w:type="dxa"/>
            <w:vAlign w:val="center"/>
          </w:tcPr>
          <w:p w14:paraId="632A2268">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6276ED36">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简易灯座配LED光源，</w:t>
            </w:r>
          </w:p>
          <w:p w14:paraId="07770D0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井道内</w:t>
            </w:r>
          </w:p>
          <w:p w14:paraId="7D3AB7C6">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门框上方壁装</w:t>
            </w:r>
          </w:p>
        </w:tc>
        <w:tc>
          <w:tcPr>
            <w:tcW w:w="1554" w:type="dxa"/>
            <w:vAlign w:val="center"/>
          </w:tcPr>
          <w:p w14:paraId="50A93405">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普通翘板开关控制，底距地1.4m</w:t>
            </w:r>
          </w:p>
        </w:tc>
      </w:tr>
      <w:tr w14:paraId="21BF4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003865A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大堂、</w:t>
            </w:r>
          </w:p>
          <w:p w14:paraId="0E9FDC09">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电梯厅</w:t>
            </w:r>
          </w:p>
        </w:tc>
        <w:tc>
          <w:tcPr>
            <w:tcW w:w="893" w:type="dxa"/>
            <w:vAlign w:val="center"/>
          </w:tcPr>
          <w:p w14:paraId="25C8F32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100</w:t>
            </w:r>
          </w:p>
        </w:tc>
        <w:tc>
          <w:tcPr>
            <w:tcW w:w="1418" w:type="dxa"/>
            <w:vAlign w:val="center"/>
          </w:tcPr>
          <w:p w14:paraId="2924012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430" w:type="dxa"/>
            <w:vAlign w:val="center"/>
          </w:tcPr>
          <w:p w14:paraId="654C0742">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按装修要求定</w:t>
            </w:r>
          </w:p>
        </w:tc>
        <w:tc>
          <w:tcPr>
            <w:tcW w:w="1806" w:type="dxa"/>
            <w:vAlign w:val="center"/>
          </w:tcPr>
          <w:p w14:paraId="30BF58A0">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按装修要求定</w:t>
            </w:r>
          </w:p>
        </w:tc>
        <w:tc>
          <w:tcPr>
            <w:tcW w:w="1554" w:type="dxa"/>
            <w:vAlign w:val="center"/>
          </w:tcPr>
          <w:p w14:paraId="37B7D050">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定时控制（局部可常亮或声控）</w:t>
            </w:r>
          </w:p>
        </w:tc>
      </w:tr>
      <w:tr w14:paraId="66F1D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42F60A77">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公共走道、消防前室</w:t>
            </w:r>
          </w:p>
        </w:tc>
        <w:tc>
          <w:tcPr>
            <w:tcW w:w="893" w:type="dxa"/>
            <w:vAlign w:val="center"/>
          </w:tcPr>
          <w:p w14:paraId="73FC5B2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50</w:t>
            </w:r>
          </w:p>
        </w:tc>
        <w:tc>
          <w:tcPr>
            <w:tcW w:w="1418" w:type="dxa"/>
            <w:vAlign w:val="center"/>
          </w:tcPr>
          <w:p w14:paraId="3342FFC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430" w:type="dxa"/>
            <w:vAlign w:val="center"/>
          </w:tcPr>
          <w:p w14:paraId="2C5A5553">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按装修要求定</w:t>
            </w:r>
          </w:p>
        </w:tc>
        <w:tc>
          <w:tcPr>
            <w:tcW w:w="1806" w:type="dxa"/>
            <w:vAlign w:val="center"/>
          </w:tcPr>
          <w:p w14:paraId="20880C33">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按装修要求定</w:t>
            </w:r>
          </w:p>
        </w:tc>
        <w:tc>
          <w:tcPr>
            <w:tcW w:w="1554" w:type="dxa"/>
            <w:vAlign w:val="center"/>
          </w:tcPr>
          <w:p w14:paraId="1E48B91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定时控制（局部可常亮或声控）</w:t>
            </w:r>
          </w:p>
        </w:tc>
      </w:tr>
      <w:tr w14:paraId="2A624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Merge w:val="restart"/>
            <w:vAlign w:val="center"/>
          </w:tcPr>
          <w:p w14:paraId="6641BF39">
            <w:pPr>
              <w:adjustRightInd w:val="0"/>
              <w:spacing w:line="360" w:lineRule="auto"/>
              <w:jc w:val="center"/>
              <w:rPr>
                <w:rFonts w:hint="eastAsia" w:ascii="宋体" w:hAnsi="宋体" w:eastAsia="宋体" w:cs="宋体"/>
                <w:color w:val="auto"/>
                <w:sz w:val="21"/>
                <w:szCs w:val="21"/>
                <w:highlight w:val="none"/>
              </w:rPr>
            </w:pPr>
            <w:bookmarkStart w:id="360" w:name="_Hlk10019044"/>
            <w:r>
              <w:rPr>
                <w:rFonts w:hint="eastAsia" w:ascii="宋体" w:hAnsi="宋体" w:eastAsia="宋体" w:cs="宋体"/>
                <w:color w:val="auto"/>
                <w:kern w:val="0"/>
                <w:sz w:val="21"/>
                <w:szCs w:val="21"/>
                <w:highlight w:val="none"/>
              </w:rPr>
              <w:t>楼梯间</w:t>
            </w:r>
          </w:p>
        </w:tc>
        <w:tc>
          <w:tcPr>
            <w:tcW w:w="893" w:type="dxa"/>
            <w:vAlign w:val="center"/>
          </w:tcPr>
          <w:p w14:paraId="0351D569">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50</w:t>
            </w:r>
          </w:p>
        </w:tc>
        <w:tc>
          <w:tcPr>
            <w:tcW w:w="1418" w:type="dxa"/>
            <w:vAlign w:val="center"/>
          </w:tcPr>
          <w:p w14:paraId="7574DF9A">
            <w:pPr>
              <w:adjustRightInd w:val="0"/>
              <w:spacing w:line="360" w:lineRule="auto"/>
              <w:jc w:val="center"/>
              <w:rPr>
                <w:rFonts w:hint="eastAsia" w:ascii="宋体" w:hAnsi="宋体" w:eastAsia="宋体" w:cs="宋体"/>
                <w:color w:val="auto"/>
                <w:sz w:val="21"/>
                <w:szCs w:val="21"/>
                <w:highlight w:val="none"/>
              </w:rPr>
            </w:pPr>
            <w:bookmarkStart w:id="361" w:name="OLE_LINK92"/>
            <w:bookmarkStart w:id="362" w:name="OLE_LINK93"/>
            <w:bookmarkStart w:id="363" w:name="OLE_LINK94"/>
            <w:r>
              <w:rPr>
                <w:rFonts w:hint="eastAsia" w:ascii="宋体" w:hAnsi="宋体" w:eastAsia="宋体" w:cs="宋体"/>
                <w:color w:val="auto"/>
                <w:kern w:val="0"/>
                <w:sz w:val="21"/>
                <w:szCs w:val="21"/>
                <w:highlight w:val="none"/>
              </w:rPr>
              <w:t>吸顶</w:t>
            </w:r>
            <w:bookmarkEnd w:id="361"/>
            <w:bookmarkEnd w:id="362"/>
            <w:bookmarkEnd w:id="363"/>
            <w:r>
              <w:rPr>
                <w:rFonts w:hint="eastAsia" w:ascii="宋体" w:hAnsi="宋体" w:eastAsia="宋体" w:cs="宋体"/>
                <w:color w:val="auto"/>
                <w:kern w:val="0"/>
                <w:sz w:val="21"/>
                <w:szCs w:val="21"/>
                <w:highlight w:val="none"/>
              </w:rPr>
              <w:t>灯</w:t>
            </w:r>
          </w:p>
        </w:tc>
        <w:tc>
          <w:tcPr>
            <w:tcW w:w="1430" w:type="dxa"/>
            <w:vAlign w:val="center"/>
          </w:tcPr>
          <w:p w14:paraId="1FB31B93">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35358DED">
            <w:pPr>
              <w:adjustRightInd w:val="0"/>
              <w:spacing w:line="360" w:lineRule="auto"/>
              <w:jc w:val="center"/>
              <w:rPr>
                <w:rFonts w:hint="eastAsia" w:ascii="宋体" w:hAnsi="宋体" w:eastAsia="宋体" w:cs="宋体"/>
                <w:color w:val="auto"/>
                <w:kern w:val="0"/>
                <w:sz w:val="21"/>
                <w:szCs w:val="21"/>
                <w:highlight w:val="none"/>
              </w:rPr>
            </w:pPr>
            <w:bookmarkStart w:id="364" w:name="OLE_LINK96"/>
            <w:bookmarkStart w:id="365" w:name="OLE_LINK95"/>
            <w:r>
              <w:rPr>
                <w:rFonts w:hint="eastAsia" w:ascii="宋体" w:hAnsi="宋体" w:eastAsia="宋体" w:cs="宋体"/>
                <w:color w:val="auto"/>
                <w:kern w:val="0"/>
                <w:sz w:val="21"/>
                <w:szCs w:val="21"/>
                <w:highlight w:val="none"/>
              </w:rPr>
              <w:t>LED灯，</w:t>
            </w:r>
            <w:bookmarkEnd w:id="364"/>
            <w:bookmarkEnd w:id="365"/>
          </w:p>
        </w:tc>
        <w:tc>
          <w:tcPr>
            <w:tcW w:w="1554" w:type="dxa"/>
            <w:vAlign w:val="center"/>
          </w:tcPr>
          <w:p w14:paraId="6292876D">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雷达自熄</w:t>
            </w:r>
          </w:p>
        </w:tc>
      </w:tr>
      <w:bookmarkEnd w:id="360"/>
      <w:tr w14:paraId="6C040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Merge w:val="continue"/>
            <w:vAlign w:val="center"/>
          </w:tcPr>
          <w:p w14:paraId="167C9FF2">
            <w:pPr>
              <w:adjustRightInd w:val="0"/>
              <w:spacing w:line="360" w:lineRule="auto"/>
              <w:jc w:val="center"/>
              <w:rPr>
                <w:rFonts w:hint="eastAsia" w:ascii="宋体" w:hAnsi="宋体" w:eastAsia="宋体" w:cs="宋体"/>
                <w:color w:val="auto"/>
                <w:kern w:val="0"/>
                <w:sz w:val="21"/>
                <w:szCs w:val="21"/>
                <w:highlight w:val="none"/>
              </w:rPr>
            </w:pPr>
          </w:p>
        </w:tc>
        <w:tc>
          <w:tcPr>
            <w:tcW w:w="893" w:type="dxa"/>
            <w:vAlign w:val="center"/>
          </w:tcPr>
          <w:p w14:paraId="4610D45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418" w:type="dxa"/>
            <w:vAlign w:val="center"/>
          </w:tcPr>
          <w:p w14:paraId="0EADF34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超薄LED支架灯</w:t>
            </w:r>
          </w:p>
        </w:tc>
        <w:tc>
          <w:tcPr>
            <w:tcW w:w="1430" w:type="dxa"/>
            <w:vAlign w:val="center"/>
          </w:tcPr>
          <w:p w14:paraId="4259D78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0BAF65B7">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LED灯，</w:t>
            </w:r>
          </w:p>
          <w:p w14:paraId="62DDCC02">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吸顶安装</w:t>
            </w:r>
          </w:p>
          <w:p w14:paraId="71E86135">
            <w:pPr>
              <w:adjustRightInd w:val="0"/>
              <w:spacing w:line="360" w:lineRule="auto"/>
              <w:jc w:val="center"/>
              <w:rPr>
                <w:rFonts w:hint="eastAsia" w:ascii="宋体" w:hAnsi="宋体" w:eastAsia="宋体" w:cs="宋体"/>
                <w:color w:val="auto"/>
                <w:kern w:val="0"/>
                <w:sz w:val="21"/>
                <w:szCs w:val="21"/>
                <w:highlight w:val="none"/>
              </w:rPr>
            </w:pPr>
          </w:p>
        </w:tc>
        <w:tc>
          <w:tcPr>
            <w:tcW w:w="1554" w:type="dxa"/>
            <w:vAlign w:val="center"/>
          </w:tcPr>
          <w:p w14:paraId="7AE63173">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普通翘板开关控制</w:t>
            </w:r>
          </w:p>
        </w:tc>
      </w:tr>
      <w:tr w14:paraId="255D2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7229D34E">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架空层</w:t>
            </w:r>
          </w:p>
        </w:tc>
        <w:tc>
          <w:tcPr>
            <w:tcW w:w="893" w:type="dxa"/>
            <w:vAlign w:val="center"/>
          </w:tcPr>
          <w:p w14:paraId="499C5DD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418" w:type="dxa"/>
            <w:vAlign w:val="center"/>
          </w:tcPr>
          <w:p w14:paraId="0EC8900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支架灯（防水防尘型）</w:t>
            </w:r>
          </w:p>
        </w:tc>
        <w:tc>
          <w:tcPr>
            <w:tcW w:w="1430" w:type="dxa"/>
            <w:vAlign w:val="center"/>
          </w:tcPr>
          <w:p w14:paraId="3F49C8E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0CAD7C39">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LED雷达双亮度感应灯</w:t>
            </w:r>
          </w:p>
        </w:tc>
        <w:tc>
          <w:tcPr>
            <w:tcW w:w="1554" w:type="dxa"/>
            <w:vAlign w:val="center"/>
          </w:tcPr>
          <w:p w14:paraId="7683478F">
            <w:pPr>
              <w:adjustRightInd w:val="0"/>
              <w:spacing w:line="360" w:lineRule="auto"/>
              <w:jc w:val="center"/>
              <w:rPr>
                <w:rFonts w:hint="eastAsia" w:ascii="宋体" w:hAnsi="宋体" w:eastAsia="宋体" w:cs="宋体"/>
                <w:color w:val="auto"/>
                <w:sz w:val="21"/>
                <w:szCs w:val="21"/>
                <w:highlight w:val="none"/>
              </w:rPr>
            </w:pPr>
          </w:p>
        </w:tc>
      </w:tr>
      <w:tr w14:paraId="10040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011F04A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垃圾房</w:t>
            </w:r>
          </w:p>
        </w:tc>
        <w:tc>
          <w:tcPr>
            <w:tcW w:w="893" w:type="dxa"/>
            <w:vAlign w:val="center"/>
          </w:tcPr>
          <w:p w14:paraId="1E034F4B">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418" w:type="dxa"/>
            <w:vAlign w:val="center"/>
          </w:tcPr>
          <w:p w14:paraId="0005C00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吸顶灯（若有）</w:t>
            </w:r>
          </w:p>
        </w:tc>
        <w:tc>
          <w:tcPr>
            <w:tcW w:w="1430" w:type="dxa"/>
            <w:vAlign w:val="center"/>
          </w:tcPr>
          <w:p w14:paraId="77A55C7E">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1DDA44F3">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防水防尘LED灯，</w:t>
            </w:r>
          </w:p>
          <w:p w14:paraId="5993EEF9">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色温4000K，吸顶安装</w:t>
            </w:r>
          </w:p>
        </w:tc>
        <w:tc>
          <w:tcPr>
            <w:tcW w:w="1554" w:type="dxa"/>
            <w:vAlign w:val="center"/>
          </w:tcPr>
          <w:p w14:paraId="1B43B85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雷达自熄</w:t>
            </w:r>
          </w:p>
        </w:tc>
      </w:tr>
      <w:tr w14:paraId="2432F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6" w:type="dxa"/>
            <w:vAlign w:val="center"/>
          </w:tcPr>
          <w:p w14:paraId="06444B7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首层大堂单元主出入口外雨棚</w:t>
            </w:r>
          </w:p>
        </w:tc>
        <w:tc>
          <w:tcPr>
            <w:tcW w:w="893" w:type="dxa"/>
            <w:vAlign w:val="center"/>
          </w:tcPr>
          <w:p w14:paraId="050F4E2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418" w:type="dxa"/>
            <w:vAlign w:val="center"/>
          </w:tcPr>
          <w:p w14:paraId="3736CE31">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吸顶灯（若有）</w:t>
            </w:r>
          </w:p>
        </w:tc>
        <w:tc>
          <w:tcPr>
            <w:tcW w:w="1430" w:type="dxa"/>
            <w:vAlign w:val="center"/>
          </w:tcPr>
          <w:p w14:paraId="4C91105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p>
        </w:tc>
        <w:tc>
          <w:tcPr>
            <w:tcW w:w="1806" w:type="dxa"/>
            <w:vAlign w:val="center"/>
          </w:tcPr>
          <w:p w14:paraId="742C613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防水防尘LED灯，</w:t>
            </w:r>
          </w:p>
          <w:p w14:paraId="659B9BF4">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色温4000K，吸顶安装</w:t>
            </w:r>
          </w:p>
        </w:tc>
        <w:tc>
          <w:tcPr>
            <w:tcW w:w="1554" w:type="dxa"/>
            <w:vAlign w:val="center"/>
          </w:tcPr>
          <w:p w14:paraId="1DBAD967">
            <w:pPr>
              <w:adjustRightInd w:val="0"/>
              <w:spacing w:line="360" w:lineRule="auto"/>
              <w:jc w:val="center"/>
              <w:rPr>
                <w:rFonts w:hint="eastAsia" w:ascii="宋体" w:hAnsi="宋体" w:eastAsia="宋体" w:cs="宋体"/>
                <w:color w:val="auto"/>
                <w:kern w:val="0"/>
                <w:sz w:val="21"/>
                <w:szCs w:val="21"/>
                <w:highlight w:val="none"/>
              </w:rPr>
            </w:pPr>
            <w:r>
              <w:rPr>
                <w:rFonts w:hint="eastAsia" w:ascii="宋体" w:hAnsi="宋体" w:eastAsia="宋体" w:cs="宋体"/>
                <w:color w:val="auto"/>
                <w:sz w:val="21"/>
                <w:szCs w:val="21"/>
                <w:highlight w:val="none"/>
              </w:rPr>
              <w:t>雷达自熄</w:t>
            </w:r>
          </w:p>
        </w:tc>
      </w:tr>
    </w:tbl>
    <w:p w14:paraId="535132DF">
      <w:pPr>
        <w:adjustRightInd w:val="0"/>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注：</w:t>
      </w:r>
    </w:p>
    <w:p w14:paraId="6D196961">
      <w:pPr>
        <w:adjustRightInd w:val="0"/>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1）当上表要求与精装要求不一致时，均与精装要求为准。</w:t>
      </w:r>
    </w:p>
    <w:p w14:paraId="02EC9C50">
      <w:pPr>
        <w:adjustRightInd w:val="0"/>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2）距地高度均为装修完成面高度。</w:t>
      </w:r>
    </w:p>
    <w:p w14:paraId="4A355618">
      <w:pPr>
        <w:adjustRightInd w:val="0"/>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3）当地有特殊要求时，各场所照度值需按当地标准执行。</w:t>
      </w:r>
    </w:p>
    <w:p w14:paraId="7B34B6ED">
      <w:pPr>
        <w:adjustRightInd w:val="0"/>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4）表中支架灯除特别说明外，均为空壳支架配T8LED直管灯。</w:t>
      </w:r>
    </w:p>
    <w:p w14:paraId="305A9BA2">
      <w:pPr>
        <w:pStyle w:val="24"/>
        <w:numPr>
          <w:ilvl w:val="0"/>
          <w:numId w:val="3"/>
        </w:numPr>
        <w:ind w:firstLineChars="0"/>
        <w:rPr>
          <w:rFonts w:hint="eastAsia" w:hAnsi="宋体" w:cs="宋体"/>
          <w:b/>
          <w:bCs/>
          <w:szCs w:val="24"/>
          <w:highlight w:val="none"/>
        </w:rPr>
      </w:pPr>
      <w:r>
        <w:rPr>
          <w:rFonts w:hint="eastAsia" w:hAnsi="宋体" w:cs="宋体"/>
          <w:b/>
          <w:bCs/>
          <w:szCs w:val="24"/>
          <w:highlight w:val="none"/>
        </w:rPr>
        <w:t>发电机容量选择</w:t>
      </w:r>
    </w:p>
    <w:p w14:paraId="1F11614F">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w:t>
      </w:r>
      <w:r>
        <w:rPr>
          <w:rStyle w:val="81"/>
          <w:rFonts w:ascii="宋体" w:hAnsi="宋体" w:cs="宋体"/>
          <w:sz w:val="24"/>
          <w:szCs w:val="24"/>
          <w:highlight w:val="none"/>
        </w:rPr>
        <w:t>5.1</w:t>
      </w:r>
      <w:r>
        <w:rPr>
          <w:rStyle w:val="81"/>
          <w:rFonts w:hint="eastAsia" w:ascii="宋体" w:hAnsi="宋体" w:cs="宋体"/>
          <w:sz w:val="24"/>
          <w:szCs w:val="24"/>
          <w:highlight w:val="none"/>
        </w:rPr>
        <w:t>发电机容量应按非消防状态市电停电与消防状态市电停电分别计算，取其中较大的值作为选取发电机容量的依据，较大容量的动力设备，应校验其启动能力。</w:t>
      </w:r>
    </w:p>
    <w:p w14:paraId="78CEC3C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w:t>
      </w:r>
      <w:r>
        <w:rPr>
          <w:rStyle w:val="81"/>
          <w:rFonts w:ascii="宋体" w:hAnsi="宋体" w:cs="宋体"/>
          <w:sz w:val="24"/>
          <w:szCs w:val="24"/>
          <w:highlight w:val="none"/>
        </w:rPr>
        <w:t>5.2消防状态下的发电机容量计算如下表：</w:t>
      </w:r>
    </w:p>
    <w:tbl>
      <w:tblPr>
        <w:tblStyle w:val="42"/>
        <w:tblW w:w="88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5"/>
        <w:gridCol w:w="4702"/>
        <w:gridCol w:w="2126"/>
        <w:gridCol w:w="1580"/>
      </w:tblGrid>
      <w:tr w14:paraId="3437F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425" w:type="dxa"/>
            <w:vAlign w:val="center"/>
          </w:tcPr>
          <w:p w14:paraId="2F3A80D7">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序号</w:t>
            </w:r>
          </w:p>
        </w:tc>
        <w:tc>
          <w:tcPr>
            <w:tcW w:w="4702" w:type="dxa"/>
            <w:vAlign w:val="center"/>
          </w:tcPr>
          <w:p w14:paraId="726D8B33">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消防状态用电负荷</w:t>
            </w:r>
          </w:p>
        </w:tc>
        <w:tc>
          <w:tcPr>
            <w:tcW w:w="2126" w:type="dxa"/>
            <w:vAlign w:val="center"/>
          </w:tcPr>
          <w:p w14:paraId="6F820E39">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需要系数</w:t>
            </w:r>
          </w:p>
        </w:tc>
        <w:tc>
          <w:tcPr>
            <w:tcW w:w="1580" w:type="dxa"/>
            <w:vAlign w:val="center"/>
          </w:tcPr>
          <w:p w14:paraId="6B6893B8">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消防状态下</w:t>
            </w:r>
          </w:p>
          <w:p w14:paraId="25F7F328">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发电机容量</w:t>
            </w:r>
          </w:p>
        </w:tc>
      </w:tr>
      <w:tr w14:paraId="61616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425" w:type="dxa"/>
            <w:vAlign w:val="center"/>
          </w:tcPr>
          <w:p w14:paraId="62CB8E39">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1</w:t>
            </w:r>
          </w:p>
        </w:tc>
        <w:tc>
          <w:tcPr>
            <w:tcW w:w="4702" w:type="dxa"/>
            <w:vAlign w:val="center"/>
          </w:tcPr>
          <w:p w14:paraId="361C1512">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发电机供电范围内所有的消防电梯用电</w:t>
            </w:r>
          </w:p>
        </w:tc>
        <w:tc>
          <w:tcPr>
            <w:tcW w:w="2126" w:type="dxa"/>
            <w:vAlign w:val="center"/>
          </w:tcPr>
          <w:p w14:paraId="6E6130BF">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0.5~0.2</w:t>
            </w:r>
          </w:p>
        </w:tc>
        <w:tc>
          <w:tcPr>
            <w:tcW w:w="1580" w:type="dxa"/>
            <w:vMerge w:val="restart"/>
            <w:vAlign w:val="center"/>
          </w:tcPr>
          <w:p w14:paraId="21980E18">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消防状态下发电机容量为</w:t>
            </w:r>
            <w:r>
              <w:rPr>
                <w:rFonts w:ascii="宋体" w:hAnsi="宋体"/>
                <w:color w:val="auto"/>
                <w:sz w:val="21"/>
                <w:szCs w:val="21"/>
                <w:highlight w:val="none"/>
              </w:rPr>
              <w:t>1~8</w:t>
            </w:r>
            <w:r>
              <w:rPr>
                <w:rFonts w:hint="eastAsia" w:ascii="宋体" w:hAnsi="宋体"/>
                <w:color w:val="auto"/>
                <w:sz w:val="21"/>
                <w:szCs w:val="21"/>
                <w:highlight w:val="none"/>
              </w:rPr>
              <w:t>项的总和。</w:t>
            </w:r>
          </w:p>
        </w:tc>
      </w:tr>
      <w:tr w14:paraId="06D7E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425" w:type="dxa"/>
            <w:vAlign w:val="center"/>
          </w:tcPr>
          <w:p w14:paraId="70E6DF7D">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2</w:t>
            </w:r>
          </w:p>
        </w:tc>
        <w:tc>
          <w:tcPr>
            <w:tcW w:w="4702" w:type="dxa"/>
            <w:vAlign w:val="center"/>
          </w:tcPr>
          <w:p w14:paraId="6418A762">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单栋塔楼（双拼塔楼）除消防电梯外消防用电最大的塔楼消防用电</w:t>
            </w:r>
          </w:p>
        </w:tc>
        <w:tc>
          <w:tcPr>
            <w:tcW w:w="2126" w:type="dxa"/>
            <w:vAlign w:val="center"/>
          </w:tcPr>
          <w:p w14:paraId="20DA46E0">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1</w:t>
            </w:r>
          </w:p>
        </w:tc>
        <w:tc>
          <w:tcPr>
            <w:tcW w:w="1580" w:type="dxa"/>
            <w:vMerge w:val="continue"/>
          </w:tcPr>
          <w:p w14:paraId="70DDC4E8">
            <w:pPr>
              <w:spacing w:line="360" w:lineRule="auto"/>
              <w:jc w:val="center"/>
              <w:rPr>
                <w:rFonts w:hint="eastAsia" w:ascii="宋体" w:hAnsi="宋体"/>
                <w:color w:val="auto"/>
                <w:sz w:val="21"/>
                <w:szCs w:val="21"/>
                <w:highlight w:val="none"/>
              </w:rPr>
            </w:pPr>
          </w:p>
        </w:tc>
      </w:tr>
      <w:tr w14:paraId="5B393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25" w:type="dxa"/>
            <w:vAlign w:val="center"/>
          </w:tcPr>
          <w:p w14:paraId="23E09BC4">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3</w:t>
            </w:r>
          </w:p>
        </w:tc>
        <w:tc>
          <w:tcPr>
            <w:tcW w:w="4702" w:type="dxa"/>
            <w:vAlign w:val="center"/>
          </w:tcPr>
          <w:p w14:paraId="7AC46A98">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地下室最大的单个防火分区消防用电</w:t>
            </w:r>
          </w:p>
        </w:tc>
        <w:tc>
          <w:tcPr>
            <w:tcW w:w="2126" w:type="dxa"/>
            <w:vAlign w:val="center"/>
          </w:tcPr>
          <w:p w14:paraId="5C3A327E">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1</w:t>
            </w:r>
          </w:p>
        </w:tc>
        <w:tc>
          <w:tcPr>
            <w:tcW w:w="1580" w:type="dxa"/>
            <w:vMerge w:val="continue"/>
          </w:tcPr>
          <w:p w14:paraId="3FAFED8E">
            <w:pPr>
              <w:spacing w:line="360" w:lineRule="auto"/>
              <w:jc w:val="center"/>
              <w:rPr>
                <w:rFonts w:hint="eastAsia" w:ascii="宋体" w:hAnsi="宋体"/>
                <w:color w:val="auto"/>
                <w:sz w:val="21"/>
                <w:szCs w:val="21"/>
                <w:highlight w:val="none"/>
              </w:rPr>
            </w:pPr>
          </w:p>
        </w:tc>
      </w:tr>
      <w:tr w14:paraId="2BBB7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jc w:val="center"/>
        </w:trPr>
        <w:tc>
          <w:tcPr>
            <w:tcW w:w="425" w:type="dxa"/>
            <w:vAlign w:val="center"/>
          </w:tcPr>
          <w:p w14:paraId="3DBF968E">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4</w:t>
            </w:r>
          </w:p>
        </w:tc>
        <w:tc>
          <w:tcPr>
            <w:tcW w:w="4702" w:type="dxa"/>
            <w:vAlign w:val="center"/>
          </w:tcPr>
          <w:p w14:paraId="79FF9528">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与第</w:t>
            </w:r>
            <w:r>
              <w:rPr>
                <w:rFonts w:ascii="宋体" w:hAnsi="宋体"/>
                <w:color w:val="auto"/>
                <w:sz w:val="21"/>
                <w:szCs w:val="21"/>
                <w:highlight w:val="none"/>
              </w:rPr>
              <w:t>3项相邻的两个地下室防火分区的消防用电</w:t>
            </w:r>
          </w:p>
        </w:tc>
        <w:tc>
          <w:tcPr>
            <w:tcW w:w="2126" w:type="dxa"/>
            <w:vAlign w:val="center"/>
          </w:tcPr>
          <w:p w14:paraId="5D0A1BFC">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1</w:t>
            </w:r>
          </w:p>
        </w:tc>
        <w:tc>
          <w:tcPr>
            <w:tcW w:w="1580" w:type="dxa"/>
            <w:vMerge w:val="continue"/>
          </w:tcPr>
          <w:p w14:paraId="67E08782">
            <w:pPr>
              <w:spacing w:line="360" w:lineRule="auto"/>
              <w:jc w:val="center"/>
              <w:rPr>
                <w:rFonts w:hint="eastAsia" w:ascii="宋体" w:hAnsi="宋体"/>
                <w:color w:val="auto"/>
                <w:sz w:val="21"/>
                <w:szCs w:val="21"/>
                <w:highlight w:val="none"/>
              </w:rPr>
            </w:pPr>
          </w:p>
        </w:tc>
      </w:tr>
      <w:tr w14:paraId="6794C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425" w:type="dxa"/>
            <w:vAlign w:val="center"/>
          </w:tcPr>
          <w:p w14:paraId="517D7A06">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5</w:t>
            </w:r>
          </w:p>
        </w:tc>
        <w:tc>
          <w:tcPr>
            <w:tcW w:w="4702" w:type="dxa"/>
            <w:vAlign w:val="center"/>
          </w:tcPr>
          <w:p w14:paraId="55BF1AEF">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消防泵房用电</w:t>
            </w:r>
          </w:p>
        </w:tc>
        <w:tc>
          <w:tcPr>
            <w:tcW w:w="2126" w:type="dxa"/>
            <w:vAlign w:val="center"/>
          </w:tcPr>
          <w:p w14:paraId="1F792C1A">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1</w:t>
            </w:r>
          </w:p>
        </w:tc>
        <w:tc>
          <w:tcPr>
            <w:tcW w:w="1580" w:type="dxa"/>
            <w:vMerge w:val="continue"/>
          </w:tcPr>
          <w:p w14:paraId="069D9CCB">
            <w:pPr>
              <w:spacing w:line="360" w:lineRule="auto"/>
              <w:jc w:val="center"/>
              <w:rPr>
                <w:rFonts w:hint="eastAsia" w:ascii="宋体" w:hAnsi="宋体"/>
                <w:color w:val="auto"/>
                <w:sz w:val="21"/>
                <w:szCs w:val="21"/>
                <w:highlight w:val="none"/>
              </w:rPr>
            </w:pPr>
          </w:p>
        </w:tc>
      </w:tr>
      <w:tr w14:paraId="44552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1" w:hRule="atLeast"/>
          <w:jc w:val="center"/>
        </w:trPr>
        <w:tc>
          <w:tcPr>
            <w:tcW w:w="425" w:type="dxa"/>
            <w:vAlign w:val="center"/>
          </w:tcPr>
          <w:p w14:paraId="517624B1">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6</w:t>
            </w:r>
          </w:p>
        </w:tc>
        <w:tc>
          <w:tcPr>
            <w:tcW w:w="4702" w:type="dxa"/>
            <w:vAlign w:val="center"/>
          </w:tcPr>
          <w:p w14:paraId="3C6A6980">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低压配电柜中有消防负荷的变配电房用电</w:t>
            </w:r>
          </w:p>
        </w:tc>
        <w:tc>
          <w:tcPr>
            <w:tcW w:w="2126" w:type="dxa"/>
            <w:vAlign w:val="center"/>
          </w:tcPr>
          <w:p w14:paraId="595E2D1D">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1</w:t>
            </w:r>
          </w:p>
        </w:tc>
        <w:tc>
          <w:tcPr>
            <w:tcW w:w="1580" w:type="dxa"/>
            <w:vMerge w:val="continue"/>
          </w:tcPr>
          <w:p w14:paraId="0CF594AB">
            <w:pPr>
              <w:spacing w:line="360" w:lineRule="auto"/>
              <w:jc w:val="center"/>
              <w:rPr>
                <w:rFonts w:hint="eastAsia" w:ascii="宋体" w:hAnsi="宋体"/>
                <w:color w:val="auto"/>
                <w:sz w:val="21"/>
                <w:szCs w:val="21"/>
                <w:highlight w:val="none"/>
              </w:rPr>
            </w:pPr>
          </w:p>
        </w:tc>
      </w:tr>
      <w:tr w14:paraId="77F8B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425" w:type="dxa"/>
            <w:vAlign w:val="center"/>
          </w:tcPr>
          <w:p w14:paraId="114025B2">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7</w:t>
            </w:r>
          </w:p>
        </w:tc>
        <w:tc>
          <w:tcPr>
            <w:tcW w:w="4702" w:type="dxa"/>
            <w:vAlign w:val="center"/>
          </w:tcPr>
          <w:p w14:paraId="64F2CD9E">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消防控制室中消防及安防双电源箱用电</w:t>
            </w:r>
          </w:p>
        </w:tc>
        <w:tc>
          <w:tcPr>
            <w:tcW w:w="2126" w:type="dxa"/>
            <w:vAlign w:val="center"/>
          </w:tcPr>
          <w:p w14:paraId="51C709D4">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1</w:t>
            </w:r>
          </w:p>
        </w:tc>
        <w:tc>
          <w:tcPr>
            <w:tcW w:w="1580" w:type="dxa"/>
            <w:vMerge w:val="continue"/>
          </w:tcPr>
          <w:p w14:paraId="5BD0E547">
            <w:pPr>
              <w:spacing w:line="360" w:lineRule="auto"/>
              <w:jc w:val="center"/>
              <w:rPr>
                <w:rFonts w:hint="eastAsia" w:ascii="宋体" w:hAnsi="宋体"/>
                <w:color w:val="auto"/>
                <w:sz w:val="21"/>
                <w:szCs w:val="21"/>
                <w:highlight w:val="none"/>
              </w:rPr>
            </w:pPr>
          </w:p>
        </w:tc>
      </w:tr>
      <w:tr w14:paraId="63AC7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jc w:val="center"/>
        </w:trPr>
        <w:tc>
          <w:tcPr>
            <w:tcW w:w="425" w:type="dxa"/>
            <w:vAlign w:val="center"/>
          </w:tcPr>
          <w:p w14:paraId="1BAEFEC0">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8</w:t>
            </w:r>
          </w:p>
        </w:tc>
        <w:tc>
          <w:tcPr>
            <w:tcW w:w="4702" w:type="dxa"/>
            <w:vAlign w:val="center"/>
          </w:tcPr>
          <w:p w14:paraId="236FBABB">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生活泵房用电</w:t>
            </w:r>
          </w:p>
        </w:tc>
        <w:tc>
          <w:tcPr>
            <w:tcW w:w="2126" w:type="dxa"/>
            <w:vAlign w:val="center"/>
          </w:tcPr>
          <w:p w14:paraId="105B6D81">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0.3~0.5</w:t>
            </w:r>
          </w:p>
        </w:tc>
        <w:tc>
          <w:tcPr>
            <w:tcW w:w="1580" w:type="dxa"/>
            <w:vMerge w:val="continue"/>
          </w:tcPr>
          <w:p w14:paraId="1E84B1FA">
            <w:pPr>
              <w:spacing w:line="360" w:lineRule="auto"/>
              <w:jc w:val="center"/>
              <w:rPr>
                <w:rFonts w:hint="eastAsia" w:ascii="宋体" w:hAnsi="宋体"/>
                <w:color w:val="auto"/>
                <w:sz w:val="21"/>
                <w:szCs w:val="21"/>
                <w:highlight w:val="none"/>
              </w:rPr>
            </w:pPr>
          </w:p>
        </w:tc>
      </w:tr>
    </w:tbl>
    <w:p w14:paraId="6B0D48E8">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1</w:t>
      </w:r>
      <w:r>
        <w:rPr>
          <w:rStyle w:val="81"/>
          <w:rFonts w:ascii="宋体" w:hAnsi="宋体" w:cs="宋体"/>
          <w:sz w:val="24"/>
          <w:szCs w:val="24"/>
          <w:highlight w:val="none"/>
        </w:rPr>
        <w:t>5.3</w:t>
      </w:r>
      <w:r>
        <w:rPr>
          <w:rStyle w:val="81"/>
          <w:rFonts w:hint="eastAsia" w:ascii="宋体" w:hAnsi="宋体" w:cs="宋体"/>
          <w:sz w:val="24"/>
          <w:szCs w:val="24"/>
          <w:highlight w:val="none"/>
        </w:rPr>
        <w:t>非消防状态下的发电机容量计算如下表：</w:t>
      </w:r>
    </w:p>
    <w:tbl>
      <w:tblPr>
        <w:tblStyle w:val="42"/>
        <w:tblW w:w="87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8"/>
        <w:gridCol w:w="2552"/>
        <w:gridCol w:w="2835"/>
        <w:gridCol w:w="1417"/>
        <w:gridCol w:w="1559"/>
      </w:tblGrid>
      <w:tr w14:paraId="58F1E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428" w:type="dxa"/>
            <w:vAlign w:val="center"/>
          </w:tcPr>
          <w:p w14:paraId="77B2E74F">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序号</w:t>
            </w:r>
          </w:p>
        </w:tc>
        <w:tc>
          <w:tcPr>
            <w:tcW w:w="2552" w:type="dxa"/>
            <w:vAlign w:val="center"/>
          </w:tcPr>
          <w:p w14:paraId="2560CBCB">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非消防状态用电负荷</w:t>
            </w:r>
          </w:p>
        </w:tc>
        <w:tc>
          <w:tcPr>
            <w:tcW w:w="2835" w:type="dxa"/>
            <w:vAlign w:val="center"/>
          </w:tcPr>
          <w:p w14:paraId="0D76FB99">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负荷指标</w:t>
            </w:r>
          </w:p>
        </w:tc>
        <w:tc>
          <w:tcPr>
            <w:tcW w:w="1417" w:type="dxa"/>
            <w:vAlign w:val="center"/>
          </w:tcPr>
          <w:p w14:paraId="289ECFAF">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需要系数</w:t>
            </w:r>
          </w:p>
        </w:tc>
        <w:tc>
          <w:tcPr>
            <w:tcW w:w="1559" w:type="dxa"/>
            <w:vAlign w:val="center"/>
          </w:tcPr>
          <w:p w14:paraId="6F9241C4">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非消防状态下发电机容量</w:t>
            </w:r>
          </w:p>
        </w:tc>
      </w:tr>
      <w:tr w14:paraId="14253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53B272E1">
            <w:pPr>
              <w:spacing w:line="360" w:lineRule="auto"/>
              <w:rPr>
                <w:rFonts w:hint="eastAsia" w:ascii="宋体" w:hAnsi="宋体"/>
                <w:color w:val="auto"/>
                <w:sz w:val="21"/>
                <w:szCs w:val="21"/>
                <w:highlight w:val="none"/>
              </w:rPr>
            </w:pPr>
            <w:r>
              <w:rPr>
                <w:rFonts w:ascii="宋体" w:hAnsi="宋体"/>
                <w:color w:val="auto"/>
                <w:sz w:val="21"/>
                <w:szCs w:val="21"/>
                <w:highlight w:val="none"/>
              </w:rPr>
              <w:t>1</w:t>
            </w:r>
          </w:p>
        </w:tc>
        <w:tc>
          <w:tcPr>
            <w:tcW w:w="2552" w:type="dxa"/>
            <w:vAlign w:val="center"/>
          </w:tcPr>
          <w:p w14:paraId="7FEDFF18">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发电机供电范围内所有住宅单元电梯</w:t>
            </w:r>
          </w:p>
        </w:tc>
        <w:tc>
          <w:tcPr>
            <w:tcW w:w="2835" w:type="dxa"/>
            <w:vAlign w:val="center"/>
          </w:tcPr>
          <w:p w14:paraId="6860485B">
            <w:pPr>
              <w:spacing w:line="360" w:lineRule="auto"/>
              <w:jc w:val="center"/>
              <w:rPr>
                <w:rFonts w:hint="eastAsia" w:ascii="宋体" w:hAnsi="宋体"/>
                <w:color w:val="auto"/>
                <w:sz w:val="21"/>
                <w:szCs w:val="21"/>
                <w:highlight w:val="none"/>
              </w:rPr>
            </w:pPr>
          </w:p>
        </w:tc>
        <w:tc>
          <w:tcPr>
            <w:tcW w:w="1417" w:type="dxa"/>
            <w:vAlign w:val="center"/>
          </w:tcPr>
          <w:p w14:paraId="50C4C903">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0.5~0.2</w:t>
            </w:r>
          </w:p>
        </w:tc>
        <w:tc>
          <w:tcPr>
            <w:tcW w:w="1559" w:type="dxa"/>
            <w:vMerge w:val="restart"/>
            <w:vAlign w:val="center"/>
          </w:tcPr>
          <w:p w14:paraId="28605EE5">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非消防状态下发电机容量为</w:t>
            </w:r>
            <w:r>
              <w:rPr>
                <w:rFonts w:ascii="宋体" w:hAnsi="宋体"/>
                <w:color w:val="auto"/>
                <w:sz w:val="21"/>
                <w:szCs w:val="21"/>
                <w:highlight w:val="none"/>
              </w:rPr>
              <w:t>1~9</w:t>
            </w:r>
            <w:r>
              <w:rPr>
                <w:rFonts w:hint="eastAsia" w:ascii="宋体" w:hAnsi="宋体"/>
                <w:color w:val="auto"/>
                <w:sz w:val="21"/>
                <w:szCs w:val="21"/>
                <w:highlight w:val="none"/>
              </w:rPr>
              <w:t>项的总和。</w:t>
            </w:r>
          </w:p>
        </w:tc>
      </w:tr>
      <w:tr w14:paraId="35038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721925D3">
            <w:pPr>
              <w:spacing w:line="360" w:lineRule="auto"/>
              <w:rPr>
                <w:rFonts w:hint="eastAsia" w:ascii="宋体" w:hAnsi="宋体"/>
                <w:color w:val="auto"/>
                <w:sz w:val="21"/>
                <w:szCs w:val="21"/>
                <w:highlight w:val="none"/>
              </w:rPr>
            </w:pPr>
            <w:r>
              <w:rPr>
                <w:rFonts w:ascii="宋体" w:hAnsi="宋体"/>
                <w:color w:val="auto"/>
                <w:sz w:val="21"/>
                <w:szCs w:val="21"/>
                <w:highlight w:val="none"/>
              </w:rPr>
              <w:t>2</w:t>
            </w:r>
          </w:p>
        </w:tc>
        <w:tc>
          <w:tcPr>
            <w:tcW w:w="2552" w:type="dxa"/>
            <w:vAlign w:val="center"/>
          </w:tcPr>
          <w:p w14:paraId="49CCF854">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发电机供电范围内住宅单元公共照明</w:t>
            </w:r>
          </w:p>
        </w:tc>
        <w:tc>
          <w:tcPr>
            <w:tcW w:w="2835" w:type="dxa"/>
            <w:vAlign w:val="center"/>
          </w:tcPr>
          <w:p w14:paraId="575F7EEA">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仅考虑前室、走道、楼梯一般照明</w:t>
            </w:r>
          </w:p>
        </w:tc>
        <w:tc>
          <w:tcPr>
            <w:tcW w:w="1417" w:type="dxa"/>
            <w:vAlign w:val="center"/>
          </w:tcPr>
          <w:p w14:paraId="0594AD08">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0.4~0.6</w:t>
            </w:r>
          </w:p>
        </w:tc>
        <w:tc>
          <w:tcPr>
            <w:tcW w:w="1559" w:type="dxa"/>
            <w:vMerge w:val="continue"/>
          </w:tcPr>
          <w:p w14:paraId="33BEAD1A">
            <w:pPr>
              <w:spacing w:line="360" w:lineRule="auto"/>
              <w:jc w:val="center"/>
              <w:rPr>
                <w:rFonts w:hint="eastAsia" w:ascii="宋体" w:hAnsi="宋体"/>
                <w:color w:val="auto"/>
                <w:sz w:val="21"/>
                <w:szCs w:val="21"/>
                <w:highlight w:val="none"/>
              </w:rPr>
            </w:pPr>
          </w:p>
        </w:tc>
      </w:tr>
      <w:tr w14:paraId="4DB44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62E53D7F">
            <w:pPr>
              <w:spacing w:line="360" w:lineRule="auto"/>
              <w:rPr>
                <w:rFonts w:hint="eastAsia" w:ascii="宋体" w:hAnsi="宋体"/>
                <w:color w:val="auto"/>
                <w:sz w:val="21"/>
                <w:szCs w:val="21"/>
                <w:highlight w:val="none"/>
              </w:rPr>
            </w:pPr>
            <w:r>
              <w:rPr>
                <w:rFonts w:ascii="宋体" w:hAnsi="宋体"/>
                <w:color w:val="auto"/>
                <w:sz w:val="21"/>
                <w:szCs w:val="21"/>
                <w:highlight w:val="none"/>
              </w:rPr>
              <w:t>3</w:t>
            </w:r>
          </w:p>
        </w:tc>
        <w:tc>
          <w:tcPr>
            <w:tcW w:w="2552" w:type="dxa"/>
            <w:vAlign w:val="center"/>
          </w:tcPr>
          <w:p w14:paraId="0F75170B">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地下车库照明</w:t>
            </w:r>
          </w:p>
        </w:tc>
        <w:tc>
          <w:tcPr>
            <w:tcW w:w="2835" w:type="dxa"/>
            <w:vAlign w:val="center"/>
          </w:tcPr>
          <w:p w14:paraId="1A01B5AC">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0.8W</w:t>
            </w:r>
            <w:r>
              <w:rPr>
                <w:rFonts w:hint="eastAsia" w:ascii="宋体" w:hAnsi="宋体"/>
                <w:color w:val="auto"/>
                <w:sz w:val="21"/>
                <w:szCs w:val="21"/>
                <w:highlight w:val="none"/>
              </w:rPr>
              <w:t>每平方米估算</w:t>
            </w:r>
          </w:p>
        </w:tc>
        <w:tc>
          <w:tcPr>
            <w:tcW w:w="1417" w:type="dxa"/>
            <w:vAlign w:val="center"/>
          </w:tcPr>
          <w:p w14:paraId="4EA3558F">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0.4~0.6</w:t>
            </w:r>
          </w:p>
        </w:tc>
        <w:tc>
          <w:tcPr>
            <w:tcW w:w="1559" w:type="dxa"/>
            <w:vMerge w:val="continue"/>
          </w:tcPr>
          <w:p w14:paraId="6B163320">
            <w:pPr>
              <w:spacing w:line="360" w:lineRule="auto"/>
              <w:jc w:val="center"/>
              <w:rPr>
                <w:rFonts w:hint="eastAsia" w:ascii="宋体" w:hAnsi="宋体"/>
                <w:color w:val="auto"/>
                <w:sz w:val="21"/>
                <w:szCs w:val="21"/>
                <w:highlight w:val="none"/>
              </w:rPr>
            </w:pPr>
          </w:p>
        </w:tc>
      </w:tr>
      <w:tr w14:paraId="2ECB1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1902CA64">
            <w:pPr>
              <w:spacing w:line="360" w:lineRule="auto"/>
              <w:rPr>
                <w:rFonts w:hint="eastAsia" w:ascii="宋体" w:hAnsi="宋体"/>
                <w:color w:val="auto"/>
                <w:sz w:val="21"/>
                <w:szCs w:val="21"/>
                <w:highlight w:val="none"/>
              </w:rPr>
            </w:pPr>
            <w:r>
              <w:rPr>
                <w:rFonts w:ascii="宋体" w:hAnsi="宋体"/>
                <w:color w:val="auto"/>
                <w:sz w:val="21"/>
                <w:szCs w:val="21"/>
                <w:highlight w:val="none"/>
              </w:rPr>
              <w:t>4</w:t>
            </w:r>
          </w:p>
        </w:tc>
        <w:tc>
          <w:tcPr>
            <w:tcW w:w="2552" w:type="dxa"/>
            <w:vAlign w:val="center"/>
          </w:tcPr>
          <w:p w14:paraId="1B1B1388">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电信机房</w:t>
            </w:r>
          </w:p>
        </w:tc>
        <w:tc>
          <w:tcPr>
            <w:tcW w:w="2835" w:type="dxa"/>
            <w:vAlign w:val="center"/>
          </w:tcPr>
          <w:p w14:paraId="78C8FA88">
            <w:pPr>
              <w:spacing w:line="360" w:lineRule="auto"/>
              <w:jc w:val="center"/>
              <w:rPr>
                <w:rFonts w:hint="eastAsia" w:ascii="宋体" w:hAnsi="宋体"/>
                <w:color w:val="auto"/>
                <w:sz w:val="21"/>
                <w:szCs w:val="21"/>
                <w:highlight w:val="none"/>
              </w:rPr>
            </w:pPr>
          </w:p>
        </w:tc>
        <w:tc>
          <w:tcPr>
            <w:tcW w:w="1417" w:type="dxa"/>
            <w:vAlign w:val="center"/>
          </w:tcPr>
          <w:p w14:paraId="5140211A">
            <w:pPr>
              <w:jc w:val="center"/>
              <w:rPr>
                <w:rFonts w:hint="eastAsia" w:ascii="宋体" w:hAnsi="宋体"/>
                <w:color w:val="auto"/>
                <w:sz w:val="21"/>
                <w:szCs w:val="21"/>
                <w:highlight w:val="none"/>
              </w:rPr>
            </w:pPr>
            <w:r>
              <w:rPr>
                <w:rFonts w:ascii="宋体" w:hAnsi="宋体"/>
                <w:color w:val="auto"/>
                <w:sz w:val="21"/>
                <w:szCs w:val="21"/>
                <w:highlight w:val="none"/>
              </w:rPr>
              <w:t>0.8</w:t>
            </w:r>
          </w:p>
        </w:tc>
        <w:tc>
          <w:tcPr>
            <w:tcW w:w="1559" w:type="dxa"/>
            <w:vMerge w:val="continue"/>
          </w:tcPr>
          <w:p w14:paraId="2442B94A">
            <w:pPr>
              <w:spacing w:line="360" w:lineRule="auto"/>
              <w:jc w:val="center"/>
              <w:rPr>
                <w:rFonts w:hint="eastAsia" w:ascii="宋体" w:hAnsi="宋体"/>
                <w:color w:val="auto"/>
                <w:sz w:val="21"/>
                <w:szCs w:val="21"/>
                <w:highlight w:val="none"/>
              </w:rPr>
            </w:pPr>
          </w:p>
        </w:tc>
      </w:tr>
      <w:tr w14:paraId="06912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3FB2BB90">
            <w:pPr>
              <w:spacing w:line="360" w:lineRule="auto"/>
              <w:rPr>
                <w:rFonts w:hint="eastAsia" w:ascii="宋体" w:hAnsi="宋体"/>
                <w:color w:val="auto"/>
                <w:sz w:val="21"/>
                <w:szCs w:val="21"/>
                <w:highlight w:val="none"/>
              </w:rPr>
            </w:pPr>
            <w:r>
              <w:rPr>
                <w:rFonts w:ascii="宋体" w:hAnsi="宋体"/>
                <w:color w:val="auto"/>
                <w:sz w:val="21"/>
                <w:szCs w:val="21"/>
                <w:highlight w:val="none"/>
              </w:rPr>
              <w:t>5</w:t>
            </w:r>
          </w:p>
        </w:tc>
        <w:tc>
          <w:tcPr>
            <w:tcW w:w="2552" w:type="dxa"/>
            <w:vAlign w:val="center"/>
          </w:tcPr>
          <w:p w14:paraId="46D268EA">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生活泵房用电</w:t>
            </w:r>
          </w:p>
        </w:tc>
        <w:tc>
          <w:tcPr>
            <w:tcW w:w="2835" w:type="dxa"/>
            <w:vMerge w:val="restart"/>
            <w:vAlign w:val="center"/>
          </w:tcPr>
          <w:p w14:paraId="110FBE8A">
            <w:pPr>
              <w:spacing w:line="360" w:lineRule="auto"/>
              <w:jc w:val="center"/>
              <w:rPr>
                <w:rFonts w:hint="eastAsia" w:ascii="宋体" w:hAnsi="宋体"/>
                <w:color w:val="auto"/>
                <w:sz w:val="21"/>
                <w:szCs w:val="21"/>
                <w:highlight w:val="none"/>
              </w:rPr>
            </w:pPr>
            <w:r>
              <w:rPr>
                <w:rFonts w:hint="eastAsia" w:ascii="宋体" w:hAnsi="宋体"/>
                <w:color w:val="auto"/>
                <w:sz w:val="21"/>
                <w:szCs w:val="21"/>
                <w:highlight w:val="none"/>
              </w:rPr>
              <w:t>按施工图用电量</w:t>
            </w:r>
          </w:p>
        </w:tc>
        <w:tc>
          <w:tcPr>
            <w:tcW w:w="1417" w:type="dxa"/>
            <w:vAlign w:val="center"/>
          </w:tcPr>
          <w:p w14:paraId="240D6C55">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0.5~0.6</w:t>
            </w:r>
          </w:p>
        </w:tc>
        <w:tc>
          <w:tcPr>
            <w:tcW w:w="1559" w:type="dxa"/>
            <w:vMerge w:val="continue"/>
          </w:tcPr>
          <w:p w14:paraId="3201B533">
            <w:pPr>
              <w:spacing w:line="360" w:lineRule="auto"/>
              <w:jc w:val="center"/>
              <w:rPr>
                <w:rFonts w:hint="eastAsia" w:ascii="宋体" w:hAnsi="宋体"/>
                <w:color w:val="auto"/>
                <w:sz w:val="21"/>
                <w:szCs w:val="21"/>
                <w:highlight w:val="none"/>
              </w:rPr>
            </w:pPr>
          </w:p>
        </w:tc>
      </w:tr>
      <w:tr w14:paraId="40466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08BDDE6D">
            <w:pPr>
              <w:spacing w:line="360" w:lineRule="auto"/>
              <w:rPr>
                <w:rFonts w:hint="eastAsia" w:ascii="宋体" w:hAnsi="宋体"/>
                <w:color w:val="auto"/>
                <w:sz w:val="21"/>
                <w:szCs w:val="21"/>
                <w:highlight w:val="none"/>
              </w:rPr>
            </w:pPr>
            <w:r>
              <w:rPr>
                <w:rFonts w:ascii="宋体" w:hAnsi="宋体"/>
                <w:color w:val="auto"/>
                <w:sz w:val="21"/>
                <w:szCs w:val="21"/>
                <w:highlight w:val="none"/>
              </w:rPr>
              <w:t>6</w:t>
            </w:r>
          </w:p>
        </w:tc>
        <w:tc>
          <w:tcPr>
            <w:tcW w:w="2552" w:type="dxa"/>
            <w:vAlign w:val="center"/>
          </w:tcPr>
          <w:p w14:paraId="770AA94D">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弱电机房用电</w:t>
            </w:r>
          </w:p>
        </w:tc>
        <w:tc>
          <w:tcPr>
            <w:tcW w:w="2835" w:type="dxa"/>
            <w:vMerge w:val="continue"/>
            <w:vAlign w:val="center"/>
          </w:tcPr>
          <w:p w14:paraId="6F0DE788">
            <w:pPr>
              <w:spacing w:line="360" w:lineRule="auto"/>
              <w:ind w:left="420"/>
              <w:rPr>
                <w:rFonts w:hint="eastAsia" w:ascii="宋体" w:hAnsi="宋体"/>
                <w:color w:val="auto"/>
                <w:sz w:val="21"/>
                <w:szCs w:val="21"/>
                <w:highlight w:val="none"/>
              </w:rPr>
            </w:pPr>
          </w:p>
        </w:tc>
        <w:tc>
          <w:tcPr>
            <w:tcW w:w="1417" w:type="dxa"/>
            <w:vAlign w:val="center"/>
          </w:tcPr>
          <w:p w14:paraId="0378304A">
            <w:pPr>
              <w:spacing w:line="360" w:lineRule="auto"/>
              <w:jc w:val="center"/>
              <w:rPr>
                <w:rFonts w:hint="eastAsia" w:ascii="宋体" w:hAnsi="宋体"/>
                <w:color w:val="auto"/>
                <w:sz w:val="21"/>
                <w:szCs w:val="21"/>
                <w:highlight w:val="none"/>
              </w:rPr>
            </w:pPr>
            <w:r>
              <w:rPr>
                <w:rFonts w:ascii="宋体" w:hAnsi="宋体"/>
                <w:color w:val="auto"/>
                <w:sz w:val="21"/>
                <w:szCs w:val="21"/>
                <w:highlight w:val="none"/>
              </w:rPr>
              <w:t>0.8</w:t>
            </w:r>
          </w:p>
        </w:tc>
        <w:tc>
          <w:tcPr>
            <w:tcW w:w="1559" w:type="dxa"/>
            <w:vMerge w:val="continue"/>
          </w:tcPr>
          <w:p w14:paraId="34E13F4E">
            <w:pPr>
              <w:spacing w:line="360" w:lineRule="auto"/>
              <w:jc w:val="center"/>
              <w:rPr>
                <w:rFonts w:hint="eastAsia" w:ascii="宋体" w:hAnsi="宋体"/>
                <w:color w:val="auto"/>
                <w:sz w:val="21"/>
                <w:szCs w:val="21"/>
                <w:highlight w:val="none"/>
              </w:rPr>
            </w:pPr>
          </w:p>
        </w:tc>
      </w:tr>
      <w:tr w14:paraId="7576E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678C97E4">
            <w:pPr>
              <w:spacing w:line="360" w:lineRule="auto"/>
              <w:rPr>
                <w:rFonts w:hint="eastAsia" w:ascii="宋体" w:hAnsi="宋体"/>
                <w:color w:val="auto"/>
                <w:sz w:val="21"/>
                <w:szCs w:val="21"/>
                <w:highlight w:val="none"/>
              </w:rPr>
            </w:pPr>
            <w:r>
              <w:rPr>
                <w:rFonts w:ascii="宋体" w:hAnsi="宋体"/>
                <w:color w:val="auto"/>
                <w:sz w:val="21"/>
                <w:szCs w:val="21"/>
                <w:highlight w:val="none"/>
              </w:rPr>
              <w:t>7</w:t>
            </w:r>
          </w:p>
        </w:tc>
        <w:tc>
          <w:tcPr>
            <w:tcW w:w="2552" w:type="dxa"/>
            <w:vAlign w:val="center"/>
          </w:tcPr>
          <w:p w14:paraId="17ABECC8">
            <w:pPr>
              <w:spacing w:line="360" w:lineRule="auto"/>
              <w:rPr>
                <w:rFonts w:hint="eastAsia" w:ascii="宋体" w:hAnsi="宋体"/>
                <w:color w:val="auto"/>
                <w:sz w:val="21"/>
                <w:szCs w:val="21"/>
                <w:highlight w:val="none"/>
              </w:rPr>
            </w:pPr>
            <w:r>
              <w:rPr>
                <w:rFonts w:hint="eastAsia" w:ascii="宋体" w:hAnsi="宋体"/>
                <w:color w:val="auto"/>
                <w:sz w:val="21"/>
                <w:szCs w:val="21"/>
                <w:highlight w:val="none"/>
              </w:rPr>
              <w:t>消防控制室中消防及安防双电源箱用电</w:t>
            </w:r>
          </w:p>
        </w:tc>
        <w:tc>
          <w:tcPr>
            <w:tcW w:w="2835" w:type="dxa"/>
            <w:vAlign w:val="center"/>
          </w:tcPr>
          <w:p w14:paraId="39A77E29">
            <w:pPr>
              <w:spacing w:line="360" w:lineRule="auto"/>
              <w:ind w:left="640" w:leftChars="100" w:hanging="420" w:hangingChars="200"/>
              <w:jc w:val="center"/>
              <w:rPr>
                <w:rFonts w:hint="eastAsia" w:ascii="宋体" w:hAnsi="宋体"/>
                <w:color w:val="auto"/>
                <w:sz w:val="21"/>
                <w:szCs w:val="21"/>
                <w:highlight w:val="none"/>
              </w:rPr>
            </w:pPr>
            <w:r>
              <w:rPr>
                <w:rFonts w:hint="eastAsia" w:ascii="宋体" w:hAnsi="宋体"/>
                <w:color w:val="auto"/>
                <w:sz w:val="21"/>
                <w:szCs w:val="21"/>
                <w:highlight w:val="none"/>
              </w:rPr>
              <w:t>按施工图用电量</w:t>
            </w:r>
          </w:p>
        </w:tc>
        <w:tc>
          <w:tcPr>
            <w:tcW w:w="1417" w:type="dxa"/>
            <w:vAlign w:val="center"/>
          </w:tcPr>
          <w:p w14:paraId="699FCC00">
            <w:pPr>
              <w:spacing w:line="360" w:lineRule="auto"/>
              <w:ind w:left="640" w:leftChars="100" w:hanging="420" w:hangingChars="200"/>
              <w:jc w:val="center"/>
              <w:rPr>
                <w:rFonts w:hint="eastAsia" w:ascii="宋体" w:hAnsi="宋体"/>
                <w:color w:val="auto"/>
                <w:sz w:val="21"/>
                <w:szCs w:val="21"/>
                <w:highlight w:val="none"/>
              </w:rPr>
            </w:pPr>
            <w:r>
              <w:rPr>
                <w:rFonts w:ascii="宋体" w:hAnsi="宋体"/>
                <w:color w:val="auto"/>
                <w:sz w:val="21"/>
                <w:szCs w:val="21"/>
                <w:highlight w:val="none"/>
              </w:rPr>
              <w:t>0.8</w:t>
            </w:r>
          </w:p>
        </w:tc>
        <w:tc>
          <w:tcPr>
            <w:tcW w:w="1559" w:type="dxa"/>
            <w:vMerge w:val="continue"/>
          </w:tcPr>
          <w:p w14:paraId="3262056D">
            <w:pPr>
              <w:spacing w:line="360" w:lineRule="auto"/>
              <w:ind w:left="640" w:leftChars="100" w:hanging="420" w:hangingChars="200"/>
              <w:rPr>
                <w:rFonts w:hint="eastAsia" w:ascii="宋体" w:hAnsi="宋体"/>
                <w:color w:val="auto"/>
                <w:sz w:val="21"/>
                <w:szCs w:val="21"/>
                <w:highlight w:val="none"/>
              </w:rPr>
            </w:pPr>
          </w:p>
        </w:tc>
      </w:tr>
      <w:tr w14:paraId="18005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6EDD56F0">
            <w:pPr>
              <w:spacing w:line="360" w:lineRule="auto"/>
              <w:rPr>
                <w:rFonts w:hint="eastAsia" w:ascii="宋体" w:hAnsi="宋体"/>
                <w:color w:val="auto"/>
                <w:sz w:val="21"/>
                <w:szCs w:val="21"/>
                <w:highlight w:val="none"/>
              </w:rPr>
            </w:pPr>
            <w:r>
              <w:rPr>
                <w:rFonts w:ascii="宋体" w:hAnsi="宋体"/>
                <w:color w:val="auto"/>
                <w:sz w:val="21"/>
                <w:szCs w:val="21"/>
                <w:highlight w:val="none"/>
              </w:rPr>
              <w:t>8</w:t>
            </w:r>
          </w:p>
        </w:tc>
        <w:tc>
          <w:tcPr>
            <w:tcW w:w="2552" w:type="dxa"/>
            <w:vAlign w:val="center"/>
          </w:tcPr>
          <w:p w14:paraId="3C5D2B0D">
            <w:pPr>
              <w:spacing w:line="360" w:lineRule="auto"/>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门楼用电</w:t>
            </w:r>
          </w:p>
        </w:tc>
        <w:tc>
          <w:tcPr>
            <w:tcW w:w="2835" w:type="dxa"/>
            <w:vAlign w:val="center"/>
          </w:tcPr>
          <w:p w14:paraId="5D4960EC">
            <w:pPr>
              <w:spacing w:line="360" w:lineRule="auto"/>
              <w:ind w:left="640" w:leftChars="100" w:hanging="420" w:hangingChars="200"/>
              <w:jc w:val="center"/>
              <w:rPr>
                <w:rFonts w:hint="eastAsia" w:ascii="宋体" w:hAnsi="宋体"/>
                <w:color w:val="auto"/>
                <w:sz w:val="21"/>
                <w:szCs w:val="21"/>
                <w:highlight w:val="none"/>
              </w:rPr>
            </w:pPr>
            <w:r>
              <w:rPr>
                <w:rFonts w:hint="eastAsia" w:ascii="宋体" w:hAnsi="宋体" w:cs="宋体"/>
                <w:color w:val="auto"/>
                <w:kern w:val="0"/>
                <w:sz w:val="21"/>
                <w:szCs w:val="21"/>
                <w:highlight w:val="none"/>
              </w:rPr>
              <w:t>从园林总箱供电时则按园林照明考虑</w:t>
            </w:r>
          </w:p>
        </w:tc>
        <w:tc>
          <w:tcPr>
            <w:tcW w:w="1417" w:type="dxa"/>
            <w:vAlign w:val="center"/>
          </w:tcPr>
          <w:p w14:paraId="63181759">
            <w:pPr>
              <w:spacing w:line="360" w:lineRule="auto"/>
              <w:ind w:left="640" w:leftChars="100" w:hanging="420" w:hangingChars="200"/>
              <w:jc w:val="center"/>
              <w:rPr>
                <w:rFonts w:hint="eastAsia" w:ascii="宋体" w:hAnsi="宋体"/>
                <w:color w:val="auto"/>
                <w:sz w:val="21"/>
                <w:szCs w:val="21"/>
                <w:highlight w:val="none"/>
              </w:rPr>
            </w:pPr>
            <w:r>
              <w:rPr>
                <w:rFonts w:ascii="宋体" w:hAnsi="宋体"/>
                <w:color w:val="auto"/>
                <w:sz w:val="21"/>
                <w:szCs w:val="21"/>
                <w:highlight w:val="none"/>
              </w:rPr>
              <w:t>0.8</w:t>
            </w:r>
          </w:p>
        </w:tc>
        <w:tc>
          <w:tcPr>
            <w:tcW w:w="1559" w:type="dxa"/>
            <w:vMerge w:val="continue"/>
          </w:tcPr>
          <w:p w14:paraId="2E449477">
            <w:pPr>
              <w:spacing w:line="360" w:lineRule="auto"/>
              <w:ind w:left="640" w:leftChars="100" w:hanging="420" w:hangingChars="200"/>
              <w:rPr>
                <w:rFonts w:hint="eastAsia" w:ascii="宋体" w:hAnsi="宋体"/>
                <w:color w:val="auto"/>
                <w:sz w:val="21"/>
                <w:szCs w:val="21"/>
                <w:highlight w:val="none"/>
              </w:rPr>
            </w:pPr>
          </w:p>
        </w:tc>
      </w:tr>
      <w:tr w14:paraId="4A19E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428" w:type="dxa"/>
            <w:vAlign w:val="center"/>
          </w:tcPr>
          <w:p w14:paraId="605498DC">
            <w:pPr>
              <w:spacing w:line="360" w:lineRule="auto"/>
              <w:rPr>
                <w:rFonts w:hint="eastAsia" w:ascii="宋体" w:hAnsi="宋体"/>
                <w:color w:val="auto"/>
                <w:sz w:val="21"/>
                <w:szCs w:val="21"/>
                <w:highlight w:val="none"/>
              </w:rPr>
            </w:pPr>
            <w:r>
              <w:rPr>
                <w:rFonts w:ascii="宋体" w:hAnsi="宋体"/>
                <w:color w:val="auto"/>
                <w:sz w:val="21"/>
                <w:szCs w:val="21"/>
                <w:highlight w:val="none"/>
              </w:rPr>
              <w:t>9</w:t>
            </w:r>
          </w:p>
        </w:tc>
        <w:tc>
          <w:tcPr>
            <w:tcW w:w="2552" w:type="dxa"/>
            <w:vAlign w:val="center"/>
          </w:tcPr>
          <w:p w14:paraId="28792C9B">
            <w:pPr>
              <w:spacing w:line="360" w:lineRule="auto"/>
              <w:rPr>
                <w:rFonts w:hint="eastAsia" w:ascii="宋体" w:hAnsi="宋体"/>
                <w:color w:val="auto"/>
                <w:sz w:val="21"/>
                <w:szCs w:val="21"/>
                <w:highlight w:val="none"/>
              </w:rPr>
            </w:pPr>
            <w:r>
              <w:rPr>
                <w:rFonts w:hint="eastAsia" w:ascii="宋体" w:hAnsi="宋体" w:cs="宋体"/>
                <w:color w:val="auto"/>
                <w:kern w:val="0"/>
                <w:sz w:val="21"/>
                <w:szCs w:val="21"/>
                <w:highlight w:val="none"/>
              </w:rPr>
              <w:t>小区集中排污提升泵</w:t>
            </w:r>
          </w:p>
        </w:tc>
        <w:tc>
          <w:tcPr>
            <w:tcW w:w="2835" w:type="dxa"/>
            <w:vAlign w:val="center"/>
          </w:tcPr>
          <w:p w14:paraId="4BB0F360">
            <w:pPr>
              <w:spacing w:line="360" w:lineRule="auto"/>
              <w:ind w:left="640" w:leftChars="100" w:hanging="420" w:hangingChars="200"/>
              <w:jc w:val="center"/>
              <w:rPr>
                <w:rFonts w:hint="eastAsia" w:ascii="宋体" w:hAnsi="宋体"/>
                <w:color w:val="auto"/>
                <w:sz w:val="21"/>
                <w:szCs w:val="21"/>
                <w:highlight w:val="none"/>
              </w:rPr>
            </w:pPr>
            <w:r>
              <w:rPr>
                <w:rFonts w:hint="eastAsia" w:ascii="宋体" w:hAnsi="宋体"/>
                <w:color w:val="auto"/>
                <w:sz w:val="21"/>
                <w:szCs w:val="21"/>
                <w:highlight w:val="none"/>
              </w:rPr>
              <w:t>按施工图用电量</w:t>
            </w:r>
          </w:p>
        </w:tc>
        <w:tc>
          <w:tcPr>
            <w:tcW w:w="1417" w:type="dxa"/>
            <w:vAlign w:val="center"/>
          </w:tcPr>
          <w:p w14:paraId="5E758523">
            <w:pPr>
              <w:spacing w:line="360" w:lineRule="auto"/>
              <w:ind w:left="640" w:leftChars="100" w:hanging="420" w:hangingChars="200"/>
              <w:jc w:val="center"/>
              <w:rPr>
                <w:rFonts w:hint="eastAsia" w:ascii="宋体" w:hAnsi="宋体"/>
                <w:color w:val="auto"/>
                <w:sz w:val="21"/>
                <w:szCs w:val="21"/>
                <w:highlight w:val="none"/>
              </w:rPr>
            </w:pPr>
            <w:r>
              <w:rPr>
                <w:rFonts w:ascii="宋体" w:hAnsi="宋体"/>
                <w:color w:val="auto"/>
                <w:sz w:val="21"/>
                <w:szCs w:val="21"/>
                <w:highlight w:val="none"/>
              </w:rPr>
              <w:t>0.5</w:t>
            </w:r>
          </w:p>
        </w:tc>
        <w:tc>
          <w:tcPr>
            <w:tcW w:w="1559" w:type="dxa"/>
            <w:vMerge w:val="continue"/>
          </w:tcPr>
          <w:p w14:paraId="5D8172B2">
            <w:pPr>
              <w:spacing w:line="360" w:lineRule="auto"/>
              <w:ind w:left="640" w:leftChars="100" w:hanging="420" w:hangingChars="200"/>
              <w:rPr>
                <w:rFonts w:hint="eastAsia" w:ascii="宋体" w:hAnsi="宋体"/>
                <w:color w:val="auto"/>
                <w:sz w:val="21"/>
                <w:szCs w:val="21"/>
                <w:highlight w:val="none"/>
              </w:rPr>
            </w:pPr>
          </w:p>
        </w:tc>
      </w:tr>
    </w:tbl>
    <w:p w14:paraId="5FDEBA06">
      <w:pPr>
        <w:pStyle w:val="3"/>
        <w:ind w:firstLine="210"/>
        <w:rPr>
          <w:highlight w:val="none"/>
        </w:rPr>
      </w:pPr>
    </w:p>
    <w:p w14:paraId="7E93741C">
      <w:pPr>
        <w:spacing w:line="440" w:lineRule="exact"/>
        <w:ind w:firstLine="421"/>
        <w:rPr>
          <w:rFonts w:hint="eastAsia" w:ascii="宋体" w:hAnsi="宋体" w:eastAsia="宋体" w:cs="宋体"/>
          <w:b/>
          <w:color w:val="auto"/>
          <w:highlight w:val="none"/>
        </w:rPr>
      </w:pPr>
      <w:r>
        <w:rPr>
          <w:rFonts w:hint="eastAsia" w:ascii="宋体" w:hAnsi="宋体" w:eastAsia="宋体" w:cs="宋体"/>
          <w:b/>
          <w:color w:val="auto"/>
          <w:highlight w:val="none"/>
        </w:rPr>
        <w:br w:type="page"/>
      </w:r>
    </w:p>
    <w:p w14:paraId="79DA40A4">
      <w:pPr>
        <w:pStyle w:val="5"/>
        <w:keepNext w:val="0"/>
        <w:keepLines w:val="0"/>
        <w:snapToGrid/>
        <w:spacing w:before="156" w:beforeLines="50" w:after="0"/>
        <w:rPr>
          <w:rFonts w:hint="eastAsia" w:ascii="宋体" w:hAnsi="宋体" w:eastAsia="宋体" w:cs="宋体"/>
          <w:color w:val="auto"/>
          <w:sz w:val="24"/>
          <w:szCs w:val="28"/>
          <w:highlight w:val="none"/>
        </w:rPr>
      </w:pPr>
      <w:bookmarkStart w:id="366" w:name="_Toc8172"/>
      <w:bookmarkStart w:id="367" w:name="_Toc19887"/>
      <w:bookmarkStart w:id="368" w:name="_Toc104581747"/>
      <w:bookmarkStart w:id="369" w:name="_Toc24044"/>
      <w:bookmarkStart w:id="370" w:name="_Toc11976"/>
      <w:r>
        <w:rPr>
          <w:rFonts w:hint="eastAsia" w:ascii="宋体" w:hAnsi="宋体" w:eastAsia="宋体" w:cs="宋体"/>
          <w:color w:val="auto"/>
          <w:sz w:val="24"/>
          <w:szCs w:val="28"/>
          <w:highlight w:val="none"/>
        </w:rPr>
        <w:t>5.智能化设计</w:t>
      </w:r>
      <w:bookmarkEnd w:id="366"/>
      <w:bookmarkEnd w:id="367"/>
      <w:bookmarkEnd w:id="368"/>
      <w:bookmarkEnd w:id="369"/>
      <w:bookmarkEnd w:id="370"/>
    </w:p>
    <w:p w14:paraId="44EED820">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371" w:name="_Toc22583"/>
      <w:r>
        <w:rPr>
          <w:rFonts w:hint="eastAsia" w:ascii="宋体" w:hAnsi="宋体" w:eastAsia="宋体" w:cs="宋体"/>
          <w:color w:val="auto"/>
          <w:sz w:val="24"/>
          <w:szCs w:val="24"/>
          <w:highlight w:val="none"/>
        </w:rPr>
        <w:t>5.1设计依据</w:t>
      </w:r>
      <w:bookmarkEnd w:id="371"/>
    </w:p>
    <w:p w14:paraId="19E629E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5.1.1 在限额设计的基础上保障安置区内用户的通信和人身和财产的安全需要，使所设计的系统满足安全、适用和经济基本需要等性能要求。</w:t>
      </w:r>
    </w:p>
    <w:p w14:paraId="2DE25A7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5.1.2 制定依据使用的标准和规范</w:t>
      </w:r>
    </w:p>
    <w:p w14:paraId="5FB4342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《建筑设计防火规范》                          GB50016-2014(2018版)</w:t>
      </w:r>
    </w:p>
    <w:p w14:paraId="1F41C896">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《建筑通用防火规范》 </w:t>
      </w:r>
      <w:r>
        <w:rPr>
          <w:rFonts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rPr>
        <w:t>GB55037-2022</w:t>
      </w:r>
    </w:p>
    <w:p w14:paraId="39B8E51B">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《消防设施通用规范》 </w:t>
      </w:r>
      <w:r>
        <w:rPr>
          <w:rFonts w:ascii="宋体" w:hAnsi="宋体" w:eastAsia="宋体" w:cs="宋体"/>
          <w:color w:val="auto"/>
          <w:sz w:val="24"/>
          <w:szCs w:val="24"/>
          <w:highlight w:val="none"/>
        </w:rPr>
        <w:t xml:space="preserve">                         GB55036-2022</w:t>
      </w:r>
    </w:p>
    <w:p w14:paraId="053A02A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《建筑物防雷设计规范》                        GB50057-2010</w:t>
      </w:r>
    </w:p>
    <w:p w14:paraId="1D84328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《民用闭路监视电视系统工程技术规范》          GB50198-2011   </w:t>
      </w:r>
    </w:p>
    <w:p w14:paraId="7392726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《有线电视系统工程技术规范》                  GB/T50200-2018</w:t>
      </w:r>
    </w:p>
    <w:p w14:paraId="543BB6B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《人民防空地下室设计规范》                    GB 50038-2005(2023年版)</w:t>
      </w:r>
    </w:p>
    <w:p w14:paraId="11DCF6C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《民用建筑电气设计标准》                      GB51348-2019</w:t>
      </w:r>
    </w:p>
    <w:p w14:paraId="64F3EC8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《建筑物电子信息系统防雷技术规范》            GB50343-2012</w:t>
      </w:r>
    </w:p>
    <w:p w14:paraId="7CC61F1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《住宅建筑规范》                              GB50368-2005</w:t>
      </w:r>
    </w:p>
    <w:p w14:paraId="57A438C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《托儿所、幼儿园建筑设计规范》                JGJ39-2016（2019版）</w:t>
      </w:r>
    </w:p>
    <w:p w14:paraId="52223E5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《住宅建筑电气设计规范》                      JGJ242-2011</w:t>
      </w:r>
    </w:p>
    <w:p w14:paraId="06BDB37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《教育建筑电气设计规范》                      JGJ 310-2013</w:t>
      </w:r>
    </w:p>
    <w:p w14:paraId="3699E63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《民用闭路监视电视系统程技术规范》            GB 50198-2011</w:t>
      </w:r>
    </w:p>
    <w:p w14:paraId="4921C8F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《中小学校和幼儿园安全防范工程技术规范》      DB44/T 834-2010  </w:t>
      </w:r>
    </w:p>
    <w:p w14:paraId="30275E4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《智能建筑设计标准》                          GB 50314-2015</w:t>
      </w:r>
    </w:p>
    <w:p w14:paraId="7159C77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《安全防范工程技术规范》                      GB50348-2018</w:t>
      </w:r>
    </w:p>
    <w:p w14:paraId="1C4677C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《出入口控制系统工程设计规范》                GB 50396-2007</w:t>
      </w:r>
    </w:p>
    <w:p w14:paraId="566EBD4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《全国民用建筑工程设计技术措施--电气》        2009；</w:t>
      </w:r>
    </w:p>
    <w:p w14:paraId="7160236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甲方提供的设计任务书及有关市政条件；</w:t>
      </w:r>
    </w:p>
    <w:p w14:paraId="103B4C16">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372" w:name="_Toc29494"/>
      <w:bookmarkStart w:id="373" w:name="_Toc13652"/>
      <w:bookmarkStart w:id="374" w:name="_Toc104581749"/>
      <w:bookmarkStart w:id="375" w:name="_Toc21554"/>
      <w:r>
        <w:rPr>
          <w:rFonts w:hint="eastAsia" w:ascii="宋体" w:hAnsi="宋体" w:eastAsia="宋体" w:cs="宋体"/>
          <w:color w:val="auto"/>
          <w:sz w:val="24"/>
          <w:szCs w:val="24"/>
          <w:highlight w:val="none"/>
        </w:rPr>
        <w:t>5.2 关键指标</w:t>
      </w:r>
      <w:bookmarkEnd w:id="372"/>
      <w:bookmarkEnd w:id="373"/>
      <w:bookmarkEnd w:id="374"/>
      <w:bookmarkEnd w:id="375"/>
    </w:p>
    <w:p w14:paraId="4DE2B2D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5.2.1 系统设计种类</w:t>
      </w:r>
    </w:p>
    <w:p w14:paraId="0CF3F3E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严格控制所设计的系统种类，以保障安置区内用户的通信和人身和财产的安全需要为基准，并适当预留各系统对外网络接口，在满足规范、验收和节约成本的前提下满足后期扩展需要。</w:t>
      </w:r>
    </w:p>
    <w:p w14:paraId="05E143F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5.2.1 智能化设计系统种类</w:t>
      </w:r>
    </w:p>
    <w:p w14:paraId="2DF9C435">
      <w:pPr>
        <w:spacing w:line="360" w:lineRule="auto"/>
        <w:ind w:firstLine="480" w:firstLineChars="200"/>
        <w:rPr>
          <w:rFonts w:hint="eastAsia" w:ascii="宋体" w:hAnsi="宋体" w:eastAsia="宋体" w:cs="宋体"/>
          <w:color w:val="auto"/>
          <w:sz w:val="24"/>
          <w:szCs w:val="24"/>
          <w:highlight w:val="none"/>
        </w:rPr>
      </w:pPr>
      <w:bookmarkStart w:id="376" w:name="_Toc13787"/>
      <w:bookmarkStart w:id="377" w:name="_Toc104581751"/>
      <w:bookmarkStart w:id="378" w:name="_Toc18799"/>
      <w:bookmarkStart w:id="379" w:name="_Toc17257"/>
      <w:r>
        <w:rPr>
          <w:rFonts w:hint="eastAsia" w:ascii="宋体" w:hAnsi="宋体" w:eastAsia="宋体" w:cs="宋体"/>
          <w:color w:val="auto"/>
          <w:sz w:val="24"/>
          <w:szCs w:val="24"/>
          <w:highlight w:val="none"/>
        </w:rPr>
        <w:t>居住建筑部分（含裙房部分的商业网点）：有线电视系统、信息网络系统、综合布线系统、视频安防监控系统、访客对讲系统、停车场管理系统、电子巡查管理系统、电梯五方对讲系统、机房工程</w:t>
      </w:r>
      <w:bookmarkStart w:id="380" w:name="OLE_LINK13"/>
      <w:r>
        <w:rPr>
          <w:rFonts w:hint="eastAsia" w:ascii="宋体" w:hAnsi="宋体" w:eastAsia="宋体" w:cs="宋体"/>
          <w:color w:val="auto"/>
          <w:sz w:val="24"/>
          <w:szCs w:val="24"/>
          <w:highlight w:val="none"/>
        </w:rPr>
        <w:t>，5G信号覆盖系统</w:t>
      </w:r>
      <w:bookmarkEnd w:id="380"/>
      <w:r>
        <w:rPr>
          <w:rFonts w:hint="eastAsia" w:ascii="宋体" w:hAnsi="宋体" w:eastAsia="宋体" w:cs="宋体"/>
          <w:color w:val="auto"/>
          <w:sz w:val="24"/>
          <w:szCs w:val="24"/>
          <w:highlight w:val="none"/>
        </w:rPr>
        <w:t>。</w:t>
      </w:r>
    </w:p>
    <w:p w14:paraId="61E8FEC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公建配套部分（指独立型建筑）：有线电视系统、信息网络系统、综合布线系统、视频安防监控系统、访客对讲系统、停车场管理系统、电梯五方对讲系统、机房工程，5G信号覆盖系统。</w:t>
      </w:r>
    </w:p>
    <w:p w14:paraId="42838DE8">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5.3 通用指标</w:t>
      </w:r>
      <w:bookmarkEnd w:id="376"/>
      <w:bookmarkEnd w:id="377"/>
      <w:bookmarkEnd w:id="378"/>
      <w:bookmarkEnd w:id="379"/>
    </w:p>
    <w:p w14:paraId="4BE7E728">
      <w:pPr>
        <w:spacing w:line="360" w:lineRule="auto"/>
        <w:jc w:val="center"/>
        <w:rPr>
          <w:rFonts w:hint="eastAsia" w:ascii="宋体" w:hAnsi="宋体" w:eastAsia="宋体" w:cs="宋体"/>
          <w:b/>
          <w:bCs/>
          <w:color w:val="auto"/>
          <w:sz w:val="24"/>
          <w:szCs w:val="24"/>
          <w:highlight w:val="none"/>
        </w:rPr>
      </w:pPr>
      <w:r>
        <w:rPr>
          <w:rFonts w:hint="eastAsia" w:ascii="宋体" w:hAnsi="宋体" w:eastAsia="宋体" w:cs="宋体"/>
          <w:b/>
          <w:color w:val="auto"/>
          <w:sz w:val="24"/>
          <w:szCs w:val="24"/>
          <w:highlight w:val="none"/>
        </w:rPr>
        <w:t>Ⅰ居</w:t>
      </w:r>
      <w:r>
        <w:rPr>
          <w:rFonts w:hint="eastAsia" w:ascii="宋体" w:hAnsi="宋体" w:eastAsia="宋体" w:cs="宋体"/>
          <w:b/>
          <w:bCs/>
          <w:color w:val="auto"/>
          <w:sz w:val="24"/>
          <w:szCs w:val="24"/>
          <w:highlight w:val="none"/>
        </w:rPr>
        <w:t>住建筑智能化设计</w:t>
      </w:r>
    </w:p>
    <w:p w14:paraId="1A9BB643">
      <w:pPr>
        <w:pStyle w:val="24"/>
        <w:numPr>
          <w:ilvl w:val="0"/>
          <w:numId w:val="4"/>
        </w:numPr>
        <w:snapToGrid w:val="0"/>
        <w:ind w:firstLine="482"/>
        <w:rPr>
          <w:rFonts w:hint="eastAsia" w:hAnsi="宋体" w:cs="宋体"/>
          <w:b/>
          <w:bCs/>
          <w:szCs w:val="24"/>
          <w:highlight w:val="none"/>
        </w:rPr>
      </w:pPr>
      <w:r>
        <w:rPr>
          <w:rFonts w:hint="eastAsia" w:hAnsi="宋体" w:cs="宋体"/>
          <w:b/>
          <w:bCs/>
          <w:szCs w:val="24"/>
          <w:highlight w:val="none"/>
        </w:rPr>
        <w:t>一般规定</w:t>
      </w:r>
    </w:p>
    <w:p w14:paraId="62ABDBD0">
      <w:pPr>
        <w:pStyle w:val="85"/>
        <w:snapToGrid w:val="0"/>
        <w:spacing w:before="0" w:beforeAutospacing="0" w:after="0" w:afterAutospacing="0" w:line="360" w:lineRule="auto"/>
        <w:ind w:left="440" w:leftChars="200" w:firstLine="480"/>
        <w:rPr>
          <w:rFonts w:hint="eastAsia" w:ascii="宋体" w:hAnsi="宋体" w:cs="宋体"/>
          <w:kern w:val="44"/>
          <w:sz w:val="24"/>
          <w:szCs w:val="24"/>
          <w:highlight w:val="none"/>
        </w:rPr>
      </w:pPr>
      <w:r>
        <w:rPr>
          <w:rFonts w:hint="eastAsia" w:ascii="宋体" w:hAnsi="宋体" w:cs="宋体"/>
          <w:kern w:val="44"/>
          <w:sz w:val="24"/>
          <w:szCs w:val="24"/>
          <w:highlight w:val="none"/>
        </w:rPr>
        <w:t>1.1 应遵循安全可靠、经济合理、安装维护方便的原则。</w:t>
      </w:r>
    </w:p>
    <w:p w14:paraId="761CB298">
      <w:pPr>
        <w:pStyle w:val="85"/>
        <w:snapToGrid w:val="0"/>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1.2 设计内容包括：有线电视系统、信息网络系统、综合布线系统、视频安防监控系统、访客对讲系统、停车场管理系统、电子巡查管理系统、电梯五方对讲系统和机房工程。</w:t>
      </w:r>
    </w:p>
    <w:p w14:paraId="45FC70F9">
      <w:pPr>
        <w:pStyle w:val="85"/>
        <w:snapToGrid w:val="0"/>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1.3 智能化系统管理中心（有线电视系统除外）宜与小区消防控制中心合并或紧邻设置。</w:t>
      </w:r>
    </w:p>
    <w:p w14:paraId="0086CEC3">
      <w:pPr>
        <w:pStyle w:val="85"/>
        <w:snapToGrid w:val="0"/>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1.4 智能化系统的设计应充分考虑各专业的协调配合。</w:t>
      </w:r>
    </w:p>
    <w:p w14:paraId="4EB6BB32">
      <w:pPr>
        <w:pStyle w:val="85"/>
        <w:snapToGrid w:val="0"/>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1.5 各功能区域、各智能化系统应作为一个整体进行统筹优化设计，既满足各功能区域智能化系统的有机联系，又满足各系统独立管理的要求。</w:t>
      </w:r>
    </w:p>
    <w:p w14:paraId="53385B62">
      <w:pPr>
        <w:pStyle w:val="85"/>
        <w:snapToGrid w:val="0"/>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1.6 系统设计与设备选型应采用先进成熟、稳定可靠的主流技术和主流产品，并已在国内工程得到成熟应用的技术和设备。</w:t>
      </w:r>
    </w:p>
    <w:p w14:paraId="3416AB53">
      <w:pPr>
        <w:pStyle w:val="85"/>
        <w:snapToGrid w:val="0"/>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1.7 所有系统设备应选用标准化产品，设备选型应与技术发展的趋势相适应。遵循开放性原则，软件、硬件、通信接口、网络操作系统和数据库管理系统等应符合国际标准，使系统具备良好的兼容性和扩展性。</w:t>
      </w:r>
    </w:p>
    <w:p w14:paraId="64B75821">
      <w:pPr>
        <w:pStyle w:val="85"/>
        <w:snapToGrid w:val="0"/>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1.8 系统软件应采用中文操作界面。</w:t>
      </w:r>
    </w:p>
    <w:p w14:paraId="68BCE70B">
      <w:pPr>
        <w:pStyle w:val="85"/>
        <w:snapToGrid w:val="0"/>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1.9 各建筑物应预埋一定数量的弱电进户管道与室外的管网相连。每个地下室侧壁预留2处4*SC100套管位置。</w:t>
      </w:r>
    </w:p>
    <w:p w14:paraId="31F870E8">
      <w:pPr>
        <w:adjustRightInd w:val="0"/>
        <w:spacing w:line="360" w:lineRule="auto"/>
        <w:jc w:val="center"/>
        <w:rPr>
          <w:rFonts w:hint="eastAsia" w:ascii="宋体" w:hAnsi="宋体" w:eastAsia="宋体" w:cs="宋体"/>
          <w:b/>
          <w:bCs/>
          <w:color w:val="auto"/>
          <w:kern w:val="0"/>
          <w:sz w:val="21"/>
          <w:szCs w:val="21"/>
          <w:highlight w:val="none"/>
        </w:rPr>
      </w:pPr>
      <w:r>
        <w:rPr>
          <w:rFonts w:hint="eastAsia" w:ascii="宋体" w:hAnsi="宋体" w:cs="宋体"/>
          <w:color w:val="auto"/>
          <w:kern w:val="44"/>
          <w:sz w:val="24"/>
          <w:szCs w:val="24"/>
          <w:highlight w:val="none"/>
        </w:rPr>
        <w:t>1.10住宅套内应设家居配线箱，并满足ONU、路由器、分支分配器等设备安装实际需要尺寸大小。家居配线箱应含有电源插座。户内家居配线箱宜设在入户门侧（优选门后）或沙发后，其尺寸最终以厂家深化后为准。前期宜按如下尺寸设计：</w:t>
      </w:r>
    </w:p>
    <w:tbl>
      <w:tblPr>
        <w:tblStyle w:val="42"/>
        <w:tblW w:w="859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732"/>
        <w:gridCol w:w="2732"/>
        <w:gridCol w:w="3133"/>
      </w:tblGrid>
      <w:tr w14:paraId="4DC3C6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732" w:type="dxa"/>
          </w:tcPr>
          <w:p w14:paraId="23103AF1">
            <w:pPr>
              <w:adjustRightInd w:val="0"/>
              <w:spacing w:line="360" w:lineRule="auto"/>
              <w:jc w:val="center"/>
              <w:rPr>
                <w:rFonts w:hint="eastAsia" w:ascii="宋体" w:hAnsi="宋体" w:eastAsia="宋体" w:cs="宋体"/>
                <w:b/>
                <w:bCs/>
                <w:color w:val="auto"/>
                <w:kern w:val="0"/>
                <w:sz w:val="21"/>
                <w:szCs w:val="21"/>
                <w:highlight w:val="none"/>
              </w:rPr>
            </w:pPr>
            <w:r>
              <w:rPr>
                <w:rFonts w:ascii="宋体" w:hAnsi="宋体" w:eastAsia="宋体" w:cs="宋体"/>
                <w:b/>
                <w:bCs/>
                <w:color w:val="auto"/>
                <w:kern w:val="0"/>
                <w:sz w:val="21"/>
                <w:szCs w:val="21"/>
                <w:highlight w:val="none"/>
              </w:rPr>
              <w:t>配线箱留洞尺寸WxHxD(mm)</w:t>
            </w:r>
          </w:p>
        </w:tc>
        <w:tc>
          <w:tcPr>
            <w:tcW w:w="2732" w:type="dxa"/>
          </w:tcPr>
          <w:p w14:paraId="40B1EE0B">
            <w:pPr>
              <w:adjustRightInd w:val="0"/>
              <w:spacing w:line="360" w:lineRule="auto"/>
              <w:jc w:val="center"/>
              <w:rPr>
                <w:rFonts w:hint="eastAsia" w:ascii="宋体" w:hAnsi="宋体" w:eastAsia="宋体" w:cs="宋体"/>
                <w:b/>
                <w:bCs/>
                <w:color w:val="auto"/>
                <w:kern w:val="0"/>
                <w:sz w:val="21"/>
                <w:szCs w:val="21"/>
                <w:highlight w:val="none"/>
              </w:rPr>
            </w:pPr>
            <w:r>
              <w:rPr>
                <w:rFonts w:ascii="宋体" w:hAnsi="宋体" w:eastAsia="宋体" w:cs="宋体"/>
                <w:b/>
                <w:bCs/>
                <w:color w:val="auto"/>
                <w:kern w:val="0"/>
                <w:sz w:val="21"/>
                <w:szCs w:val="21"/>
                <w:highlight w:val="none"/>
              </w:rPr>
              <w:t>配线箱尺寸WxHxD(mm)</w:t>
            </w:r>
          </w:p>
        </w:tc>
        <w:tc>
          <w:tcPr>
            <w:tcW w:w="3133" w:type="dxa"/>
          </w:tcPr>
          <w:p w14:paraId="0505E235">
            <w:pPr>
              <w:adjustRightInd w:val="0"/>
              <w:spacing w:line="360" w:lineRule="auto"/>
              <w:jc w:val="center"/>
              <w:rPr>
                <w:rFonts w:hint="eastAsia" w:ascii="宋体" w:hAnsi="宋体" w:eastAsia="宋体" w:cs="宋体"/>
                <w:b/>
                <w:bCs/>
                <w:color w:val="auto"/>
                <w:kern w:val="0"/>
                <w:sz w:val="21"/>
                <w:szCs w:val="21"/>
                <w:highlight w:val="none"/>
              </w:rPr>
            </w:pPr>
            <w:r>
              <w:rPr>
                <w:rFonts w:ascii="宋体" w:hAnsi="宋体" w:eastAsia="宋体" w:cs="宋体"/>
                <w:b/>
                <w:bCs/>
                <w:color w:val="auto"/>
                <w:kern w:val="0"/>
                <w:sz w:val="21"/>
                <w:szCs w:val="21"/>
                <w:highlight w:val="none"/>
              </w:rPr>
              <w:t>底边距地嵌墙安装高高度(mm)</w:t>
            </w:r>
          </w:p>
        </w:tc>
      </w:tr>
      <w:tr w14:paraId="39353A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732" w:type="dxa"/>
          </w:tcPr>
          <w:p w14:paraId="6A9B308B">
            <w:pPr>
              <w:pStyle w:val="83"/>
              <w:snapToGrid w:val="0"/>
              <w:spacing w:line="360" w:lineRule="auto"/>
              <w:jc w:val="center"/>
              <w:rPr>
                <w:rFonts w:cs="宋体" w:eastAsiaTheme="minorEastAsia"/>
                <w:color w:val="auto"/>
                <w:kern w:val="44"/>
                <w:szCs w:val="24"/>
                <w:highlight w:val="none"/>
              </w:rPr>
            </w:pPr>
            <w:r>
              <w:rPr>
                <w:rFonts w:cs="宋体" w:eastAsiaTheme="minorEastAsia"/>
                <w:color w:val="auto"/>
                <w:kern w:val="44"/>
                <w:szCs w:val="24"/>
                <w:highlight w:val="none"/>
              </w:rPr>
              <w:t>450x350x120</w:t>
            </w:r>
          </w:p>
        </w:tc>
        <w:tc>
          <w:tcPr>
            <w:tcW w:w="2732" w:type="dxa"/>
          </w:tcPr>
          <w:p w14:paraId="5EA223A7">
            <w:pPr>
              <w:pStyle w:val="83"/>
              <w:snapToGrid w:val="0"/>
              <w:spacing w:line="360" w:lineRule="auto"/>
              <w:jc w:val="center"/>
              <w:rPr>
                <w:rFonts w:cs="宋体" w:eastAsiaTheme="minorEastAsia"/>
                <w:color w:val="auto"/>
                <w:kern w:val="44"/>
                <w:szCs w:val="24"/>
                <w:highlight w:val="none"/>
              </w:rPr>
            </w:pPr>
            <w:r>
              <w:rPr>
                <w:rFonts w:cs="宋体" w:eastAsiaTheme="minorEastAsia"/>
                <w:color w:val="auto"/>
                <w:kern w:val="44"/>
                <w:szCs w:val="24"/>
                <w:highlight w:val="none"/>
              </w:rPr>
              <w:t>400x300x120</w:t>
            </w:r>
          </w:p>
        </w:tc>
        <w:tc>
          <w:tcPr>
            <w:tcW w:w="3133" w:type="dxa"/>
          </w:tcPr>
          <w:p w14:paraId="0D3EB1BC">
            <w:pPr>
              <w:pStyle w:val="83"/>
              <w:snapToGrid w:val="0"/>
              <w:spacing w:line="360" w:lineRule="auto"/>
              <w:jc w:val="center"/>
              <w:rPr>
                <w:rFonts w:cs="宋体" w:eastAsiaTheme="minorEastAsia"/>
                <w:color w:val="auto"/>
                <w:kern w:val="44"/>
                <w:szCs w:val="24"/>
                <w:highlight w:val="none"/>
              </w:rPr>
            </w:pPr>
            <w:r>
              <w:rPr>
                <w:rFonts w:cs="宋体" w:eastAsiaTheme="minorEastAsia"/>
                <w:color w:val="auto"/>
                <w:kern w:val="44"/>
                <w:szCs w:val="24"/>
                <w:highlight w:val="none"/>
              </w:rPr>
              <w:t>500</w:t>
            </w:r>
          </w:p>
        </w:tc>
      </w:tr>
    </w:tbl>
    <w:p w14:paraId="4A1741AD">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户内多媒体箱箱底壳选用冷轧钢板或镀锌钢板材料，冷轧钢板表面做亚光喷塑，壳底厚度不小于1.2mm，面板采用ABS阻燃塑料，面板最薄处板厚不小于2.0mm。弱电箱内自带一个单相五孔插座。</w:t>
      </w:r>
    </w:p>
    <w:p w14:paraId="793F681B">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1.11楼层分纤箱内须预留不少于10%冗余。</w:t>
      </w:r>
    </w:p>
    <w:p w14:paraId="1089C0FB">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1.12 户内数据线类型：采用非屏蔽超5类线。</w:t>
      </w:r>
    </w:p>
    <w:p w14:paraId="0FBD29B0">
      <w:pPr>
        <w:pStyle w:val="85"/>
        <w:spacing w:before="0" w:beforeAutospacing="0" w:after="0" w:afterAutospacing="0" w:line="360" w:lineRule="auto"/>
        <w:ind w:left="442" w:leftChars="201" w:firstLine="14" w:firstLineChars="6"/>
        <w:rPr>
          <w:rFonts w:hint="eastAsia" w:ascii="宋体" w:hAnsi="宋体" w:cs="宋体"/>
          <w:kern w:val="44"/>
          <w:sz w:val="24"/>
          <w:szCs w:val="24"/>
          <w:highlight w:val="none"/>
        </w:rPr>
      </w:pPr>
      <w:r>
        <w:rPr>
          <w:rFonts w:hint="eastAsia" w:ascii="宋体" w:hAnsi="宋体" w:cs="宋体"/>
          <w:kern w:val="44"/>
          <w:sz w:val="24"/>
          <w:szCs w:val="24"/>
          <w:highlight w:val="none"/>
        </w:rPr>
        <w:t>1.13 通信、网络主机以及各弱电系统主控制机应采用UPS不间断电源供电。其连续供电时间不应小于60min。</w:t>
      </w:r>
    </w:p>
    <w:p w14:paraId="66F509DF">
      <w:pPr>
        <w:pStyle w:val="24"/>
        <w:numPr>
          <w:ilvl w:val="0"/>
          <w:numId w:val="4"/>
        </w:numPr>
        <w:ind w:firstLine="482"/>
        <w:rPr>
          <w:rFonts w:hint="eastAsia" w:hAnsi="宋体" w:cs="宋体"/>
          <w:b/>
          <w:bCs/>
          <w:szCs w:val="24"/>
          <w:highlight w:val="none"/>
        </w:rPr>
      </w:pPr>
      <w:r>
        <w:rPr>
          <w:rFonts w:hint="eastAsia" w:hAnsi="宋体" w:cs="宋体"/>
          <w:b/>
          <w:bCs/>
          <w:szCs w:val="24"/>
          <w:highlight w:val="none"/>
        </w:rPr>
        <w:t>有线电视系统</w:t>
      </w:r>
    </w:p>
    <w:p w14:paraId="61888E0C">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2.1 有线电视系统的线路从弱电管井穿塑料管暗敷至住宅套内的家居配线箱，从家居配线箱引出穿塑料管暗敷至起居室、主卧室电视机预留位置。</w:t>
      </w:r>
    </w:p>
    <w:p w14:paraId="4EBE3AA0">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2.2 每套住宅的有线电视进户线按不少于两芯光纤；起居室、主卧室内各设一个电视插座，插座安装高度按离地300㎜布置（有家具处按照家具高度定），且应与电源插座安装高度一致。</w:t>
      </w:r>
    </w:p>
    <w:p w14:paraId="72DBE4EA">
      <w:pPr>
        <w:pStyle w:val="24"/>
        <w:numPr>
          <w:ilvl w:val="0"/>
          <w:numId w:val="4"/>
        </w:numPr>
        <w:ind w:firstLine="482"/>
        <w:rPr>
          <w:rFonts w:hint="eastAsia" w:hAnsi="宋体" w:cs="宋体"/>
          <w:b/>
          <w:bCs/>
          <w:szCs w:val="24"/>
          <w:highlight w:val="none"/>
        </w:rPr>
      </w:pPr>
      <w:r>
        <w:rPr>
          <w:rFonts w:hint="eastAsia" w:hAnsi="宋体" w:cs="宋体"/>
          <w:b/>
          <w:bCs/>
          <w:szCs w:val="24"/>
          <w:highlight w:val="none"/>
        </w:rPr>
        <w:t>信息网络系统</w:t>
      </w:r>
    </w:p>
    <w:p w14:paraId="78E9C836">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3.1 信息网络系统宜采用当地信息网络业务经营商提供的运营方式。传输方式应采用光纤到户（FTTH）的形式。</w:t>
      </w:r>
    </w:p>
    <w:p w14:paraId="3BB2AC57">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3.2 通信设备间及电信间</w:t>
      </w:r>
    </w:p>
    <w:p w14:paraId="508A4EA9">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3.2.1 每一个住宅区应设置一个通信设备间（满足3家运营商使用），通信设备间宜设置在地下一层或首层。</w:t>
      </w:r>
    </w:p>
    <w:p w14:paraId="64F8870E">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3.2.2 每一个高层住宅楼或每300户宜设置一个电信间，电信间宜设置在地下一层或首层。</w:t>
      </w:r>
    </w:p>
    <w:p w14:paraId="2D61FFE0">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3.2.3 通信设备间面积应根据项目规模考虑，不宜小于30㎡，电信间面积不应小于4000×2500㎜。</w:t>
      </w:r>
    </w:p>
    <w:p w14:paraId="23A1FB69">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3.2.4 设置设备专网满足停车场管理系统、视频安防监控系统、可视对讲系统等系统的网络需求，网络设备配置应满足末端设备信号传输或相关规范的要求。</w:t>
      </w:r>
    </w:p>
    <w:p w14:paraId="1836A61E">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3.2.5 设备专网核心交换机、防火墙等由监控中心UPS配电箱供电，弱电间等区域接入层交换机设备电源取自该层的弱电井中相应的供电回路。</w:t>
      </w:r>
    </w:p>
    <w:p w14:paraId="038F7E81">
      <w:pPr>
        <w:pStyle w:val="24"/>
        <w:numPr>
          <w:ilvl w:val="0"/>
          <w:numId w:val="4"/>
        </w:numPr>
        <w:ind w:firstLine="482"/>
        <w:rPr>
          <w:rFonts w:hint="eastAsia" w:hAnsi="宋体" w:cs="宋体"/>
          <w:b/>
          <w:bCs/>
          <w:szCs w:val="24"/>
          <w:highlight w:val="none"/>
        </w:rPr>
      </w:pPr>
      <w:r>
        <w:rPr>
          <w:rFonts w:hint="eastAsia" w:hAnsi="宋体" w:cs="宋体"/>
          <w:b/>
          <w:bCs/>
          <w:szCs w:val="24"/>
          <w:highlight w:val="none"/>
        </w:rPr>
        <w:t>综合布线系统</w:t>
      </w:r>
    </w:p>
    <w:p w14:paraId="32F4D7C8">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4.1 综合布线系统主要作为数据和语音（电话）通信系统的传输介质，满足支持语音、数据、图像、多媒体业务等信息传输的要求。</w:t>
      </w:r>
    </w:p>
    <w:p w14:paraId="7606E0FB">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4.2 建筑物内数据及语音信息点的数量应根据用户使用需求确定，并应预留足够余量。</w:t>
      </w:r>
    </w:p>
    <w:p w14:paraId="00F1E869">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4.3 综合布线系统宜采用分层星型的拓扑结构，并与应用系统的网络结构相适应。</w:t>
      </w:r>
    </w:p>
    <w:p w14:paraId="5B6DB4EC">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4.4 综合布线系统采用光纤入户设计。</w:t>
      </w:r>
    </w:p>
    <w:p w14:paraId="1AC2A518">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4.5 光纤选择原则：用户接入点至楼层配线箱之间的用户光缆应采用G.652光纤；楼层配线箱至家居配线箱之间的用户光缆应采用G.657光纤。室内光缆宜采用干式+非延燃外护层等结构；室外光缆宜采用干式+防潮层+非延燃外护层等结构。</w:t>
      </w:r>
    </w:p>
    <w:p w14:paraId="3844431D">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4.6 光纤到户（FTTH）系统的线路从弱电管井穿塑料管暗敷至住宅套内的家居配线箱，从家居配线箱引出穿塑料管暗敷至起居室、主卧室、书房信息插座预留位置。</w:t>
      </w:r>
    </w:p>
    <w:p w14:paraId="2DCF8E9F">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4.7 每套住宅的系统进户线按不少两芯光纤；起居室、主卧室内设电话信息插座、电脑信息插座和有线电视信息插座，其且应与电源插座安装高度一致。信息插座安装高度、敷设方式和布置数详见装修专业为准。</w:t>
      </w:r>
    </w:p>
    <w:p w14:paraId="0E9F307F">
      <w:pPr>
        <w:pStyle w:val="24"/>
        <w:numPr>
          <w:ilvl w:val="0"/>
          <w:numId w:val="4"/>
        </w:numPr>
        <w:ind w:firstLine="482"/>
        <w:rPr>
          <w:rFonts w:hint="eastAsia" w:hAnsi="宋体" w:cs="宋体"/>
          <w:b/>
          <w:bCs/>
          <w:szCs w:val="24"/>
          <w:highlight w:val="none"/>
        </w:rPr>
      </w:pPr>
      <w:r>
        <w:rPr>
          <w:rFonts w:hint="eastAsia" w:hAnsi="宋体" w:cs="宋体"/>
          <w:b/>
          <w:bCs/>
          <w:szCs w:val="24"/>
          <w:highlight w:val="none"/>
        </w:rPr>
        <w:t>视频安防监控系统</w:t>
      </w:r>
    </w:p>
    <w:p w14:paraId="0C143D99">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 原则上一个地块设置一个监控中心。</w:t>
      </w:r>
    </w:p>
    <w:p w14:paraId="7F8BD8AA">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5.2 主要对小区内地下停车场（针对主干车道及车场出入口）、小区各出入口、管理处前台、公共活动场所、电梯桥箱、首层电梯前厅、地下室电梯厅、住宅电梯首层及顶层出入口等重要部位进行全天候24小时监视。</w:t>
      </w:r>
    </w:p>
    <w:p w14:paraId="3303F9E7">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5.3 系统要求采用全彩色的视频安防监控系统，系统数据传输采用以太网方式。</w:t>
      </w:r>
    </w:p>
    <w:p w14:paraId="3A96EE68">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5.4 摄像机设置的原则是监视重点的部位，例如：住宅首层大堂、电梯桥箱、地下室电梯厅、首层及顶层楼梯间出入口、小区各主要出入口、公共活动场所、地下层主要设立在主干车道上方。小区园区内其他地方仅作系统预留接口。</w:t>
      </w:r>
    </w:p>
    <w:p w14:paraId="4B44DD4E">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5.5 系统前端摄像机的设置应根据环境特点进行选择，一般情况下摄像机采用定焦距、定方向的固定安装方式，选用日夜型自动光圈镜头并配防护罩，采用红外或日夜转换型彩色摄像机，摄像机分辨率不低于1080P。地面层以上及核心筒内的根据情况选择，摄像机宜采用4㎜~6㎜的镜头，地下层停车场内的根据情况选择，摄像机暂宜用6㎜~12㎜的镜头。</w:t>
      </w:r>
    </w:p>
    <w:p w14:paraId="2BEAC4CA">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5.6 摄像机灵敏度应能适应防护目标光照度的变化，适应防护目标的最低照度条件，对于没有夜间照明的场所采用红外线摄像机。</w:t>
      </w:r>
    </w:p>
    <w:p w14:paraId="688C4FD9">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5.7 所有楼栋带生活阳台正立面配置高空抛物摄像机。</w:t>
      </w:r>
    </w:p>
    <w:p w14:paraId="69E02932">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5.8 小区各主要入口方向安装人脸抓拍摄像机，住宅首层楼栋单元门入口安装人脸抓怕摄像机。</w:t>
      </w:r>
    </w:p>
    <w:p w14:paraId="57995C8C">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5.9 系统显示、记录、回放图像的质量应满足管理及取证的要求。</w:t>
      </w:r>
    </w:p>
    <w:p w14:paraId="31804A97">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5.10 系统应具有如下功能：</w:t>
      </w:r>
    </w:p>
    <w:p w14:paraId="21BA53A1">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5.10.1 画面定格和多路报警显示，对多路摄像信号具有实时传输、切换显示、后备存储等功能。</w:t>
      </w:r>
    </w:p>
    <w:p w14:paraId="042719FD">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5.10.2 应能任意设定视频警戒区域。</w:t>
      </w:r>
    </w:p>
    <w:p w14:paraId="6B1CB1DC">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5.10.3 画面显示应能任意编程，具有自动、手动切换功能或多画面显示功能。</w:t>
      </w:r>
    </w:p>
    <w:p w14:paraId="46E0328B">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5.10.4 在画面上应有摄像机的编号、部位、地址和时间、日期显示。</w:t>
      </w:r>
    </w:p>
    <w:p w14:paraId="21FFCE72">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5.10.5 对多画面显示系统应具有多画面、单画面转换、定格等功能。</w:t>
      </w:r>
    </w:p>
    <w:p w14:paraId="6D9FBDFC">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5.11 室外安装的摄像机及设备应有相应可靠的防雷措施。</w:t>
      </w:r>
    </w:p>
    <w:p w14:paraId="24484CD5">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5.12 系统图像要求通过嵌入式数字硬盘录像机记录存储，要求采用全D1嵌入数学硬盘录像机，图像存储质量不低于1080P，图像记录资料至少保留30天以上。</w:t>
      </w:r>
    </w:p>
    <w:p w14:paraId="04B84A98">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5.13 中央处理部分布置应具方便操作及维护，监视器采用100Hz逐行扫描方式，防止产生屏幕闪烁，每个监视器按16或32分隔画面进行计算，并预留一台显示器作单画面轮询设计。</w:t>
      </w:r>
    </w:p>
    <w:p w14:paraId="2D125A13">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5.14 系统供电方式：系统中央处理部分必须接不间断电源，以确保系统运行的稳定性；摄像机电源宜采用POE供电方式，或取自就近弱电井中相应的供电回路。</w:t>
      </w:r>
    </w:p>
    <w:p w14:paraId="34164EDD">
      <w:pPr>
        <w:pStyle w:val="24"/>
        <w:numPr>
          <w:ilvl w:val="0"/>
          <w:numId w:val="4"/>
        </w:numPr>
        <w:ind w:firstLine="482"/>
        <w:rPr>
          <w:rFonts w:hint="eastAsia" w:hAnsi="宋体" w:cs="宋体"/>
          <w:b/>
          <w:bCs/>
          <w:szCs w:val="24"/>
          <w:highlight w:val="none"/>
        </w:rPr>
      </w:pPr>
      <w:r>
        <w:rPr>
          <w:rFonts w:hint="eastAsia" w:hAnsi="宋体" w:cs="宋体"/>
          <w:b/>
          <w:bCs/>
          <w:szCs w:val="24"/>
          <w:highlight w:val="none"/>
        </w:rPr>
        <w:t>访客对讲系统</w:t>
      </w:r>
    </w:p>
    <w:p w14:paraId="56DC4475">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6.1 访客对讲系统采用彩色可视对讲系统。</w:t>
      </w:r>
    </w:p>
    <w:p w14:paraId="5B3B23FB">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6.2 采用以太网通信方式的访客对讲系统。</w:t>
      </w:r>
    </w:p>
    <w:p w14:paraId="06E0281B">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6.3 系统应独立设计其工作状态及报警信号应送到小区管理（或监控）中心。</w:t>
      </w:r>
    </w:p>
    <w:p w14:paraId="606F5811">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6.4 标准层从弱电井至各个套内分支线路采用穿塑料管沿墙及楼板暗敷。</w:t>
      </w:r>
    </w:p>
    <w:p w14:paraId="2A927039">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6.5 系统的对讲门口机设在地下层住户大堂主要出入口、首层住户大堂主要出入口；对讲室内机设置在每户套内靠近入门口处适当的位置，其安装高度为1400㎜。</w:t>
      </w:r>
    </w:p>
    <w:p w14:paraId="4EE811B3">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6.6 对讲室内机带有外接门铃按钮及紧急报警按钮功能。户外门铃按钮安装高度为1400㎜。紧急报警按钮设置在户内对讲机位置，室内机报警信号传送至小区监控中心，对讲系统由中央处理系统主机集中管理各住户门禁卡(按每户4张卡及预留保安人员10张卡设计)及调取门禁卡使用信息。</w:t>
      </w:r>
    </w:p>
    <w:p w14:paraId="37FBD572">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6.7 系统供电方式：系统中央处理设备电源取自监控中心配电箱。各层的设备电源取自该层的弱电井中相应的供电回路。</w:t>
      </w:r>
    </w:p>
    <w:p w14:paraId="533852F3">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6.8 访客对讲系统由中央处理系统主机集中管理各住户门禁卡及调取门禁卡使用信息。</w:t>
      </w:r>
    </w:p>
    <w:p w14:paraId="32D31AA1">
      <w:pPr>
        <w:pStyle w:val="24"/>
        <w:numPr>
          <w:ilvl w:val="0"/>
          <w:numId w:val="4"/>
        </w:numPr>
        <w:ind w:firstLine="482"/>
        <w:rPr>
          <w:rFonts w:hint="eastAsia" w:hAnsi="宋体" w:cs="宋体"/>
          <w:b/>
          <w:bCs/>
          <w:szCs w:val="24"/>
          <w:highlight w:val="none"/>
        </w:rPr>
      </w:pPr>
      <w:r>
        <w:rPr>
          <w:rFonts w:hint="eastAsia" w:hAnsi="宋体" w:cs="宋体"/>
          <w:b/>
          <w:bCs/>
          <w:szCs w:val="24"/>
          <w:highlight w:val="none"/>
        </w:rPr>
        <w:t>停车场管理系统</w:t>
      </w:r>
    </w:p>
    <w:p w14:paraId="67B170F9">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7.1 基于各地块独立管理需求的存在，停车场管理系统设置时既要确保各地块的独立管理，又要保证设备选型的一致性。</w:t>
      </w:r>
    </w:p>
    <w:p w14:paraId="1D47DC2C">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7.2 系统对整个地下车库和室外停车场进行统一的管理和收费。注：室外停车场是指按规划建设的固定车位，非临时停车场地。</w:t>
      </w:r>
    </w:p>
    <w:p w14:paraId="68D6440C">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7.3 本系统采用出口收费管理模式，月卡和临时卡同时使用，并具有图像对比功能。</w:t>
      </w:r>
    </w:p>
    <w:p w14:paraId="7EFD65CF">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7.4 在停车场入口处设入口岗亭、安全岛、控制机及车牌自动识别摄像机，具有辨别车牌功能，并设有剩余车位显示，图像监控等设备。</w:t>
      </w:r>
    </w:p>
    <w:p w14:paraId="5A37B427">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7.5 在停车场出口处设出口控制机及车牌自动识别摄像机，具有自动记费，能进行图像对比、车辆确认等。</w:t>
      </w:r>
    </w:p>
    <w:p w14:paraId="2607230C">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7.6 系统宜支持微信公众号、支付宝等在线自助缴费方式；可实现出入口无人值守。</w:t>
      </w:r>
    </w:p>
    <w:p w14:paraId="7AD845E4">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7.7 停车场出入口控制机宜设置对讲设备，可实现用户在出入口处与控制中心的求助对讲功能。</w:t>
      </w:r>
    </w:p>
    <w:p w14:paraId="55FE476B">
      <w:pPr>
        <w:pStyle w:val="24"/>
        <w:numPr>
          <w:ilvl w:val="0"/>
          <w:numId w:val="4"/>
        </w:numPr>
        <w:ind w:firstLine="482"/>
        <w:rPr>
          <w:rFonts w:hint="eastAsia" w:hAnsi="宋体" w:cs="宋体"/>
          <w:b/>
          <w:bCs/>
          <w:szCs w:val="24"/>
          <w:highlight w:val="none"/>
        </w:rPr>
      </w:pPr>
      <w:r>
        <w:rPr>
          <w:rFonts w:hint="eastAsia" w:hAnsi="宋体" w:cs="宋体"/>
          <w:b/>
          <w:bCs/>
          <w:szCs w:val="24"/>
          <w:highlight w:val="none"/>
        </w:rPr>
        <w:t>电子巡查管理系统</w:t>
      </w:r>
    </w:p>
    <w:p w14:paraId="1706BD00">
      <w:pPr>
        <w:pStyle w:val="85"/>
        <w:spacing w:before="0" w:beforeAutospacing="0" w:after="0" w:afterAutospacing="0" w:line="360" w:lineRule="auto"/>
        <w:ind w:left="442" w:leftChars="201" w:firstLine="14" w:firstLineChars="6"/>
        <w:rPr>
          <w:rFonts w:hint="eastAsia" w:ascii="宋体" w:hAnsi="宋体" w:cs="宋体"/>
          <w:kern w:val="44"/>
          <w:sz w:val="24"/>
          <w:szCs w:val="24"/>
          <w:highlight w:val="none"/>
        </w:rPr>
      </w:pPr>
      <w:r>
        <w:rPr>
          <w:rFonts w:hint="eastAsia" w:ascii="宋体" w:hAnsi="宋体" w:cs="宋体"/>
          <w:kern w:val="44"/>
          <w:sz w:val="24"/>
          <w:szCs w:val="24"/>
          <w:highlight w:val="none"/>
        </w:rPr>
        <w:t>8.1 系统由前端设备(手机含相关系统软件、信息等)、传输、管理/控制、显示/记录设备以及相应的系统软件组成。本次设计采用二维码式电子巡查系统。</w:t>
      </w:r>
    </w:p>
    <w:p w14:paraId="788D5667">
      <w:pPr>
        <w:pStyle w:val="85"/>
        <w:spacing w:before="0" w:beforeAutospacing="0" w:after="0" w:afterAutospacing="0" w:line="360" w:lineRule="auto"/>
        <w:ind w:left="442" w:leftChars="201" w:firstLine="14" w:firstLineChars="6"/>
        <w:rPr>
          <w:rFonts w:hint="eastAsia" w:ascii="宋体" w:hAnsi="宋体" w:cs="宋体"/>
          <w:kern w:val="44"/>
          <w:sz w:val="24"/>
          <w:szCs w:val="24"/>
          <w:highlight w:val="none"/>
        </w:rPr>
      </w:pPr>
      <w:r>
        <w:rPr>
          <w:rFonts w:hint="eastAsia" w:ascii="宋体" w:hAnsi="宋体" w:cs="宋体"/>
          <w:kern w:val="44"/>
          <w:sz w:val="24"/>
          <w:szCs w:val="24"/>
          <w:highlight w:val="none"/>
        </w:rPr>
        <w:t>8.2 电子巡查系统功能应满足以下要求：</w:t>
      </w:r>
    </w:p>
    <w:p w14:paraId="6138B077">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8.2.1 能编制保安人员巡查软件，在预先设定的巡查图中，用手机扫二维码采集信息或其他方式，对巡查保安人员的行动、状态进行监督和记录。在保安人员在巡查发生意外情况时,可以及时向安防监控中心报警。</w:t>
      </w:r>
    </w:p>
    <w:p w14:paraId="56D6B998">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8.2.2系统支持与视频安防监控系统联动。</w:t>
      </w:r>
    </w:p>
    <w:p w14:paraId="069AD96F">
      <w:pPr>
        <w:pStyle w:val="85"/>
        <w:spacing w:before="0" w:beforeAutospacing="0" w:after="0" w:afterAutospacing="0" w:line="360" w:lineRule="auto"/>
        <w:ind w:left="442" w:leftChars="201" w:firstLine="14" w:firstLineChars="6"/>
        <w:rPr>
          <w:rFonts w:hint="eastAsia" w:ascii="宋体" w:hAnsi="宋体" w:cs="宋体"/>
          <w:kern w:val="44"/>
          <w:sz w:val="24"/>
          <w:szCs w:val="24"/>
          <w:highlight w:val="none"/>
        </w:rPr>
      </w:pPr>
      <w:r>
        <w:rPr>
          <w:rFonts w:hint="eastAsia" w:ascii="宋体" w:hAnsi="宋体" w:cs="宋体"/>
          <w:kern w:val="44"/>
          <w:sz w:val="24"/>
          <w:szCs w:val="24"/>
          <w:highlight w:val="none"/>
        </w:rPr>
        <w:t>8.3 巡查点设置在地下室、首层、天面层核心筒楼梯间以及电梯前室等部位。</w:t>
      </w:r>
    </w:p>
    <w:p w14:paraId="7D94294C">
      <w:pPr>
        <w:pStyle w:val="24"/>
        <w:numPr>
          <w:ilvl w:val="0"/>
          <w:numId w:val="4"/>
        </w:numPr>
        <w:ind w:firstLine="482"/>
        <w:rPr>
          <w:rFonts w:hint="eastAsia" w:hAnsi="宋体" w:cs="宋体"/>
          <w:b/>
          <w:bCs/>
          <w:szCs w:val="24"/>
          <w:highlight w:val="none"/>
        </w:rPr>
      </w:pPr>
      <w:r>
        <w:rPr>
          <w:rFonts w:hint="eastAsia" w:hAnsi="宋体" w:cs="宋体"/>
          <w:b/>
          <w:bCs/>
          <w:szCs w:val="24"/>
          <w:highlight w:val="none"/>
        </w:rPr>
        <w:t>电梯五方对讲系统</w:t>
      </w:r>
    </w:p>
    <w:p w14:paraId="38014EBB">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9.1 电梯五方对讲系统通讯方式采用多线制形式。监控主机设置于各标段安防控制室。</w:t>
      </w:r>
    </w:p>
    <w:p w14:paraId="25363B2B">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9.2 设计时仅作电梯机房至监控中心的管线预留，五方对讲系统由电梯公司负责深化设计完成。</w:t>
      </w:r>
    </w:p>
    <w:p w14:paraId="2C88B54B">
      <w:pPr>
        <w:pStyle w:val="85"/>
        <w:spacing w:before="0" w:beforeAutospacing="0" w:after="0" w:afterAutospacing="0" w:line="360" w:lineRule="auto"/>
        <w:ind w:left="0" w:firstLine="480" w:firstLineChars="200"/>
        <w:rPr>
          <w:rStyle w:val="50"/>
          <w:highlight w:val="none"/>
        </w:rPr>
      </w:pPr>
      <w:r>
        <w:rPr>
          <w:rFonts w:hint="eastAsia" w:ascii="宋体" w:hAnsi="宋体" w:cs="宋体"/>
          <w:sz w:val="24"/>
          <w:szCs w:val="24"/>
          <w:highlight w:val="none"/>
        </w:rPr>
        <w:t>10、5G信号覆盖系统</w:t>
      </w:r>
    </w:p>
    <w:p w14:paraId="139FBB77">
      <w:pPr>
        <w:pStyle w:val="85"/>
        <w:spacing w:before="0" w:beforeAutospacing="0" w:after="0" w:afterAutospacing="0" w:line="360" w:lineRule="auto"/>
        <w:ind w:left="0" w:firstLine="480" w:firstLineChars="200"/>
        <w:rPr>
          <w:rStyle w:val="50"/>
          <w:highlight w:val="none"/>
        </w:rPr>
      </w:pPr>
      <w:r>
        <w:rPr>
          <w:rFonts w:hint="eastAsia" w:ascii="宋体" w:hAnsi="宋体" w:cs="宋体"/>
          <w:sz w:val="24"/>
          <w:szCs w:val="24"/>
          <w:highlight w:val="none"/>
        </w:rPr>
        <w:t>1</w:t>
      </w:r>
      <w:r>
        <w:rPr>
          <w:rFonts w:ascii="宋体" w:hAnsi="宋体" w:cs="宋体"/>
          <w:sz w:val="24"/>
          <w:szCs w:val="24"/>
          <w:highlight w:val="none"/>
        </w:rPr>
        <w:t>1</w:t>
      </w:r>
      <w:r>
        <w:rPr>
          <w:rFonts w:hint="eastAsia" w:ascii="宋体" w:hAnsi="宋体" w:cs="宋体"/>
          <w:sz w:val="24"/>
          <w:szCs w:val="24"/>
          <w:highlight w:val="none"/>
        </w:rPr>
        <w:t>、根据《广州市城中村改造项目改造主体工作评估实施细则（试行）》中的相关要求进行设计。</w:t>
      </w:r>
    </w:p>
    <w:p w14:paraId="71E78710">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按广州市通建办有关规定进行设计。</w:t>
      </w:r>
    </w:p>
    <w:p w14:paraId="5A3571EA">
      <w:pPr>
        <w:spacing w:line="360" w:lineRule="auto"/>
        <w:ind w:firstLine="482" w:firstLineChars="200"/>
        <w:jc w:val="center"/>
        <w:rPr>
          <w:rFonts w:hint="eastAsia" w:ascii="宋体" w:hAnsi="宋体" w:eastAsia="宋体" w:cs="宋体"/>
          <w:b/>
          <w:bCs/>
          <w:color w:val="auto"/>
          <w:sz w:val="24"/>
          <w:szCs w:val="24"/>
          <w:highlight w:val="none"/>
        </w:rPr>
      </w:pPr>
      <w:r>
        <w:rPr>
          <w:rFonts w:hint="eastAsia" w:ascii="宋体" w:hAnsi="宋体" w:eastAsia="宋体" w:cs="宋体"/>
          <w:b/>
          <w:color w:val="auto"/>
          <w:sz w:val="24"/>
          <w:szCs w:val="24"/>
          <w:highlight w:val="none"/>
        </w:rPr>
        <w:t>Ⅱ</w:t>
      </w:r>
      <w:r>
        <w:rPr>
          <w:rFonts w:hint="eastAsia" w:ascii="宋体" w:hAnsi="宋体" w:eastAsia="宋体" w:cs="宋体"/>
          <w:b/>
          <w:bCs/>
          <w:color w:val="auto"/>
          <w:sz w:val="24"/>
          <w:szCs w:val="24"/>
          <w:highlight w:val="none"/>
        </w:rPr>
        <w:t>配套公共建筑智能化设计</w:t>
      </w:r>
    </w:p>
    <w:p w14:paraId="4F5FF6A6">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应遵循安全可靠、经济合理、安装维护方便的原则。</w:t>
      </w:r>
    </w:p>
    <w:p w14:paraId="2F861393">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中、小学、幼儿园智能化系统配置应满足教育局的相关建设标准，设置广播系统（非消防应急广播系统）、有线电视系统、电话系统、计算机网络系统、视频监控系统。弱电系统管井、分线箱，线槽（管）明装，通信线路敷设到点，插座埋墙安装。预留电视系统、电话系统接入校舍的机房位置。（视频监控系统设计按地标城市学校等级标准设计配置）</w:t>
      </w:r>
    </w:p>
    <w:p w14:paraId="45A9BD01">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配套商业等建筑智能化系统配置包括（按建筑实际配置进行取舍）：有线电视系统、信息网络系统、综合布线系统、视频安防监控系统、访客对讲系统、停车场管理系统、电子巡查管理系统、电梯五方对讲系统和机房工程，5G信号覆盖系统。。</w:t>
      </w:r>
    </w:p>
    <w:p w14:paraId="1BC49799">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配套医疗、社区服务中心等建筑智能化系统配置宜包括（按建筑实际配置需进行取舍）：有线电视系统、信息网络系统、综合布线系统、视频安防监控系统、访客对讲系统、停车场管理系统、电梯五方对讲系统、机房工程5G信号覆盖系统。</w:t>
      </w:r>
    </w:p>
    <w:p w14:paraId="5FF87FF4">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其余公建参考相关规范实施。</w:t>
      </w:r>
    </w:p>
    <w:p w14:paraId="5B519665">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智能化系统管理中心设置应以方便维护管理为原则，并宜与消防控制中心合并或紧邻设置。</w:t>
      </w:r>
    </w:p>
    <w:p w14:paraId="640389F7">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智能化系统的设计应充分考虑各专业的协调配合。</w:t>
      </w:r>
    </w:p>
    <w:p w14:paraId="76D0AA6F">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统设计与设备选型应采用先进成熟、稳定可靠的主流技术和主流产品，并已在国内工程得到成熟应用的技术和设备。</w:t>
      </w:r>
    </w:p>
    <w:p w14:paraId="3E275F22">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所有系统设备应选用标准化产品，设备选型应与技术发展的趋势相适应。遵循开放性原则，软件、硬件、通信接口、网络操作系统和数据库管理系统等应符合国际标准，使系统具备良好的兼容性和扩展性。</w:t>
      </w:r>
    </w:p>
    <w:p w14:paraId="07796A1B">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系统软件应采用中文操作界面。</w:t>
      </w:r>
    </w:p>
    <w:p w14:paraId="57E83D9D">
      <w:pPr>
        <w:pStyle w:val="24"/>
        <w:numPr>
          <w:ilvl w:val="0"/>
          <w:numId w:val="5"/>
        </w:numPr>
        <w:ind w:firstLine="501" w:firstLineChars="209"/>
        <w:rPr>
          <w:rFonts w:hint="eastAsia" w:hAnsi="宋体" w:cs="宋体"/>
          <w:szCs w:val="24"/>
          <w:highlight w:val="none"/>
        </w:rPr>
      </w:pPr>
      <w:r>
        <w:rPr>
          <w:rFonts w:hint="eastAsia" w:hAnsi="宋体" w:cs="宋体"/>
          <w:szCs w:val="24"/>
          <w:highlight w:val="none"/>
        </w:rPr>
        <w:t>各建筑物应预埋一定数量的弱电进户管道与室外的管网相连。每个地块预留1处4*SC100套管位置。</w:t>
      </w:r>
      <w:bookmarkStart w:id="381" w:name="_Toc7152"/>
      <w:bookmarkStart w:id="382" w:name="_Toc104581752"/>
      <w:bookmarkStart w:id="383" w:name="_Toc15464"/>
      <w:bookmarkStart w:id="384" w:name="_Toc9146"/>
    </w:p>
    <w:p w14:paraId="03908588">
      <w:pPr>
        <w:pStyle w:val="24"/>
        <w:ind w:firstLine="480"/>
        <w:rPr>
          <w:rFonts w:hint="eastAsia" w:hAnsi="宋体" w:cs="宋体"/>
          <w:szCs w:val="24"/>
          <w:highlight w:val="none"/>
        </w:rPr>
      </w:pPr>
      <w:r>
        <w:rPr>
          <w:rFonts w:hint="eastAsia" w:hAnsi="宋体" w:cs="宋体"/>
          <w:szCs w:val="24"/>
          <w:highlight w:val="none"/>
        </w:rPr>
        <w:t>5.4 其他指标</w:t>
      </w:r>
      <w:bookmarkEnd w:id="381"/>
      <w:bookmarkEnd w:id="382"/>
      <w:bookmarkEnd w:id="383"/>
      <w:bookmarkEnd w:id="384"/>
    </w:p>
    <w:p w14:paraId="5A5F6F8C">
      <w:pPr>
        <w:pStyle w:val="24"/>
        <w:ind w:left="440" w:leftChars="200" w:firstLine="0" w:firstLineChars="0"/>
        <w:jc w:val="left"/>
        <w:rPr>
          <w:rFonts w:hint="eastAsia" w:hAnsi="宋体" w:cs="宋体"/>
          <w:szCs w:val="24"/>
          <w:highlight w:val="none"/>
        </w:rPr>
      </w:pPr>
      <w:r>
        <w:rPr>
          <w:rFonts w:hint="eastAsia" w:hAnsi="宋体" w:cs="宋体"/>
          <w:szCs w:val="24"/>
          <w:highlight w:val="none"/>
        </w:rPr>
        <w:t>5.4.1 智能水表远抄系统</w:t>
      </w:r>
    </w:p>
    <w:p w14:paraId="1A473018">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智能水表远抄系统：是配合给排水专业对居住建筑中对住户计量而设置的远距离抄表系统，此系统是最新出台，本项目虽设有建筑能效系统（内含水表数据收集和传输但非针对性系统），均没有专门对应的设计的系统。需由设计人按照《广州市生活饮用水品质提升技术指引要点（试行）》（穗水【2021】20号）的要求完成智能水表远抄系统的设计工作。</w:t>
      </w:r>
    </w:p>
    <w:p w14:paraId="380CC137">
      <w:pPr>
        <w:pStyle w:val="24"/>
        <w:ind w:firstLine="480"/>
        <w:jc w:val="left"/>
        <w:rPr>
          <w:rFonts w:hint="eastAsia" w:hAnsi="宋体" w:cs="宋体"/>
          <w:szCs w:val="24"/>
          <w:highlight w:val="none"/>
        </w:rPr>
      </w:pPr>
      <w:r>
        <w:rPr>
          <w:rFonts w:hint="eastAsia" w:hAnsi="宋体" w:cs="宋体"/>
          <w:szCs w:val="24"/>
          <w:highlight w:val="none"/>
        </w:rPr>
        <w:t>5.4.2 生活饮用水品质提升中涉及智能化系统</w:t>
      </w:r>
    </w:p>
    <w:p w14:paraId="5C5D332B">
      <w:pPr>
        <w:pStyle w:val="85"/>
        <w:spacing w:before="0" w:beforeAutospacing="0" w:after="0" w:afterAutospacing="0" w:line="360" w:lineRule="auto"/>
        <w:ind w:left="0" w:firstLine="480" w:firstLineChars="200"/>
        <w:rPr>
          <w:rFonts w:hint="eastAsia" w:ascii="宋体" w:hAnsi="宋体" w:cs="宋体"/>
          <w:kern w:val="44"/>
          <w:sz w:val="24"/>
          <w:szCs w:val="24"/>
          <w:highlight w:val="none"/>
        </w:rPr>
      </w:pPr>
      <w:r>
        <w:rPr>
          <w:rFonts w:hint="eastAsia" w:ascii="宋体" w:hAnsi="宋体" w:cs="宋体"/>
          <w:kern w:val="44"/>
          <w:sz w:val="24"/>
          <w:szCs w:val="24"/>
          <w:highlight w:val="none"/>
        </w:rPr>
        <w:t>需由设计人按照《广州市生活饮用水品质提升技术指引要点（试行）》（穗水【2021】20号）的要求进行居住建筑中生活水泵房中的视频监控系统、门禁系统和二次供水水质监测等设计工作。</w:t>
      </w:r>
    </w:p>
    <w:p w14:paraId="7E80F0CD">
      <w:pPr>
        <w:pStyle w:val="85"/>
        <w:spacing w:beforeAutospacing="0" w:afterAutospacing="0" w:line="360" w:lineRule="auto"/>
        <w:ind w:left="420" w:firstLine="480" w:firstLineChars="200"/>
        <w:rPr>
          <w:rFonts w:hint="eastAsia" w:ascii="宋体" w:hAnsi="宋体" w:cs="宋体"/>
          <w:kern w:val="44"/>
          <w:sz w:val="24"/>
          <w:szCs w:val="24"/>
          <w:highlight w:val="none"/>
        </w:rPr>
      </w:pPr>
    </w:p>
    <w:p w14:paraId="33A2F62A">
      <w:pPr>
        <w:spacing w:line="360" w:lineRule="auto"/>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br w:type="page"/>
      </w:r>
    </w:p>
    <w:p w14:paraId="0DCA6F52">
      <w:pPr>
        <w:pStyle w:val="5"/>
        <w:keepNext w:val="0"/>
        <w:keepLines w:val="0"/>
        <w:snapToGrid/>
        <w:spacing w:before="156" w:beforeLines="50" w:after="0"/>
        <w:rPr>
          <w:rFonts w:hint="eastAsia" w:ascii="宋体" w:hAnsi="宋体" w:eastAsia="宋体" w:cs="宋体"/>
          <w:color w:val="auto"/>
          <w:sz w:val="24"/>
          <w:szCs w:val="24"/>
          <w:highlight w:val="none"/>
        </w:rPr>
      </w:pPr>
      <w:bookmarkStart w:id="385" w:name="_Toc104581753"/>
      <w:bookmarkStart w:id="386" w:name="_Toc30802"/>
      <w:bookmarkStart w:id="387" w:name="_Toc514"/>
      <w:bookmarkStart w:id="388" w:name="_Toc17929"/>
      <w:bookmarkStart w:id="389" w:name="_Toc17975"/>
      <w:r>
        <w:rPr>
          <w:rFonts w:hint="eastAsia" w:ascii="宋体" w:hAnsi="宋体" w:eastAsia="宋体" w:cs="宋体"/>
          <w:color w:val="auto"/>
          <w:sz w:val="24"/>
          <w:szCs w:val="24"/>
          <w:highlight w:val="none"/>
        </w:rPr>
        <w:t>6.暖通设计</w:t>
      </w:r>
      <w:bookmarkEnd w:id="385"/>
      <w:bookmarkEnd w:id="386"/>
      <w:bookmarkEnd w:id="387"/>
      <w:bookmarkEnd w:id="388"/>
      <w:bookmarkEnd w:id="389"/>
    </w:p>
    <w:p w14:paraId="2A1D49E6">
      <w:pPr>
        <w:pStyle w:val="6"/>
        <w:tabs>
          <w:tab w:val="left" w:pos="284"/>
        </w:tabs>
        <w:snapToGrid/>
        <w:spacing w:line="360" w:lineRule="auto"/>
        <w:jc w:val="both"/>
        <w:rPr>
          <w:rFonts w:hint="eastAsia" w:ascii="宋体" w:hAnsi="宋体" w:eastAsia="宋体" w:cs="宋体"/>
          <w:color w:val="auto"/>
          <w:sz w:val="24"/>
          <w:szCs w:val="24"/>
          <w:highlight w:val="none"/>
        </w:rPr>
      </w:pPr>
      <w:bookmarkStart w:id="390" w:name="_Toc11031"/>
      <w:r>
        <w:rPr>
          <w:rFonts w:hint="eastAsia" w:ascii="宋体" w:hAnsi="宋体" w:eastAsia="宋体" w:cs="宋体"/>
          <w:color w:val="auto"/>
          <w:sz w:val="24"/>
          <w:szCs w:val="24"/>
          <w:highlight w:val="none"/>
        </w:rPr>
        <w:t>6.1 设计依据</w:t>
      </w:r>
      <w:bookmarkEnd w:id="390"/>
    </w:p>
    <w:p w14:paraId="40A8BD5E">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6.1.1 在限额设计的基础上保障安置区规划设计基本住房条件和功能质量，使设计满足安全、卫生、适用、经济等性能要求。</w:t>
      </w:r>
    </w:p>
    <w:p w14:paraId="24759D8F">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6.1.2 制定标准参考规范</w:t>
      </w:r>
    </w:p>
    <w:p w14:paraId="4F2A4BB1">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《民用建筑供暖通风与空气调节设计规范》      GB 50736-2012</w:t>
      </w:r>
    </w:p>
    <w:p w14:paraId="24A6AFDA">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《公共建筑节能设计标准》                    GB50189-2015</w:t>
      </w:r>
    </w:p>
    <w:p w14:paraId="29B4FCE9">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《建筑设计防火规范》                  GB50016-2014（2018 年版）</w:t>
      </w:r>
    </w:p>
    <w:p w14:paraId="1F5751C2">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《建筑通用防火规范》 </w:t>
      </w:r>
      <w:r>
        <w:rPr>
          <w:rFonts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rPr>
        <w:t>GB55037-2022</w:t>
      </w:r>
    </w:p>
    <w:p w14:paraId="73E85484">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《消防设施通用规范》 </w:t>
      </w:r>
      <w:r>
        <w:rPr>
          <w:rFonts w:ascii="宋体" w:hAnsi="宋体" w:eastAsia="宋体" w:cs="宋体"/>
          <w:color w:val="auto"/>
          <w:sz w:val="24"/>
          <w:szCs w:val="24"/>
          <w:highlight w:val="none"/>
        </w:rPr>
        <w:t xml:space="preserve">                     GB55036-2022</w:t>
      </w:r>
    </w:p>
    <w:p w14:paraId="32FF5260">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《民用建筑通用规范》 </w:t>
      </w:r>
      <w:r>
        <w:rPr>
          <w:rFonts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rPr>
        <w:t>GB55031-2022</w:t>
      </w:r>
    </w:p>
    <w:p w14:paraId="0808019F">
      <w:pPr>
        <w:pStyle w:val="63"/>
        <w:spacing w:line="360" w:lineRule="auto"/>
        <w:ind w:firstLine="480"/>
        <w:rPr>
          <w:rFonts w:hint="eastAsia" w:ascii="宋体" w:hAnsi="宋体" w:eastAsia="宋体" w:cs="宋体"/>
          <w:color w:val="auto"/>
          <w:sz w:val="24"/>
          <w:szCs w:val="24"/>
          <w:highlight w:val="none"/>
        </w:rPr>
      </w:pPr>
      <w:bookmarkStart w:id="391" w:name="_Toc13856"/>
      <w:bookmarkStart w:id="392" w:name="_Toc104581755"/>
      <w:bookmarkStart w:id="393" w:name="_Toc18328"/>
      <w:bookmarkStart w:id="394" w:name="_Toc8337"/>
      <w:r>
        <w:rPr>
          <w:rFonts w:hint="eastAsia" w:ascii="宋体" w:hAnsi="宋体" w:eastAsia="宋体" w:cs="宋体"/>
          <w:color w:val="auto"/>
          <w:sz w:val="24"/>
          <w:szCs w:val="24"/>
          <w:highlight w:val="none"/>
        </w:rPr>
        <w:t>《建筑防烟排烟系统技术标准》                GB51251-2017</w:t>
      </w:r>
    </w:p>
    <w:p w14:paraId="3632F4F3">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《多联机空调系统工程技术规程》              JGJ174-2010</w:t>
      </w:r>
    </w:p>
    <w:p w14:paraId="5BEBCCFE">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《绿色建筑评价标准》                GB/T 50378-2019（2024年版）</w:t>
      </w:r>
    </w:p>
    <w:p w14:paraId="00240764">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《夏热冬暖地区居住建筑节能设计标准》        JGJ 75-2012</w:t>
      </w:r>
    </w:p>
    <w:p w14:paraId="013C3603">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《房间空气调节器能效限定值及能效等级》      GB 21455-2019</w:t>
      </w:r>
    </w:p>
    <w:p w14:paraId="7DF0CAC8">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《中小学校设计规范》                        GB 50099-2011</w:t>
      </w:r>
    </w:p>
    <w:p w14:paraId="19A063FD">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《车库建筑设计规范》                        JGJ 100-2015</w:t>
      </w:r>
    </w:p>
    <w:p w14:paraId="3928AD6A">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《汽车库、修车库、停车场设计防火规范》      GB50067-2014</w:t>
      </w:r>
    </w:p>
    <w:p w14:paraId="68918071">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《民用建筑暖通空调设计统一技术措施（2022年版）》</w:t>
      </w:r>
    </w:p>
    <w:p w14:paraId="30F94D16">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《电动汽车充电基础设施建设技术规程》       DBJ/T 15-150-2018</w:t>
      </w:r>
    </w:p>
    <w:p w14:paraId="670F1D41">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《饮食业油烟排放标准》                     GB18483-2001</w:t>
      </w:r>
    </w:p>
    <w:p w14:paraId="49E245C4">
      <w:pPr>
        <w:spacing w:before="100" w:after="100" w:line="360" w:lineRule="auto"/>
        <w:ind w:firstLine="420" w:firstLineChars="175"/>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《托儿所、幼儿园建筑设计规范》             JGJ39-2016</w:t>
      </w:r>
    </w:p>
    <w:p w14:paraId="089B5369">
      <w:pPr>
        <w:pStyle w:val="63"/>
        <w:spacing w:line="360" w:lineRule="auto"/>
        <w:ind w:firstLine="480"/>
        <w:rPr>
          <w:rStyle w:val="50"/>
          <w:rFonts w:hint="eastAsia"/>
          <w:color w:val="auto"/>
          <w:highlight w:val="none"/>
        </w:rPr>
      </w:pPr>
      <w:r>
        <w:rPr>
          <w:rFonts w:hint="eastAsia" w:ascii="宋体" w:hAnsi="宋体" w:eastAsia="宋体" w:cs="宋体"/>
          <w:color w:val="auto"/>
          <w:sz w:val="24"/>
          <w:szCs w:val="24"/>
          <w:highlight w:val="none"/>
        </w:rPr>
        <w:t>《建筑节能与可再生能源利用通用规范》       GB55015-2021</w:t>
      </w:r>
    </w:p>
    <w:p w14:paraId="49DBA980">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《建筑与市政工程抗震通用规范》  GB55002-2021</w:t>
      </w:r>
    </w:p>
    <w:p w14:paraId="0B0282D9">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《建筑环境通用规范》    GB55016-2021</w:t>
      </w:r>
    </w:p>
    <w:p w14:paraId="7A626F28">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《民用建筑通用规范》       GB55031-2022</w:t>
      </w:r>
    </w:p>
    <w:p w14:paraId="2D4F57CE">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《消防设施通用规范》        GB55036-2022</w:t>
      </w:r>
    </w:p>
    <w:p w14:paraId="57E8407E">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《建筑防火通用规范》         GB55037-2022</w:t>
      </w:r>
    </w:p>
    <w:p w14:paraId="03FF06A2">
      <w:pPr>
        <w:pStyle w:val="63"/>
        <w:spacing w:line="360" w:lineRule="auto"/>
        <w:ind w:firstLine="48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《住宅项目规范》   </w:t>
      </w:r>
      <w:r>
        <w:rPr>
          <w:rStyle w:val="50"/>
          <w:rFonts w:hint="eastAsia"/>
          <w:color w:val="auto"/>
          <w:highlight w:val="none"/>
        </w:rPr>
        <w:t xml:space="preserve">          </w:t>
      </w:r>
      <w:r>
        <w:rPr>
          <w:rFonts w:hint="eastAsia" w:ascii="宋体" w:hAnsi="宋体" w:eastAsia="宋体" w:cs="宋体"/>
          <w:color w:val="auto"/>
          <w:sz w:val="24"/>
          <w:szCs w:val="24"/>
          <w:highlight w:val="none"/>
        </w:rPr>
        <w:t xml:space="preserve"> GB55038-2025</w:t>
      </w:r>
    </w:p>
    <w:p w14:paraId="69AE14B2">
      <w:pPr>
        <w:pStyle w:val="63"/>
        <w:spacing w:line="360" w:lineRule="auto"/>
        <w:ind w:firstLine="480"/>
        <w:rPr>
          <w:rFonts w:hint="eastAsia" w:ascii="宋体" w:hAnsi="宋体" w:eastAsia="宋体" w:cs="宋体"/>
          <w:color w:val="auto"/>
          <w:sz w:val="24"/>
          <w:szCs w:val="24"/>
          <w:highlight w:val="none"/>
        </w:rPr>
      </w:pPr>
    </w:p>
    <w:p w14:paraId="565CD212">
      <w:pPr>
        <w:pStyle w:val="6"/>
        <w:tabs>
          <w:tab w:val="left" w:pos="284"/>
        </w:tabs>
        <w:snapToGrid/>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6.2 关键指标</w:t>
      </w:r>
      <w:bookmarkEnd w:id="391"/>
      <w:bookmarkEnd w:id="392"/>
      <w:bookmarkEnd w:id="393"/>
      <w:bookmarkEnd w:id="394"/>
    </w:p>
    <w:p w14:paraId="41F3DB79">
      <w:pPr>
        <w:pStyle w:val="24"/>
        <w:spacing w:before="100" w:after="100"/>
        <w:ind w:firstLine="482"/>
        <w:rPr>
          <w:rFonts w:hint="eastAsia" w:hAnsi="宋体" w:cs="宋体"/>
          <w:b/>
          <w:bCs/>
          <w:szCs w:val="24"/>
          <w:highlight w:val="none"/>
        </w:rPr>
      </w:pPr>
      <w:r>
        <w:rPr>
          <w:rFonts w:hint="eastAsia" w:hAnsi="宋体" w:cs="宋体"/>
          <w:b/>
          <w:bCs/>
          <w:szCs w:val="24"/>
          <w:highlight w:val="none"/>
        </w:rPr>
        <w:t>6.2.1空调系统设计</w:t>
      </w:r>
    </w:p>
    <w:p w14:paraId="4337901E">
      <w:pPr>
        <w:pStyle w:val="85"/>
        <w:spacing w:before="0" w:beforeAutospacing="0" w:after="0" w:afterAutospacing="0" w:line="360" w:lineRule="auto"/>
        <w:ind w:left="442" w:leftChars="201" w:firstLine="14" w:firstLineChars="6"/>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6.2.1.1住宅空调系统设计</w:t>
      </w:r>
    </w:p>
    <w:p w14:paraId="45A09C99">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Style w:val="81"/>
          <w:rFonts w:hint="eastAsia" w:ascii="宋体" w:hAnsi="宋体" w:cs="宋体"/>
          <w:sz w:val="24"/>
          <w:szCs w:val="24"/>
          <w:highlight w:val="none"/>
        </w:rPr>
        <w:t>①住宅空调按分体式空调预留，</w:t>
      </w:r>
      <w:r>
        <w:rPr>
          <w:rFonts w:hint="eastAsia" w:ascii="宋体" w:hAnsi="宋体" w:cs="宋体"/>
          <w:sz w:val="24"/>
          <w:szCs w:val="24"/>
          <w:highlight w:val="none"/>
        </w:rPr>
        <w:t>宜按每单元户内每一室预留一套分体式空调机。</w:t>
      </w:r>
    </w:p>
    <w:p w14:paraId="3DA48149">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②客餐厅面积≥25㎡时，可按柜式空调或壁挂式空调预留安装条件，优先按柜式空调预留安装条件。客餐厅面积&lt;25㎡时，仅按壁挂式空调预留安装条件。当客餐厅面积≥35㎡、进深大于7m且餐厅位置有外窗时，餐厅可单独预留空调室内、外机条件。</w:t>
      </w:r>
    </w:p>
    <w:p w14:paraId="6B008FFB">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③选用的分体式空调系统机组能效比应满足《公共建筑节能设计标准》相关条文的要求，能效等级不得小于2级。</w:t>
      </w:r>
    </w:p>
    <w:p w14:paraId="0FA06E72">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④空调室内外机位置及尺寸由建筑专业确定，同时提供室外机位置、预留孔、洞及预埋件大样图纸</w:t>
      </w:r>
      <w:r>
        <w:rPr>
          <w:rFonts w:hint="eastAsia" w:ascii="宋体" w:hAnsi="宋体" w:cs="宋体"/>
          <w:sz w:val="24"/>
          <w:szCs w:val="24"/>
          <w:highlight w:val="none"/>
          <w:lang w:val="zh-CN"/>
        </w:rPr>
        <w:t>。</w:t>
      </w:r>
    </w:p>
    <w:p w14:paraId="18B9D260">
      <w:pPr>
        <w:pStyle w:val="85"/>
        <w:spacing w:before="0" w:beforeAutospacing="0" w:after="0" w:afterAutospacing="0" w:line="360" w:lineRule="auto"/>
        <w:ind w:left="442" w:leftChars="201" w:firstLine="14" w:firstLineChars="6"/>
        <w:rPr>
          <w:rFonts w:hint="eastAsia" w:ascii="宋体" w:hAnsi="宋体" w:cs="宋体"/>
          <w:sz w:val="24"/>
          <w:szCs w:val="24"/>
          <w:highlight w:val="none"/>
        </w:rPr>
      </w:pPr>
      <w:r>
        <w:rPr>
          <w:rFonts w:hint="eastAsia" w:ascii="宋体" w:hAnsi="宋体" w:cs="宋体"/>
          <w:sz w:val="24"/>
          <w:szCs w:val="24"/>
          <w:highlight w:val="none"/>
        </w:rPr>
        <w:t>⑤空调配电由电气专业应配合预留插座的用电负荷和位置。</w:t>
      </w:r>
    </w:p>
    <w:p w14:paraId="2BC860E0">
      <w:pPr>
        <w:pStyle w:val="85"/>
        <w:spacing w:before="0" w:beforeAutospacing="0" w:after="0" w:afterAutospacing="0" w:line="360" w:lineRule="auto"/>
        <w:ind w:left="442" w:leftChars="201" w:firstLine="14" w:firstLineChars="6"/>
        <w:rPr>
          <w:rFonts w:hint="eastAsia" w:ascii="宋体" w:hAnsi="宋体" w:cs="宋体"/>
          <w:sz w:val="24"/>
          <w:szCs w:val="24"/>
          <w:highlight w:val="none"/>
        </w:rPr>
      </w:pPr>
      <w:r>
        <w:rPr>
          <w:rFonts w:hint="eastAsia" w:ascii="宋体" w:hAnsi="宋体" w:cs="宋体"/>
          <w:sz w:val="24"/>
          <w:szCs w:val="24"/>
          <w:highlight w:val="none"/>
        </w:rPr>
        <w:t>⑥空调冷凝水排放详见给排水专业。</w:t>
      </w:r>
    </w:p>
    <w:p w14:paraId="41394D76">
      <w:pPr>
        <w:pStyle w:val="63"/>
        <w:spacing w:line="360" w:lineRule="auto"/>
        <w:ind w:firstLine="482"/>
        <w:contextualSpacing/>
        <w:rPr>
          <w:rStyle w:val="81"/>
          <w:rFonts w:hint="eastAsia" w:ascii="宋体" w:hAnsi="宋体" w:cs="宋体"/>
          <w:b/>
          <w:bCs/>
          <w:color w:val="auto"/>
          <w:sz w:val="24"/>
          <w:szCs w:val="24"/>
          <w:highlight w:val="none"/>
        </w:rPr>
      </w:pPr>
      <w:r>
        <w:rPr>
          <w:rStyle w:val="81"/>
          <w:rFonts w:hint="eastAsia" w:ascii="宋体" w:hAnsi="宋体" w:cs="宋体"/>
          <w:b/>
          <w:bCs/>
          <w:color w:val="auto"/>
          <w:sz w:val="24"/>
          <w:szCs w:val="24"/>
          <w:highlight w:val="none"/>
        </w:rPr>
        <w:t>6.2.1.2商业配套空调系统</w:t>
      </w:r>
    </w:p>
    <w:p w14:paraId="4E5D8AC6">
      <w:pPr>
        <w:pStyle w:val="63"/>
        <w:spacing w:line="360" w:lineRule="auto"/>
        <w:ind w:firstLine="480"/>
        <w:contextualSpacing/>
        <w:rPr>
          <w:rFonts w:hint="eastAsia" w:ascii="宋体" w:hAnsi="宋体" w:eastAsia="宋体" w:cs="宋体"/>
          <w:color w:val="auto"/>
          <w:sz w:val="24"/>
          <w:szCs w:val="24"/>
          <w:highlight w:val="none"/>
        </w:rPr>
      </w:pPr>
      <w:r>
        <w:rPr>
          <w:rStyle w:val="81"/>
          <w:rFonts w:hint="eastAsia" w:ascii="宋体" w:hAnsi="宋体" w:cs="宋体"/>
          <w:color w:val="auto"/>
          <w:sz w:val="24"/>
          <w:szCs w:val="24"/>
          <w:highlight w:val="none"/>
        </w:rPr>
        <w:t>①</w:t>
      </w:r>
      <w:r>
        <w:rPr>
          <w:rFonts w:hint="eastAsia" w:ascii="宋体" w:hAnsi="宋体" w:eastAsia="宋体" w:cs="宋体"/>
          <w:color w:val="auto"/>
          <w:sz w:val="24"/>
          <w:szCs w:val="24"/>
          <w:highlight w:val="none"/>
        </w:rPr>
        <w:t>配套的商业原则上采用分体空调，应预留空调室外机的安装位置和条件，预留足够的空调用电负荷。</w:t>
      </w:r>
    </w:p>
    <w:p w14:paraId="75A19EC6">
      <w:pPr>
        <w:pStyle w:val="63"/>
        <w:spacing w:line="360" w:lineRule="auto"/>
        <w:ind w:firstLine="480"/>
        <w:contextualSpacing/>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②配套商业均按40平方米/台预留分体空调，预留分体空调的室外机安装空间净高不得小于1100mm。</w:t>
      </w:r>
    </w:p>
    <w:p w14:paraId="545511C2">
      <w:pPr>
        <w:pStyle w:val="85"/>
        <w:spacing w:before="0" w:beforeAutospacing="0" w:after="0" w:afterAutospacing="0" w:line="360" w:lineRule="auto"/>
        <w:ind w:left="442" w:leftChars="201" w:firstLine="14" w:firstLineChars="6"/>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6.2.1.3学校空调系统（如有）</w:t>
      </w:r>
    </w:p>
    <w:p w14:paraId="5E9714D1">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Style w:val="81"/>
          <w:rFonts w:hint="eastAsia" w:ascii="宋体" w:hAnsi="宋体" w:cs="宋体"/>
          <w:sz w:val="24"/>
          <w:szCs w:val="24"/>
          <w:highlight w:val="none"/>
        </w:rPr>
        <w:t>①</w:t>
      </w:r>
      <w:r>
        <w:rPr>
          <w:rFonts w:hint="eastAsia" w:ascii="宋体" w:hAnsi="宋体" w:cs="宋体"/>
          <w:sz w:val="24"/>
          <w:szCs w:val="24"/>
          <w:highlight w:val="none"/>
        </w:rPr>
        <w:t>学校的普通教室、办公室、宿舍原则上采用预留分体空调，普通教室分体空调的单台容量不得超过3P。</w:t>
      </w:r>
    </w:p>
    <w:p w14:paraId="650691DB">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②学校的餐厅、阶梯教室、大型会议室、报告厅等空调负荷量大或受建筑外立面和建筑体量影响无法设分体空调的区域采用多联机系统，预留安装条件及相关孔洞。</w:t>
      </w:r>
    </w:p>
    <w:p w14:paraId="48166908">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③设置多联机的空调场所，需设置独立新风系统，新风系统可以采用全热交换器、独立的新风机，优先采用全热交换器，预留安装条件及相关孔洞。</w:t>
      </w:r>
    </w:p>
    <w:p w14:paraId="1EC83605">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④设置多联机的空调场所，需设置独立新风系统，预留安装条件及相关孔洞。</w:t>
      </w:r>
    </w:p>
    <w:p w14:paraId="01CD16B1">
      <w:pPr>
        <w:pStyle w:val="85"/>
        <w:spacing w:before="0" w:beforeAutospacing="0" w:after="0" w:afterAutospacing="0" w:line="360" w:lineRule="auto"/>
        <w:ind w:left="442" w:leftChars="201" w:firstLine="14" w:firstLineChars="6"/>
        <w:rPr>
          <w:rStyle w:val="81"/>
          <w:rFonts w:hint="eastAsia" w:ascii="宋体" w:hAnsi="宋体" w:cs="宋体"/>
          <w:b/>
          <w:bCs/>
          <w:sz w:val="24"/>
          <w:szCs w:val="24"/>
          <w:highlight w:val="none"/>
        </w:rPr>
      </w:pPr>
      <w:r>
        <w:rPr>
          <w:rStyle w:val="81"/>
          <w:rFonts w:hint="eastAsia" w:ascii="宋体" w:hAnsi="宋体" w:cs="宋体"/>
          <w:b/>
          <w:bCs/>
          <w:sz w:val="24"/>
          <w:szCs w:val="24"/>
          <w:highlight w:val="none"/>
        </w:rPr>
        <w:t>6.2.1.4配套用房、电梯机房空调系统</w:t>
      </w:r>
    </w:p>
    <w:p w14:paraId="33EC329C">
      <w:pPr>
        <w:pStyle w:val="85"/>
        <w:spacing w:before="0" w:beforeAutospacing="0" w:after="0" w:afterAutospacing="0" w:line="360" w:lineRule="auto"/>
        <w:ind w:left="442" w:leftChars="201" w:firstLine="14" w:firstLineChars="6"/>
        <w:rPr>
          <w:rFonts w:hint="eastAsia" w:ascii="宋体" w:hAnsi="宋体" w:cs="宋体"/>
          <w:sz w:val="24"/>
          <w:szCs w:val="24"/>
          <w:highlight w:val="none"/>
        </w:rPr>
      </w:pPr>
      <w:r>
        <w:rPr>
          <w:rFonts w:hint="eastAsia" w:ascii="宋体" w:hAnsi="宋体" w:cs="宋体"/>
          <w:sz w:val="24"/>
          <w:szCs w:val="24"/>
          <w:highlight w:val="none"/>
        </w:rPr>
        <w:t>①社区服务中心、物业用房等配套用房优先预留分体空调安装条件及电量。</w:t>
      </w:r>
    </w:p>
    <w:p w14:paraId="075E47E5">
      <w:pPr>
        <w:pStyle w:val="63"/>
        <w:spacing w:line="360" w:lineRule="auto"/>
        <w:ind w:firstLine="480"/>
        <w:contextualSpacing/>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②养老院、社区服务中心、物业用房等空调负荷量大或受建筑外立面和建筑体量影响无法设分体空调的区域采用多联机系统，预留安装条件及相关孔洞。</w:t>
      </w:r>
    </w:p>
    <w:p w14:paraId="46F8CFAB">
      <w:pPr>
        <w:pStyle w:val="63"/>
        <w:spacing w:line="360" w:lineRule="auto"/>
        <w:ind w:firstLine="480"/>
        <w:contextualSpacing/>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③设置多联机的空调场所，需设置独立新风系统，预留安装条件及相关孔洞。</w:t>
      </w:r>
    </w:p>
    <w:p w14:paraId="5243A4CB">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④多联机室外机设置地方必须考虑其噪声对室内外环境的影响，设置在屋顶上的室外机要考虑其减噪措施。</w:t>
      </w:r>
    </w:p>
    <w:p w14:paraId="0815D924">
      <w:pPr>
        <w:pStyle w:val="63"/>
        <w:spacing w:line="360" w:lineRule="auto"/>
        <w:ind w:firstLine="480"/>
        <w:contextualSpacing/>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⑤电梯机房、消防控制室等预留安装分体空调的安装的电气条件和室外机位置。</w:t>
      </w:r>
    </w:p>
    <w:p w14:paraId="4937E1F1">
      <w:pPr>
        <w:pStyle w:val="63"/>
        <w:spacing w:line="360" w:lineRule="auto"/>
        <w:ind w:firstLine="482"/>
        <w:contextualSpacing/>
        <w:rPr>
          <w:rStyle w:val="81"/>
          <w:rFonts w:hint="eastAsia" w:ascii="宋体" w:hAnsi="宋体" w:cs="宋体"/>
          <w:b/>
          <w:bCs/>
          <w:color w:val="auto"/>
          <w:sz w:val="24"/>
          <w:szCs w:val="24"/>
          <w:highlight w:val="none"/>
        </w:rPr>
      </w:pPr>
      <w:r>
        <w:rPr>
          <w:rStyle w:val="81"/>
          <w:rFonts w:hint="eastAsia" w:ascii="宋体" w:hAnsi="宋体" w:cs="宋体"/>
          <w:b/>
          <w:bCs/>
          <w:color w:val="auto"/>
          <w:sz w:val="24"/>
          <w:szCs w:val="24"/>
          <w:highlight w:val="none"/>
        </w:rPr>
        <w:t>6.2.1.5 酒店、办公空调系统（如有）</w:t>
      </w:r>
    </w:p>
    <w:p w14:paraId="7FE3A64D">
      <w:pPr>
        <w:pStyle w:val="63"/>
        <w:spacing w:line="360" w:lineRule="auto"/>
        <w:ind w:firstLine="480"/>
        <w:contextualSpacing/>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①酒店、办公优先预留分体空调，酒店的餐厅等空调负荷量大或受建筑外立面和建筑体量影响无法设分体空调的酒店、办公区域设计多联机系统。</w:t>
      </w:r>
    </w:p>
    <w:p w14:paraId="5B6FCA50">
      <w:pPr>
        <w:pStyle w:val="63"/>
        <w:spacing w:line="360" w:lineRule="auto"/>
        <w:ind w:firstLine="480"/>
        <w:contextualSpacing/>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②设置多联机的空调场所，需设置独立新风系统，预留安装条件及相关孔洞。</w:t>
      </w:r>
    </w:p>
    <w:p w14:paraId="6AB14018">
      <w:pPr>
        <w:pStyle w:val="63"/>
        <w:spacing w:line="360" w:lineRule="auto"/>
        <w:ind w:firstLine="480"/>
        <w:contextualSpacing/>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③多联机室外机设置地方必须考虑其噪声对室内外环境的影响，设置在屋顶上的室外机要考虑其减噪措施。</w:t>
      </w:r>
    </w:p>
    <w:p w14:paraId="2CF4BB2D">
      <w:pPr>
        <w:pStyle w:val="24"/>
        <w:spacing w:before="100" w:after="100"/>
        <w:ind w:firstLine="482"/>
        <w:rPr>
          <w:rFonts w:hint="eastAsia" w:hAnsi="宋体" w:cs="宋体"/>
          <w:b/>
          <w:bCs/>
          <w:szCs w:val="24"/>
          <w:highlight w:val="none"/>
        </w:rPr>
      </w:pPr>
      <w:r>
        <w:rPr>
          <w:rFonts w:hint="eastAsia" w:hAnsi="宋体" w:cs="宋体"/>
          <w:b/>
          <w:bCs/>
          <w:szCs w:val="24"/>
          <w:highlight w:val="none"/>
        </w:rPr>
        <w:t>6.2.2通风系统设计</w:t>
      </w:r>
    </w:p>
    <w:p w14:paraId="43BD7AC0">
      <w:pPr>
        <w:pStyle w:val="85"/>
        <w:spacing w:before="0" w:beforeAutospacing="0" w:after="0" w:afterAutospacing="0" w:line="360" w:lineRule="auto"/>
        <w:ind w:left="440" w:leftChars="200" w:firstLine="480"/>
        <w:rPr>
          <w:rStyle w:val="81"/>
          <w:rFonts w:hint="eastAsia" w:ascii="宋体" w:hAnsi="宋体" w:cs="宋体"/>
          <w:sz w:val="24"/>
          <w:szCs w:val="24"/>
          <w:highlight w:val="none"/>
        </w:rPr>
      </w:pPr>
      <w:r>
        <w:rPr>
          <w:rStyle w:val="81"/>
          <w:rFonts w:hint="eastAsia" w:ascii="宋体" w:hAnsi="宋体" w:cs="宋体"/>
          <w:sz w:val="24"/>
          <w:szCs w:val="24"/>
          <w:highlight w:val="none"/>
        </w:rPr>
        <w:t>6.2.2.1 通风换气次数：</w:t>
      </w:r>
    </w:p>
    <w:tbl>
      <w:tblPr>
        <w:tblStyle w:val="4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65"/>
        <w:gridCol w:w="3157"/>
        <w:gridCol w:w="1367"/>
        <w:gridCol w:w="1933"/>
      </w:tblGrid>
      <w:tr w14:paraId="6369F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2065" w:type="dxa"/>
            <w:vAlign w:val="center"/>
          </w:tcPr>
          <w:p w14:paraId="571AE394">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区域/房间</w:t>
            </w:r>
          </w:p>
        </w:tc>
        <w:tc>
          <w:tcPr>
            <w:tcW w:w="3157" w:type="dxa"/>
            <w:vAlign w:val="center"/>
          </w:tcPr>
          <w:p w14:paraId="3D9977B6">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排风量</w:t>
            </w:r>
          </w:p>
        </w:tc>
        <w:tc>
          <w:tcPr>
            <w:tcW w:w="1367" w:type="dxa"/>
            <w:vAlign w:val="center"/>
          </w:tcPr>
          <w:p w14:paraId="43925DE1">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进（补）风</w:t>
            </w:r>
          </w:p>
        </w:tc>
        <w:tc>
          <w:tcPr>
            <w:tcW w:w="1933" w:type="dxa"/>
            <w:vAlign w:val="center"/>
          </w:tcPr>
          <w:p w14:paraId="612855A1">
            <w:pPr>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备注</w:t>
            </w:r>
          </w:p>
        </w:tc>
      </w:tr>
      <w:tr w14:paraId="19F99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73A7A24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停车库</w:t>
            </w:r>
          </w:p>
        </w:tc>
        <w:tc>
          <w:tcPr>
            <w:tcW w:w="3157" w:type="dxa"/>
            <w:vAlign w:val="center"/>
          </w:tcPr>
          <w:p w14:paraId="0109F31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4次/小时（住宅普通车库）</w:t>
            </w:r>
          </w:p>
          <w:p w14:paraId="75C04752">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4.8次/小时（住宅充电车库）</w:t>
            </w:r>
          </w:p>
          <w:p w14:paraId="6C7CFFE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6次/小时（商业普通车库）</w:t>
            </w:r>
          </w:p>
        </w:tc>
        <w:tc>
          <w:tcPr>
            <w:tcW w:w="1367" w:type="dxa"/>
            <w:vAlign w:val="center"/>
          </w:tcPr>
          <w:p w14:paraId="127375D4">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机械补风/自然补风</w:t>
            </w:r>
          </w:p>
        </w:tc>
        <w:tc>
          <w:tcPr>
            <w:tcW w:w="1933" w:type="dxa"/>
            <w:vAlign w:val="center"/>
          </w:tcPr>
          <w:p w14:paraId="727BFF2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有条件优先自然补风</w:t>
            </w:r>
          </w:p>
        </w:tc>
      </w:tr>
      <w:tr w14:paraId="32885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1846E6A6">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非机动车库</w:t>
            </w:r>
          </w:p>
        </w:tc>
        <w:tc>
          <w:tcPr>
            <w:tcW w:w="3157" w:type="dxa"/>
            <w:vAlign w:val="center"/>
          </w:tcPr>
          <w:p w14:paraId="730B1A36">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3次/小时</w:t>
            </w:r>
          </w:p>
        </w:tc>
        <w:tc>
          <w:tcPr>
            <w:tcW w:w="1367" w:type="dxa"/>
            <w:vAlign w:val="center"/>
          </w:tcPr>
          <w:p w14:paraId="0BF9746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机械补风/自然补风</w:t>
            </w:r>
          </w:p>
        </w:tc>
        <w:tc>
          <w:tcPr>
            <w:tcW w:w="1933" w:type="dxa"/>
            <w:vAlign w:val="center"/>
          </w:tcPr>
          <w:p w14:paraId="7BF2F40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有条件优先自然补风</w:t>
            </w:r>
          </w:p>
        </w:tc>
      </w:tr>
      <w:tr w14:paraId="0181D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34D3CC9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高低压配电房</w:t>
            </w:r>
          </w:p>
        </w:tc>
        <w:tc>
          <w:tcPr>
            <w:tcW w:w="3157" w:type="dxa"/>
            <w:vAlign w:val="center"/>
          </w:tcPr>
          <w:p w14:paraId="3C5D05D0">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12次/小时（按散热量校核）</w:t>
            </w:r>
          </w:p>
        </w:tc>
        <w:tc>
          <w:tcPr>
            <w:tcW w:w="1367" w:type="dxa"/>
            <w:vAlign w:val="center"/>
          </w:tcPr>
          <w:p w14:paraId="57B4DC8B">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机械补风/自然补风</w:t>
            </w:r>
          </w:p>
        </w:tc>
        <w:tc>
          <w:tcPr>
            <w:tcW w:w="1933" w:type="dxa"/>
            <w:vAlign w:val="center"/>
          </w:tcPr>
          <w:p w14:paraId="507DB47C">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室温不超40℃，有条件优先自然补风</w:t>
            </w:r>
          </w:p>
        </w:tc>
      </w:tr>
      <w:tr w14:paraId="5C170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6D8C943C">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变压器房</w:t>
            </w:r>
          </w:p>
        </w:tc>
        <w:tc>
          <w:tcPr>
            <w:tcW w:w="3157" w:type="dxa"/>
            <w:vAlign w:val="center"/>
          </w:tcPr>
          <w:p w14:paraId="451FC60C">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25次/小时（按散热量校核）</w:t>
            </w:r>
          </w:p>
        </w:tc>
        <w:tc>
          <w:tcPr>
            <w:tcW w:w="1367" w:type="dxa"/>
            <w:vAlign w:val="center"/>
          </w:tcPr>
          <w:p w14:paraId="6EFD904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机械补风/自然补风</w:t>
            </w:r>
          </w:p>
        </w:tc>
        <w:tc>
          <w:tcPr>
            <w:tcW w:w="1933" w:type="dxa"/>
            <w:vAlign w:val="center"/>
          </w:tcPr>
          <w:p w14:paraId="1095C0E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室温不超40℃，有条件优先自然补风</w:t>
            </w:r>
          </w:p>
        </w:tc>
      </w:tr>
      <w:tr w14:paraId="39DCE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7B776DC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配电/电表/电信间</w:t>
            </w:r>
          </w:p>
        </w:tc>
        <w:tc>
          <w:tcPr>
            <w:tcW w:w="3157" w:type="dxa"/>
            <w:vAlign w:val="center"/>
          </w:tcPr>
          <w:p w14:paraId="2FBBE5EE">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3次/小时</w:t>
            </w:r>
          </w:p>
        </w:tc>
        <w:tc>
          <w:tcPr>
            <w:tcW w:w="1367" w:type="dxa"/>
            <w:vAlign w:val="center"/>
          </w:tcPr>
          <w:p w14:paraId="5670A590">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自然补风</w:t>
            </w:r>
          </w:p>
        </w:tc>
        <w:tc>
          <w:tcPr>
            <w:tcW w:w="1933" w:type="dxa"/>
            <w:vAlign w:val="center"/>
          </w:tcPr>
          <w:p w14:paraId="3A8C77CE">
            <w:pPr>
              <w:adjustRightInd w:val="0"/>
              <w:spacing w:line="360" w:lineRule="auto"/>
              <w:jc w:val="center"/>
              <w:rPr>
                <w:rFonts w:hint="eastAsia" w:ascii="宋体" w:hAnsi="宋体" w:eastAsia="宋体" w:cs="宋体"/>
                <w:color w:val="auto"/>
                <w:sz w:val="21"/>
                <w:szCs w:val="21"/>
                <w:highlight w:val="none"/>
              </w:rPr>
            </w:pPr>
          </w:p>
        </w:tc>
      </w:tr>
      <w:tr w14:paraId="21C5F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69E2238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电梯机房</w:t>
            </w:r>
          </w:p>
        </w:tc>
        <w:tc>
          <w:tcPr>
            <w:tcW w:w="3157" w:type="dxa"/>
            <w:vAlign w:val="center"/>
          </w:tcPr>
          <w:p w14:paraId="2379A213">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20次/小时（按散热量校核）</w:t>
            </w:r>
          </w:p>
        </w:tc>
        <w:tc>
          <w:tcPr>
            <w:tcW w:w="1367" w:type="dxa"/>
            <w:vAlign w:val="center"/>
          </w:tcPr>
          <w:p w14:paraId="0C4B76F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自然补风</w:t>
            </w:r>
          </w:p>
        </w:tc>
        <w:tc>
          <w:tcPr>
            <w:tcW w:w="1933" w:type="dxa"/>
            <w:vAlign w:val="center"/>
          </w:tcPr>
          <w:p w14:paraId="461EAC54">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预留分体空调</w:t>
            </w:r>
          </w:p>
        </w:tc>
      </w:tr>
      <w:tr w14:paraId="26BFC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4276404E">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生活水泵房</w:t>
            </w:r>
          </w:p>
        </w:tc>
        <w:tc>
          <w:tcPr>
            <w:tcW w:w="3157" w:type="dxa"/>
            <w:vAlign w:val="center"/>
          </w:tcPr>
          <w:p w14:paraId="4D8DD770">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4次/小时</w:t>
            </w:r>
          </w:p>
        </w:tc>
        <w:tc>
          <w:tcPr>
            <w:tcW w:w="1367" w:type="dxa"/>
            <w:vAlign w:val="center"/>
          </w:tcPr>
          <w:p w14:paraId="558EBB2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机械补风</w:t>
            </w:r>
          </w:p>
        </w:tc>
        <w:tc>
          <w:tcPr>
            <w:tcW w:w="1933" w:type="dxa"/>
            <w:vAlign w:val="center"/>
          </w:tcPr>
          <w:p w14:paraId="5FADB9DA">
            <w:pPr>
              <w:adjustRightInd w:val="0"/>
              <w:spacing w:line="360" w:lineRule="auto"/>
              <w:jc w:val="center"/>
              <w:rPr>
                <w:rFonts w:hint="eastAsia" w:ascii="宋体" w:hAnsi="宋体" w:eastAsia="宋体" w:cs="宋体"/>
                <w:color w:val="auto"/>
                <w:sz w:val="21"/>
                <w:szCs w:val="21"/>
                <w:highlight w:val="none"/>
              </w:rPr>
            </w:pPr>
          </w:p>
        </w:tc>
      </w:tr>
      <w:tr w14:paraId="6BACC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26C360C0">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污水泵房</w:t>
            </w:r>
          </w:p>
        </w:tc>
        <w:tc>
          <w:tcPr>
            <w:tcW w:w="3157" w:type="dxa"/>
            <w:vAlign w:val="center"/>
          </w:tcPr>
          <w:p w14:paraId="30636F1B">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8次/小时</w:t>
            </w:r>
          </w:p>
        </w:tc>
        <w:tc>
          <w:tcPr>
            <w:tcW w:w="1367" w:type="dxa"/>
            <w:vAlign w:val="center"/>
          </w:tcPr>
          <w:p w14:paraId="71AA31F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机械补风</w:t>
            </w:r>
          </w:p>
        </w:tc>
        <w:tc>
          <w:tcPr>
            <w:tcW w:w="1933" w:type="dxa"/>
            <w:vAlign w:val="center"/>
          </w:tcPr>
          <w:p w14:paraId="294C357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活性炭处理</w:t>
            </w:r>
          </w:p>
        </w:tc>
      </w:tr>
      <w:tr w14:paraId="4D553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5E0F04A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发电机房</w:t>
            </w:r>
          </w:p>
        </w:tc>
        <w:tc>
          <w:tcPr>
            <w:tcW w:w="3157" w:type="dxa"/>
            <w:vAlign w:val="center"/>
          </w:tcPr>
          <w:p w14:paraId="0132E247">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6次/小时</w:t>
            </w:r>
          </w:p>
        </w:tc>
        <w:tc>
          <w:tcPr>
            <w:tcW w:w="1367" w:type="dxa"/>
            <w:vAlign w:val="center"/>
          </w:tcPr>
          <w:p w14:paraId="181F5C37">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自然补风</w:t>
            </w:r>
          </w:p>
        </w:tc>
        <w:tc>
          <w:tcPr>
            <w:tcW w:w="1933" w:type="dxa"/>
            <w:vAlign w:val="center"/>
          </w:tcPr>
          <w:p w14:paraId="06217A15">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发电机工艺通风、排烟及降噪由发电机厂家深化设计</w:t>
            </w:r>
          </w:p>
        </w:tc>
      </w:tr>
      <w:tr w14:paraId="7EBB3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5A1C8D1E">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储油间</w:t>
            </w:r>
          </w:p>
        </w:tc>
        <w:tc>
          <w:tcPr>
            <w:tcW w:w="3157" w:type="dxa"/>
            <w:vAlign w:val="center"/>
          </w:tcPr>
          <w:p w14:paraId="145EA299">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12次/小时</w:t>
            </w:r>
          </w:p>
        </w:tc>
        <w:tc>
          <w:tcPr>
            <w:tcW w:w="1367" w:type="dxa"/>
            <w:vAlign w:val="center"/>
          </w:tcPr>
          <w:p w14:paraId="0D90943D">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自然补风</w:t>
            </w:r>
          </w:p>
        </w:tc>
        <w:tc>
          <w:tcPr>
            <w:tcW w:w="1933" w:type="dxa"/>
            <w:vAlign w:val="center"/>
          </w:tcPr>
          <w:p w14:paraId="7E9394A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储油间通向室外的通气管由发电机厂家深化设计</w:t>
            </w:r>
          </w:p>
        </w:tc>
      </w:tr>
      <w:tr w14:paraId="780A6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6FA99F18">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垃圾间</w:t>
            </w:r>
          </w:p>
        </w:tc>
        <w:tc>
          <w:tcPr>
            <w:tcW w:w="3157" w:type="dxa"/>
            <w:vAlign w:val="center"/>
          </w:tcPr>
          <w:p w14:paraId="59495ADF">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20次/小时</w:t>
            </w:r>
          </w:p>
        </w:tc>
        <w:tc>
          <w:tcPr>
            <w:tcW w:w="1367" w:type="dxa"/>
            <w:vAlign w:val="center"/>
          </w:tcPr>
          <w:p w14:paraId="6E30004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自然补风</w:t>
            </w:r>
          </w:p>
        </w:tc>
        <w:tc>
          <w:tcPr>
            <w:tcW w:w="1933" w:type="dxa"/>
            <w:vAlign w:val="center"/>
          </w:tcPr>
          <w:p w14:paraId="42880A92">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活性炭处理</w:t>
            </w:r>
          </w:p>
        </w:tc>
      </w:tr>
      <w:tr w14:paraId="005C7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4334D768">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一般设备房</w:t>
            </w:r>
          </w:p>
        </w:tc>
        <w:tc>
          <w:tcPr>
            <w:tcW w:w="3157" w:type="dxa"/>
            <w:vAlign w:val="center"/>
          </w:tcPr>
          <w:p w14:paraId="5D388D5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3次/小时</w:t>
            </w:r>
          </w:p>
        </w:tc>
        <w:tc>
          <w:tcPr>
            <w:tcW w:w="1367" w:type="dxa"/>
            <w:vAlign w:val="center"/>
          </w:tcPr>
          <w:p w14:paraId="5D9242C7">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自然补风</w:t>
            </w:r>
          </w:p>
        </w:tc>
        <w:tc>
          <w:tcPr>
            <w:tcW w:w="1933" w:type="dxa"/>
            <w:vAlign w:val="center"/>
          </w:tcPr>
          <w:p w14:paraId="4F18AAC7">
            <w:pPr>
              <w:adjustRightInd w:val="0"/>
              <w:spacing w:line="360" w:lineRule="auto"/>
              <w:jc w:val="center"/>
              <w:rPr>
                <w:rFonts w:hint="eastAsia" w:ascii="宋体" w:hAnsi="宋体" w:eastAsia="宋体" w:cs="宋体"/>
                <w:color w:val="auto"/>
                <w:sz w:val="21"/>
                <w:szCs w:val="21"/>
                <w:highlight w:val="none"/>
              </w:rPr>
            </w:pPr>
          </w:p>
        </w:tc>
      </w:tr>
      <w:tr w14:paraId="57B9B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7541BCCA">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公共卫生间</w:t>
            </w:r>
          </w:p>
        </w:tc>
        <w:tc>
          <w:tcPr>
            <w:tcW w:w="3157" w:type="dxa"/>
            <w:vAlign w:val="center"/>
          </w:tcPr>
          <w:p w14:paraId="75F476D6">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10次/小时</w:t>
            </w:r>
          </w:p>
        </w:tc>
        <w:tc>
          <w:tcPr>
            <w:tcW w:w="1367" w:type="dxa"/>
            <w:vAlign w:val="center"/>
          </w:tcPr>
          <w:p w14:paraId="3E7FD5B8">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自然补风</w:t>
            </w:r>
          </w:p>
        </w:tc>
        <w:tc>
          <w:tcPr>
            <w:tcW w:w="1933" w:type="dxa"/>
            <w:vAlign w:val="center"/>
          </w:tcPr>
          <w:p w14:paraId="4936D5ED">
            <w:pPr>
              <w:adjustRightInd w:val="0"/>
              <w:spacing w:line="360" w:lineRule="auto"/>
              <w:jc w:val="center"/>
              <w:rPr>
                <w:rFonts w:hint="eastAsia" w:ascii="宋体" w:hAnsi="宋体" w:eastAsia="宋体" w:cs="宋体"/>
                <w:color w:val="auto"/>
                <w:sz w:val="21"/>
                <w:szCs w:val="21"/>
                <w:highlight w:val="none"/>
              </w:rPr>
            </w:pPr>
          </w:p>
        </w:tc>
      </w:tr>
      <w:tr w14:paraId="0C20D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065" w:type="dxa"/>
            <w:vAlign w:val="center"/>
          </w:tcPr>
          <w:p w14:paraId="0A88BE41">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厨房</w:t>
            </w:r>
          </w:p>
        </w:tc>
        <w:tc>
          <w:tcPr>
            <w:tcW w:w="3157" w:type="dxa"/>
            <w:vAlign w:val="center"/>
          </w:tcPr>
          <w:p w14:paraId="3AF76E53">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50次/小时</w:t>
            </w:r>
          </w:p>
        </w:tc>
        <w:tc>
          <w:tcPr>
            <w:tcW w:w="1367" w:type="dxa"/>
            <w:vAlign w:val="center"/>
          </w:tcPr>
          <w:p w14:paraId="41502E29">
            <w:pPr>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自然补风</w:t>
            </w:r>
          </w:p>
        </w:tc>
        <w:tc>
          <w:tcPr>
            <w:tcW w:w="1933" w:type="dxa"/>
            <w:vAlign w:val="center"/>
          </w:tcPr>
          <w:p w14:paraId="3C07A3BA">
            <w:pPr>
              <w:adjustRightInd w:val="0"/>
              <w:spacing w:line="360" w:lineRule="auto"/>
              <w:jc w:val="center"/>
              <w:rPr>
                <w:rFonts w:hint="eastAsia" w:ascii="宋体" w:hAnsi="宋体" w:eastAsia="宋体" w:cs="宋体"/>
                <w:color w:val="auto"/>
                <w:sz w:val="21"/>
                <w:szCs w:val="21"/>
                <w:highlight w:val="none"/>
              </w:rPr>
            </w:pPr>
          </w:p>
        </w:tc>
      </w:tr>
    </w:tbl>
    <w:p w14:paraId="64245B4D">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6.2.2.2地下车库平时通风系统与消防合用时采用双速风机进行排烟、排风，风机平时低速运行，火灾时高速运行。当平时排风量/排烟量=60%~80%时，选用双速风机，其余情况设单速风机。平时排风宜根据CO气体浓度自动启停通风系统，适应不同情况下车库的风量需求，节省运行费用。地下室车库在满足卫生、消防补风的情况下尽量采用自然补风，消防和平时合用的排风(排烟)风机及进风机根据防火分区的划分选择风机，进、排风机数量一个地块不得分别超过5个规格。平时排风风量：当车库层高＜3m，按实际高度计算换气体积；当车库层高≥3m，按3m高度计算换气体积；设有分布均匀可开启外窗、或通风天窗、或洞口、或出入口直接对外且未设置防火卷帘的防火分区，应采用自然补风；不具备自然补风条件时，应设置机械补风系统，补风风量不应小于该防火分区排烟风量的50%且不宜小于平时排风量的80%。地下车库排烟兼排风风机、补风机采用低噪音离心风机，加压风机采用轴流风机。</w:t>
      </w:r>
    </w:p>
    <w:p w14:paraId="61CF853E">
      <w:pPr>
        <w:pStyle w:val="24"/>
        <w:spacing w:before="100" w:after="100"/>
        <w:ind w:firstLine="560"/>
        <w:rPr>
          <w:rFonts w:hint="eastAsia" w:hAnsi="宋体" w:cs="宋体"/>
          <w:szCs w:val="24"/>
          <w:highlight w:val="none"/>
        </w:rPr>
      </w:pPr>
      <w:r>
        <w:rPr>
          <w:rStyle w:val="81"/>
          <w:rFonts w:hint="eastAsia" w:hAnsi="宋体" w:cs="宋体"/>
          <w:szCs w:val="24"/>
          <w:highlight w:val="none"/>
        </w:rPr>
        <w:t xml:space="preserve">6.2.2.3 </w:t>
      </w:r>
      <w:r>
        <w:rPr>
          <w:rFonts w:hint="eastAsia" w:hAnsi="宋体" w:cs="宋体"/>
          <w:szCs w:val="24"/>
          <w:highlight w:val="none"/>
        </w:rPr>
        <w:t>电气变配电用房应设置平时机械通风系统，并根据热平衡计算通风量。</w:t>
      </w:r>
    </w:p>
    <w:p w14:paraId="7137876B">
      <w:pPr>
        <w:pStyle w:val="24"/>
        <w:spacing w:before="100" w:after="100"/>
        <w:ind w:firstLine="560"/>
        <w:rPr>
          <w:rFonts w:hint="eastAsia" w:hAnsi="宋体" w:cs="宋体"/>
          <w:szCs w:val="24"/>
          <w:highlight w:val="none"/>
        </w:rPr>
      </w:pPr>
      <w:r>
        <w:rPr>
          <w:rStyle w:val="81"/>
          <w:rFonts w:hint="eastAsia" w:hAnsi="宋体" w:cs="宋体"/>
          <w:szCs w:val="24"/>
          <w:highlight w:val="none"/>
        </w:rPr>
        <w:t>6.2.2.4</w:t>
      </w:r>
      <w:r>
        <w:rPr>
          <w:rFonts w:hint="eastAsia" w:hAnsi="宋体" w:cs="宋体"/>
          <w:szCs w:val="24"/>
          <w:highlight w:val="none"/>
        </w:rPr>
        <w:t>采用气体灭火系统的地下室设备房、地上无可开启外窗设备房，应设置火灾事故后排风系统（可合用）。火灾事故后排风系统设计应符合有关的防火规范，室内吸风口位置应设置在有害气体可能聚集的地方，排风口应设置在室外非主要人员活动及易于放散的区域。</w:t>
      </w:r>
    </w:p>
    <w:p w14:paraId="7A530349">
      <w:pPr>
        <w:pStyle w:val="24"/>
        <w:ind w:firstLine="482"/>
        <w:rPr>
          <w:rFonts w:hint="eastAsia" w:hAnsi="宋体" w:cs="宋体"/>
          <w:b/>
          <w:bCs/>
          <w:szCs w:val="24"/>
          <w:highlight w:val="none"/>
        </w:rPr>
      </w:pPr>
      <w:r>
        <w:rPr>
          <w:rFonts w:hint="eastAsia" w:hAnsi="宋体" w:cs="宋体"/>
          <w:b/>
          <w:bCs/>
          <w:szCs w:val="24"/>
          <w:highlight w:val="none"/>
        </w:rPr>
        <w:t>6.2.3 防排烟系统设计</w:t>
      </w:r>
    </w:p>
    <w:p w14:paraId="5DB20B9E">
      <w:pPr>
        <w:pStyle w:val="24"/>
        <w:ind w:firstLine="480"/>
        <w:rPr>
          <w:rFonts w:hint="eastAsia" w:hAnsi="宋体" w:cs="宋体"/>
          <w:szCs w:val="24"/>
          <w:highlight w:val="none"/>
        </w:rPr>
      </w:pPr>
      <w:r>
        <w:rPr>
          <w:rFonts w:hint="eastAsia" w:hAnsi="宋体" w:cs="宋体"/>
          <w:szCs w:val="24"/>
          <w:highlight w:val="none"/>
        </w:rPr>
        <w:t>6.2.3.1 住宅建筑的防烟楼梯间及其前室、消防电梯间前室和合用前室，应优先选择采用自然通风的方式。</w:t>
      </w:r>
    </w:p>
    <w:p w14:paraId="12748F3B">
      <w:pPr>
        <w:pStyle w:val="24"/>
        <w:ind w:firstLine="480"/>
        <w:rPr>
          <w:rFonts w:hint="eastAsia" w:hAnsi="宋体" w:cs="宋体"/>
          <w:szCs w:val="24"/>
          <w:highlight w:val="none"/>
        </w:rPr>
      </w:pPr>
      <w:r>
        <w:rPr>
          <w:rFonts w:hint="eastAsia" w:hAnsi="宋体" w:cs="宋体"/>
          <w:szCs w:val="24"/>
          <w:highlight w:val="none"/>
        </w:rPr>
        <w:t>6.2.3.2 设置机械加压时，三合一前室的加压送风量按图集20K607的1.5.1条的规则计算。</w:t>
      </w:r>
    </w:p>
    <w:p w14:paraId="1CA79451">
      <w:pPr>
        <w:pStyle w:val="24"/>
        <w:ind w:firstLine="480"/>
        <w:rPr>
          <w:rFonts w:hint="eastAsia" w:hAnsi="宋体" w:cs="宋体"/>
          <w:szCs w:val="24"/>
          <w:highlight w:val="none"/>
        </w:rPr>
      </w:pPr>
      <w:r>
        <w:rPr>
          <w:rFonts w:hint="eastAsia" w:hAnsi="宋体" w:cs="宋体"/>
          <w:szCs w:val="24"/>
          <w:highlight w:val="none"/>
        </w:rPr>
        <w:t>6.2.3.3 地上三合一前室根据防排烟规范必须设置机械加压系统。</w:t>
      </w:r>
    </w:p>
    <w:p w14:paraId="63F19EA5">
      <w:pPr>
        <w:pStyle w:val="24"/>
        <w:ind w:firstLine="480"/>
        <w:rPr>
          <w:rFonts w:hint="eastAsia" w:hAnsi="宋体" w:cs="宋体"/>
          <w:szCs w:val="24"/>
          <w:highlight w:val="none"/>
        </w:rPr>
      </w:pPr>
      <w:r>
        <w:rPr>
          <w:rFonts w:hint="eastAsia" w:hAnsi="宋体" w:cs="宋体"/>
          <w:szCs w:val="24"/>
          <w:highlight w:val="none"/>
        </w:rPr>
        <w:t>6.2.3.4 设置机械加压的楼梯或前室，余压控制采用余压监控系统。</w:t>
      </w:r>
    </w:p>
    <w:p w14:paraId="47601B20">
      <w:pPr>
        <w:pStyle w:val="24"/>
        <w:ind w:firstLine="480"/>
        <w:rPr>
          <w:rFonts w:hint="eastAsia" w:hAnsi="宋体" w:cs="宋体"/>
          <w:szCs w:val="24"/>
          <w:highlight w:val="none"/>
        </w:rPr>
      </w:pPr>
      <w:r>
        <w:rPr>
          <w:rFonts w:hint="eastAsia" w:hAnsi="宋体" w:cs="宋体"/>
          <w:szCs w:val="24"/>
          <w:highlight w:val="none"/>
        </w:rPr>
        <w:t>6.2.3.5 排烟、加压风机均应设置在专用的风机房内，不应将风机直接吊装在通风、排烟区域内，机房门应能满足检修时的使用要求。</w:t>
      </w:r>
    </w:p>
    <w:p w14:paraId="4CFD65C7">
      <w:pPr>
        <w:pStyle w:val="24"/>
        <w:ind w:firstLine="480"/>
        <w:rPr>
          <w:rFonts w:hint="eastAsia" w:hAnsi="宋体" w:cs="宋体"/>
          <w:szCs w:val="24"/>
          <w:highlight w:val="none"/>
        </w:rPr>
      </w:pPr>
      <w:r>
        <w:rPr>
          <w:rFonts w:hint="eastAsia" w:hAnsi="宋体" w:cs="宋体"/>
          <w:szCs w:val="24"/>
          <w:highlight w:val="none"/>
        </w:rPr>
        <w:t>6.2.3.6 靠近车道出入口的防火分区，尽量采用车道进行补风。</w:t>
      </w:r>
    </w:p>
    <w:p w14:paraId="30366440">
      <w:pPr>
        <w:pStyle w:val="24"/>
        <w:ind w:firstLine="480"/>
        <w:rPr>
          <w:rFonts w:hint="eastAsia" w:hAnsi="宋体" w:cs="宋体"/>
          <w:szCs w:val="24"/>
          <w:highlight w:val="none"/>
        </w:rPr>
      </w:pPr>
      <w:r>
        <w:rPr>
          <w:rFonts w:hint="eastAsia" w:hAnsi="宋体" w:cs="宋体"/>
          <w:szCs w:val="24"/>
          <w:highlight w:val="none"/>
        </w:rPr>
        <w:t>6.2.3.7 高大空间采用自然排烟窗还是机械排烟，必须经简单的经济技术比较才选用，避免造成成本极大浪费。</w:t>
      </w:r>
    </w:p>
    <w:p w14:paraId="31B0C6BD">
      <w:pPr>
        <w:pStyle w:val="24"/>
        <w:ind w:firstLine="480"/>
        <w:rPr>
          <w:rFonts w:hint="eastAsia" w:hAnsi="宋体" w:cs="宋体"/>
          <w:szCs w:val="24"/>
          <w:highlight w:val="none"/>
        </w:rPr>
      </w:pPr>
      <w:r>
        <w:rPr>
          <w:rFonts w:hint="eastAsia" w:hAnsi="宋体" w:cs="宋体"/>
          <w:szCs w:val="24"/>
          <w:highlight w:val="none"/>
        </w:rPr>
        <w:t>6.2.3.8 配套商业原则上采用自然排烟，配合建筑专业做好自然排烟窗。</w:t>
      </w:r>
    </w:p>
    <w:p w14:paraId="65C5122E">
      <w:pPr>
        <w:pStyle w:val="24"/>
        <w:ind w:firstLine="480"/>
        <w:rPr>
          <w:rFonts w:hint="eastAsia" w:hAnsi="宋体" w:cs="宋体"/>
          <w:szCs w:val="24"/>
          <w:highlight w:val="none"/>
        </w:rPr>
      </w:pPr>
      <w:r>
        <w:rPr>
          <w:rFonts w:hint="eastAsia" w:hAnsi="宋体" w:cs="宋体"/>
          <w:szCs w:val="24"/>
          <w:highlight w:val="none"/>
        </w:rPr>
        <w:t>6.2.3.9 建筑防排烟设置应满足《建筑防排烟技术标准》（GB51251-2017）和《防排烟及暖通防火设计审查与安装的要求》(20K607)的要求。</w:t>
      </w:r>
    </w:p>
    <w:p w14:paraId="54576087">
      <w:pPr>
        <w:pStyle w:val="24"/>
        <w:ind w:firstLine="480"/>
        <w:rPr>
          <w:rFonts w:hint="eastAsia" w:hAnsi="宋体" w:cs="宋体"/>
          <w:szCs w:val="24"/>
          <w:highlight w:val="none"/>
        </w:rPr>
      </w:pPr>
      <w:r>
        <w:rPr>
          <w:rFonts w:hint="eastAsia" w:hAnsi="宋体" w:cs="宋体"/>
          <w:szCs w:val="24"/>
          <w:highlight w:val="none"/>
        </w:rPr>
        <w:t>6.2.3.10 地下车库排烟量应满足≤汽车库、修车库、停车库设计防火规范≥（GB50067-2014）和≤电动汽车充电桩基础设施建设技术规程≥(DNJ/T15-150-2018)的要求。</w:t>
      </w:r>
    </w:p>
    <w:p w14:paraId="371EF183">
      <w:pPr>
        <w:pStyle w:val="24"/>
        <w:ind w:firstLine="480"/>
        <w:rPr>
          <w:rFonts w:hint="eastAsia" w:hAnsi="宋体" w:cs="宋体"/>
          <w:szCs w:val="24"/>
          <w:highlight w:val="none"/>
        </w:rPr>
      </w:pPr>
      <w:r>
        <w:rPr>
          <w:rFonts w:hint="eastAsia" w:hAnsi="宋体" w:cs="宋体"/>
          <w:szCs w:val="24"/>
          <w:highlight w:val="none"/>
        </w:rPr>
        <w:t>6.2.3.11 防排烟系统设计：地下室柴油发电机房面积控制小于50平方米，否则需考虑机械排烟系统。</w:t>
      </w:r>
    </w:p>
    <w:p w14:paraId="3923F998">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395" w:name="_Toc26711"/>
      <w:bookmarkStart w:id="396" w:name="_Toc19450"/>
      <w:bookmarkStart w:id="397" w:name="_Toc104581756"/>
      <w:bookmarkStart w:id="398" w:name="_Toc10389"/>
      <w:r>
        <w:rPr>
          <w:rFonts w:hint="eastAsia" w:ascii="宋体" w:hAnsi="宋体" w:eastAsia="宋体" w:cs="宋体"/>
          <w:color w:val="auto"/>
          <w:sz w:val="24"/>
          <w:szCs w:val="24"/>
          <w:highlight w:val="none"/>
        </w:rPr>
        <w:t>6.3 通用指标</w:t>
      </w:r>
      <w:bookmarkEnd w:id="395"/>
      <w:bookmarkEnd w:id="396"/>
      <w:bookmarkEnd w:id="397"/>
      <w:bookmarkEnd w:id="398"/>
    </w:p>
    <w:p w14:paraId="342B0F3E">
      <w:pPr>
        <w:pStyle w:val="80"/>
        <w:numPr>
          <w:ilvl w:val="0"/>
          <w:numId w:val="6"/>
        </w:numPr>
        <w:tabs>
          <w:tab w:val="clear" w:pos="420"/>
        </w:tabs>
        <w:spacing w:line="360" w:lineRule="auto"/>
        <w:ind w:left="0" w:firstLine="482"/>
        <w:jc w:val="center"/>
        <w:rPr>
          <w:rFonts w:hint="eastAsia" w:ascii="宋体" w:hAnsi="宋体" w:cs="宋体"/>
          <w:b/>
          <w:sz w:val="24"/>
          <w:szCs w:val="24"/>
          <w:highlight w:val="none"/>
        </w:rPr>
      </w:pPr>
      <w:r>
        <w:rPr>
          <w:rFonts w:hint="eastAsia" w:ascii="宋体" w:hAnsi="宋体" w:cs="宋体"/>
          <w:b/>
          <w:sz w:val="24"/>
          <w:szCs w:val="24"/>
          <w:highlight w:val="none"/>
        </w:rPr>
        <w:t>通风系统设计</w:t>
      </w:r>
    </w:p>
    <w:p w14:paraId="72F47AE3">
      <w:pPr>
        <w:pStyle w:val="24"/>
        <w:numPr>
          <w:ilvl w:val="0"/>
          <w:numId w:val="7"/>
        </w:numPr>
        <w:snapToGrid w:val="0"/>
        <w:ind w:firstLine="480"/>
        <w:rPr>
          <w:rFonts w:hint="eastAsia" w:hAnsi="宋体" w:cs="宋体"/>
          <w:szCs w:val="24"/>
          <w:highlight w:val="none"/>
        </w:rPr>
      </w:pPr>
      <w:r>
        <w:rPr>
          <w:rFonts w:hint="eastAsia" w:hAnsi="宋体" w:cs="宋体"/>
          <w:szCs w:val="24"/>
          <w:highlight w:val="none"/>
        </w:rPr>
        <w:t>住宅户内卫生间</w:t>
      </w:r>
    </w:p>
    <w:p w14:paraId="281B4D9A">
      <w:pPr>
        <w:pStyle w:val="24"/>
        <w:snapToGrid w:val="0"/>
        <w:ind w:firstLine="480"/>
        <w:rPr>
          <w:rFonts w:hint="eastAsia" w:hAnsi="宋体" w:cs="宋体"/>
          <w:szCs w:val="24"/>
          <w:highlight w:val="none"/>
        </w:rPr>
      </w:pPr>
      <w:r>
        <w:rPr>
          <w:rFonts w:hint="eastAsia" w:hAnsi="宋体" w:cs="宋体"/>
          <w:szCs w:val="24"/>
          <w:highlight w:val="none"/>
        </w:rPr>
        <w:t>1.1 通用布置原则：优先采用外墙开窗并预留排气扇，不设排气道，每个卫生间外墙预留一个DN160的洞。排气口避开人员活动区，不应开向公共空间。暗卫及条件受限的明卫应采用成品排气道，设置排气扇。</w:t>
      </w:r>
    </w:p>
    <w:p w14:paraId="3A7CDF98">
      <w:pPr>
        <w:pStyle w:val="24"/>
        <w:snapToGrid w:val="0"/>
        <w:ind w:firstLine="480"/>
        <w:rPr>
          <w:rFonts w:hint="eastAsia" w:hAnsi="宋体" w:cs="宋体"/>
          <w:szCs w:val="24"/>
          <w:highlight w:val="none"/>
        </w:rPr>
      </w:pPr>
      <w:r>
        <w:rPr>
          <w:rFonts w:hint="eastAsia" w:hAnsi="宋体" w:cs="宋体"/>
          <w:szCs w:val="24"/>
          <w:highlight w:val="none"/>
        </w:rPr>
        <w:t>1.2 排气出口处加装不锈钢半球形防水罩，防水罩应进行喷涂，颜色同外墙。</w:t>
      </w:r>
    </w:p>
    <w:p w14:paraId="639A8B1B">
      <w:pPr>
        <w:pStyle w:val="24"/>
        <w:snapToGrid w:val="0"/>
        <w:ind w:firstLine="480"/>
        <w:rPr>
          <w:rFonts w:hint="eastAsia" w:hAnsi="宋体" w:cs="宋体"/>
          <w:szCs w:val="24"/>
          <w:highlight w:val="none"/>
        </w:rPr>
      </w:pPr>
      <w:r>
        <w:rPr>
          <w:rFonts w:hint="eastAsia" w:hAnsi="宋体" w:cs="宋体"/>
          <w:szCs w:val="24"/>
          <w:highlight w:val="none"/>
        </w:rPr>
        <w:t>1.3 卫生间设置成品排气道时，应贴沉箱底或板底在成品风道侧壁，设置DN100（或根据实际情况计算选用）镀锌钢板防火阀，排气扇、排风机、暖风机自带止回阀，规格采用DN100或根据实际情况计算选用。</w:t>
      </w:r>
    </w:p>
    <w:p w14:paraId="3AD77030">
      <w:pPr>
        <w:pStyle w:val="24"/>
        <w:numPr>
          <w:ilvl w:val="0"/>
          <w:numId w:val="7"/>
        </w:numPr>
        <w:snapToGrid w:val="0"/>
        <w:ind w:firstLine="480"/>
        <w:rPr>
          <w:rFonts w:hint="eastAsia" w:hAnsi="宋体" w:cs="宋体"/>
          <w:szCs w:val="24"/>
          <w:highlight w:val="none"/>
        </w:rPr>
      </w:pPr>
      <w:r>
        <w:rPr>
          <w:rFonts w:hint="eastAsia" w:hAnsi="宋体" w:cs="宋体"/>
          <w:szCs w:val="24"/>
          <w:highlight w:val="none"/>
        </w:rPr>
        <w:t>公共卫生间、无外窗卫生间应设置机械通风系统，排风经天花式排气扇或排风机排出室外，利用负压自然补风。</w:t>
      </w:r>
    </w:p>
    <w:p w14:paraId="75F7B20F">
      <w:pPr>
        <w:pStyle w:val="24"/>
        <w:numPr>
          <w:ilvl w:val="0"/>
          <w:numId w:val="7"/>
        </w:numPr>
        <w:snapToGrid w:val="0"/>
        <w:ind w:firstLine="480"/>
        <w:rPr>
          <w:rFonts w:hint="eastAsia" w:hAnsi="宋体" w:cs="宋体"/>
          <w:szCs w:val="24"/>
          <w:highlight w:val="none"/>
        </w:rPr>
      </w:pPr>
      <w:r>
        <w:rPr>
          <w:rFonts w:hint="eastAsia" w:hAnsi="宋体" w:cs="宋体"/>
          <w:szCs w:val="24"/>
          <w:highlight w:val="none"/>
        </w:rPr>
        <w:t>柴油发电机房、储油间平时通风采用独立的送、排风系统，并采取相关的防爆措施。</w:t>
      </w:r>
    </w:p>
    <w:p w14:paraId="3A76D45F">
      <w:pPr>
        <w:pStyle w:val="24"/>
        <w:numPr>
          <w:ilvl w:val="0"/>
          <w:numId w:val="7"/>
        </w:numPr>
        <w:snapToGrid w:val="0"/>
        <w:ind w:firstLine="480"/>
        <w:rPr>
          <w:rFonts w:hint="eastAsia" w:hAnsi="宋体" w:cs="宋体"/>
          <w:szCs w:val="24"/>
          <w:highlight w:val="none"/>
        </w:rPr>
      </w:pPr>
      <w:r>
        <w:rPr>
          <w:rFonts w:hint="eastAsia" w:hAnsi="宋体" w:cs="宋体"/>
          <w:szCs w:val="24"/>
          <w:highlight w:val="none"/>
        </w:rPr>
        <w:t>电梯机房根据电梯发热量设机械通风系统，进排风口位置合理。预留安装分体空调的安装的电气条件和室外机位置。</w:t>
      </w:r>
    </w:p>
    <w:p w14:paraId="7BBE2224">
      <w:pPr>
        <w:pStyle w:val="24"/>
        <w:numPr>
          <w:ilvl w:val="0"/>
          <w:numId w:val="7"/>
        </w:numPr>
        <w:snapToGrid w:val="0"/>
        <w:ind w:firstLine="480"/>
        <w:rPr>
          <w:rFonts w:hint="eastAsia" w:hAnsi="宋体" w:cs="宋体"/>
          <w:szCs w:val="24"/>
          <w:highlight w:val="none"/>
        </w:rPr>
      </w:pPr>
      <w:r>
        <w:rPr>
          <w:rFonts w:hint="eastAsia" w:hAnsi="宋体" w:cs="宋体"/>
          <w:szCs w:val="24"/>
          <w:highlight w:val="none"/>
        </w:rPr>
        <w:t>垃圾转运站和餐饮用的污水泵房的排风必须经过活性炭处理达到排放标准才能排放，且排放口不得位于人员主要出入口。</w:t>
      </w:r>
    </w:p>
    <w:p w14:paraId="4830B2EB">
      <w:pPr>
        <w:pStyle w:val="24"/>
        <w:numPr>
          <w:ilvl w:val="0"/>
          <w:numId w:val="7"/>
        </w:numPr>
        <w:snapToGrid w:val="0"/>
        <w:ind w:firstLine="480"/>
        <w:rPr>
          <w:rFonts w:hint="eastAsia" w:hAnsi="宋体" w:cs="宋体"/>
          <w:szCs w:val="24"/>
          <w:highlight w:val="none"/>
        </w:rPr>
      </w:pPr>
      <w:r>
        <w:rPr>
          <w:rFonts w:hint="eastAsia" w:hAnsi="宋体" w:cs="宋体"/>
          <w:szCs w:val="24"/>
          <w:highlight w:val="none"/>
        </w:rPr>
        <w:t>因燃气使用或燃气管通过等原因必须设置事故排风的房间，按规范设置事故排风装置及燃气泄漏探测系统，具体详见燃气专业说明及图纸，事故排风机采用防爆型，并设置导除静电装置。事故通风的手动控制装置应在室内外便于操作的地点分别设置。</w:t>
      </w:r>
    </w:p>
    <w:p w14:paraId="0F4CB452">
      <w:pPr>
        <w:pStyle w:val="24"/>
        <w:numPr>
          <w:ilvl w:val="0"/>
          <w:numId w:val="7"/>
        </w:numPr>
        <w:snapToGrid w:val="0"/>
        <w:ind w:firstLine="480"/>
        <w:rPr>
          <w:rFonts w:hint="eastAsia" w:hAnsi="宋体" w:cs="宋体"/>
          <w:szCs w:val="24"/>
          <w:highlight w:val="none"/>
        </w:rPr>
      </w:pPr>
      <w:r>
        <w:rPr>
          <w:rFonts w:hint="eastAsia" w:hAnsi="宋体" w:cs="宋体"/>
          <w:szCs w:val="24"/>
          <w:highlight w:val="none"/>
        </w:rPr>
        <w:t>人防地下室的战时通风系统设计应符合相关的国家人防工程设计规范，并应考虑平战结合设计。</w:t>
      </w:r>
    </w:p>
    <w:p w14:paraId="0CAE6431">
      <w:pPr>
        <w:pStyle w:val="24"/>
        <w:numPr>
          <w:ilvl w:val="0"/>
          <w:numId w:val="7"/>
        </w:numPr>
        <w:snapToGrid w:val="0"/>
        <w:ind w:firstLine="480"/>
        <w:rPr>
          <w:rFonts w:hint="eastAsia" w:hAnsi="宋体" w:cs="宋体"/>
          <w:szCs w:val="24"/>
          <w:highlight w:val="none"/>
        </w:rPr>
      </w:pPr>
      <w:r>
        <w:rPr>
          <w:rFonts w:hint="eastAsia" w:hAnsi="宋体" w:cs="宋体"/>
          <w:szCs w:val="24"/>
          <w:highlight w:val="none"/>
        </w:rPr>
        <w:t>当地下车库选用双速风机时，单个风机的占地面积不超过2mX2m，单个风机房的有效尺寸不宜超过3.5mX3.8m，两个风机共用机房有效尺寸不宜超过6mX3.8m(不含管井面积，管井宽度不宜小于600mm)。</w:t>
      </w:r>
    </w:p>
    <w:p w14:paraId="19465A55">
      <w:pPr>
        <w:pStyle w:val="80"/>
        <w:numPr>
          <w:ilvl w:val="0"/>
          <w:numId w:val="6"/>
        </w:numPr>
        <w:tabs>
          <w:tab w:val="clear" w:pos="420"/>
        </w:tabs>
        <w:spacing w:line="360" w:lineRule="auto"/>
        <w:ind w:left="0" w:firstLine="482"/>
        <w:jc w:val="center"/>
        <w:rPr>
          <w:rFonts w:hint="eastAsia" w:ascii="宋体" w:hAnsi="宋体" w:cs="宋体"/>
          <w:b/>
          <w:sz w:val="24"/>
          <w:szCs w:val="24"/>
          <w:highlight w:val="none"/>
        </w:rPr>
      </w:pPr>
      <w:r>
        <w:rPr>
          <w:rFonts w:hint="eastAsia" w:ascii="宋体" w:hAnsi="宋体" w:cs="宋体"/>
          <w:b/>
          <w:sz w:val="24"/>
          <w:szCs w:val="24"/>
          <w:highlight w:val="none"/>
        </w:rPr>
        <w:t>排油烟系统设计</w:t>
      </w:r>
    </w:p>
    <w:p w14:paraId="3B044100">
      <w:pPr>
        <w:pStyle w:val="24"/>
        <w:numPr>
          <w:ilvl w:val="0"/>
          <w:numId w:val="8"/>
        </w:numPr>
        <w:snapToGrid w:val="0"/>
        <w:ind w:firstLine="480"/>
        <w:rPr>
          <w:rFonts w:hint="eastAsia" w:hAnsi="宋体" w:cs="宋体"/>
          <w:szCs w:val="24"/>
          <w:highlight w:val="none"/>
        </w:rPr>
      </w:pPr>
      <w:r>
        <w:rPr>
          <w:rFonts w:hint="eastAsia" w:hAnsi="宋体" w:cs="宋体"/>
          <w:szCs w:val="24"/>
          <w:highlight w:val="none"/>
        </w:rPr>
        <w:t>住宅建筑厨房排油烟应设置共用排气竖井（烟道），共用竖井（烟道）应采用具有能够防止油烟回流设施的定型产品，管道材料应符合相关国家消防规范的要求。</w:t>
      </w:r>
    </w:p>
    <w:p w14:paraId="2D3E79D6">
      <w:pPr>
        <w:pStyle w:val="24"/>
        <w:numPr>
          <w:ilvl w:val="0"/>
          <w:numId w:val="8"/>
        </w:numPr>
        <w:snapToGrid w:val="0"/>
        <w:ind w:firstLine="480"/>
        <w:rPr>
          <w:rFonts w:hint="eastAsia" w:hAnsi="宋体" w:cs="宋体"/>
          <w:szCs w:val="24"/>
          <w:highlight w:val="none"/>
        </w:rPr>
      </w:pPr>
      <w:r>
        <w:rPr>
          <w:rFonts w:hint="eastAsia" w:hAnsi="宋体" w:cs="宋体"/>
          <w:szCs w:val="24"/>
          <w:highlight w:val="none"/>
        </w:rPr>
        <w:t>公共厨房设置排油烟及通风系统，厨房排油烟要求经净化处理后排放，油烟浓度须满足《饮食业油烟排放标准》GB18483-2001规定，排油烟系统环保、隔声设计满足《饮食业环境保护技术规范》HJ554-2010要求，油烟排放口与周边建筑间距建议≥20m并达到当地环评要求。</w:t>
      </w:r>
    </w:p>
    <w:p w14:paraId="50D4E29B">
      <w:pPr>
        <w:pStyle w:val="24"/>
        <w:numPr>
          <w:ilvl w:val="0"/>
          <w:numId w:val="8"/>
        </w:numPr>
        <w:snapToGrid w:val="0"/>
        <w:ind w:firstLine="480"/>
        <w:rPr>
          <w:rFonts w:hint="eastAsia" w:hAnsi="宋体" w:cs="宋体"/>
          <w:szCs w:val="24"/>
          <w:highlight w:val="none"/>
        </w:rPr>
      </w:pPr>
      <w:r>
        <w:rPr>
          <w:rFonts w:hint="eastAsia" w:hAnsi="宋体" w:cs="宋体"/>
          <w:szCs w:val="24"/>
          <w:highlight w:val="none"/>
        </w:rPr>
        <w:t>餐饮所在建筑物高度小于等于15m时，油烟排放口应高于屋顶；建筑物高度大于15m时，油烟排放口高度应大于15m。</w:t>
      </w:r>
    </w:p>
    <w:p w14:paraId="12062250">
      <w:pPr>
        <w:pStyle w:val="24"/>
        <w:numPr>
          <w:ilvl w:val="0"/>
          <w:numId w:val="8"/>
        </w:numPr>
        <w:snapToGrid w:val="0"/>
        <w:ind w:firstLine="480"/>
        <w:rPr>
          <w:rFonts w:hint="eastAsia" w:hAnsi="宋体" w:cs="宋体"/>
          <w:szCs w:val="24"/>
          <w:highlight w:val="none"/>
        </w:rPr>
      </w:pPr>
      <w:r>
        <w:rPr>
          <w:rFonts w:hint="eastAsia" w:hAnsi="宋体" w:cs="宋体"/>
          <w:szCs w:val="24"/>
          <w:highlight w:val="none"/>
        </w:rPr>
        <w:t>商铺排油烟方案设计原则:</w:t>
      </w:r>
    </w:p>
    <w:p w14:paraId="105F0DEA">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4.1 排油烟管应尽量避免横向穿越其他商铺，宜采用以下方案：</w:t>
      </w:r>
    </w:p>
    <w:tbl>
      <w:tblPr>
        <w:tblStyle w:val="42"/>
        <w:tblW w:w="795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73"/>
        <w:gridCol w:w="2465"/>
        <w:gridCol w:w="4618"/>
      </w:tblGrid>
      <w:tr w14:paraId="6BAF4A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4" w:hRule="atLeast"/>
          <w:jc w:val="center"/>
        </w:trPr>
        <w:tc>
          <w:tcPr>
            <w:tcW w:w="873" w:type="dxa"/>
          </w:tcPr>
          <w:p w14:paraId="29A57BFD">
            <w:pPr>
              <w:autoSpaceDE w:val="0"/>
              <w:autoSpaceDN w:val="0"/>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优先级</w:t>
            </w:r>
          </w:p>
        </w:tc>
        <w:tc>
          <w:tcPr>
            <w:tcW w:w="2465" w:type="dxa"/>
          </w:tcPr>
          <w:p w14:paraId="4C92524E">
            <w:pPr>
              <w:pStyle w:val="63"/>
              <w:autoSpaceDE w:val="0"/>
              <w:autoSpaceDN w:val="0"/>
              <w:adjustRightInd w:val="0"/>
              <w:spacing w:line="360" w:lineRule="auto"/>
              <w:ind w:firstLine="0" w:firstLine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方案</w:t>
            </w:r>
          </w:p>
        </w:tc>
        <w:tc>
          <w:tcPr>
            <w:tcW w:w="4618" w:type="dxa"/>
          </w:tcPr>
          <w:p w14:paraId="246C596C">
            <w:pPr>
              <w:autoSpaceDE w:val="0"/>
              <w:autoSpaceDN w:val="0"/>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井道图示</w:t>
            </w:r>
          </w:p>
        </w:tc>
      </w:tr>
      <w:tr w14:paraId="659091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7" w:hRule="atLeast"/>
          <w:jc w:val="center"/>
        </w:trPr>
        <w:tc>
          <w:tcPr>
            <w:tcW w:w="873" w:type="dxa"/>
          </w:tcPr>
          <w:p w14:paraId="3EDBD18D">
            <w:pPr>
              <w:autoSpaceDE w:val="0"/>
              <w:autoSpaceDN w:val="0"/>
              <w:adjustRightInd w:val="0"/>
              <w:spacing w:line="360" w:lineRule="auto"/>
              <w:jc w:val="center"/>
              <w:rPr>
                <w:rFonts w:hint="eastAsia" w:ascii="宋体" w:hAnsi="宋体" w:eastAsia="宋体" w:cs="宋体"/>
                <w:color w:val="auto"/>
                <w:sz w:val="21"/>
                <w:szCs w:val="21"/>
                <w:highlight w:val="none"/>
              </w:rPr>
            </w:pPr>
          </w:p>
          <w:p w14:paraId="1202F6C0">
            <w:pPr>
              <w:autoSpaceDE w:val="0"/>
              <w:autoSpaceDN w:val="0"/>
              <w:adjustRightInd w:val="0"/>
              <w:spacing w:line="360" w:lineRule="auto"/>
              <w:jc w:val="center"/>
              <w:rPr>
                <w:rFonts w:hint="eastAsia" w:ascii="宋体" w:hAnsi="宋体" w:eastAsia="宋体" w:cs="宋体"/>
                <w:color w:val="auto"/>
                <w:sz w:val="21"/>
                <w:szCs w:val="21"/>
                <w:highlight w:val="none"/>
              </w:rPr>
            </w:pPr>
          </w:p>
          <w:p w14:paraId="16C0E624">
            <w:pPr>
              <w:autoSpaceDE w:val="0"/>
              <w:autoSpaceDN w:val="0"/>
              <w:adjustRightInd w:val="0"/>
              <w:spacing w:line="360" w:lineRule="auto"/>
              <w:jc w:val="center"/>
              <w:rPr>
                <w:rFonts w:hint="eastAsia" w:ascii="宋体" w:hAnsi="宋体" w:eastAsia="宋体" w:cs="宋体"/>
                <w:color w:val="auto"/>
                <w:sz w:val="21"/>
                <w:szCs w:val="21"/>
                <w:highlight w:val="none"/>
              </w:rPr>
            </w:pPr>
          </w:p>
          <w:p w14:paraId="0149A403">
            <w:pPr>
              <w:autoSpaceDE w:val="0"/>
              <w:autoSpaceDN w:val="0"/>
              <w:adjustRightInd w:val="0"/>
              <w:spacing w:line="360" w:lineRule="auto"/>
              <w:jc w:val="center"/>
              <w:rPr>
                <w:rFonts w:hint="eastAsia" w:ascii="宋体" w:hAnsi="宋体" w:eastAsia="宋体" w:cs="宋体"/>
                <w:color w:val="auto"/>
                <w:sz w:val="21"/>
                <w:szCs w:val="21"/>
                <w:highlight w:val="none"/>
              </w:rPr>
            </w:pPr>
          </w:p>
          <w:p w14:paraId="0125ABA9">
            <w:pPr>
              <w:autoSpaceDE w:val="0"/>
              <w:autoSpaceDN w:val="0"/>
              <w:adjustRightInd w:val="0"/>
              <w:spacing w:line="360" w:lineRule="auto"/>
              <w:jc w:val="center"/>
              <w:rPr>
                <w:rFonts w:hint="eastAsia" w:ascii="宋体" w:hAnsi="宋体" w:eastAsia="宋体" w:cs="宋体"/>
                <w:color w:val="auto"/>
                <w:sz w:val="21"/>
                <w:szCs w:val="21"/>
                <w:highlight w:val="none"/>
              </w:rPr>
            </w:pPr>
          </w:p>
          <w:p w14:paraId="1D371816">
            <w:pPr>
              <w:autoSpaceDE w:val="0"/>
              <w:autoSpaceDN w:val="0"/>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2465" w:type="dxa"/>
          </w:tcPr>
          <w:p w14:paraId="65A3D0FA">
            <w:pPr>
              <w:autoSpaceDE w:val="0"/>
              <w:autoSpaceDN w:val="0"/>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层商铺油烟井按每个商铺独立设置，井道采用顶板开洞，最底层井道不落地。多层商铺油烟井按商铺分隔竖向设置，多层商铺竖向合用排油烟道，每个商铺的油烟支管从油烟井道接出，油烟管道不穿越其他商铺。</w:t>
            </w:r>
          </w:p>
        </w:tc>
        <w:tc>
          <w:tcPr>
            <w:tcW w:w="4618" w:type="dxa"/>
          </w:tcPr>
          <w:p w14:paraId="5894F53A">
            <w:pPr>
              <w:pStyle w:val="63"/>
              <w:autoSpaceDE w:val="0"/>
              <w:autoSpaceDN w:val="0"/>
              <w:adjustRightInd w:val="0"/>
              <w:spacing w:line="360" w:lineRule="auto"/>
              <w:ind w:firstLine="0" w:firstLine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drawing>
                <wp:anchor distT="0" distB="0" distL="114300" distR="114300" simplePos="0" relativeHeight="251663360" behindDoc="0" locked="0" layoutInCell="1" allowOverlap="1">
                  <wp:simplePos x="0" y="0"/>
                  <wp:positionH relativeFrom="column">
                    <wp:posOffset>324485</wp:posOffset>
                  </wp:positionH>
                  <wp:positionV relativeFrom="paragraph">
                    <wp:posOffset>44450</wp:posOffset>
                  </wp:positionV>
                  <wp:extent cx="2218055" cy="1638935"/>
                  <wp:effectExtent l="0" t="0" r="10795" b="18415"/>
                  <wp:wrapNone/>
                  <wp:docPr id="30" name="图片 37" descr="15428886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7" descr="1542888684(1)"/>
                          <pic:cNvPicPr>
                            <a:picLocks noChangeAspect="1"/>
                          </pic:cNvPicPr>
                        </pic:nvPicPr>
                        <pic:blipFill>
                          <a:blip r:embed="rId15" cstate="print"/>
                          <a:stretch>
                            <a:fillRect/>
                          </a:stretch>
                        </pic:blipFill>
                        <pic:spPr>
                          <a:xfrm>
                            <a:off x="0" y="0"/>
                            <a:ext cx="2218055" cy="1638935"/>
                          </a:xfrm>
                          <a:prstGeom prst="rect">
                            <a:avLst/>
                          </a:prstGeom>
                          <a:noFill/>
                          <a:ln>
                            <a:noFill/>
                          </a:ln>
                        </pic:spPr>
                      </pic:pic>
                    </a:graphicData>
                  </a:graphic>
                </wp:anchor>
              </w:drawing>
            </w:r>
          </w:p>
        </w:tc>
      </w:tr>
      <w:tr w14:paraId="10E9C6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79" w:hRule="atLeast"/>
          <w:jc w:val="center"/>
        </w:trPr>
        <w:tc>
          <w:tcPr>
            <w:tcW w:w="873" w:type="dxa"/>
          </w:tcPr>
          <w:p w14:paraId="762BD19D">
            <w:pPr>
              <w:autoSpaceDE w:val="0"/>
              <w:autoSpaceDN w:val="0"/>
              <w:adjustRightInd w:val="0"/>
              <w:spacing w:line="360" w:lineRule="auto"/>
              <w:jc w:val="center"/>
              <w:rPr>
                <w:rFonts w:hint="eastAsia" w:ascii="宋体" w:hAnsi="宋体" w:eastAsia="宋体" w:cs="宋体"/>
                <w:color w:val="auto"/>
                <w:sz w:val="21"/>
                <w:szCs w:val="21"/>
                <w:highlight w:val="none"/>
              </w:rPr>
            </w:pPr>
          </w:p>
          <w:p w14:paraId="0A15719E">
            <w:pPr>
              <w:autoSpaceDE w:val="0"/>
              <w:autoSpaceDN w:val="0"/>
              <w:adjustRightInd w:val="0"/>
              <w:spacing w:line="360" w:lineRule="auto"/>
              <w:jc w:val="center"/>
              <w:rPr>
                <w:rFonts w:hint="eastAsia" w:ascii="宋体" w:hAnsi="宋体" w:eastAsia="宋体" w:cs="宋体"/>
                <w:color w:val="auto"/>
                <w:sz w:val="21"/>
                <w:szCs w:val="21"/>
                <w:highlight w:val="none"/>
              </w:rPr>
            </w:pPr>
          </w:p>
          <w:p w14:paraId="73B47E5B">
            <w:pPr>
              <w:autoSpaceDE w:val="0"/>
              <w:autoSpaceDN w:val="0"/>
              <w:adjustRightInd w:val="0"/>
              <w:spacing w:line="360" w:lineRule="auto"/>
              <w:jc w:val="center"/>
              <w:rPr>
                <w:rFonts w:hint="eastAsia" w:ascii="宋体" w:hAnsi="宋体" w:eastAsia="宋体" w:cs="宋体"/>
                <w:color w:val="auto"/>
                <w:sz w:val="21"/>
                <w:szCs w:val="21"/>
                <w:highlight w:val="none"/>
              </w:rPr>
            </w:pPr>
          </w:p>
          <w:p w14:paraId="6E605F98">
            <w:pPr>
              <w:autoSpaceDE w:val="0"/>
              <w:autoSpaceDN w:val="0"/>
              <w:adjustRightInd w:val="0"/>
              <w:spacing w:line="360" w:lineRule="auto"/>
              <w:jc w:val="center"/>
              <w:rPr>
                <w:rFonts w:hint="eastAsia" w:ascii="宋体" w:hAnsi="宋体" w:eastAsia="宋体" w:cs="宋体"/>
                <w:color w:val="auto"/>
                <w:sz w:val="21"/>
                <w:szCs w:val="21"/>
                <w:highlight w:val="none"/>
              </w:rPr>
            </w:pPr>
          </w:p>
          <w:p w14:paraId="024031D9">
            <w:pPr>
              <w:autoSpaceDE w:val="0"/>
              <w:autoSpaceDN w:val="0"/>
              <w:adjustRightInd w:val="0"/>
              <w:spacing w:line="360" w:lineRule="auto"/>
              <w:jc w:val="center"/>
              <w:rPr>
                <w:rFonts w:hint="eastAsia" w:ascii="宋体" w:hAnsi="宋体" w:eastAsia="宋体" w:cs="宋体"/>
                <w:color w:val="auto"/>
                <w:sz w:val="21"/>
                <w:szCs w:val="21"/>
                <w:highlight w:val="none"/>
              </w:rPr>
            </w:pPr>
          </w:p>
          <w:p w14:paraId="73C50D66">
            <w:pPr>
              <w:autoSpaceDE w:val="0"/>
              <w:autoSpaceDN w:val="0"/>
              <w:adjustRightInd w:val="0"/>
              <w:spacing w:line="360" w:lineRule="auto"/>
              <w:jc w:val="center"/>
              <w:rPr>
                <w:rFonts w:hint="eastAsia" w:ascii="宋体" w:hAnsi="宋体" w:eastAsia="宋体" w:cs="宋体"/>
                <w:color w:val="auto"/>
                <w:sz w:val="21"/>
                <w:szCs w:val="21"/>
                <w:highlight w:val="none"/>
              </w:rPr>
            </w:pPr>
          </w:p>
          <w:p w14:paraId="699FEB67">
            <w:pPr>
              <w:autoSpaceDE w:val="0"/>
              <w:autoSpaceDN w:val="0"/>
              <w:adjustRightInd w:val="0"/>
              <w:spacing w:line="360" w:lineRule="auto"/>
              <w:jc w:val="center"/>
              <w:rPr>
                <w:rFonts w:hint="eastAsia" w:ascii="宋体" w:hAnsi="宋体" w:eastAsia="宋体" w:cs="宋体"/>
                <w:color w:val="auto"/>
                <w:sz w:val="21"/>
                <w:szCs w:val="21"/>
                <w:highlight w:val="none"/>
              </w:rPr>
            </w:pPr>
          </w:p>
          <w:p w14:paraId="3716CE2C">
            <w:pPr>
              <w:autoSpaceDE w:val="0"/>
              <w:autoSpaceDN w:val="0"/>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2465" w:type="dxa"/>
          </w:tcPr>
          <w:p w14:paraId="00F03C37">
            <w:pPr>
              <w:autoSpaceDE w:val="0"/>
              <w:autoSpaceDN w:val="0"/>
              <w:adjustRightInd w:val="0"/>
              <w:spacing w:line="360" w:lineRule="auto"/>
              <w:jc w:val="center"/>
              <w:rPr>
                <w:rFonts w:hint="eastAsia" w:ascii="宋体" w:hAnsi="宋体" w:eastAsia="宋体" w:cs="宋体"/>
                <w:color w:val="auto"/>
                <w:sz w:val="21"/>
                <w:szCs w:val="21"/>
                <w:highlight w:val="none"/>
              </w:rPr>
            </w:pPr>
          </w:p>
          <w:p w14:paraId="1B42AF5F">
            <w:pPr>
              <w:autoSpaceDE w:val="0"/>
              <w:autoSpaceDN w:val="0"/>
              <w:adjustRightInd w:val="0"/>
              <w:spacing w:line="360" w:lineRule="auto"/>
              <w:jc w:val="center"/>
              <w:rPr>
                <w:rFonts w:hint="eastAsia" w:ascii="宋体" w:hAnsi="宋体" w:eastAsia="宋体" w:cs="宋体"/>
                <w:color w:val="auto"/>
                <w:sz w:val="21"/>
                <w:szCs w:val="21"/>
                <w:highlight w:val="none"/>
              </w:rPr>
            </w:pPr>
          </w:p>
          <w:p w14:paraId="684E9B7D">
            <w:pPr>
              <w:autoSpaceDE w:val="0"/>
              <w:autoSpaceDN w:val="0"/>
              <w:adjustRightInd w:val="0"/>
              <w:spacing w:line="360" w:lineRule="auto"/>
              <w:jc w:val="center"/>
              <w:rPr>
                <w:rFonts w:hint="eastAsia" w:ascii="宋体" w:hAnsi="宋体" w:eastAsia="宋体" w:cs="宋体"/>
                <w:color w:val="auto"/>
                <w:sz w:val="21"/>
                <w:szCs w:val="21"/>
                <w:highlight w:val="none"/>
              </w:rPr>
            </w:pPr>
          </w:p>
          <w:p w14:paraId="2AAFF6CC">
            <w:pPr>
              <w:autoSpaceDE w:val="0"/>
              <w:autoSpaceDN w:val="0"/>
              <w:adjustRightInd w:val="0"/>
              <w:spacing w:line="360" w:lineRule="auto"/>
              <w:jc w:val="center"/>
              <w:rPr>
                <w:rFonts w:hint="eastAsia" w:ascii="宋体" w:hAnsi="宋体" w:eastAsia="宋体" w:cs="宋体"/>
                <w:color w:val="auto"/>
                <w:sz w:val="21"/>
                <w:szCs w:val="21"/>
                <w:highlight w:val="none"/>
              </w:rPr>
            </w:pPr>
          </w:p>
          <w:p w14:paraId="3B9BACF4">
            <w:pPr>
              <w:autoSpaceDE w:val="0"/>
              <w:autoSpaceDN w:val="0"/>
              <w:adjustRightInd w:val="0"/>
              <w:spacing w:line="360" w:lineRule="auto"/>
              <w:jc w:val="center"/>
              <w:rPr>
                <w:rFonts w:hint="eastAsia" w:ascii="宋体" w:hAnsi="宋体" w:eastAsia="宋体" w:cs="宋体"/>
                <w:color w:val="auto"/>
                <w:sz w:val="21"/>
                <w:szCs w:val="21"/>
                <w:highlight w:val="none"/>
              </w:rPr>
            </w:pPr>
          </w:p>
          <w:p w14:paraId="5E46D2FF">
            <w:pPr>
              <w:autoSpaceDE w:val="0"/>
              <w:autoSpaceDN w:val="0"/>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油烟井按区域集中设置在商铺靠外墙且远离塔楼的位置，油烟水平主管敷设于背立面外墙或背立面廊道吊顶内。</w:t>
            </w:r>
          </w:p>
        </w:tc>
        <w:tc>
          <w:tcPr>
            <w:tcW w:w="4618" w:type="dxa"/>
          </w:tcPr>
          <w:p w14:paraId="5E196FFB">
            <w:pPr>
              <w:pStyle w:val="63"/>
              <w:autoSpaceDE w:val="0"/>
              <w:autoSpaceDN w:val="0"/>
              <w:adjustRightInd w:val="0"/>
              <w:spacing w:line="360" w:lineRule="auto"/>
              <w:ind w:firstLine="0" w:firstLine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drawing>
                <wp:anchor distT="0" distB="0" distL="114300" distR="114300" simplePos="0" relativeHeight="251665408" behindDoc="0" locked="0" layoutInCell="1" allowOverlap="1">
                  <wp:simplePos x="0" y="0"/>
                  <wp:positionH relativeFrom="column">
                    <wp:posOffset>172085</wp:posOffset>
                  </wp:positionH>
                  <wp:positionV relativeFrom="paragraph">
                    <wp:posOffset>2385695</wp:posOffset>
                  </wp:positionV>
                  <wp:extent cx="2324100" cy="2174875"/>
                  <wp:effectExtent l="0" t="0" r="0" b="15875"/>
                  <wp:wrapNone/>
                  <wp:docPr id="32" name="图片 36" descr="15428885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6" descr="1542888593(1)"/>
                          <pic:cNvPicPr>
                            <a:picLocks noChangeAspect="1"/>
                          </pic:cNvPicPr>
                        </pic:nvPicPr>
                        <pic:blipFill>
                          <a:blip r:embed="rId16" cstate="print"/>
                          <a:stretch>
                            <a:fillRect/>
                          </a:stretch>
                        </pic:blipFill>
                        <pic:spPr>
                          <a:xfrm>
                            <a:off x="0" y="0"/>
                            <a:ext cx="2324100" cy="2174875"/>
                          </a:xfrm>
                          <a:prstGeom prst="rect">
                            <a:avLst/>
                          </a:prstGeom>
                          <a:noFill/>
                          <a:ln>
                            <a:noFill/>
                          </a:ln>
                        </pic:spPr>
                      </pic:pic>
                    </a:graphicData>
                  </a:graphic>
                </wp:anchor>
              </w:drawing>
            </w:r>
            <w:r>
              <w:rPr>
                <w:rFonts w:hint="eastAsia" w:ascii="宋体" w:hAnsi="宋体" w:eastAsia="宋体" w:cs="宋体"/>
                <w:color w:val="auto"/>
                <w:sz w:val="21"/>
                <w:szCs w:val="21"/>
                <w:highlight w:val="none"/>
              </w:rPr>
              <w:drawing>
                <wp:anchor distT="0" distB="0" distL="114300" distR="114300" simplePos="0" relativeHeight="251664384" behindDoc="0" locked="0" layoutInCell="1" allowOverlap="1">
                  <wp:simplePos x="0" y="0"/>
                  <wp:positionH relativeFrom="column">
                    <wp:posOffset>172085</wp:posOffset>
                  </wp:positionH>
                  <wp:positionV relativeFrom="paragraph">
                    <wp:posOffset>173355</wp:posOffset>
                  </wp:positionV>
                  <wp:extent cx="2251710" cy="2044065"/>
                  <wp:effectExtent l="0" t="0" r="15240" b="13335"/>
                  <wp:wrapNone/>
                  <wp:docPr id="34" name="图片 35" descr="249557916347725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5" descr="249557916347725726"/>
                          <pic:cNvPicPr>
                            <a:picLocks noChangeAspect="1"/>
                          </pic:cNvPicPr>
                        </pic:nvPicPr>
                        <pic:blipFill>
                          <a:blip r:embed="rId17" cstate="print"/>
                          <a:stretch>
                            <a:fillRect/>
                          </a:stretch>
                        </pic:blipFill>
                        <pic:spPr>
                          <a:xfrm>
                            <a:off x="0" y="0"/>
                            <a:ext cx="2251710" cy="2044065"/>
                          </a:xfrm>
                          <a:prstGeom prst="rect">
                            <a:avLst/>
                          </a:prstGeom>
                          <a:noFill/>
                          <a:ln>
                            <a:noFill/>
                          </a:ln>
                        </pic:spPr>
                      </pic:pic>
                    </a:graphicData>
                  </a:graphic>
                </wp:anchor>
              </w:drawing>
            </w:r>
          </w:p>
        </w:tc>
      </w:tr>
      <w:tr w14:paraId="2A6700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77" w:hRule="atLeast"/>
          <w:jc w:val="center"/>
        </w:trPr>
        <w:tc>
          <w:tcPr>
            <w:tcW w:w="873" w:type="dxa"/>
          </w:tcPr>
          <w:p w14:paraId="737F5F48">
            <w:pPr>
              <w:autoSpaceDE w:val="0"/>
              <w:autoSpaceDN w:val="0"/>
              <w:adjustRightInd w:val="0"/>
              <w:spacing w:line="360" w:lineRule="auto"/>
              <w:jc w:val="center"/>
              <w:rPr>
                <w:rFonts w:hint="eastAsia" w:ascii="宋体" w:hAnsi="宋体" w:eastAsia="宋体" w:cs="宋体"/>
                <w:color w:val="auto"/>
                <w:sz w:val="21"/>
                <w:szCs w:val="21"/>
                <w:highlight w:val="none"/>
              </w:rPr>
            </w:pPr>
          </w:p>
          <w:p w14:paraId="78773A2C">
            <w:pPr>
              <w:autoSpaceDE w:val="0"/>
              <w:autoSpaceDN w:val="0"/>
              <w:adjustRightInd w:val="0"/>
              <w:spacing w:line="360" w:lineRule="auto"/>
              <w:jc w:val="center"/>
              <w:rPr>
                <w:rFonts w:hint="eastAsia" w:ascii="宋体" w:hAnsi="宋体" w:eastAsia="宋体" w:cs="宋体"/>
                <w:color w:val="auto"/>
                <w:sz w:val="21"/>
                <w:szCs w:val="21"/>
                <w:highlight w:val="none"/>
              </w:rPr>
            </w:pPr>
          </w:p>
          <w:p w14:paraId="10FFB547">
            <w:pPr>
              <w:autoSpaceDE w:val="0"/>
              <w:autoSpaceDN w:val="0"/>
              <w:adjustRightInd w:val="0"/>
              <w:spacing w:line="360" w:lineRule="auto"/>
              <w:jc w:val="center"/>
              <w:rPr>
                <w:rFonts w:hint="eastAsia" w:ascii="宋体" w:hAnsi="宋体" w:eastAsia="宋体" w:cs="宋体"/>
                <w:color w:val="auto"/>
                <w:sz w:val="21"/>
                <w:szCs w:val="21"/>
                <w:highlight w:val="none"/>
              </w:rPr>
            </w:pPr>
          </w:p>
          <w:p w14:paraId="3CDA320B">
            <w:pPr>
              <w:autoSpaceDE w:val="0"/>
              <w:autoSpaceDN w:val="0"/>
              <w:adjustRightInd w:val="0"/>
              <w:spacing w:line="360" w:lineRule="auto"/>
              <w:jc w:val="center"/>
              <w:rPr>
                <w:rFonts w:hint="eastAsia" w:ascii="宋体" w:hAnsi="宋体" w:eastAsia="宋体" w:cs="宋体"/>
                <w:color w:val="auto"/>
                <w:sz w:val="21"/>
                <w:szCs w:val="21"/>
                <w:highlight w:val="none"/>
              </w:rPr>
            </w:pPr>
          </w:p>
          <w:p w14:paraId="19BEB441">
            <w:pPr>
              <w:autoSpaceDE w:val="0"/>
              <w:autoSpaceDN w:val="0"/>
              <w:adjustRightInd w:val="0"/>
              <w:spacing w:line="360" w:lineRule="auto"/>
              <w:jc w:val="center"/>
              <w:rPr>
                <w:rFonts w:hint="eastAsia" w:ascii="宋体" w:hAnsi="宋体" w:eastAsia="宋体" w:cs="宋体"/>
                <w:color w:val="auto"/>
                <w:sz w:val="21"/>
                <w:szCs w:val="21"/>
                <w:highlight w:val="none"/>
              </w:rPr>
            </w:pPr>
          </w:p>
          <w:p w14:paraId="4415D670">
            <w:pPr>
              <w:autoSpaceDE w:val="0"/>
              <w:autoSpaceDN w:val="0"/>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2465" w:type="dxa"/>
          </w:tcPr>
          <w:p w14:paraId="14D062B4">
            <w:pPr>
              <w:autoSpaceDE w:val="0"/>
              <w:autoSpaceDN w:val="0"/>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油烟井按区域集中设置，油烟水平主管穿商铺，设置在商铺后部管道夹层内，可结合厨房事故排风等内容设置，外立面应采用百叶遮挡。夹层标高设计应满足下部室内净高要求，并规避夹层计容。每个商铺的油烟支管从水平主管接出。</w:t>
            </w:r>
          </w:p>
        </w:tc>
        <w:tc>
          <w:tcPr>
            <w:tcW w:w="4618" w:type="dxa"/>
          </w:tcPr>
          <w:p w14:paraId="196748F8">
            <w:pPr>
              <w:pStyle w:val="63"/>
              <w:autoSpaceDE w:val="0"/>
              <w:autoSpaceDN w:val="0"/>
              <w:adjustRightInd w:val="0"/>
              <w:spacing w:line="360" w:lineRule="auto"/>
              <w:ind w:firstLine="0" w:firstLineChars="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drawing>
                <wp:anchor distT="0" distB="0" distL="114300" distR="114300" simplePos="0" relativeHeight="251666432" behindDoc="0" locked="0" layoutInCell="1" allowOverlap="1">
                  <wp:simplePos x="0" y="0"/>
                  <wp:positionH relativeFrom="margin">
                    <wp:posOffset>295910</wp:posOffset>
                  </wp:positionH>
                  <wp:positionV relativeFrom="paragraph">
                    <wp:posOffset>62865</wp:posOffset>
                  </wp:positionV>
                  <wp:extent cx="2498725" cy="2149475"/>
                  <wp:effectExtent l="0" t="0" r="15875" b="3175"/>
                  <wp:wrapNone/>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18" cstate="print"/>
                          <a:srcRect l="27095" t="65411" r="26198" b="6285"/>
                          <a:stretch>
                            <a:fillRect/>
                          </a:stretch>
                        </pic:blipFill>
                        <pic:spPr>
                          <a:xfrm>
                            <a:off x="0" y="0"/>
                            <a:ext cx="2498725" cy="2149475"/>
                          </a:xfrm>
                          <a:prstGeom prst="rect">
                            <a:avLst/>
                          </a:prstGeom>
                          <a:noFill/>
                          <a:ln>
                            <a:noFill/>
                          </a:ln>
                        </pic:spPr>
                      </pic:pic>
                    </a:graphicData>
                  </a:graphic>
                </wp:anchor>
              </w:drawing>
            </w:r>
          </w:p>
        </w:tc>
      </w:tr>
    </w:tbl>
    <w:p w14:paraId="4C92AC1E">
      <w:pPr>
        <w:pStyle w:val="85"/>
        <w:numPr>
          <w:ilvl w:val="0"/>
          <w:numId w:val="9"/>
        </w:numPr>
        <w:spacing w:before="0" w:beforeAutospacing="0" w:after="0" w:afterAutospacing="0" w:line="360" w:lineRule="auto"/>
        <w:ind w:left="0" w:firstLine="420" w:firstLineChars="200"/>
        <w:jc w:val="center"/>
        <w:rPr>
          <w:rFonts w:hint="eastAsia" w:ascii="宋体" w:hAnsi="宋体" w:cs="宋体"/>
          <w:highlight w:val="none"/>
        </w:rPr>
      </w:pPr>
      <w:r>
        <w:rPr>
          <w:rFonts w:hint="eastAsia" w:ascii="宋体" w:hAnsi="宋体" w:cs="宋体"/>
          <w:highlight w:val="none"/>
        </w:rPr>
        <w:t>水平烟道不应穿越大堂入口上方。</w:t>
      </w:r>
    </w:p>
    <w:p w14:paraId="31E1D39D">
      <w:pPr>
        <w:pStyle w:val="85"/>
        <w:spacing w:beforeAutospacing="0" w:afterAutospacing="0" w:line="360" w:lineRule="auto"/>
        <w:ind w:left="0" w:firstLine="420"/>
        <w:jc w:val="center"/>
        <w:rPr>
          <w:rFonts w:hint="eastAsia" w:ascii="宋体" w:hAnsi="宋体" w:cs="宋体"/>
          <w:highlight w:val="none"/>
        </w:rPr>
      </w:pPr>
    </w:p>
    <w:p w14:paraId="3F800A46">
      <w:pPr>
        <w:pStyle w:val="24"/>
        <w:numPr>
          <w:ilvl w:val="0"/>
          <w:numId w:val="8"/>
        </w:numPr>
        <w:snapToGrid w:val="0"/>
        <w:ind w:firstLine="480"/>
        <w:rPr>
          <w:rFonts w:hint="eastAsia" w:hAnsi="宋体" w:cs="宋体"/>
          <w:szCs w:val="24"/>
          <w:highlight w:val="none"/>
        </w:rPr>
      </w:pPr>
      <w:r>
        <w:rPr>
          <w:rFonts w:hint="eastAsia" w:hAnsi="宋体" w:cs="宋体"/>
          <w:szCs w:val="24"/>
          <w:highlight w:val="none"/>
        </w:rPr>
        <w:drawing>
          <wp:anchor distT="0" distB="0" distL="114300" distR="114300" simplePos="0" relativeHeight="251667456" behindDoc="0" locked="0" layoutInCell="1" allowOverlap="1">
            <wp:simplePos x="0" y="0"/>
            <wp:positionH relativeFrom="margin">
              <wp:posOffset>1357630</wp:posOffset>
            </wp:positionH>
            <wp:positionV relativeFrom="paragraph">
              <wp:posOffset>-3175</wp:posOffset>
            </wp:positionV>
            <wp:extent cx="2552065" cy="2182495"/>
            <wp:effectExtent l="0" t="0" r="635" b="8255"/>
            <wp:wrapTopAndBottom/>
            <wp:docPr id="2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3"/>
                    <pic:cNvPicPr>
                      <a:picLocks noChangeAspect="1"/>
                    </pic:cNvPicPr>
                  </pic:nvPicPr>
                  <pic:blipFill>
                    <a:blip r:embed="rId19" cstate="print"/>
                    <a:srcRect l="30896" t="45766" r="25420" b="27808"/>
                    <a:stretch>
                      <a:fillRect/>
                    </a:stretch>
                  </pic:blipFill>
                  <pic:spPr>
                    <a:xfrm>
                      <a:off x="0" y="0"/>
                      <a:ext cx="2552065" cy="2182495"/>
                    </a:xfrm>
                    <a:prstGeom prst="rect">
                      <a:avLst/>
                    </a:prstGeom>
                    <a:noFill/>
                    <a:ln>
                      <a:noFill/>
                    </a:ln>
                  </pic:spPr>
                </pic:pic>
              </a:graphicData>
            </a:graphic>
          </wp:anchor>
        </w:drawing>
      </w:r>
      <w:r>
        <w:rPr>
          <w:rFonts w:hint="eastAsia" w:hAnsi="宋体" w:cs="宋体"/>
          <w:szCs w:val="24"/>
          <w:highlight w:val="none"/>
        </w:rPr>
        <w:t>排油烟设计标准</w:t>
      </w:r>
    </w:p>
    <w:p w14:paraId="2E16E9E9">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5.1 配套商业餐饮油烟排放口位置应满足当地环评报告要求。</w:t>
      </w:r>
    </w:p>
    <w:p w14:paraId="40185840">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5.2 多间餐饮商铺共用竖向烟道井及水平管时，应按水平管路覆盖半径不超过50米划分系统。</w:t>
      </w:r>
    </w:p>
    <w:p w14:paraId="00FE6978">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5.3 土建竖向烟道尺寸应考虑安装间距用于安装内衬风管。</w:t>
      </w:r>
    </w:p>
    <w:p w14:paraId="3B20C862">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5.4 各商铺预留油烟排风支管接驳口，并在每间商铺排油烟支管处设置150℃防火阀、止回阀、风管堵头，末端应预留排油烟量，标注压头值及油烟装置净化效率，油烟净化装置净化效率（计重法）不小于90%（租户安装）。</w:t>
      </w:r>
    </w:p>
    <w:p w14:paraId="73B41C62">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5.5 多间配套商业合用排油烟系统时，宜设置两级油烟净化处理装置：商户完成一级油烟净化处理及自用排油烟风机，裙房或塔楼屋顶设置二级油烟净化装置及总风机（变频），并根据招商运营情况设置联锁控制点。</w:t>
      </w:r>
    </w:p>
    <w:p w14:paraId="5FB1DD87">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5.6 当在裙房屋面排放时，经油烟净化后的油烟排放口与塔楼垂直投影最近边线距离应≥20m。油烟净化装置净化效率（计重法）不小于95%。当裙房油烟排放口位置不能满足要求时，应考虑于住宅塔楼屋顶高空集中排放，油烟净化装置净化效率（计重法）不小于90%（统一安装）.</w:t>
      </w:r>
    </w:p>
    <w:p w14:paraId="458C5CAF">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5.7 当裙房油烟排放口位置不能满足要求时，应考虑于住宅塔楼屋顶高空集中排放。竖向主管井位置应结合外立面考虑，并不应贴邻住宅卧室、客厅等敏感房间及强弱电井；构造做法工艺需要时，应对竖井内排油烟风管设置保温层，敷设在室内(包括架空层)顶板下的排油烟风管需保温.</w:t>
      </w:r>
    </w:p>
    <w:p w14:paraId="34CC7AD8">
      <w:pPr>
        <w:pStyle w:val="85"/>
        <w:spacing w:before="0" w:beforeAutospacing="0" w:after="0" w:afterAutospacing="0" w:line="360" w:lineRule="auto"/>
        <w:ind w:left="0" w:firstLine="480" w:firstLineChars="200"/>
        <w:rPr>
          <w:rFonts w:hint="eastAsia" w:ascii="宋体" w:hAnsi="宋体" w:cs="宋体"/>
          <w:sz w:val="24"/>
          <w:szCs w:val="24"/>
          <w:highlight w:val="none"/>
        </w:rPr>
      </w:pPr>
      <w:r>
        <w:rPr>
          <w:rFonts w:hint="eastAsia" w:ascii="宋体" w:hAnsi="宋体" w:cs="宋体"/>
          <w:sz w:val="24"/>
          <w:szCs w:val="24"/>
          <w:highlight w:val="none"/>
        </w:rPr>
        <w:t>5.8 塔楼屋顶排油烟风机优先考虑设置在楼梯间或电梯机房屋顶且不应影响外立面；当风机设置在顶楼住户屋面时，应尽量避开卧室、书房及客厅正上方，且风机及其连接的管道应考虑减震措施，排油烟风机电机应外置。</w:t>
      </w:r>
    </w:p>
    <w:p w14:paraId="23917F12">
      <w:pPr>
        <w:pStyle w:val="80"/>
        <w:numPr>
          <w:ilvl w:val="0"/>
          <w:numId w:val="6"/>
        </w:numPr>
        <w:tabs>
          <w:tab w:val="clear" w:pos="420"/>
        </w:tabs>
        <w:spacing w:line="360" w:lineRule="auto"/>
        <w:ind w:left="0" w:firstLine="482"/>
        <w:jc w:val="center"/>
        <w:rPr>
          <w:rFonts w:hint="eastAsia" w:ascii="宋体" w:hAnsi="宋体" w:cs="宋体"/>
          <w:b/>
          <w:sz w:val="24"/>
          <w:szCs w:val="24"/>
          <w:highlight w:val="none"/>
        </w:rPr>
      </w:pPr>
      <w:r>
        <w:rPr>
          <w:rFonts w:hint="eastAsia" w:ascii="宋体" w:hAnsi="宋体" w:cs="宋体"/>
          <w:b/>
          <w:sz w:val="24"/>
          <w:szCs w:val="24"/>
          <w:highlight w:val="none"/>
        </w:rPr>
        <w:t>防排烟系统设计</w:t>
      </w:r>
    </w:p>
    <w:p w14:paraId="1FC49DC6">
      <w:pPr>
        <w:pStyle w:val="24"/>
        <w:numPr>
          <w:ilvl w:val="0"/>
          <w:numId w:val="10"/>
        </w:numPr>
        <w:ind w:firstLine="480"/>
        <w:rPr>
          <w:rFonts w:hint="eastAsia" w:hAnsi="宋体" w:cs="宋体"/>
          <w:szCs w:val="24"/>
          <w:highlight w:val="none"/>
        </w:rPr>
      </w:pPr>
      <w:r>
        <w:rPr>
          <w:rFonts w:hint="eastAsia" w:hAnsi="宋体" w:cs="宋体"/>
          <w:szCs w:val="24"/>
          <w:highlight w:val="none"/>
        </w:rPr>
        <w:t>楼梯间的加压风口采用单层百叶风口，前室的加压风口采用常闭电动多叶送风口，风口尺寸标注应显示电动执行机构的尺寸。</w:t>
      </w:r>
    </w:p>
    <w:p w14:paraId="54E56C4D">
      <w:pPr>
        <w:pStyle w:val="24"/>
        <w:numPr>
          <w:ilvl w:val="0"/>
          <w:numId w:val="10"/>
        </w:numPr>
        <w:ind w:firstLine="480"/>
        <w:rPr>
          <w:rFonts w:hint="eastAsia" w:hAnsi="宋体" w:cs="宋体"/>
          <w:szCs w:val="24"/>
          <w:highlight w:val="none"/>
        </w:rPr>
      </w:pPr>
      <w:r>
        <w:rPr>
          <w:rFonts w:hint="eastAsia" w:hAnsi="宋体" w:cs="宋体"/>
          <w:szCs w:val="24"/>
          <w:highlight w:val="none"/>
        </w:rPr>
        <w:t>充电设施区域，当一个排烟系统负担多个防火单元时，每个防火单元应设置独立的干管及排烟口，并应在干管处设置280度电动排烟防火阀（常开），排烟系统的主风管及穿越防火单元的风管，其耐火极限不应小于2小时。</w:t>
      </w:r>
    </w:p>
    <w:p w14:paraId="0078A8BB">
      <w:pPr>
        <w:pStyle w:val="80"/>
        <w:numPr>
          <w:ilvl w:val="0"/>
          <w:numId w:val="6"/>
        </w:numPr>
        <w:tabs>
          <w:tab w:val="clear" w:pos="420"/>
        </w:tabs>
        <w:spacing w:line="360" w:lineRule="auto"/>
        <w:ind w:left="0" w:firstLine="482"/>
        <w:jc w:val="center"/>
        <w:rPr>
          <w:rFonts w:hint="eastAsia" w:ascii="宋体" w:hAnsi="宋体" w:cs="宋体"/>
          <w:b/>
          <w:sz w:val="24"/>
          <w:szCs w:val="24"/>
          <w:highlight w:val="none"/>
        </w:rPr>
      </w:pPr>
      <w:r>
        <w:rPr>
          <w:rFonts w:hint="eastAsia" w:ascii="宋体" w:hAnsi="宋体" w:cs="宋体"/>
          <w:b/>
          <w:sz w:val="24"/>
          <w:szCs w:val="24"/>
          <w:highlight w:val="none"/>
        </w:rPr>
        <w:t>风管阀门设计</w:t>
      </w:r>
    </w:p>
    <w:p w14:paraId="2FEDD0D9">
      <w:pPr>
        <w:pStyle w:val="24"/>
        <w:numPr>
          <w:ilvl w:val="0"/>
          <w:numId w:val="11"/>
        </w:numPr>
        <w:ind w:firstLine="480"/>
        <w:rPr>
          <w:rFonts w:hint="eastAsia" w:hAnsi="宋体" w:cs="宋体"/>
          <w:szCs w:val="24"/>
          <w:highlight w:val="none"/>
        </w:rPr>
      </w:pPr>
      <w:r>
        <w:rPr>
          <w:rFonts w:hint="eastAsia" w:hAnsi="宋体" w:cs="宋体"/>
          <w:szCs w:val="24"/>
          <w:highlight w:val="none"/>
        </w:rPr>
        <w:t>厨房的排油烟管道水平按防火分区设置，并在与竖向管道连接的支管处设置温度为150℃的防火阀。</w:t>
      </w:r>
    </w:p>
    <w:p w14:paraId="5171D02D">
      <w:pPr>
        <w:pStyle w:val="24"/>
        <w:numPr>
          <w:ilvl w:val="0"/>
          <w:numId w:val="11"/>
        </w:numPr>
        <w:ind w:firstLine="480"/>
        <w:rPr>
          <w:rFonts w:hint="eastAsia" w:hAnsi="宋体" w:cs="宋体"/>
          <w:szCs w:val="24"/>
          <w:highlight w:val="none"/>
        </w:rPr>
      </w:pPr>
      <w:r>
        <w:rPr>
          <w:rFonts w:hint="eastAsia" w:hAnsi="宋体" w:cs="宋体"/>
          <w:szCs w:val="24"/>
          <w:highlight w:val="none"/>
        </w:rPr>
        <w:t>防排烟系统的所有设备、电动排烟窗（口）、电动挡烟垂壁和电动防火阀均需配置备用电源。</w:t>
      </w:r>
    </w:p>
    <w:p w14:paraId="164C2E4C">
      <w:pPr>
        <w:pStyle w:val="24"/>
        <w:numPr>
          <w:ilvl w:val="0"/>
          <w:numId w:val="11"/>
        </w:numPr>
        <w:ind w:firstLine="480"/>
        <w:rPr>
          <w:rFonts w:hint="eastAsia" w:hAnsi="宋体" w:cs="宋体"/>
          <w:szCs w:val="24"/>
          <w:highlight w:val="none"/>
        </w:rPr>
      </w:pPr>
      <w:r>
        <w:rPr>
          <w:rFonts w:hint="eastAsia" w:hAnsi="宋体" w:cs="宋体"/>
          <w:szCs w:val="24"/>
          <w:highlight w:val="none"/>
        </w:rPr>
        <w:t>防烟、排烟、供暖、通风和空气调节系统中的管道及建筑内的其它管道，在穿越防火隔墙、楼板和防火墙处的孔隙应采用防火材料封堵《建筑防火封堵应用技术标准》（GB/T51410-2020）。</w:t>
      </w:r>
    </w:p>
    <w:p w14:paraId="0398D09C">
      <w:pPr>
        <w:pStyle w:val="24"/>
        <w:numPr>
          <w:ilvl w:val="0"/>
          <w:numId w:val="11"/>
        </w:numPr>
        <w:ind w:firstLine="480"/>
        <w:rPr>
          <w:rFonts w:hint="eastAsia" w:hAnsi="宋体" w:cs="宋体"/>
          <w:szCs w:val="24"/>
          <w:highlight w:val="none"/>
        </w:rPr>
      </w:pPr>
      <w:r>
        <w:rPr>
          <w:rFonts w:hint="eastAsia" w:hAnsi="宋体" w:cs="宋体"/>
          <w:szCs w:val="24"/>
          <w:highlight w:val="none"/>
        </w:rPr>
        <w:t>当加压送风口、消防排烟口设置在高位不便于开启时，在距地面高度1.3~1.5米处设置手电动开启装置。</w:t>
      </w:r>
    </w:p>
    <w:p w14:paraId="1887B097">
      <w:pPr>
        <w:pStyle w:val="24"/>
        <w:numPr>
          <w:ilvl w:val="0"/>
          <w:numId w:val="11"/>
        </w:numPr>
        <w:ind w:firstLine="480"/>
        <w:rPr>
          <w:rFonts w:hint="eastAsia" w:hAnsi="宋体" w:cs="宋体"/>
          <w:szCs w:val="24"/>
          <w:highlight w:val="none"/>
        </w:rPr>
      </w:pPr>
      <w:r>
        <w:rPr>
          <w:rFonts w:hint="eastAsia" w:hAnsi="宋体" w:cs="宋体"/>
          <w:szCs w:val="24"/>
          <w:highlight w:val="none"/>
        </w:rPr>
        <w:t>自然排烟窗（口）在距地面高度1.3~1.5米处设置手动开启装置；净空高度大于9米的中庭、建筑面积大于2000平方米的营业厅、展览厅、多功能厅等场所，设置集中手动开启装置和自动开启设施。</w:t>
      </w:r>
    </w:p>
    <w:p w14:paraId="288E4203">
      <w:pPr>
        <w:pStyle w:val="24"/>
        <w:numPr>
          <w:ilvl w:val="0"/>
          <w:numId w:val="11"/>
        </w:numPr>
        <w:ind w:firstLine="480"/>
        <w:rPr>
          <w:rFonts w:hint="eastAsia" w:hAnsi="宋体" w:cs="宋体"/>
          <w:szCs w:val="24"/>
          <w:highlight w:val="none"/>
        </w:rPr>
      </w:pPr>
      <w:r>
        <w:rPr>
          <w:rFonts w:hint="eastAsia" w:hAnsi="宋体" w:cs="宋体"/>
          <w:szCs w:val="24"/>
          <w:highlight w:val="none"/>
        </w:rPr>
        <w:t>排烟系统中所有箱式风机的电机均应外置，所有的排烟风机均应为满足消防验收要求的合格产品。</w:t>
      </w:r>
    </w:p>
    <w:p w14:paraId="7487268F">
      <w:pPr>
        <w:pStyle w:val="24"/>
        <w:numPr>
          <w:ilvl w:val="0"/>
          <w:numId w:val="11"/>
        </w:numPr>
        <w:ind w:firstLine="480"/>
        <w:rPr>
          <w:rFonts w:hint="eastAsia" w:hAnsi="宋体" w:cs="宋体"/>
          <w:szCs w:val="24"/>
          <w:highlight w:val="none"/>
        </w:rPr>
      </w:pPr>
      <w:r>
        <w:rPr>
          <w:rFonts w:hint="eastAsia" w:hAnsi="宋体" w:cs="宋体"/>
          <w:szCs w:val="24"/>
          <w:highlight w:val="none"/>
        </w:rPr>
        <w:t>一般通风、空调和消防防排烟风管：采用镀锌钢板制作。</w:t>
      </w:r>
    </w:p>
    <w:p w14:paraId="7FDF21FF">
      <w:pPr>
        <w:pStyle w:val="24"/>
        <w:numPr>
          <w:ilvl w:val="0"/>
          <w:numId w:val="11"/>
        </w:numPr>
        <w:ind w:firstLine="480"/>
        <w:rPr>
          <w:rFonts w:hint="eastAsia" w:hAnsi="宋体" w:cs="宋体"/>
          <w:szCs w:val="24"/>
          <w:highlight w:val="none"/>
        </w:rPr>
      </w:pPr>
      <w:r>
        <w:rPr>
          <w:rFonts w:hint="eastAsia" w:hAnsi="宋体" w:cs="宋体"/>
          <w:szCs w:val="24"/>
          <w:highlight w:val="none"/>
        </w:rPr>
        <w:t>厨房排油烟风管采用SUS304不锈钢板制作，长边≤1000mm时不锈钢板厚1.0mm，风管长边＞1000mm时不锈钢板厚1.2mm，连接方式采用满焊连接。管井内不保温，管井外宜设置50mm厚防潮防火双面夹筋铝箔离心玻璃棉板进行隔热。安装时，水平主管道应设0.5%~1%的坡度坡向集油、放油或排凝结水处；水平支管要求底平放坡，坡度≥2%，坡向油烟罩。排油烟干管上应设置检修口。</w:t>
      </w:r>
    </w:p>
    <w:p w14:paraId="2E284320">
      <w:pPr>
        <w:pStyle w:val="24"/>
        <w:numPr>
          <w:ilvl w:val="0"/>
          <w:numId w:val="11"/>
        </w:numPr>
        <w:ind w:firstLine="480"/>
        <w:rPr>
          <w:rFonts w:hint="eastAsia" w:hAnsi="宋体" w:cs="宋体"/>
          <w:szCs w:val="24"/>
          <w:highlight w:val="none"/>
        </w:rPr>
      </w:pPr>
      <w:r>
        <w:rPr>
          <w:rFonts w:hint="eastAsia" w:hAnsi="宋体" w:cs="宋体"/>
          <w:szCs w:val="24"/>
          <w:highlight w:val="none"/>
        </w:rPr>
        <w:t>机械排烟系统应采用管道排烟，且不应采用土建风道。排烟管道应采用不燃材料制作且内壁应光滑。</w:t>
      </w:r>
    </w:p>
    <w:p w14:paraId="59A3F678">
      <w:pPr>
        <w:pStyle w:val="24"/>
        <w:numPr>
          <w:ilvl w:val="0"/>
          <w:numId w:val="11"/>
        </w:numPr>
        <w:ind w:firstLine="480"/>
        <w:rPr>
          <w:rFonts w:hint="eastAsia" w:hAnsi="宋体" w:cs="宋体"/>
          <w:szCs w:val="24"/>
          <w:highlight w:val="none"/>
        </w:rPr>
      </w:pPr>
      <w:r>
        <w:rPr>
          <w:rFonts w:hint="eastAsia" w:hAnsi="宋体" w:cs="宋体"/>
          <w:szCs w:val="24"/>
          <w:highlight w:val="none"/>
        </w:rPr>
        <w:t>排烟管道的设置和耐火极限应符合下列规定：</w:t>
      </w:r>
    </w:p>
    <w:p w14:paraId="02333D41">
      <w:pPr>
        <w:pStyle w:val="24"/>
        <w:ind w:firstLine="480"/>
        <w:rPr>
          <w:rFonts w:hint="eastAsia" w:hAnsi="宋体" w:cs="宋体"/>
          <w:szCs w:val="24"/>
          <w:highlight w:val="none"/>
        </w:rPr>
      </w:pPr>
      <w:r>
        <w:rPr>
          <w:rFonts w:hint="eastAsia" w:hAnsi="宋体" w:cs="宋体"/>
          <w:szCs w:val="24"/>
          <w:highlight w:val="none"/>
        </w:rPr>
        <w:t>10.1 排烟管道的耐火极限应满足《建筑防烟排烟系统技术标准》GB51251-2017的要求，防火保护采用防火板按国标图集中做法。</w:t>
      </w:r>
    </w:p>
    <w:p w14:paraId="02C18A0F">
      <w:pPr>
        <w:pStyle w:val="24"/>
        <w:ind w:firstLine="480"/>
        <w:rPr>
          <w:rFonts w:hint="eastAsia" w:hAnsi="宋体" w:cs="宋体"/>
          <w:szCs w:val="24"/>
          <w:highlight w:val="none"/>
        </w:rPr>
      </w:pPr>
      <w:r>
        <w:rPr>
          <w:rFonts w:hint="eastAsia" w:hAnsi="宋体" w:cs="宋体"/>
          <w:szCs w:val="24"/>
          <w:highlight w:val="none"/>
        </w:rPr>
        <w:t>10.2 设置充电设施的区域，排烟系统的主风管及穿越防火单元的风管，其耐火极限不应小于2小时。</w:t>
      </w:r>
    </w:p>
    <w:p w14:paraId="55DA11B4">
      <w:pPr>
        <w:pStyle w:val="24"/>
        <w:numPr>
          <w:ilvl w:val="0"/>
          <w:numId w:val="11"/>
        </w:numPr>
        <w:ind w:firstLine="480"/>
        <w:rPr>
          <w:rFonts w:hint="eastAsia" w:hAnsi="宋体" w:cs="宋体"/>
          <w:szCs w:val="24"/>
          <w:highlight w:val="none"/>
        </w:rPr>
      </w:pPr>
      <w:r>
        <w:rPr>
          <w:rFonts w:hint="eastAsia" w:hAnsi="宋体" w:cs="宋体"/>
          <w:szCs w:val="24"/>
          <w:highlight w:val="none"/>
        </w:rPr>
        <w:t>机械加压送风系统应采用管道送风，且不应采用土建风道。送风管道应采用不燃材料制作且内壁应光滑。</w:t>
      </w:r>
    </w:p>
    <w:p w14:paraId="29E61655">
      <w:pPr>
        <w:pStyle w:val="24"/>
        <w:numPr>
          <w:ilvl w:val="0"/>
          <w:numId w:val="11"/>
        </w:numPr>
        <w:ind w:firstLine="480"/>
        <w:rPr>
          <w:rFonts w:hint="eastAsia" w:hAnsi="宋体" w:cs="宋体"/>
          <w:szCs w:val="24"/>
          <w:highlight w:val="none"/>
        </w:rPr>
      </w:pPr>
      <w:r>
        <w:rPr>
          <w:rFonts w:hint="eastAsia" w:hAnsi="宋体" w:cs="宋体"/>
          <w:szCs w:val="24"/>
          <w:highlight w:val="none"/>
        </w:rPr>
        <w:t>机械加压送风管道及补风管道的设置和耐火极限应符合下列规定：</w:t>
      </w:r>
    </w:p>
    <w:p w14:paraId="7AF374F2">
      <w:pPr>
        <w:pStyle w:val="24"/>
        <w:ind w:firstLine="480"/>
        <w:rPr>
          <w:rFonts w:hint="eastAsia" w:hAnsi="宋体" w:cs="宋体"/>
          <w:szCs w:val="24"/>
          <w:highlight w:val="none"/>
        </w:rPr>
      </w:pPr>
      <w:r>
        <w:rPr>
          <w:rFonts w:hint="eastAsia" w:hAnsi="宋体" w:cs="宋体"/>
          <w:szCs w:val="24"/>
          <w:highlight w:val="none"/>
        </w:rPr>
        <w:t>12.1 机械加压送风管道及补风管道的耐火极限应满足《建筑防烟排烟系统技术标准》GB51251-2017的要求。</w:t>
      </w:r>
    </w:p>
    <w:p w14:paraId="68DA5F59">
      <w:pPr>
        <w:pStyle w:val="24"/>
        <w:ind w:firstLine="480"/>
        <w:rPr>
          <w:rFonts w:hint="eastAsia" w:hAnsi="宋体" w:cs="宋体"/>
          <w:szCs w:val="24"/>
          <w:highlight w:val="none"/>
        </w:rPr>
      </w:pPr>
      <w:r>
        <w:rPr>
          <w:rFonts w:hint="eastAsia" w:hAnsi="宋体" w:cs="宋体"/>
          <w:szCs w:val="24"/>
          <w:highlight w:val="none"/>
        </w:rPr>
        <w:t>12.2 独立管井内的防烟风管采用钢板风管，其余地方的防烟风管采用钢板外包防火板（或其他防火材料），其耐火极限按以上要求，且需有通过国家级建筑材料质量监督检验中心按相关耐火试验方法检测后,出具的同时满足耐火完整性和隔热性要求的检验报告。</w:t>
      </w:r>
    </w:p>
    <w:p w14:paraId="1C88C7DB">
      <w:pPr>
        <w:pStyle w:val="24"/>
        <w:numPr>
          <w:ilvl w:val="0"/>
          <w:numId w:val="11"/>
        </w:numPr>
        <w:ind w:firstLine="480"/>
        <w:rPr>
          <w:rFonts w:hint="eastAsia" w:hAnsi="宋体" w:cs="宋体"/>
          <w:szCs w:val="24"/>
          <w:highlight w:val="none"/>
        </w:rPr>
      </w:pPr>
      <w:r>
        <w:rPr>
          <w:rFonts w:hint="eastAsia" w:hAnsi="宋体" w:cs="宋体"/>
          <w:szCs w:val="24"/>
          <w:highlight w:val="none"/>
        </w:rPr>
        <w:t>金属风管的防火保护措施的推荐做法如下：</w:t>
      </w:r>
    </w:p>
    <w:p w14:paraId="4667CCF6">
      <w:pPr>
        <w:pStyle w:val="24"/>
        <w:ind w:firstLine="480"/>
        <w:rPr>
          <w:rFonts w:hint="eastAsia" w:hAnsi="宋体" w:cs="宋体"/>
          <w:szCs w:val="24"/>
          <w:highlight w:val="none"/>
        </w:rPr>
      </w:pPr>
      <w:r>
        <w:rPr>
          <w:rFonts w:hint="eastAsia" w:hAnsi="宋体" w:cs="宋体"/>
          <w:szCs w:val="24"/>
          <w:highlight w:val="none"/>
        </w:rPr>
        <w:t>13.1 风管系统耐火极限为0.5h时：采用容重≥48kg/m3，厚度≥50mm的绝热玻璃棉对金属风管进行外包裹；玻璃棉外侧复合长效耐水阻燃FFR贴面，贴面水洗前后氧指数均应≥28%，且变化&lt;1%（测试方法参照JC/T2028-2018）。</w:t>
      </w:r>
    </w:p>
    <w:p w14:paraId="172EE03F">
      <w:pPr>
        <w:pStyle w:val="24"/>
        <w:ind w:firstLine="480"/>
        <w:rPr>
          <w:rFonts w:hint="eastAsia" w:hAnsi="宋体" w:cs="宋体"/>
          <w:szCs w:val="24"/>
          <w:highlight w:val="none"/>
        </w:rPr>
      </w:pPr>
      <w:r>
        <w:rPr>
          <w:rFonts w:hint="eastAsia" w:hAnsi="宋体" w:cs="宋体"/>
          <w:szCs w:val="24"/>
          <w:highlight w:val="none"/>
        </w:rPr>
        <w:t>13.2 当1.0h≤风管系统耐火极限≤2.0h时：采用厚度为9mm防火板对金属风管进行外包裹；防火板与铁皮风管之间填充容重≥100kg/m3，厚度为50mm的岩棉。</w:t>
      </w:r>
    </w:p>
    <w:p w14:paraId="7C5D936B">
      <w:pPr>
        <w:pStyle w:val="24"/>
        <w:ind w:firstLine="480"/>
        <w:rPr>
          <w:rFonts w:hint="eastAsia" w:hAnsi="宋体" w:cs="宋体"/>
          <w:szCs w:val="24"/>
          <w:highlight w:val="none"/>
        </w:rPr>
      </w:pPr>
      <w:r>
        <w:rPr>
          <w:rFonts w:hint="eastAsia" w:hAnsi="宋体" w:cs="宋体"/>
          <w:szCs w:val="24"/>
          <w:highlight w:val="none"/>
        </w:rPr>
        <w:t>13.3 当2.0h＜风管系统耐火极限≤3.0h时：采用厚度为12mm防火板对金属风管进行外包裹；防火板与铁皮风管之间填充容重≥100kg/m3，厚度为50mm的岩棉。</w:t>
      </w:r>
    </w:p>
    <w:p w14:paraId="2CED7B77">
      <w:pPr>
        <w:pStyle w:val="24"/>
        <w:ind w:firstLine="480"/>
        <w:rPr>
          <w:rFonts w:hint="eastAsia" w:hAnsi="宋体" w:cs="宋体"/>
          <w:szCs w:val="24"/>
          <w:highlight w:val="none"/>
        </w:rPr>
      </w:pPr>
      <w:r>
        <w:rPr>
          <w:rFonts w:hint="eastAsia" w:hAnsi="宋体" w:cs="宋体"/>
          <w:szCs w:val="24"/>
          <w:highlight w:val="none"/>
        </w:rPr>
        <w:t>13.4 以上金属风管的防火保护措施在施工前，应有国家防火建筑材料质量监督检验中心出具的耐火极限检测报告，且现场实际做法应与报告中描述的一致。</w:t>
      </w:r>
    </w:p>
    <w:p w14:paraId="2DA646FE">
      <w:pPr>
        <w:pStyle w:val="24"/>
        <w:ind w:firstLine="480"/>
        <w:rPr>
          <w:rFonts w:hint="eastAsia" w:hAnsi="宋体" w:cs="宋体"/>
          <w:szCs w:val="24"/>
          <w:highlight w:val="none"/>
        </w:rPr>
      </w:pPr>
      <w:r>
        <w:rPr>
          <w:rFonts w:hint="eastAsia" w:hAnsi="宋体" w:cs="宋体"/>
          <w:szCs w:val="24"/>
          <w:highlight w:val="none"/>
        </w:rPr>
        <w:t>13.5 有耐火限制要求的风管的本体、框架和固定材料、密封垫料等必须采用不燃材料，材料品种规格、厚度及耐火极限等应符合设计要求和国家现行规范规定。</w:t>
      </w:r>
    </w:p>
    <w:p w14:paraId="5EFE520B">
      <w:pPr>
        <w:pStyle w:val="24"/>
        <w:ind w:firstLine="480"/>
        <w:rPr>
          <w:rFonts w:hint="eastAsia" w:hAnsi="宋体" w:cs="宋体"/>
          <w:szCs w:val="24"/>
          <w:highlight w:val="none"/>
        </w:rPr>
      </w:pPr>
      <w:r>
        <w:rPr>
          <w:rFonts w:hint="eastAsia" w:hAnsi="宋体" w:cs="宋体"/>
          <w:szCs w:val="24"/>
          <w:highlight w:val="none"/>
        </w:rPr>
        <w:t>13.6 消防风管吊架、支架刷防火涂料，耐火极限同风管，做法参考图集15K606第159页。耐火风管系统安装必须进行施工方案设计，并报相关单位审核通过后才可施工。支吊架必须由专业公司设计、安装.</w:t>
      </w:r>
    </w:p>
    <w:p w14:paraId="5D9E4CAE">
      <w:pPr>
        <w:pStyle w:val="24"/>
        <w:numPr>
          <w:ilvl w:val="0"/>
          <w:numId w:val="11"/>
        </w:numPr>
        <w:ind w:firstLine="480"/>
        <w:rPr>
          <w:rFonts w:hint="eastAsia" w:hAnsi="宋体" w:cs="宋体"/>
          <w:szCs w:val="24"/>
          <w:highlight w:val="none"/>
        </w:rPr>
      </w:pPr>
      <w:r>
        <w:rPr>
          <w:rFonts w:hint="eastAsia" w:hAnsi="宋体" w:cs="宋体"/>
          <w:szCs w:val="24"/>
          <w:highlight w:val="none"/>
        </w:rPr>
        <w:t>地下车库用送、排风系统，金属风管主管道设计风速宜按8~10m/s，其它通风管道风速宜按6~8m/s，设计高度宜控制在400mm以内，风管的宽高比不宜大于6:1，如因条件受限可适当放宽标准。</w:t>
      </w:r>
    </w:p>
    <w:p w14:paraId="1CF0A381">
      <w:pPr>
        <w:pStyle w:val="24"/>
        <w:numPr>
          <w:ilvl w:val="0"/>
          <w:numId w:val="11"/>
        </w:numPr>
        <w:ind w:firstLine="480"/>
        <w:rPr>
          <w:rFonts w:hint="eastAsia" w:hAnsi="宋体" w:cs="宋体"/>
          <w:szCs w:val="24"/>
          <w:highlight w:val="none"/>
        </w:rPr>
      </w:pPr>
      <w:r>
        <w:rPr>
          <w:rFonts w:hint="eastAsia" w:hAnsi="宋体" w:cs="宋体"/>
          <w:szCs w:val="24"/>
          <w:highlight w:val="none"/>
        </w:rPr>
        <w:t>当一个排烟系统负担多个防烟分区时，每个排烟支管上设置280℃电动排烟防火阀（常闭）；充电桩车库，当一个排风兼排烟系统负担多个防烟分区时，每个排烟支管上设置280℃电动排烟防火阀（常开）。</w:t>
      </w:r>
    </w:p>
    <w:p w14:paraId="56BD3BBE">
      <w:pPr>
        <w:pStyle w:val="80"/>
        <w:numPr>
          <w:ilvl w:val="0"/>
          <w:numId w:val="6"/>
        </w:numPr>
        <w:tabs>
          <w:tab w:val="clear" w:pos="420"/>
        </w:tabs>
        <w:spacing w:line="360" w:lineRule="auto"/>
        <w:ind w:left="0" w:firstLine="482"/>
        <w:jc w:val="center"/>
        <w:rPr>
          <w:rFonts w:hint="eastAsia" w:ascii="宋体" w:hAnsi="宋体" w:cs="宋体"/>
          <w:b/>
          <w:sz w:val="24"/>
          <w:szCs w:val="24"/>
          <w:highlight w:val="none"/>
        </w:rPr>
      </w:pPr>
      <w:r>
        <w:rPr>
          <w:rFonts w:hint="eastAsia" w:ascii="宋体" w:hAnsi="宋体" w:cs="宋体"/>
          <w:b/>
          <w:sz w:val="24"/>
          <w:szCs w:val="24"/>
          <w:highlight w:val="none"/>
        </w:rPr>
        <w:t>消声减震及设备材料</w:t>
      </w:r>
    </w:p>
    <w:p w14:paraId="34A9C47C">
      <w:pPr>
        <w:pStyle w:val="24"/>
        <w:numPr>
          <w:ilvl w:val="0"/>
          <w:numId w:val="12"/>
        </w:numPr>
        <w:ind w:firstLine="480"/>
        <w:rPr>
          <w:rFonts w:hint="eastAsia" w:hAnsi="宋体" w:cs="宋体"/>
          <w:szCs w:val="24"/>
          <w:highlight w:val="none"/>
        </w:rPr>
      </w:pPr>
      <w:r>
        <w:rPr>
          <w:rFonts w:hint="eastAsia" w:hAnsi="宋体" w:cs="宋体"/>
          <w:szCs w:val="24"/>
          <w:highlight w:val="none"/>
        </w:rPr>
        <w:t>所有设备应选用高效低噪型，以降低噪声源。</w:t>
      </w:r>
    </w:p>
    <w:p w14:paraId="6FE3A86E">
      <w:pPr>
        <w:pStyle w:val="24"/>
        <w:numPr>
          <w:ilvl w:val="0"/>
          <w:numId w:val="12"/>
        </w:numPr>
        <w:ind w:firstLine="480"/>
        <w:rPr>
          <w:rFonts w:hint="eastAsia" w:hAnsi="宋体" w:cs="宋体"/>
          <w:szCs w:val="24"/>
          <w:highlight w:val="none"/>
        </w:rPr>
      </w:pPr>
      <w:r>
        <w:rPr>
          <w:rFonts w:hint="eastAsia" w:hAnsi="宋体" w:cs="宋体"/>
          <w:szCs w:val="24"/>
          <w:highlight w:val="none"/>
        </w:rPr>
        <w:t>振动较大的设备，应设于专业的机房内并设置有效的减振和隔振措施。</w:t>
      </w:r>
    </w:p>
    <w:p w14:paraId="0BC16692">
      <w:pPr>
        <w:pStyle w:val="24"/>
        <w:numPr>
          <w:ilvl w:val="0"/>
          <w:numId w:val="12"/>
        </w:numPr>
        <w:ind w:firstLine="480"/>
        <w:rPr>
          <w:rFonts w:hint="eastAsia" w:hAnsi="宋体" w:cs="宋体"/>
          <w:szCs w:val="24"/>
          <w:highlight w:val="none"/>
        </w:rPr>
      </w:pPr>
      <w:r>
        <w:rPr>
          <w:rFonts w:hint="eastAsia" w:hAnsi="宋体" w:cs="宋体"/>
          <w:szCs w:val="24"/>
          <w:highlight w:val="none"/>
        </w:rPr>
        <w:t>室外的通风空调设备，应根据周围环境的要求进行适当的隔声处理。</w:t>
      </w:r>
    </w:p>
    <w:p w14:paraId="1588A404">
      <w:pPr>
        <w:pStyle w:val="24"/>
        <w:numPr>
          <w:ilvl w:val="0"/>
          <w:numId w:val="12"/>
        </w:numPr>
        <w:ind w:firstLine="480"/>
        <w:rPr>
          <w:rFonts w:hint="eastAsia" w:hAnsi="宋体" w:cs="宋体"/>
          <w:szCs w:val="24"/>
          <w:highlight w:val="none"/>
        </w:rPr>
      </w:pPr>
      <w:r>
        <w:rPr>
          <w:rFonts w:hint="eastAsia" w:hAnsi="宋体" w:cs="宋体"/>
          <w:szCs w:val="24"/>
          <w:highlight w:val="none"/>
        </w:rPr>
        <w:t>当通风、空调与制冷装置以及水泵等设备的振动考滤自然衰减不能达标时，应设置减振器或其它减振措施。</w:t>
      </w:r>
    </w:p>
    <w:p w14:paraId="3608F10A">
      <w:pPr>
        <w:pStyle w:val="24"/>
        <w:numPr>
          <w:ilvl w:val="0"/>
          <w:numId w:val="12"/>
        </w:numPr>
        <w:ind w:firstLine="480"/>
        <w:rPr>
          <w:rFonts w:hint="eastAsia" w:hAnsi="宋体" w:cs="宋体"/>
          <w:szCs w:val="24"/>
          <w:highlight w:val="none"/>
        </w:rPr>
      </w:pPr>
      <w:r>
        <w:rPr>
          <w:rFonts w:hint="eastAsia" w:hAnsi="宋体" w:cs="宋体"/>
          <w:szCs w:val="24"/>
          <w:highlight w:val="none"/>
        </w:rPr>
        <w:t>平时用的水泵房、排风机、送风机、变压器房不宜设置在住宅正下方，以免设备运行的噪音影响住户，无条件的除外。</w:t>
      </w:r>
    </w:p>
    <w:p w14:paraId="1013E055">
      <w:pPr>
        <w:pStyle w:val="24"/>
        <w:numPr>
          <w:ilvl w:val="0"/>
          <w:numId w:val="12"/>
        </w:numPr>
        <w:ind w:firstLine="480"/>
        <w:rPr>
          <w:rFonts w:hint="eastAsia" w:hAnsi="宋体" w:cs="宋体"/>
          <w:szCs w:val="24"/>
          <w:highlight w:val="none"/>
        </w:rPr>
      </w:pPr>
      <w:r>
        <w:rPr>
          <w:rFonts w:hint="eastAsia" w:hAnsi="宋体" w:cs="宋体"/>
          <w:szCs w:val="24"/>
          <w:highlight w:val="none"/>
        </w:rPr>
        <w:t>空调通风设备应选用高效节能、低噪声、质量可靠、技术先进、维护、保养方便、使用寿命长和综合性价比优的产品。</w:t>
      </w:r>
    </w:p>
    <w:p w14:paraId="6591CC3B">
      <w:pPr>
        <w:pStyle w:val="80"/>
        <w:numPr>
          <w:ilvl w:val="0"/>
          <w:numId w:val="6"/>
        </w:numPr>
        <w:tabs>
          <w:tab w:val="clear" w:pos="420"/>
        </w:tabs>
        <w:spacing w:line="360" w:lineRule="auto"/>
        <w:ind w:left="0" w:firstLine="482"/>
        <w:jc w:val="center"/>
        <w:rPr>
          <w:rFonts w:hint="eastAsia" w:ascii="宋体" w:hAnsi="宋体" w:cs="宋体"/>
          <w:b/>
          <w:sz w:val="24"/>
          <w:szCs w:val="24"/>
          <w:highlight w:val="none"/>
        </w:rPr>
      </w:pPr>
      <w:r>
        <w:rPr>
          <w:rFonts w:hint="eastAsia" w:ascii="宋体" w:hAnsi="宋体" w:cs="宋体"/>
          <w:b/>
          <w:sz w:val="24"/>
          <w:szCs w:val="24"/>
          <w:highlight w:val="none"/>
        </w:rPr>
        <w:t>抗震设计</w:t>
      </w:r>
    </w:p>
    <w:p w14:paraId="2554EBD8">
      <w:pPr>
        <w:pStyle w:val="85"/>
        <w:spacing w:before="0" w:beforeAutospacing="0" w:after="0" w:afterAutospacing="0" w:line="360" w:lineRule="auto"/>
        <w:ind w:left="0" w:firstLine="480" w:firstLineChars="200"/>
        <w:rPr>
          <w:rFonts w:hint="eastAsia" w:ascii="宋体" w:hAnsi="宋体" w:cs="宋体"/>
          <w:bCs/>
          <w:sz w:val="24"/>
          <w:szCs w:val="24"/>
          <w:highlight w:val="none"/>
        </w:rPr>
      </w:pPr>
      <w:r>
        <w:rPr>
          <w:rFonts w:hint="eastAsia" w:ascii="宋体" w:hAnsi="宋体" w:cs="宋体"/>
          <w:bCs/>
          <w:sz w:val="24"/>
          <w:szCs w:val="24"/>
          <w:highlight w:val="none"/>
        </w:rPr>
        <w:t>机电抗震设计按照满足《建筑与市政工程抗震通用规范》GB55002-2021的规定。</w:t>
      </w:r>
    </w:p>
    <w:p w14:paraId="45E89356">
      <w:pPr>
        <w:pStyle w:val="24"/>
        <w:numPr>
          <w:ilvl w:val="0"/>
          <w:numId w:val="13"/>
        </w:numPr>
        <w:ind w:firstLine="480"/>
        <w:rPr>
          <w:rFonts w:hint="eastAsia" w:hAnsi="宋体" w:cs="宋体"/>
          <w:szCs w:val="24"/>
          <w:highlight w:val="none"/>
        </w:rPr>
      </w:pPr>
      <w:r>
        <w:rPr>
          <w:rFonts w:hint="eastAsia" w:hAnsi="宋体" w:cs="宋体"/>
          <w:szCs w:val="24"/>
          <w:highlight w:val="none"/>
        </w:rPr>
        <w:t>防烟分区的挡烟垂壁采用固定挡烟垂壁，固定挡烟垂壁的材质采用厚度0.8mm的镀锌钢板，需满足在（620±20）℃温度下保持其完整性30min。</w:t>
      </w:r>
    </w:p>
    <w:p w14:paraId="06692A3B">
      <w:pPr>
        <w:pStyle w:val="24"/>
        <w:numPr>
          <w:ilvl w:val="0"/>
          <w:numId w:val="13"/>
        </w:numPr>
        <w:ind w:firstLine="480"/>
        <w:rPr>
          <w:rFonts w:hint="eastAsia" w:hAnsi="宋体" w:cs="宋体"/>
          <w:szCs w:val="24"/>
          <w:highlight w:val="none"/>
        </w:rPr>
      </w:pPr>
      <w:r>
        <w:rPr>
          <w:rFonts w:hint="eastAsia" w:hAnsi="宋体" w:cs="宋体"/>
          <w:szCs w:val="24"/>
          <w:highlight w:val="none"/>
        </w:rPr>
        <w:t>适当增加排烟风口标高，提高风口下烟层厚度，减少排烟口数量。</w:t>
      </w:r>
    </w:p>
    <w:p w14:paraId="0B85C0B3">
      <w:pPr>
        <w:pStyle w:val="24"/>
        <w:numPr>
          <w:ilvl w:val="0"/>
          <w:numId w:val="13"/>
        </w:numPr>
        <w:ind w:firstLine="480"/>
        <w:rPr>
          <w:rFonts w:hint="eastAsia" w:hAnsi="宋体" w:cs="宋体"/>
          <w:szCs w:val="24"/>
          <w:highlight w:val="none"/>
        </w:rPr>
      </w:pPr>
      <w:r>
        <w:rPr>
          <w:rFonts w:hint="eastAsia" w:hAnsi="宋体" w:cs="宋体"/>
          <w:szCs w:val="24"/>
          <w:highlight w:val="none"/>
        </w:rPr>
        <w:t>有条件的风管宽度宜控制在1.2米以内，可减少喷头数量，增加管底净高。</w:t>
      </w:r>
    </w:p>
    <w:p w14:paraId="253E4D66">
      <w:pPr>
        <w:pStyle w:val="24"/>
        <w:numPr>
          <w:ilvl w:val="0"/>
          <w:numId w:val="13"/>
        </w:numPr>
        <w:ind w:firstLine="480"/>
        <w:rPr>
          <w:rFonts w:hint="eastAsia" w:hAnsi="宋体" w:cs="宋体"/>
          <w:szCs w:val="24"/>
          <w:highlight w:val="none"/>
        </w:rPr>
      </w:pPr>
      <w:r>
        <w:rPr>
          <w:rFonts w:hint="eastAsia" w:hAnsi="宋体" w:cs="宋体"/>
          <w:szCs w:val="24"/>
          <w:highlight w:val="none"/>
        </w:rPr>
        <w:t>优化风管尺寸及走向，优化风口布置，在满足消防排烟风口离防烟分区最远点30米的前提下，适当减少排风、排烟风管长度，尽量减少管材。</w:t>
      </w:r>
    </w:p>
    <w:p w14:paraId="622C08A3">
      <w:pPr>
        <w:pStyle w:val="24"/>
        <w:numPr>
          <w:ilvl w:val="0"/>
          <w:numId w:val="13"/>
        </w:numPr>
        <w:ind w:firstLine="480"/>
        <w:rPr>
          <w:rFonts w:hint="eastAsia" w:hAnsi="宋体" w:cs="宋体"/>
          <w:highlight w:val="none"/>
        </w:rPr>
      </w:pPr>
      <w:r>
        <w:rPr>
          <w:rFonts w:hint="eastAsia" w:hAnsi="宋体" w:cs="宋体"/>
          <w:szCs w:val="24"/>
          <w:highlight w:val="none"/>
        </w:rPr>
        <w:t>地下车库风机进出机房不设置消声器及静压箱。</w:t>
      </w:r>
    </w:p>
    <w:p w14:paraId="4E543319">
      <w:pPr>
        <w:pStyle w:val="5"/>
        <w:tabs>
          <w:tab w:val="left" w:pos="284"/>
        </w:tabs>
        <w:snapToGrid/>
        <w:ind w:firstLine="562" w:firstLineChars="200"/>
        <w:jc w:val="both"/>
        <w:rPr>
          <w:rFonts w:hint="eastAsia" w:ascii="宋体" w:hAnsi="宋体" w:eastAsia="宋体" w:cs="宋体"/>
          <w:color w:val="auto"/>
          <w:szCs w:val="24"/>
          <w:highlight w:val="none"/>
        </w:rPr>
      </w:pPr>
      <w:r>
        <w:rPr>
          <w:rStyle w:val="81"/>
          <w:rFonts w:hint="eastAsia" w:ascii="宋体" w:hAnsi="宋体" w:cs="宋体"/>
          <w:color w:val="auto"/>
          <w:szCs w:val="24"/>
          <w:highlight w:val="none"/>
        </w:rPr>
        <w:br w:type="page"/>
      </w:r>
      <w:bookmarkStart w:id="399" w:name="_Toc3947"/>
      <w:bookmarkStart w:id="400" w:name="_Toc9746"/>
      <w:bookmarkStart w:id="401" w:name="_Toc29680"/>
      <w:bookmarkStart w:id="402" w:name="_Toc1796"/>
      <w:bookmarkStart w:id="403" w:name="_Toc104581758"/>
      <w:r>
        <w:rPr>
          <w:rFonts w:hint="eastAsia" w:ascii="宋体" w:hAnsi="宋体" w:eastAsia="宋体" w:cs="宋体"/>
          <w:color w:val="auto"/>
          <w:sz w:val="24"/>
          <w:szCs w:val="24"/>
          <w:highlight w:val="none"/>
        </w:rPr>
        <w:t>7.景观设计</w:t>
      </w:r>
      <w:bookmarkEnd w:id="399"/>
      <w:bookmarkEnd w:id="400"/>
      <w:bookmarkEnd w:id="401"/>
      <w:bookmarkEnd w:id="402"/>
      <w:bookmarkEnd w:id="403"/>
    </w:p>
    <w:p w14:paraId="0F3936C7">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04" w:name="_Toc13821"/>
      <w:r>
        <w:rPr>
          <w:rFonts w:hint="eastAsia" w:ascii="宋体" w:hAnsi="宋体" w:eastAsia="宋体" w:cs="宋体"/>
          <w:color w:val="auto"/>
          <w:sz w:val="24"/>
          <w:szCs w:val="24"/>
          <w:highlight w:val="none"/>
        </w:rPr>
        <w:t>7.1 设计依据</w:t>
      </w:r>
      <w:bookmarkEnd w:id="404"/>
    </w:p>
    <w:p w14:paraId="20F72AF7">
      <w:pPr>
        <w:pStyle w:val="80"/>
        <w:spacing w:line="360" w:lineRule="auto"/>
        <w:ind w:firstLine="480"/>
        <w:rPr>
          <w:rFonts w:hint="eastAsia" w:ascii="宋体" w:hAnsi="宋体" w:cs="宋体"/>
          <w:bCs/>
          <w:sz w:val="24"/>
          <w:szCs w:val="24"/>
          <w:highlight w:val="none"/>
        </w:rPr>
      </w:pPr>
      <w:r>
        <w:rPr>
          <w:rFonts w:hint="eastAsia" w:ascii="宋体" w:hAnsi="宋体" w:cs="宋体"/>
          <w:bCs/>
          <w:sz w:val="24"/>
          <w:szCs w:val="24"/>
          <w:highlight w:val="none"/>
        </w:rPr>
        <w:t>7.1.1 在限额设计基础上，使安置区景观环境美观舒适、造价经济、管理安全、维护方便等要求，以提高景观设计质量。</w:t>
      </w:r>
    </w:p>
    <w:p w14:paraId="453801D3">
      <w:pPr>
        <w:pStyle w:val="80"/>
        <w:spacing w:line="360" w:lineRule="auto"/>
        <w:ind w:firstLine="480"/>
        <w:rPr>
          <w:rFonts w:hint="eastAsia" w:ascii="宋体" w:hAnsi="宋体" w:cs="宋体"/>
          <w:bCs/>
          <w:sz w:val="24"/>
          <w:szCs w:val="24"/>
          <w:highlight w:val="none"/>
        </w:rPr>
      </w:pPr>
      <w:r>
        <w:rPr>
          <w:rFonts w:hint="eastAsia" w:ascii="宋体" w:hAnsi="宋体" w:cs="宋体"/>
          <w:bCs/>
          <w:sz w:val="24"/>
          <w:szCs w:val="24"/>
          <w:highlight w:val="none"/>
        </w:rPr>
        <w:t>7.1.2 切合实际，具备指导性与可操作性。</w:t>
      </w:r>
    </w:p>
    <w:p w14:paraId="10AAC90E">
      <w:pPr>
        <w:pStyle w:val="80"/>
        <w:spacing w:line="360" w:lineRule="auto"/>
        <w:ind w:firstLine="480"/>
        <w:rPr>
          <w:rFonts w:hint="eastAsia" w:ascii="宋体" w:hAnsi="宋体" w:cs="宋体"/>
          <w:bCs/>
          <w:sz w:val="24"/>
          <w:szCs w:val="24"/>
          <w:highlight w:val="none"/>
        </w:rPr>
      </w:pPr>
      <w:r>
        <w:rPr>
          <w:rFonts w:hint="eastAsia" w:ascii="宋体" w:hAnsi="宋体" w:cs="宋体"/>
          <w:bCs/>
          <w:sz w:val="24"/>
          <w:szCs w:val="24"/>
          <w:highlight w:val="none"/>
        </w:rPr>
        <w:t>7.1.3 严格遵守各类规范与标准，同时又不失景观创意的艺术性；注重功能性及效果的整体统一和景观的可实施性与安全性原则。</w:t>
      </w:r>
    </w:p>
    <w:p w14:paraId="02EFE9EB">
      <w:pPr>
        <w:pStyle w:val="80"/>
        <w:spacing w:line="360" w:lineRule="auto"/>
        <w:ind w:firstLine="480"/>
        <w:rPr>
          <w:rFonts w:hint="eastAsia" w:ascii="宋体" w:hAnsi="宋体" w:cs="宋体"/>
          <w:bCs/>
          <w:sz w:val="24"/>
          <w:szCs w:val="24"/>
          <w:highlight w:val="none"/>
        </w:rPr>
      </w:pPr>
      <w:r>
        <w:rPr>
          <w:rFonts w:hint="eastAsia" w:ascii="宋体" w:hAnsi="宋体" w:cs="宋体"/>
          <w:bCs/>
          <w:sz w:val="24"/>
          <w:szCs w:val="24"/>
          <w:highlight w:val="none"/>
        </w:rPr>
        <w:t>7.1.4 按照景观标准化要求，编制建设工程的树木迁移保护实施方案，搭配植物配置。</w:t>
      </w:r>
    </w:p>
    <w:p w14:paraId="48ED88F4">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7.1.5 国家现行的主要设计规范及标准：</w:t>
      </w:r>
    </w:p>
    <w:p w14:paraId="5BABD56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《市政公用工程设计文件编制深度规定 2013年》</w:t>
      </w:r>
    </w:p>
    <w:p w14:paraId="6A26BC5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《总图制图标准》                          GB/T 50103 2010</w:t>
      </w:r>
    </w:p>
    <w:p w14:paraId="6B13387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《风景园林制图标准》                      CJJ/T 67-2015</w:t>
      </w:r>
    </w:p>
    <w:p w14:paraId="5B6AA45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《风景园林基本术语标准》                  CJJ/T 91-2017</w:t>
      </w:r>
    </w:p>
    <w:p w14:paraId="252F9FE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《风景名胜区详细规划标准》                GB/T 51294-2018</w:t>
      </w:r>
    </w:p>
    <w:p w14:paraId="2F165C4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《公园设计规范》                          GB 51192-2016</w:t>
      </w:r>
    </w:p>
    <w:p w14:paraId="07DDDC5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《无障碍设计规范》                        GB 50763-2012</w:t>
      </w:r>
    </w:p>
    <w:p w14:paraId="655ACE5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《建筑与市政工程</w:t>
      </w:r>
      <w:r>
        <w:rPr>
          <w:rFonts w:ascii="宋体" w:hAnsi="宋体" w:eastAsia="宋体" w:cs="宋体"/>
          <w:color w:val="auto"/>
          <w:sz w:val="24"/>
          <w:szCs w:val="24"/>
          <w:highlight w:val="none"/>
        </w:rPr>
        <w:t>无障碍通用规范》</w:t>
      </w:r>
      <w:r>
        <w:rPr>
          <w:rFonts w:hint="eastAsia" w:ascii="宋体" w:hAnsi="宋体" w:eastAsia="宋体" w:cs="宋体"/>
          <w:color w:val="auto"/>
          <w:sz w:val="24"/>
          <w:szCs w:val="24"/>
          <w:highlight w:val="none"/>
        </w:rPr>
        <w:t xml:space="preserve">          </w:t>
      </w:r>
      <w:r>
        <w:rPr>
          <w:rFonts w:ascii="宋体" w:hAnsi="宋体" w:eastAsia="宋体" w:cs="宋体"/>
          <w:color w:val="auto"/>
          <w:sz w:val="24"/>
          <w:szCs w:val="24"/>
          <w:highlight w:val="none"/>
        </w:rPr>
        <w:t>GB 55019-2021</w:t>
      </w:r>
    </w:p>
    <w:p w14:paraId="67A9FC0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《建筑设计防火规范》                      GB 50016-2014(2018年版)</w:t>
      </w:r>
    </w:p>
    <w:p w14:paraId="7F36630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《民用建筑设计统一标准》                  GB 50352-2019</w:t>
      </w:r>
    </w:p>
    <w:p w14:paraId="6481A5C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《城市道路交叉口规划规范》                GB 50647-2011</w:t>
      </w:r>
    </w:p>
    <w:p w14:paraId="5CC1EA4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《城市停车规划规范》                      GB/T 51149-2016</w:t>
      </w:r>
    </w:p>
    <w:p w14:paraId="1646AD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《城乡建设用地竖向规划规范》              CJJ 83-2016</w:t>
      </w:r>
    </w:p>
    <w:p w14:paraId="308711F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《城市园林绿化评价标准》                  GB/T 50563-2010</w:t>
      </w:r>
    </w:p>
    <w:p w14:paraId="48C88E1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《城市公共停车场工程项目建设标准》        建标 128-2010</w:t>
      </w:r>
    </w:p>
    <w:p w14:paraId="5100CB8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《城市公共厕所设计标准》                  CJJ 14-2016</w:t>
      </w:r>
    </w:p>
    <w:p w14:paraId="268C971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《城市道路绿化规划与设计规范》            CJJ 75-97</w:t>
      </w:r>
    </w:p>
    <w:p w14:paraId="7A8E1FA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《园林绿化工程施工及验收规范》            CJJ 82-2012 </w:t>
      </w:r>
    </w:p>
    <w:p w14:paraId="39614DF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《城市绿地设计规范》                      GB 50420-2007（2016年版）</w:t>
      </w:r>
    </w:p>
    <w:p w14:paraId="64F9DAB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《种植屋面工程技术规程》                JGJ 155-2013</w:t>
      </w:r>
    </w:p>
    <w:p w14:paraId="6048AFB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《绿化种植土壤》                        CJ/T 340-2016</w:t>
      </w:r>
    </w:p>
    <w:p w14:paraId="5F88F3E3">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《城市工程管线综合规划规范》           （GB50289-2016）</w:t>
      </w:r>
    </w:p>
    <w:p w14:paraId="24013C75">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《室外给水设计标准》                    GB50013-2018</w:t>
      </w:r>
    </w:p>
    <w:p w14:paraId="5E792B0B">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《室外排水设计标准》                    GB50014-2021</w:t>
      </w:r>
    </w:p>
    <w:p w14:paraId="69753D54">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《建筑给水排水设计标准》                GB50015-2019</w:t>
      </w:r>
    </w:p>
    <w:p w14:paraId="51BEB4C7">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《建筑给水排水及采暖工程施工质量验收规范》GB50242-2002</w:t>
      </w:r>
    </w:p>
    <w:p w14:paraId="1C2A1A66">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《城市工程管线综合规划规范》            GB50289-2016； </w:t>
      </w:r>
    </w:p>
    <w:p w14:paraId="1643884F">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《供配电系统设计规范》                  GB50052-2009；   </w:t>
      </w:r>
    </w:p>
    <w:p w14:paraId="37D0FC97">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《低压配电设计规范》                    GB50054-2011； </w:t>
      </w:r>
    </w:p>
    <w:p w14:paraId="6777080B">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《电力工程电缆设计标准》                GB50217-2018；</w:t>
      </w:r>
    </w:p>
    <w:p w14:paraId="5C7C6A02">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《民用建筑电气设计规范》                JGJ16-2008；</w:t>
      </w:r>
    </w:p>
    <w:p w14:paraId="2BFBAAAA">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《城市道路照明设计标准》                CJJ45-2015；</w:t>
      </w:r>
    </w:p>
    <w:p w14:paraId="70CF10B9">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《视频安防监控系统工程设计规范》        GB50395-2007；</w:t>
      </w:r>
    </w:p>
    <w:p w14:paraId="52C188A9">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《安全防范工程技术规范》                GB50348-2018；</w:t>
      </w:r>
    </w:p>
    <w:p w14:paraId="65A4942F">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《建筑物电子信息系统防雷技术规范》      GB50343-2012；</w:t>
      </w:r>
    </w:p>
    <w:p w14:paraId="75D5B247">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《建筑物防雷设计规范》                  GB50057-2010；</w:t>
      </w:r>
    </w:p>
    <w:p w14:paraId="22253A84">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《广州市城市树木保护管理规定（试行）》（穗林业园林规字〔2022〕1号）、《广州市绿化条例》；</w:t>
      </w:r>
    </w:p>
    <w:p w14:paraId="0942A303">
      <w:pPr>
        <w:autoSpaceDE w:val="0"/>
        <w:autoSpaceDN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中华人民共和国国家标准《公共部安全防范视频监控联网系统信息传输、交换、控制技术要求》GB/T28181-2011。</w:t>
      </w:r>
    </w:p>
    <w:p w14:paraId="5C746163">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05" w:name="_Toc1876"/>
      <w:bookmarkStart w:id="406" w:name="_Toc104581760"/>
      <w:bookmarkStart w:id="407" w:name="_Toc14903"/>
      <w:bookmarkStart w:id="408" w:name="_Toc26171"/>
      <w:r>
        <w:rPr>
          <w:rFonts w:hint="eastAsia" w:ascii="宋体" w:hAnsi="宋体" w:eastAsia="宋体" w:cs="宋体"/>
          <w:color w:val="auto"/>
          <w:sz w:val="24"/>
          <w:szCs w:val="24"/>
          <w:highlight w:val="none"/>
        </w:rPr>
        <w:t>7.2关键指标</w:t>
      </w:r>
      <w:bookmarkEnd w:id="405"/>
      <w:bookmarkEnd w:id="406"/>
      <w:bookmarkEnd w:id="407"/>
      <w:bookmarkEnd w:id="408"/>
    </w:p>
    <w:p w14:paraId="77C8EEC0">
      <w:pPr>
        <w:pStyle w:val="24"/>
        <w:ind w:firstLine="482"/>
        <w:rPr>
          <w:rFonts w:hint="eastAsia" w:hAnsi="宋体" w:cs="宋体"/>
          <w:b/>
          <w:bCs/>
          <w:szCs w:val="24"/>
          <w:highlight w:val="none"/>
        </w:rPr>
      </w:pPr>
      <w:r>
        <w:rPr>
          <w:rFonts w:hint="eastAsia" w:hAnsi="宋体" w:cs="宋体"/>
          <w:b/>
          <w:bCs/>
          <w:szCs w:val="24"/>
          <w:highlight w:val="none"/>
        </w:rPr>
        <w:t>7.2.1 景观园建</w:t>
      </w:r>
    </w:p>
    <w:p w14:paraId="727C2924">
      <w:pPr>
        <w:pStyle w:val="24"/>
        <w:ind w:firstLine="480"/>
        <w:rPr>
          <w:rFonts w:hint="eastAsia" w:hAnsi="宋体" w:cs="宋体"/>
          <w:bCs/>
          <w:szCs w:val="24"/>
          <w:highlight w:val="none"/>
        </w:rPr>
      </w:pPr>
      <w:r>
        <w:rPr>
          <w:rFonts w:hint="eastAsia" w:hAnsi="宋体" w:cs="宋体"/>
          <w:bCs/>
          <w:szCs w:val="24"/>
          <w:highlight w:val="none"/>
        </w:rPr>
        <w:t>7.2.1.1需适当控制铺装面积比例，在满足使用功能的基础上减少铺装面积，宜多采用草坪、绿化地被造景。</w:t>
      </w:r>
    </w:p>
    <w:p w14:paraId="204351C7">
      <w:pPr>
        <w:pStyle w:val="24"/>
        <w:ind w:firstLine="480"/>
        <w:rPr>
          <w:rFonts w:hint="eastAsia" w:hAnsi="宋体" w:cs="宋体"/>
          <w:bCs/>
          <w:szCs w:val="24"/>
          <w:highlight w:val="none"/>
        </w:rPr>
      </w:pPr>
      <w:r>
        <w:rPr>
          <w:rFonts w:hint="eastAsia" w:hAnsi="宋体" w:cs="宋体"/>
          <w:bCs/>
          <w:szCs w:val="24"/>
          <w:highlight w:val="none"/>
        </w:rPr>
        <w:t>7.2.1.2 在竖向处理上需在较短的距离内消除坡度，预留出大片景观观赏区，坡度在单元入户区域需逐渐放缓，以便有效减少土方量，控制成本。</w:t>
      </w:r>
    </w:p>
    <w:p w14:paraId="51A4F0F8">
      <w:pPr>
        <w:pStyle w:val="24"/>
        <w:ind w:firstLine="480"/>
        <w:rPr>
          <w:rFonts w:hint="eastAsia" w:hAnsi="宋体" w:cs="宋体"/>
          <w:szCs w:val="24"/>
          <w:highlight w:val="none"/>
        </w:rPr>
      </w:pPr>
      <w:r>
        <w:rPr>
          <w:rFonts w:hint="eastAsia" w:hAnsi="宋体" w:cs="宋体"/>
          <w:bCs/>
          <w:szCs w:val="24"/>
          <w:highlight w:val="none"/>
        </w:rPr>
        <w:t>7.2.1.3需充分利用场地现</w:t>
      </w:r>
      <w:r>
        <w:rPr>
          <w:rFonts w:hint="eastAsia" w:hAnsi="宋体" w:cs="宋体"/>
          <w:szCs w:val="24"/>
          <w:highlight w:val="none"/>
        </w:rPr>
        <w:t>状地势，避免过多造山造坡；现状场地土方量宜场地内平衡，不宜大规模进土或外运。</w:t>
      </w:r>
    </w:p>
    <w:p w14:paraId="3FBD4458">
      <w:pPr>
        <w:pStyle w:val="24"/>
        <w:ind w:left="440" w:leftChars="200" w:firstLine="0" w:firstLineChars="0"/>
        <w:rPr>
          <w:rFonts w:hint="eastAsia" w:hAnsi="宋体" w:cs="宋体"/>
          <w:b/>
          <w:bCs/>
          <w:szCs w:val="24"/>
          <w:highlight w:val="none"/>
        </w:rPr>
      </w:pPr>
      <w:r>
        <w:rPr>
          <w:rFonts w:hint="eastAsia" w:hAnsi="宋体" w:cs="宋体"/>
          <w:b/>
          <w:bCs/>
          <w:szCs w:val="24"/>
          <w:highlight w:val="none"/>
        </w:rPr>
        <w:t>7.2.2 景观绿化</w:t>
      </w:r>
    </w:p>
    <w:p w14:paraId="5AF3AD2C">
      <w:pPr>
        <w:pStyle w:val="24"/>
        <w:ind w:left="440" w:leftChars="200" w:firstLine="0" w:firstLineChars="0"/>
        <w:rPr>
          <w:rFonts w:hint="eastAsia" w:hAnsi="宋体" w:cs="宋体"/>
          <w:bCs/>
          <w:szCs w:val="24"/>
          <w:highlight w:val="none"/>
        </w:rPr>
      </w:pPr>
      <w:r>
        <w:rPr>
          <w:rFonts w:hint="eastAsia" w:hAnsi="宋体" w:cs="宋体"/>
          <w:bCs/>
          <w:szCs w:val="24"/>
          <w:highlight w:val="none"/>
        </w:rPr>
        <w:t>7.2.2.1 绿化种植搭配方式</w:t>
      </w:r>
    </w:p>
    <w:p w14:paraId="51475C95">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绿化种植设计抛弃堆砌及大面积地被种植的做法，在进行绿化种植时定位为创造一个清新疏朗、自然简洁的开放型生态绿地，即以上层乔木、疏林草地、配合适量的灌木、地被以及配合微地形营造的植物景观。</w:t>
      </w:r>
    </w:p>
    <w:tbl>
      <w:tblPr>
        <w:tblStyle w:val="42"/>
        <w:tblW w:w="8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3"/>
        <w:gridCol w:w="1733"/>
        <w:gridCol w:w="3402"/>
        <w:gridCol w:w="2552"/>
      </w:tblGrid>
      <w:tr w14:paraId="6C651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jc w:val="center"/>
        </w:trPr>
        <w:tc>
          <w:tcPr>
            <w:tcW w:w="643" w:type="dxa"/>
            <w:vAlign w:val="center"/>
          </w:tcPr>
          <w:p w14:paraId="39B793AD">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序号</w:t>
            </w:r>
          </w:p>
        </w:tc>
        <w:tc>
          <w:tcPr>
            <w:tcW w:w="1733" w:type="dxa"/>
            <w:vAlign w:val="center"/>
          </w:tcPr>
          <w:p w14:paraId="52A91BA1">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植物种类</w:t>
            </w:r>
          </w:p>
        </w:tc>
        <w:tc>
          <w:tcPr>
            <w:tcW w:w="3402" w:type="dxa"/>
            <w:vAlign w:val="center"/>
          </w:tcPr>
          <w:p w14:paraId="3C95C9C7">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成本控制指标参考</w:t>
            </w:r>
          </w:p>
        </w:tc>
        <w:tc>
          <w:tcPr>
            <w:tcW w:w="2552" w:type="dxa"/>
            <w:vAlign w:val="center"/>
          </w:tcPr>
          <w:p w14:paraId="596AAC69">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备注</w:t>
            </w:r>
          </w:p>
        </w:tc>
      </w:tr>
      <w:tr w14:paraId="370CA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jc w:val="center"/>
        </w:trPr>
        <w:tc>
          <w:tcPr>
            <w:tcW w:w="643" w:type="dxa"/>
            <w:vMerge w:val="restart"/>
            <w:vAlign w:val="center"/>
          </w:tcPr>
          <w:p w14:paraId="7E69AB74">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p w14:paraId="36E384A4">
            <w:pPr>
              <w:jc w:val="center"/>
              <w:rPr>
                <w:rFonts w:hint="eastAsia" w:ascii="宋体" w:hAnsi="宋体" w:eastAsia="宋体" w:cs="宋体"/>
                <w:color w:val="auto"/>
                <w:sz w:val="21"/>
                <w:szCs w:val="21"/>
                <w:highlight w:val="none"/>
              </w:rPr>
            </w:pPr>
          </w:p>
        </w:tc>
        <w:tc>
          <w:tcPr>
            <w:tcW w:w="1733" w:type="dxa"/>
            <w:vMerge w:val="restart"/>
            <w:vAlign w:val="center"/>
          </w:tcPr>
          <w:p w14:paraId="51645906">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乔木数量</w:t>
            </w:r>
          </w:p>
        </w:tc>
        <w:tc>
          <w:tcPr>
            <w:tcW w:w="3402" w:type="dxa"/>
            <w:vAlign w:val="center"/>
          </w:tcPr>
          <w:p w14:paraId="11B82608">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至少3株乔木/每100平方米</w:t>
            </w:r>
          </w:p>
        </w:tc>
        <w:tc>
          <w:tcPr>
            <w:tcW w:w="2552" w:type="dxa"/>
            <w:vAlign w:val="center"/>
          </w:tcPr>
          <w:p w14:paraId="6097B521">
            <w:pPr>
              <w:jc w:val="center"/>
              <w:rPr>
                <w:rFonts w:hint="eastAsia" w:ascii="宋体" w:hAnsi="宋体" w:eastAsia="宋体" w:cs="宋体"/>
                <w:color w:val="auto"/>
                <w:sz w:val="21"/>
                <w:szCs w:val="21"/>
                <w:highlight w:val="none"/>
              </w:rPr>
            </w:pPr>
          </w:p>
        </w:tc>
      </w:tr>
      <w:tr w14:paraId="5779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jc w:val="center"/>
        </w:trPr>
        <w:tc>
          <w:tcPr>
            <w:tcW w:w="643" w:type="dxa"/>
            <w:vMerge w:val="continue"/>
            <w:vAlign w:val="center"/>
          </w:tcPr>
          <w:p w14:paraId="7AFBAAB9">
            <w:pPr>
              <w:jc w:val="center"/>
              <w:rPr>
                <w:rFonts w:hint="eastAsia" w:ascii="宋体" w:hAnsi="宋体" w:eastAsia="宋体" w:cs="宋体"/>
                <w:color w:val="auto"/>
                <w:sz w:val="21"/>
                <w:szCs w:val="21"/>
                <w:highlight w:val="none"/>
              </w:rPr>
            </w:pPr>
          </w:p>
        </w:tc>
        <w:tc>
          <w:tcPr>
            <w:tcW w:w="1733" w:type="dxa"/>
            <w:vMerge w:val="continue"/>
            <w:vAlign w:val="center"/>
          </w:tcPr>
          <w:p w14:paraId="23D1738B">
            <w:pPr>
              <w:jc w:val="center"/>
              <w:rPr>
                <w:rFonts w:hint="eastAsia" w:ascii="宋体" w:hAnsi="宋体" w:eastAsia="宋体" w:cs="宋体"/>
                <w:color w:val="auto"/>
                <w:sz w:val="21"/>
                <w:szCs w:val="21"/>
                <w:highlight w:val="none"/>
              </w:rPr>
            </w:pPr>
          </w:p>
        </w:tc>
        <w:tc>
          <w:tcPr>
            <w:tcW w:w="3402" w:type="dxa"/>
            <w:vAlign w:val="center"/>
          </w:tcPr>
          <w:p w14:paraId="354A6A8C">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大乔木占乔木总数量比≤20%</w:t>
            </w:r>
          </w:p>
        </w:tc>
        <w:tc>
          <w:tcPr>
            <w:tcW w:w="2552" w:type="dxa"/>
            <w:vAlign w:val="center"/>
          </w:tcPr>
          <w:p w14:paraId="02E6488A">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胸径≥25cm,地径≥30cm</w:t>
            </w:r>
          </w:p>
        </w:tc>
      </w:tr>
      <w:tr w14:paraId="3C811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jc w:val="center"/>
        </w:trPr>
        <w:tc>
          <w:tcPr>
            <w:tcW w:w="643" w:type="dxa"/>
            <w:vAlign w:val="center"/>
          </w:tcPr>
          <w:p w14:paraId="6F419915">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1733" w:type="dxa"/>
            <w:vAlign w:val="center"/>
          </w:tcPr>
          <w:p w14:paraId="429AA5C7">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灌木数量</w:t>
            </w:r>
          </w:p>
        </w:tc>
        <w:tc>
          <w:tcPr>
            <w:tcW w:w="3402" w:type="dxa"/>
            <w:vAlign w:val="center"/>
          </w:tcPr>
          <w:p w14:paraId="41D6938B">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5~10株灌木/每100平方米</w:t>
            </w:r>
          </w:p>
        </w:tc>
        <w:tc>
          <w:tcPr>
            <w:tcW w:w="2552" w:type="dxa"/>
            <w:vAlign w:val="center"/>
          </w:tcPr>
          <w:p w14:paraId="5FE70393">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节点位置视具体情况而定</w:t>
            </w:r>
          </w:p>
        </w:tc>
      </w:tr>
      <w:tr w14:paraId="76321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1" w:hRule="exact"/>
          <w:jc w:val="center"/>
        </w:trPr>
        <w:tc>
          <w:tcPr>
            <w:tcW w:w="643" w:type="dxa"/>
            <w:vAlign w:val="center"/>
          </w:tcPr>
          <w:p w14:paraId="3EFEC34F">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1733" w:type="dxa"/>
            <w:vAlign w:val="center"/>
          </w:tcPr>
          <w:p w14:paraId="4E979639">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草坪数量/地被数量</w:t>
            </w:r>
          </w:p>
        </w:tc>
        <w:tc>
          <w:tcPr>
            <w:tcW w:w="3402" w:type="dxa"/>
            <w:vAlign w:val="center"/>
          </w:tcPr>
          <w:p w14:paraId="286AF175">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≥5:5</w:t>
            </w:r>
          </w:p>
        </w:tc>
        <w:tc>
          <w:tcPr>
            <w:tcW w:w="2552" w:type="dxa"/>
            <w:vAlign w:val="center"/>
          </w:tcPr>
          <w:p w14:paraId="29BDECCC">
            <w:pPr>
              <w:jc w:val="center"/>
              <w:rPr>
                <w:rFonts w:hint="eastAsia" w:ascii="宋体" w:hAnsi="宋体" w:eastAsia="宋体" w:cs="宋体"/>
                <w:color w:val="auto"/>
                <w:sz w:val="21"/>
                <w:szCs w:val="21"/>
                <w:highlight w:val="none"/>
              </w:rPr>
            </w:pPr>
          </w:p>
        </w:tc>
      </w:tr>
    </w:tbl>
    <w:p w14:paraId="7AF760AF">
      <w:pPr>
        <w:spacing w:line="360" w:lineRule="auto"/>
        <w:rPr>
          <w:rFonts w:hint="eastAsia" w:ascii="宋体" w:hAnsi="宋体" w:eastAsia="宋体" w:cs="宋体"/>
          <w:color w:val="auto"/>
          <w:sz w:val="24"/>
          <w:szCs w:val="24"/>
          <w:highlight w:val="none"/>
        </w:rPr>
      </w:pPr>
    </w:p>
    <w:p w14:paraId="7F45017F">
      <w:pPr>
        <w:pStyle w:val="24"/>
        <w:ind w:left="440" w:leftChars="200" w:firstLine="0" w:firstLineChars="0"/>
        <w:rPr>
          <w:rFonts w:hint="eastAsia" w:hAnsi="宋体" w:cs="宋体"/>
          <w:bCs/>
          <w:szCs w:val="24"/>
          <w:highlight w:val="none"/>
        </w:rPr>
      </w:pPr>
      <w:r>
        <w:rPr>
          <w:rFonts w:hint="eastAsia" w:hAnsi="宋体" w:cs="宋体"/>
          <w:bCs/>
          <w:szCs w:val="24"/>
          <w:highlight w:val="none"/>
        </w:rPr>
        <w:t>7.2.2.2 植物选用品种：</w:t>
      </w:r>
    </w:p>
    <w:p w14:paraId="155762F2">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绿化设计适地适树，植物品种主要选用乡土树种，优先选择经济适用、美观且易养护的植物品种，植物品种选择注重常绿落叶搭配，速生树种与慢生树种结合；不用难管养、难移植的植物、特大规格乔木及名贵树种等，其中安置区地块不用无遮阴效果的植物如棕榈科植物、养护成本高的草花品种。</w:t>
      </w:r>
    </w:p>
    <w:tbl>
      <w:tblPr>
        <w:tblStyle w:val="42"/>
        <w:tblW w:w="7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7"/>
        <w:gridCol w:w="4428"/>
      </w:tblGrid>
      <w:tr w14:paraId="277F9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227" w:type="dxa"/>
            <w:vAlign w:val="center"/>
          </w:tcPr>
          <w:p w14:paraId="547B907D">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常绿落叶乔木数量比</w:t>
            </w:r>
          </w:p>
        </w:tc>
        <w:tc>
          <w:tcPr>
            <w:tcW w:w="4428" w:type="dxa"/>
            <w:vAlign w:val="center"/>
          </w:tcPr>
          <w:p w14:paraId="2362FC8E">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≥6:4</w:t>
            </w:r>
          </w:p>
        </w:tc>
      </w:tr>
      <w:tr w14:paraId="23B3D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3227" w:type="dxa"/>
            <w:vAlign w:val="center"/>
          </w:tcPr>
          <w:p w14:paraId="6405701E">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慢生树占乔木总数量比</w:t>
            </w:r>
          </w:p>
        </w:tc>
        <w:tc>
          <w:tcPr>
            <w:tcW w:w="4428" w:type="dxa"/>
            <w:vAlign w:val="center"/>
          </w:tcPr>
          <w:p w14:paraId="3FAB24E9">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≥40%</w:t>
            </w:r>
          </w:p>
        </w:tc>
      </w:tr>
    </w:tbl>
    <w:p w14:paraId="46007928">
      <w:pPr>
        <w:spacing w:line="360" w:lineRule="auto"/>
        <w:rPr>
          <w:rFonts w:hint="eastAsia" w:ascii="宋体" w:hAnsi="宋体" w:eastAsia="宋体" w:cs="宋体"/>
          <w:color w:val="auto"/>
          <w:sz w:val="24"/>
          <w:szCs w:val="24"/>
          <w:highlight w:val="none"/>
        </w:rPr>
      </w:pPr>
    </w:p>
    <w:p w14:paraId="1B34DB89">
      <w:pPr>
        <w:pStyle w:val="24"/>
        <w:ind w:left="440" w:leftChars="200" w:firstLine="0" w:firstLineChars="0"/>
        <w:rPr>
          <w:rFonts w:hint="eastAsia" w:hAnsi="宋体" w:cs="宋体"/>
          <w:bCs/>
          <w:szCs w:val="24"/>
          <w:highlight w:val="none"/>
        </w:rPr>
      </w:pPr>
      <w:r>
        <w:rPr>
          <w:rFonts w:hint="eastAsia" w:hAnsi="宋体" w:cs="宋体"/>
          <w:bCs/>
          <w:szCs w:val="24"/>
          <w:highlight w:val="none"/>
        </w:rPr>
        <w:t>7.2.2.3 植物选用规格及种植密度：</w:t>
      </w:r>
    </w:p>
    <w:p w14:paraId="55D6CEBD">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严格控制植物品种规格，适当点缀大乔木，上层乔木主要以中小型乔木为主，植物选用规格统一按广东省园林绿化定额中苗木规格区间选取；合理控制乔、灌、地种植密度，预留植物生长空间。</w:t>
      </w:r>
    </w:p>
    <w:tbl>
      <w:tblPr>
        <w:tblStyle w:val="42"/>
        <w:tblW w:w="83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418"/>
        <w:gridCol w:w="6246"/>
      </w:tblGrid>
      <w:tr w14:paraId="7D213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2CC61CCD">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序号号</w:t>
            </w:r>
          </w:p>
        </w:tc>
        <w:tc>
          <w:tcPr>
            <w:tcW w:w="1418" w:type="dxa"/>
            <w:vAlign w:val="center"/>
          </w:tcPr>
          <w:p w14:paraId="474BACC7">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植物种类</w:t>
            </w:r>
          </w:p>
        </w:tc>
        <w:tc>
          <w:tcPr>
            <w:tcW w:w="6246" w:type="dxa"/>
            <w:vAlign w:val="center"/>
          </w:tcPr>
          <w:p w14:paraId="3D3032FF">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植物规格选择区间参考</w:t>
            </w:r>
          </w:p>
        </w:tc>
      </w:tr>
      <w:tr w14:paraId="2801A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7F8523B6">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1</w:t>
            </w:r>
          </w:p>
        </w:tc>
        <w:tc>
          <w:tcPr>
            <w:tcW w:w="1418" w:type="dxa"/>
            <w:vAlign w:val="center"/>
          </w:tcPr>
          <w:p w14:paraId="31B801D1">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大乔木</w:t>
            </w:r>
          </w:p>
        </w:tc>
        <w:tc>
          <w:tcPr>
            <w:tcW w:w="6246" w:type="dxa"/>
            <w:vAlign w:val="center"/>
          </w:tcPr>
          <w:p w14:paraId="7B2A7CC6">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丛生乔木&lt;地径70cm，单干乔木胸径&lt;45cm</w:t>
            </w:r>
          </w:p>
        </w:tc>
      </w:tr>
      <w:tr w14:paraId="20135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636C7468">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2</w:t>
            </w:r>
          </w:p>
        </w:tc>
        <w:tc>
          <w:tcPr>
            <w:tcW w:w="1418" w:type="dxa"/>
            <w:vAlign w:val="center"/>
          </w:tcPr>
          <w:p w14:paraId="52BAA6BA">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灌木</w:t>
            </w:r>
          </w:p>
        </w:tc>
        <w:tc>
          <w:tcPr>
            <w:tcW w:w="6246" w:type="dxa"/>
            <w:vAlign w:val="center"/>
          </w:tcPr>
          <w:p w14:paraId="5D9B0B74">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灌木高度≤300cm</w:t>
            </w:r>
          </w:p>
        </w:tc>
      </w:tr>
      <w:tr w14:paraId="57430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2037396A">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3</w:t>
            </w:r>
          </w:p>
        </w:tc>
        <w:tc>
          <w:tcPr>
            <w:tcW w:w="1418" w:type="dxa"/>
            <w:vAlign w:val="center"/>
          </w:tcPr>
          <w:p w14:paraId="01A2539B">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地被</w:t>
            </w:r>
          </w:p>
        </w:tc>
        <w:tc>
          <w:tcPr>
            <w:tcW w:w="6246" w:type="dxa"/>
            <w:vAlign w:val="center"/>
          </w:tcPr>
          <w:p w14:paraId="4B6E0859">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地被高度≤60cm</w:t>
            </w:r>
          </w:p>
        </w:tc>
      </w:tr>
      <w:tr w14:paraId="39735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41E9A54E">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4</w:t>
            </w:r>
          </w:p>
        </w:tc>
        <w:tc>
          <w:tcPr>
            <w:tcW w:w="1418" w:type="dxa"/>
            <w:vAlign w:val="center"/>
          </w:tcPr>
          <w:p w14:paraId="3B777615">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草坪</w:t>
            </w:r>
          </w:p>
        </w:tc>
        <w:tc>
          <w:tcPr>
            <w:tcW w:w="6246" w:type="dxa"/>
            <w:vAlign w:val="center"/>
          </w:tcPr>
          <w:p w14:paraId="70F9C7D0">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安置区建议选用台湾草草卷，其他绿地草皮规格选用30X30cm/件</w:t>
            </w:r>
          </w:p>
        </w:tc>
      </w:tr>
    </w:tbl>
    <w:p w14:paraId="198F7DC5">
      <w:pPr>
        <w:pStyle w:val="80"/>
        <w:spacing w:line="360" w:lineRule="auto"/>
        <w:ind w:firstLine="0" w:firstLineChars="0"/>
        <w:jc w:val="center"/>
        <w:rPr>
          <w:rFonts w:hint="eastAsia" w:ascii="宋体" w:hAnsi="宋体" w:cs="宋体"/>
          <w:highlight w:val="none"/>
        </w:rPr>
      </w:pPr>
    </w:p>
    <w:tbl>
      <w:tblPr>
        <w:tblStyle w:val="42"/>
        <w:tblW w:w="8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418"/>
        <w:gridCol w:w="2977"/>
        <w:gridCol w:w="3260"/>
      </w:tblGrid>
      <w:tr w14:paraId="397B8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30D8A437">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序号号</w:t>
            </w:r>
          </w:p>
        </w:tc>
        <w:tc>
          <w:tcPr>
            <w:tcW w:w="1418" w:type="dxa"/>
            <w:vAlign w:val="center"/>
          </w:tcPr>
          <w:p w14:paraId="0220ADEC">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植物种类</w:t>
            </w:r>
          </w:p>
        </w:tc>
        <w:tc>
          <w:tcPr>
            <w:tcW w:w="2977" w:type="dxa"/>
            <w:vAlign w:val="center"/>
          </w:tcPr>
          <w:p w14:paraId="3ABCE557">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行道树种植间距参考</w:t>
            </w:r>
          </w:p>
        </w:tc>
        <w:tc>
          <w:tcPr>
            <w:tcW w:w="3260" w:type="dxa"/>
            <w:vAlign w:val="center"/>
          </w:tcPr>
          <w:p w14:paraId="7BB713B2">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组团式/片植种植间距参考</w:t>
            </w:r>
          </w:p>
        </w:tc>
      </w:tr>
      <w:tr w14:paraId="02FE39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Merge w:val="restart"/>
            <w:vAlign w:val="center"/>
          </w:tcPr>
          <w:p w14:paraId="526C19D9">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1</w:t>
            </w:r>
          </w:p>
        </w:tc>
        <w:tc>
          <w:tcPr>
            <w:tcW w:w="1418" w:type="dxa"/>
            <w:vMerge w:val="restart"/>
            <w:vAlign w:val="center"/>
          </w:tcPr>
          <w:p w14:paraId="18286C1B">
            <w:pPr>
              <w:pStyle w:val="80"/>
              <w:spacing w:line="360" w:lineRule="auto"/>
              <w:ind w:firstLine="210" w:firstLineChars="100"/>
              <w:jc w:val="center"/>
              <w:rPr>
                <w:rFonts w:hint="eastAsia" w:ascii="宋体" w:hAnsi="宋体" w:cs="宋体"/>
                <w:highlight w:val="none"/>
              </w:rPr>
            </w:pPr>
            <w:r>
              <w:rPr>
                <w:rFonts w:hint="eastAsia" w:ascii="宋体" w:hAnsi="宋体" w:cs="宋体"/>
                <w:highlight w:val="none"/>
              </w:rPr>
              <w:t>乔木</w:t>
            </w:r>
          </w:p>
        </w:tc>
        <w:tc>
          <w:tcPr>
            <w:tcW w:w="2977" w:type="dxa"/>
            <w:vMerge w:val="restart"/>
            <w:vAlign w:val="center"/>
          </w:tcPr>
          <w:p w14:paraId="61C80C37">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6m≤主园路,5m≤次园路</w:t>
            </w:r>
          </w:p>
        </w:tc>
        <w:tc>
          <w:tcPr>
            <w:tcW w:w="3260" w:type="dxa"/>
            <w:vAlign w:val="center"/>
          </w:tcPr>
          <w:p w14:paraId="528993F7">
            <w:pPr>
              <w:pStyle w:val="80"/>
              <w:spacing w:line="360" w:lineRule="auto"/>
              <w:ind w:firstLine="210" w:firstLineChars="100"/>
              <w:jc w:val="center"/>
              <w:rPr>
                <w:rFonts w:hint="eastAsia" w:ascii="宋体" w:hAnsi="宋体" w:cs="宋体"/>
                <w:highlight w:val="none"/>
              </w:rPr>
            </w:pPr>
            <w:r>
              <w:rPr>
                <w:rFonts w:hint="eastAsia" w:ascii="宋体" w:hAnsi="宋体" w:cs="宋体"/>
                <w:highlight w:val="none"/>
              </w:rPr>
              <w:t>高大型乔木≥4.5m</w:t>
            </w:r>
          </w:p>
        </w:tc>
      </w:tr>
      <w:tr w14:paraId="6DAAF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Merge w:val="continue"/>
            <w:vAlign w:val="center"/>
          </w:tcPr>
          <w:p w14:paraId="6DEFF9D9">
            <w:pPr>
              <w:pStyle w:val="80"/>
              <w:spacing w:line="360" w:lineRule="auto"/>
              <w:ind w:firstLine="0" w:firstLineChars="0"/>
              <w:jc w:val="center"/>
              <w:rPr>
                <w:rFonts w:hint="eastAsia" w:ascii="宋体" w:hAnsi="宋体" w:cs="宋体"/>
                <w:highlight w:val="none"/>
              </w:rPr>
            </w:pPr>
          </w:p>
        </w:tc>
        <w:tc>
          <w:tcPr>
            <w:tcW w:w="1418" w:type="dxa"/>
            <w:vMerge w:val="continue"/>
            <w:vAlign w:val="center"/>
          </w:tcPr>
          <w:p w14:paraId="2A50F5B1">
            <w:pPr>
              <w:pStyle w:val="80"/>
              <w:spacing w:line="360" w:lineRule="auto"/>
              <w:ind w:firstLine="0" w:firstLineChars="0"/>
              <w:jc w:val="center"/>
              <w:rPr>
                <w:rFonts w:hint="eastAsia" w:ascii="宋体" w:hAnsi="宋体" w:cs="宋体"/>
                <w:highlight w:val="none"/>
              </w:rPr>
            </w:pPr>
          </w:p>
        </w:tc>
        <w:tc>
          <w:tcPr>
            <w:tcW w:w="2977" w:type="dxa"/>
            <w:vMerge w:val="continue"/>
            <w:vAlign w:val="center"/>
          </w:tcPr>
          <w:p w14:paraId="7EEE5B71">
            <w:pPr>
              <w:pStyle w:val="80"/>
              <w:spacing w:line="360" w:lineRule="auto"/>
              <w:ind w:firstLine="0" w:firstLineChars="0"/>
              <w:jc w:val="center"/>
              <w:rPr>
                <w:rFonts w:hint="eastAsia" w:ascii="宋体" w:hAnsi="宋体" w:cs="宋体"/>
                <w:highlight w:val="none"/>
              </w:rPr>
            </w:pPr>
          </w:p>
        </w:tc>
        <w:tc>
          <w:tcPr>
            <w:tcW w:w="3260" w:type="dxa"/>
            <w:vAlign w:val="center"/>
          </w:tcPr>
          <w:p w14:paraId="1936FD95">
            <w:pPr>
              <w:pStyle w:val="80"/>
              <w:spacing w:line="360" w:lineRule="auto"/>
              <w:ind w:firstLine="210" w:firstLineChars="100"/>
              <w:jc w:val="center"/>
              <w:rPr>
                <w:rFonts w:hint="eastAsia" w:ascii="宋体" w:hAnsi="宋体" w:cs="宋体"/>
                <w:highlight w:val="none"/>
              </w:rPr>
            </w:pPr>
            <w:r>
              <w:rPr>
                <w:rFonts w:hint="eastAsia" w:ascii="宋体" w:hAnsi="宋体" w:cs="宋体"/>
                <w:highlight w:val="none"/>
              </w:rPr>
              <w:t>其他乔木≥2.5m</w:t>
            </w:r>
          </w:p>
        </w:tc>
      </w:tr>
    </w:tbl>
    <w:p w14:paraId="52C331A2">
      <w:pPr>
        <w:pStyle w:val="80"/>
        <w:spacing w:line="360" w:lineRule="auto"/>
        <w:ind w:firstLine="0" w:firstLineChars="0"/>
        <w:jc w:val="center"/>
        <w:rPr>
          <w:rFonts w:hint="eastAsia" w:ascii="宋体" w:hAnsi="宋体" w:cs="宋体"/>
          <w:b/>
          <w:highlight w:val="none"/>
        </w:rPr>
      </w:pPr>
    </w:p>
    <w:tbl>
      <w:tblPr>
        <w:tblStyle w:val="42"/>
        <w:tblW w:w="83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1418"/>
        <w:gridCol w:w="6237"/>
      </w:tblGrid>
      <w:tr w14:paraId="4D473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2553FCFA">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序号号</w:t>
            </w:r>
          </w:p>
        </w:tc>
        <w:tc>
          <w:tcPr>
            <w:tcW w:w="1418" w:type="dxa"/>
            <w:vAlign w:val="center"/>
          </w:tcPr>
          <w:p w14:paraId="221CD698">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植物种类</w:t>
            </w:r>
          </w:p>
        </w:tc>
        <w:tc>
          <w:tcPr>
            <w:tcW w:w="6237" w:type="dxa"/>
            <w:vAlign w:val="center"/>
          </w:tcPr>
          <w:p w14:paraId="47613B8B">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地被种植密度区间参考</w:t>
            </w:r>
          </w:p>
          <w:p w14:paraId="7836116B">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备注</w:t>
            </w:r>
          </w:p>
        </w:tc>
      </w:tr>
      <w:tr w14:paraId="3B5D4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5" w:type="dxa"/>
            <w:vAlign w:val="center"/>
          </w:tcPr>
          <w:p w14:paraId="3F684EDB">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1</w:t>
            </w:r>
          </w:p>
        </w:tc>
        <w:tc>
          <w:tcPr>
            <w:tcW w:w="1418" w:type="dxa"/>
            <w:vAlign w:val="center"/>
          </w:tcPr>
          <w:p w14:paraId="1FA60DEA">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地被</w:t>
            </w:r>
          </w:p>
        </w:tc>
        <w:tc>
          <w:tcPr>
            <w:tcW w:w="6237" w:type="dxa"/>
            <w:vAlign w:val="center"/>
          </w:tcPr>
          <w:p w14:paraId="40708221">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9株/m²≤种植密度≤49株/m²，个别品种64株/m²</w:t>
            </w:r>
          </w:p>
          <w:p w14:paraId="373D07B4">
            <w:pPr>
              <w:pStyle w:val="80"/>
              <w:spacing w:line="360" w:lineRule="auto"/>
              <w:ind w:firstLine="0" w:firstLineChars="0"/>
              <w:jc w:val="center"/>
              <w:rPr>
                <w:rFonts w:hint="eastAsia" w:ascii="宋体" w:hAnsi="宋体" w:cs="宋体"/>
                <w:highlight w:val="none"/>
              </w:rPr>
            </w:pPr>
            <w:r>
              <w:rPr>
                <w:rFonts w:hint="eastAsia" w:ascii="宋体" w:hAnsi="宋体" w:cs="宋体"/>
                <w:highlight w:val="none"/>
              </w:rPr>
              <w:t>说个别64株/m²</w:t>
            </w:r>
          </w:p>
        </w:tc>
      </w:tr>
    </w:tbl>
    <w:p w14:paraId="0417FB99">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09" w:name="_Toc7038"/>
      <w:bookmarkStart w:id="410" w:name="_Toc6323"/>
      <w:bookmarkStart w:id="411" w:name="_Toc104581761"/>
      <w:bookmarkStart w:id="412" w:name="_Toc7108"/>
      <w:r>
        <w:rPr>
          <w:rFonts w:hint="eastAsia" w:ascii="宋体" w:hAnsi="宋体" w:eastAsia="宋体" w:cs="宋体"/>
          <w:color w:val="auto"/>
          <w:sz w:val="24"/>
          <w:szCs w:val="24"/>
          <w:highlight w:val="none"/>
        </w:rPr>
        <w:t>7.3 通用指标</w:t>
      </w:r>
      <w:bookmarkEnd w:id="409"/>
      <w:bookmarkEnd w:id="410"/>
      <w:bookmarkEnd w:id="411"/>
      <w:bookmarkEnd w:id="412"/>
    </w:p>
    <w:p w14:paraId="271BCDD0">
      <w:pPr>
        <w:pStyle w:val="24"/>
        <w:ind w:firstLine="482"/>
        <w:rPr>
          <w:rFonts w:hint="eastAsia" w:hAnsi="宋体" w:cs="宋体"/>
          <w:b/>
          <w:bCs/>
          <w:szCs w:val="24"/>
          <w:highlight w:val="none"/>
        </w:rPr>
      </w:pPr>
      <w:r>
        <w:rPr>
          <w:rFonts w:hint="eastAsia" w:hAnsi="宋体" w:cs="宋体"/>
          <w:b/>
          <w:bCs/>
          <w:szCs w:val="24"/>
          <w:highlight w:val="none"/>
        </w:rPr>
        <w:t>7.3.1 景观园建</w:t>
      </w:r>
    </w:p>
    <w:p w14:paraId="70B36500">
      <w:pPr>
        <w:pStyle w:val="24"/>
        <w:ind w:firstLine="480"/>
        <w:rPr>
          <w:rFonts w:hint="eastAsia" w:hAnsi="宋体" w:cs="宋体"/>
          <w:bCs/>
          <w:szCs w:val="24"/>
          <w:highlight w:val="none"/>
        </w:rPr>
      </w:pPr>
      <w:r>
        <w:rPr>
          <w:rFonts w:hint="eastAsia" w:hAnsi="宋体" w:cs="宋体"/>
          <w:bCs/>
          <w:szCs w:val="24"/>
          <w:highlight w:val="none"/>
        </w:rPr>
        <w:t>7.3.1.1 材料选型控制项根据经济适用原则，园路铺装材料应尽可能选取本土常用材料，如：沥青、仿石材、透水砖、混凝土压模等，局部可使用天然石材。</w:t>
      </w:r>
    </w:p>
    <w:p w14:paraId="2D3692EF">
      <w:pPr>
        <w:pStyle w:val="24"/>
        <w:ind w:firstLine="480"/>
        <w:rPr>
          <w:rFonts w:hint="eastAsia" w:hAnsi="宋体" w:cs="宋体"/>
          <w:bCs/>
          <w:szCs w:val="24"/>
          <w:highlight w:val="none"/>
        </w:rPr>
      </w:pPr>
      <w:r>
        <w:rPr>
          <w:rFonts w:hint="eastAsia" w:hAnsi="宋体" w:cs="宋体"/>
          <w:bCs/>
          <w:szCs w:val="24"/>
          <w:highlight w:val="none"/>
        </w:rPr>
        <w:t>7.3.1.2 内装饰材料表</w:t>
      </w:r>
    </w:p>
    <w:tbl>
      <w:tblPr>
        <w:tblStyle w:val="42"/>
        <w:tblW w:w="8087" w:type="dxa"/>
        <w:tblInd w:w="250" w:type="dxa"/>
        <w:tblLayout w:type="fixed"/>
        <w:tblCellMar>
          <w:top w:w="0" w:type="dxa"/>
          <w:left w:w="108" w:type="dxa"/>
          <w:bottom w:w="0" w:type="dxa"/>
          <w:right w:w="108" w:type="dxa"/>
        </w:tblCellMar>
      </w:tblPr>
      <w:tblGrid>
        <w:gridCol w:w="1117"/>
        <w:gridCol w:w="2680"/>
        <w:gridCol w:w="1845"/>
        <w:gridCol w:w="2445"/>
      </w:tblGrid>
      <w:tr w14:paraId="4DB77350">
        <w:tblPrEx>
          <w:tblCellMar>
            <w:top w:w="0" w:type="dxa"/>
            <w:left w:w="108" w:type="dxa"/>
            <w:bottom w:w="0" w:type="dxa"/>
            <w:right w:w="108" w:type="dxa"/>
          </w:tblCellMar>
        </w:tblPrEx>
        <w:trPr>
          <w:trHeight w:val="321" w:hRule="atLeast"/>
        </w:trPr>
        <w:tc>
          <w:tcPr>
            <w:tcW w:w="1117" w:type="dxa"/>
            <w:tcBorders>
              <w:top w:val="single" w:color="000000" w:sz="4" w:space="0"/>
              <w:left w:val="single" w:color="000000" w:sz="4" w:space="0"/>
              <w:bottom w:val="single" w:color="000000" w:sz="4" w:space="0"/>
              <w:right w:val="single" w:color="auto" w:sz="4" w:space="0"/>
            </w:tcBorders>
            <w:shd w:val="clear" w:color="auto" w:fill="auto"/>
            <w:noWrap/>
            <w:vAlign w:val="center"/>
          </w:tcPr>
          <w:p w14:paraId="21AF9DE3">
            <w:pPr>
              <w:snapToGrid/>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类型</w:t>
            </w:r>
          </w:p>
        </w:tc>
        <w:tc>
          <w:tcPr>
            <w:tcW w:w="26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8D6BE">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材料类型</w:t>
            </w:r>
          </w:p>
        </w:tc>
        <w:tc>
          <w:tcPr>
            <w:tcW w:w="1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32997">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材料规格（人行）</w:t>
            </w:r>
          </w:p>
        </w:tc>
        <w:tc>
          <w:tcPr>
            <w:tcW w:w="2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F5548">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颜色</w:t>
            </w:r>
          </w:p>
        </w:tc>
      </w:tr>
      <w:tr w14:paraId="00155D8D">
        <w:tblPrEx>
          <w:tblCellMar>
            <w:top w:w="0" w:type="dxa"/>
            <w:left w:w="108" w:type="dxa"/>
            <w:bottom w:w="0" w:type="dxa"/>
            <w:right w:w="108" w:type="dxa"/>
          </w:tblCellMar>
        </w:tblPrEx>
        <w:trPr>
          <w:trHeight w:val="632" w:hRule="atLeast"/>
        </w:trPr>
        <w:tc>
          <w:tcPr>
            <w:tcW w:w="1117" w:type="dxa"/>
            <w:tcBorders>
              <w:top w:val="single" w:color="000000" w:sz="4" w:space="0"/>
              <w:left w:val="single" w:color="000000" w:sz="4" w:space="0"/>
              <w:bottom w:val="single" w:color="auto" w:sz="4" w:space="0"/>
              <w:right w:val="single" w:color="auto" w:sz="4" w:space="0"/>
            </w:tcBorders>
            <w:shd w:val="clear" w:color="auto" w:fill="auto"/>
            <w:vAlign w:val="center"/>
          </w:tcPr>
          <w:p w14:paraId="11CF9AD5">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园路</w:t>
            </w:r>
          </w:p>
          <w:p w14:paraId="64739DE4">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D1CBA">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透水砖、广场砖、沥青等</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3F0CC">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240*120*50；300*150*50；300*300*50；</w:t>
            </w:r>
          </w:p>
          <w:p w14:paraId="7BF9AB28">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600*300*50；</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810B2">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浅灰色、深灰色、黄色、红色等</w:t>
            </w:r>
          </w:p>
        </w:tc>
      </w:tr>
      <w:tr w14:paraId="20FCB0EB">
        <w:tblPrEx>
          <w:tblCellMar>
            <w:top w:w="0" w:type="dxa"/>
            <w:left w:w="108" w:type="dxa"/>
            <w:bottom w:w="0" w:type="dxa"/>
            <w:right w:w="108" w:type="dxa"/>
          </w:tblCellMar>
        </w:tblPrEx>
        <w:trPr>
          <w:trHeight w:val="632" w:hRule="atLeast"/>
        </w:trPr>
        <w:tc>
          <w:tcPr>
            <w:tcW w:w="1117" w:type="dxa"/>
            <w:tcBorders>
              <w:top w:val="single" w:color="auto" w:sz="4" w:space="0"/>
              <w:left w:val="single" w:color="000000" w:sz="4" w:space="0"/>
              <w:bottom w:val="single" w:color="auto" w:sz="4" w:space="0"/>
              <w:right w:val="single" w:color="000000" w:sz="4" w:space="0"/>
            </w:tcBorders>
            <w:shd w:val="clear" w:color="auto" w:fill="auto"/>
            <w:vAlign w:val="center"/>
          </w:tcPr>
          <w:p w14:paraId="4EB29861">
            <w:pPr>
              <w:snapToGrid/>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广场</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C96E2">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透水砖、广场砖</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534D2">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300*150*50；</w:t>
            </w:r>
          </w:p>
          <w:p w14:paraId="61481229">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300*300*50；</w:t>
            </w:r>
          </w:p>
          <w:p w14:paraId="24ED9FBD">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600*300*50；</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5DE44">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浅灰色、深灰色、黄色、红色等</w:t>
            </w:r>
          </w:p>
        </w:tc>
      </w:tr>
      <w:tr w14:paraId="2C6AC839">
        <w:tblPrEx>
          <w:tblCellMar>
            <w:top w:w="0" w:type="dxa"/>
            <w:left w:w="108" w:type="dxa"/>
            <w:bottom w:w="0" w:type="dxa"/>
            <w:right w:w="108" w:type="dxa"/>
          </w:tblCellMar>
        </w:tblPrEx>
        <w:trPr>
          <w:trHeight w:val="632" w:hRule="atLeast"/>
        </w:trPr>
        <w:tc>
          <w:tcPr>
            <w:tcW w:w="1117" w:type="dxa"/>
            <w:tcBorders>
              <w:top w:val="single" w:color="auto" w:sz="4" w:space="0"/>
              <w:left w:val="single" w:color="000000" w:sz="4" w:space="0"/>
              <w:bottom w:val="single" w:color="auto" w:sz="4" w:space="0"/>
              <w:right w:val="single" w:color="000000" w:sz="4" w:space="0"/>
            </w:tcBorders>
            <w:shd w:val="clear" w:color="auto" w:fill="auto"/>
            <w:vAlign w:val="center"/>
          </w:tcPr>
          <w:p w14:paraId="191BF586">
            <w:pPr>
              <w:snapToGrid/>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儿童活动区</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6DA76">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Times New Roman"/>
                <w:color w:val="auto"/>
                <w:sz w:val="21"/>
                <w:szCs w:val="21"/>
                <w:highlight w:val="none"/>
              </w:rPr>
              <w:t>EPDM颗粒安全地垫、彩色水泥压膜、彩色硅P</w:t>
            </w:r>
            <w:r>
              <w:rPr>
                <w:rFonts w:ascii="宋体" w:hAnsi="宋体" w:eastAsia="宋体" w:cs="Times New Roman"/>
                <w:color w:val="auto"/>
                <w:sz w:val="21"/>
                <w:szCs w:val="21"/>
                <w:highlight w:val="none"/>
              </w:rPr>
              <w:t>U地面，</w:t>
            </w:r>
            <w:r>
              <w:rPr>
                <w:rFonts w:hint="eastAsia" w:ascii="宋体" w:hAnsi="宋体" w:eastAsia="宋体" w:cs="Times New Roman"/>
                <w:color w:val="auto"/>
                <w:sz w:val="21"/>
                <w:szCs w:val="21"/>
                <w:highlight w:val="none"/>
              </w:rPr>
              <w:t>彩色</w:t>
            </w:r>
            <w:r>
              <w:rPr>
                <w:rFonts w:ascii="宋体" w:hAnsi="宋体" w:eastAsia="宋体" w:cs="Times New Roman"/>
                <w:color w:val="auto"/>
                <w:sz w:val="21"/>
                <w:szCs w:val="21"/>
                <w:highlight w:val="none"/>
              </w:rPr>
              <w:t>丙烯酸地面</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7D753">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Times New Roman"/>
                <w:color w:val="auto"/>
                <w:sz w:val="21"/>
                <w:szCs w:val="21"/>
                <w:highlight w:val="none"/>
              </w:rPr>
              <w:t>EPDM13厚</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C9206">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黄色、红色、蓝色、橙色</w:t>
            </w:r>
            <w:r>
              <w:rPr>
                <w:rFonts w:hint="eastAsia" w:ascii="宋体" w:hAnsi="宋体" w:eastAsia="宋体" w:cs="宋体"/>
                <w:color w:val="auto"/>
                <w:sz w:val="21"/>
                <w:szCs w:val="21"/>
                <w:highlight w:val="none"/>
              </w:rPr>
              <w:t>等</w:t>
            </w:r>
          </w:p>
        </w:tc>
      </w:tr>
      <w:tr w14:paraId="336461E1">
        <w:tblPrEx>
          <w:tblCellMar>
            <w:top w:w="0" w:type="dxa"/>
            <w:left w:w="108" w:type="dxa"/>
            <w:bottom w:w="0" w:type="dxa"/>
            <w:right w:w="108" w:type="dxa"/>
          </w:tblCellMar>
        </w:tblPrEx>
        <w:trPr>
          <w:trHeight w:val="489" w:hRule="atLeast"/>
        </w:trPr>
        <w:tc>
          <w:tcPr>
            <w:tcW w:w="1117" w:type="dxa"/>
            <w:tcBorders>
              <w:top w:val="single" w:color="auto" w:sz="4" w:space="0"/>
              <w:left w:val="single" w:color="000000" w:sz="4" w:space="0"/>
              <w:bottom w:val="single" w:color="auto" w:sz="4" w:space="0"/>
              <w:right w:val="single" w:color="000000" w:sz="4" w:space="0"/>
            </w:tcBorders>
            <w:shd w:val="clear" w:color="auto" w:fill="auto"/>
            <w:vAlign w:val="center"/>
          </w:tcPr>
          <w:p w14:paraId="178FF698">
            <w:pPr>
              <w:snapToGrid/>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运动区</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3EE6D">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Times New Roman"/>
                <w:color w:val="auto"/>
                <w:sz w:val="21"/>
                <w:szCs w:val="21"/>
                <w:highlight w:val="none"/>
              </w:rPr>
              <w:t>EPDM颗粒安全地垫、</w:t>
            </w:r>
            <w:r>
              <w:rPr>
                <w:rFonts w:hint="eastAsia" w:ascii="宋体" w:hAnsi="宋体" w:eastAsia="宋体" w:cs="宋体"/>
                <w:color w:val="auto"/>
                <w:kern w:val="0"/>
                <w:sz w:val="21"/>
                <w:szCs w:val="21"/>
                <w:highlight w:val="none"/>
              </w:rPr>
              <w:t>沥青</w:t>
            </w:r>
            <w:r>
              <w:rPr>
                <w:rFonts w:hint="eastAsia" w:ascii="宋体" w:hAnsi="宋体" w:eastAsia="宋体" w:cs="Times New Roman"/>
                <w:color w:val="auto"/>
                <w:sz w:val="21"/>
                <w:szCs w:val="21"/>
                <w:highlight w:val="none"/>
              </w:rPr>
              <w:t>、彩色水泥压膜、彩色硅P</w:t>
            </w:r>
            <w:r>
              <w:rPr>
                <w:rFonts w:ascii="宋体" w:hAnsi="宋体" w:eastAsia="宋体" w:cs="Times New Roman"/>
                <w:color w:val="auto"/>
                <w:sz w:val="21"/>
                <w:szCs w:val="21"/>
                <w:highlight w:val="none"/>
              </w:rPr>
              <w:t>U地面，</w:t>
            </w:r>
            <w:r>
              <w:rPr>
                <w:rFonts w:hint="eastAsia" w:ascii="宋体" w:hAnsi="宋体" w:eastAsia="宋体" w:cs="Times New Roman"/>
                <w:color w:val="auto"/>
                <w:sz w:val="21"/>
                <w:szCs w:val="21"/>
                <w:highlight w:val="none"/>
              </w:rPr>
              <w:t>彩色</w:t>
            </w:r>
            <w:r>
              <w:rPr>
                <w:rFonts w:ascii="宋体" w:hAnsi="宋体" w:eastAsia="宋体" w:cs="Times New Roman"/>
                <w:color w:val="auto"/>
                <w:sz w:val="21"/>
                <w:szCs w:val="21"/>
                <w:highlight w:val="none"/>
              </w:rPr>
              <w:t>丙烯酸地面</w:t>
            </w:r>
            <w:r>
              <w:rPr>
                <w:rFonts w:hint="eastAsia" w:ascii="宋体" w:hAnsi="宋体" w:eastAsia="宋体" w:cs="宋体"/>
                <w:color w:val="auto"/>
                <w:kern w:val="0"/>
                <w:sz w:val="21"/>
                <w:szCs w:val="21"/>
                <w:highlight w:val="none"/>
              </w:rPr>
              <w:t>等</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E90D6">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Times New Roman"/>
                <w:color w:val="auto"/>
                <w:sz w:val="21"/>
                <w:szCs w:val="21"/>
                <w:highlight w:val="none"/>
              </w:rPr>
              <w:t>EPDM13厚</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70EEC">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黄色、红色、蓝色、橙色</w:t>
            </w:r>
            <w:r>
              <w:rPr>
                <w:rFonts w:hint="eastAsia" w:ascii="宋体" w:hAnsi="宋体" w:eastAsia="宋体" w:cs="宋体"/>
                <w:color w:val="auto"/>
                <w:sz w:val="21"/>
                <w:szCs w:val="21"/>
                <w:highlight w:val="none"/>
              </w:rPr>
              <w:t>等</w:t>
            </w:r>
          </w:p>
        </w:tc>
      </w:tr>
      <w:tr w14:paraId="7CC8FB45">
        <w:tblPrEx>
          <w:tblCellMar>
            <w:top w:w="0" w:type="dxa"/>
            <w:left w:w="108" w:type="dxa"/>
            <w:bottom w:w="0" w:type="dxa"/>
            <w:right w:w="108" w:type="dxa"/>
          </w:tblCellMar>
        </w:tblPrEx>
        <w:trPr>
          <w:trHeight w:val="321" w:hRule="atLeast"/>
        </w:trPr>
        <w:tc>
          <w:tcPr>
            <w:tcW w:w="1117" w:type="dxa"/>
            <w:tcBorders>
              <w:top w:val="single" w:color="auto" w:sz="4" w:space="0"/>
              <w:left w:val="single" w:color="000000" w:sz="4" w:space="0"/>
              <w:bottom w:val="single" w:color="auto" w:sz="4" w:space="0"/>
              <w:right w:val="single" w:color="000000" w:sz="4" w:space="0"/>
            </w:tcBorders>
            <w:shd w:val="clear" w:color="auto" w:fill="auto"/>
            <w:vAlign w:val="center"/>
          </w:tcPr>
          <w:p w14:paraId="2D0BCF2E">
            <w:pPr>
              <w:snapToGrid/>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消防扑救面</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7D467">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Times New Roman"/>
                <w:bCs/>
                <w:color w:val="auto"/>
                <w:sz w:val="21"/>
                <w:szCs w:val="21"/>
                <w:highlight w:val="none"/>
              </w:rPr>
              <w:t>彩色透水混凝土、</w:t>
            </w:r>
            <w:r>
              <w:rPr>
                <w:rFonts w:hint="eastAsia" w:ascii="宋体" w:hAnsi="宋体" w:eastAsia="宋体" w:cs="宋体"/>
                <w:color w:val="auto"/>
                <w:kern w:val="0"/>
                <w:sz w:val="21"/>
                <w:szCs w:val="21"/>
                <w:highlight w:val="none"/>
              </w:rPr>
              <w:t>透水砖、沥青</w:t>
            </w:r>
            <w:r>
              <w:rPr>
                <w:rFonts w:hint="eastAsia" w:ascii="宋体" w:hAnsi="宋体" w:eastAsia="宋体" w:cs="Times New Roman"/>
                <w:color w:val="auto"/>
                <w:sz w:val="21"/>
                <w:szCs w:val="21"/>
                <w:highlight w:val="none"/>
              </w:rPr>
              <w:t>、彩色水泥压膜、彩色硅P</w:t>
            </w:r>
            <w:r>
              <w:rPr>
                <w:rFonts w:ascii="宋体" w:hAnsi="宋体" w:eastAsia="宋体" w:cs="Times New Roman"/>
                <w:color w:val="auto"/>
                <w:sz w:val="21"/>
                <w:szCs w:val="21"/>
                <w:highlight w:val="none"/>
              </w:rPr>
              <w:t>U地面，</w:t>
            </w:r>
            <w:r>
              <w:rPr>
                <w:rFonts w:hint="eastAsia" w:ascii="宋体" w:hAnsi="宋体" w:eastAsia="宋体" w:cs="Times New Roman"/>
                <w:color w:val="auto"/>
                <w:sz w:val="21"/>
                <w:szCs w:val="21"/>
                <w:highlight w:val="none"/>
              </w:rPr>
              <w:t>彩色</w:t>
            </w:r>
            <w:r>
              <w:rPr>
                <w:rFonts w:ascii="宋体" w:hAnsi="宋体" w:eastAsia="宋体" w:cs="Times New Roman"/>
                <w:color w:val="auto"/>
                <w:sz w:val="21"/>
                <w:szCs w:val="21"/>
                <w:highlight w:val="none"/>
              </w:rPr>
              <w:t>丙烯酸地面</w:t>
            </w:r>
            <w:r>
              <w:rPr>
                <w:rFonts w:hint="eastAsia" w:ascii="宋体" w:hAnsi="宋体" w:eastAsia="宋体" w:cs="宋体"/>
                <w:color w:val="auto"/>
                <w:kern w:val="0"/>
                <w:sz w:val="21"/>
                <w:szCs w:val="21"/>
                <w:highlight w:val="none"/>
              </w:rPr>
              <w:t>等</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C5233">
            <w:pPr>
              <w:widowControl/>
              <w:snapToGrid/>
              <w:spacing w:before="0" w:after="0" w:line="240" w:lineRule="auto"/>
              <w:jc w:val="center"/>
              <w:textAlignment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（车行）240*120*100；300*150*100；300*300*100；</w:t>
            </w:r>
          </w:p>
          <w:p w14:paraId="3F2A661D">
            <w:pPr>
              <w:widowControl/>
              <w:snapToGrid/>
              <w:spacing w:before="0" w:after="0" w:line="240" w:lineRule="auto"/>
              <w:ind w:firstLine="210" w:firstLineChars="100"/>
              <w:jc w:val="both"/>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600*300*100；</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C3C7A">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浅灰色、深灰色、黄色、红色等</w:t>
            </w:r>
          </w:p>
        </w:tc>
      </w:tr>
      <w:tr w14:paraId="3C5899CB">
        <w:tblPrEx>
          <w:tblCellMar>
            <w:top w:w="0" w:type="dxa"/>
            <w:left w:w="108" w:type="dxa"/>
            <w:bottom w:w="0" w:type="dxa"/>
            <w:right w:w="108" w:type="dxa"/>
          </w:tblCellMar>
        </w:tblPrEx>
        <w:trPr>
          <w:trHeight w:val="632" w:hRule="atLeast"/>
        </w:trPr>
        <w:tc>
          <w:tcPr>
            <w:tcW w:w="1117" w:type="dxa"/>
            <w:tcBorders>
              <w:top w:val="single" w:color="auto" w:sz="4" w:space="0"/>
              <w:left w:val="single" w:color="000000" w:sz="4" w:space="0"/>
              <w:right w:val="single" w:color="000000" w:sz="4" w:space="0"/>
            </w:tcBorders>
            <w:shd w:val="clear" w:color="auto" w:fill="auto"/>
            <w:vAlign w:val="center"/>
          </w:tcPr>
          <w:p w14:paraId="455C75EF">
            <w:pPr>
              <w:snapToGrid/>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架空层</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53303">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耐磨防滑砖、</w:t>
            </w:r>
            <w:r>
              <w:rPr>
                <w:rFonts w:hint="eastAsia" w:ascii="宋体" w:hAnsi="宋体" w:eastAsia="宋体" w:cs="Times New Roman"/>
                <w:color w:val="auto"/>
                <w:sz w:val="21"/>
                <w:szCs w:val="21"/>
                <w:highlight w:val="none"/>
              </w:rPr>
              <w:t>EPDM颗粒安全地垫、彩色水泥压膜、彩色硅P</w:t>
            </w:r>
            <w:r>
              <w:rPr>
                <w:rFonts w:ascii="宋体" w:hAnsi="宋体" w:eastAsia="宋体" w:cs="Times New Roman"/>
                <w:color w:val="auto"/>
                <w:sz w:val="21"/>
                <w:szCs w:val="21"/>
                <w:highlight w:val="none"/>
              </w:rPr>
              <w:t>U地面，</w:t>
            </w:r>
            <w:r>
              <w:rPr>
                <w:rFonts w:hint="eastAsia" w:ascii="宋体" w:hAnsi="宋体" w:eastAsia="宋体" w:cs="Times New Roman"/>
                <w:color w:val="auto"/>
                <w:sz w:val="21"/>
                <w:szCs w:val="21"/>
                <w:highlight w:val="none"/>
              </w:rPr>
              <w:t>彩色</w:t>
            </w:r>
            <w:r>
              <w:rPr>
                <w:rFonts w:ascii="宋体" w:hAnsi="宋体" w:eastAsia="宋体" w:cs="Times New Roman"/>
                <w:color w:val="auto"/>
                <w:sz w:val="21"/>
                <w:szCs w:val="21"/>
                <w:highlight w:val="none"/>
              </w:rPr>
              <w:t>丙烯酸地面</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29DC2">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防滑砖：300*150*50；300*300*50；</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AE0A4">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浅灰色、深灰色、黄色等</w:t>
            </w:r>
          </w:p>
        </w:tc>
      </w:tr>
      <w:tr w14:paraId="392DA76E">
        <w:tblPrEx>
          <w:tblCellMar>
            <w:top w:w="0" w:type="dxa"/>
            <w:left w:w="108" w:type="dxa"/>
            <w:bottom w:w="0" w:type="dxa"/>
            <w:right w:w="108" w:type="dxa"/>
          </w:tblCellMar>
        </w:tblPrEx>
        <w:trPr>
          <w:trHeight w:val="632" w:hRule="atLeast"/>
        </w:trPr>
        <w:tc>
          <w:tcPr>
            <w:tcW w:w="11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0CCA7">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商业广场</w:t>
            </w:r>
          </w:p>
        </w:tc>
        <w:tc>
          <w:tcPr>
            <w:tcW w:w="26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7E3DB">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PC仿石砖、广场砖</w:t>
            </w:r>
          </w:p>
        </w:tc>
        <w:tc>
          <w:tcPr>
            <w:tcW w:w="18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D2372">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rPr>
              <w:t>600*300*50；300*300*50；</w:t>
            </w:r>
          </w:p>
        </w:tc>
        <w:tc>
          <w:tcPr>
            <w:tcW w:w="2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5B2EB">
            <w:pPr>
              <w:widowControl/>
              <w:snapToGrid/>
              <w:spacing w:before="0" w:after="0" w:line="240" w:lineRule="auto"/>
              <w:jc w:val="center"/>
              <w:textAlignment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浅灰色、深灰色、</w:t>
            </w:r>
            <w:r>
              <w:rPr>
                <w:rFonts w:hint="eastAsia" w:ascii="宋体" w:hAnsi="宋体" w:eastAsia="宋体" w:cs="宋体"/>
                <w:color w:val="auto"/>
                <w:kern w:val="0"/>
                <w:sz w:val="21"/>
                <w:szCs w:val="21"/>
                <w:highlight w:val="none"/>
              </w:rPr>
              <w:t>棕色</w:t>
            </w:r>
            <w:r>
              <w:rPr>
                <w:rFonts w:hint="eastAsia" w:ascii="宋体" w:hAnsi="宋体" w:eastAsia="宋体" w:cs="宋体"/>
                <w:color w:val="auto"/>
                <w:sz w:val="21"/>
                <w:szCs w:val="21"/>
                <w:highlight w:val="none"/>
              </w:rPr>
              <w:t>等</w:t>
            </w:r>
          </w:p>
        </w:tc>
      </w:tr>
    </w:tbl>
    <w:p w14:paraId="277CFA6F">
      <w:pPr>
        <w:spacing w:line="360" w:lineRule="auto"/>
        <w:rPr>
          <w:rFonts w:hint="eastAsia" w:ascii="宋体" w:hAnsi="宋体" w:eastAsia="宋体" w:cs="宋体"/>
          <w:color w:val="auto"/>
          <w:sz w:val="24"/>
          <w:szCs w:val="24"/>
          <w:highlight w:val="none"/>
        </w:rPr>
      </w:pPr>
    </w:p>
    <w:p w14:paraId="00A03524">
      <w:pPr>
        <w:pStyle w:val="24"/>
        <w:ind w:firstLine="480"/>
        <w:rPr>
          <w:rFonts w:hint="eastAsia" w:hAnsi="宋体" w:cs="宋体"/>
          <w:bCs/>
          <w:szCs w:val="24"/>
          <w:highlight w:val="none"/>
        </w:rPr>
      </w:pPr>
      <w:r>
        <w:rPr>
          <w:rFonts w:hint="eastAsia" w:hAnsi="宋体" w:cs="宋体"/>
          <w:bCs/>
          <w:szCs w:val="24"/>
          <w:highlight w:val="none"/>
        </w:rPr>
        <w:t>7.3.1.3 硬质景观中地面所采用的材料不宜超过5种，铺装拼花不宜复杂。</w:t>
      </w:r>
    </w:p>
    <w:p w14:paraId="1D235E20">
      <w:pPr>
        <w:pStyle w:val="24"/>
        <w:ind w:firstLine="480"/>
        <w:rPr>
          <w:rFonts w:hint="eastAsia" w:hAnsi="宋体" w:cs="宋体"/>
          <w:bCs/>
          <w:szCs w:val="24"/>
          <w:highlight w:val="none"/>
        </w:rPr>
      </w:pPr>
      <w:r>
        <w:rPr>
          <w:rFonts w:hint="eastAsia" w:hAnsi="宋体" w:cs="宋体"/>
          <w:bCs/>
          <w:szCs w:val="24"/>
          <w:highlight w:val="none"/>
        </w:rPr>
        <w:t>7.3.1.4 铺装材料厚度参考：人行道50-60mm，车行道80-100mm。尽量使用或利用市场上通行的材料规格来进行设计（单块铺装平面尺寸应符合模数），节省材料的损耗，避免使用曲线及弧线等定制材料。</w:t>
      </w:r>
    </w:p>
    <w:p w14:paraId="70DEC65E">
      <w:pPr>
        <w:pStyle w:val="24"/>
        <w:ind w:firstLine="482"/>
        <w:rPr>
          <w:rFonts w:hint="eastAsia" w:hAnsi="宋体" w:cs="宋体"/>
          <w:b/>
          <w:bCs/>
          <w:szCs w:val="24"/>
          <w:highlight w:val="none"/>
        </w:rPr>
      </w:pPr>
      <w:r>
        <w:rPr>
          <w:rFonts w:hint="eastAsia" w:hAnsi="宋体" w:cs="宋体"/>
          <w:b/>
          <w:bCs/>
          <w:szCs w:val="24"/>
          <w:highlight w:val="none"/>
        </w:rPr>
        <w:t>7.3.2景观绿化</w:t>
      </w:r>
    </w:p>
    <w:p w14:paraId="2D6CFA33">
      <w:pPr>
        <w:pStyle w:val="24"/>
        <w:ind w:firstLine="480"/>
        <w:rPr>
          <w:rFonts w:hint="eastAsia" w:hAnsi="宋体" w:cs="宋体"/>
          <w:bCs/>
          <w:szCs w:val="24"/>
          <w:highlight w:val="none"/>
        </w:rPr>
      </w:pPr>
      <w:r>
        <w:rPr>
          <w:rFonts w:hint="eastAsia" w:hAnsi="宋体" w:cs="宋体"/>
          <w:bCs/>
          <w:szCs w:val="24"/>
          <w:highlight w:val="none"/>
        </w:rPr>
        <w:t>7.3.2.1 乔木支撑材料选型</w:t>
      </w:r>
    </w:p>
    <w:p w14:paraId="48C743EE">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乔木支撑方式：统一采用镀锌钢管四角支撑。</w:t>
      </w:r>
    </w:p>
    <w:p w14:paraId="1F85CD4A">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胸径&lt;18cm乔木：镀锌钢管的长度为2.5m，管径DN40mm，壁厚3mm,采用单层钢支撑；</w:t>
      </w:r>
    </w:p>
    <w:p w14:paraId="6B2162D3">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胸径≥18cm乔木：镀锌钢管的长度为4m，管径DN40mm，壁厚3mm,采用两层钢支撑（防台风防倒伏加固）。</w:t>
      </w:r>
    </w:p>
    <w:p w14:paraId="7AD93BC6">
      <w:pPr>
        <w:pStyle w:val="24"/>
        <w:ind w:firstLine="480"/>
        <w:rPr>
          <w:rFonts w:hint="eastAsia" w:hAnsi="宋体" w:cs="宋体"/>
          <w:bCs/>
          <w:szCs w:val="24"/>
          <w:highlight w:val="none"/>
        </w:rPr>
      </w:pPr>
      <w:r>
        <w:rPr>
          <w:rFonts w:hint="eastAsia" w:hAnsi="宋体" w:cs="宋体"/>
          <w:bCs/>
          <w:szCs w:val="24"/>
          <w:highlight w:val="none"/>
        </w:rPr>
        <w:t>7.3.2.2 绿化种植土工程量</w:t>
      </w:r>
    </w:p>
    <w:p w14:paraId="7AD71655">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绿化种植土选用二级种植土。种植土壤应保持最低土层厚度，一般种植情况下，最低土层厚度要求详见下表。</w:t>
      </w:r>
    </w:p>
    <w:tbl>
      <w:tblPr>
        <w:tblStyle w:val="42"/>
        <w:tblW w:w="8359" w:type="dxa"/>
        <w:jc w:val="center"/>
        <w:tblLayout w:type="fixed"/>
        <w:tblCellMar>
          <w:top w:w="0" w:type="dxa"/>
          <w:left w:w="108" w:type="dxa"/>
          <w:bottom w:w="0" w:type="dxa"/>
          <w:right w:w="108" w:type="dxa"/>
        </w:tblCellMar>
      </w:tblPr>
      <w:tblGrid>
        <w:gridCol w:w="704"/>
        <w:gridCol w:w="1559"/>
        <w:gridCol w:w="1159"/>
        <w:gridCol w:w="3094"/>
        <w:gridCol w:w="1843"/>
      </w:tblGrid>
      <w:tr w14:paraId="11EB38C9">
        <w:tblPrEx>
          <w:tblCellMar>
            <w:top w:w="0" w:type="dxa"/>
            <w:left w:w="108" w:type="dxa"/>
            <w:bottom w:w="0" w:type="dxa"/>
            <w:right w:w="10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880C160">
            <w:pPr>
              <w:widowControl/>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序号</w:t>
            </w:r>
          </w:p>
        </w:tc>
        <w:tc>
          <w:tcPr>
            <w:tcW w:w="1559" w:type="dxa"/>
            <w:tcBorders>
              <w:top w:val="single" w:color="auto" w:sz="4" w:space="0"/>
              <w:left w:val="nil"/>
              <w:bottom w:val="single" w:color="auto" w:sz="4" w:space="0"/>
              <w:right w:val="single" w:color="auto" w:sz="4" w:space="0"/>
            </w:tcBorders>
            <w:shd w:val="clear" w:color="auto" w:fill="auto"/>
            <w:noWrap/>
            <w:vAlign w:val="center"/>
          </w:tcPr>
          <w:p w14:paraId="6E875B83">
            <w:pPr>
              <w:widowControl/>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项目</w:t>
            </w:r>
          </w:p>
        </w:tc>
        <w:tc>
          <w:tcPr>
            <w:tcW w:w="4253" w:type="dxa"/>
            <w:gridSpan w:val="2"/>
            <w:tcBorders>
              <w:top w:val="single" w:color="auto" w:sz="4" w:space="0"/>
              <w:left w:val="nil"/>
              <w:bottom w:val="single" w:color="auto" w:sz="4" w:space="0"/>
              <w:right w:val="single" w:color="000000" w:sz="4" w:space="0"/>
            </w:tcBorders>
            <w:shd w:val="clear" w:color="auto" w:fill="auto"/>
            <w:noWrap/>
            <w:vAlign w:val="center"/>
          </w:tcPr>
          <w:p w14:paraId="59CE900C">
            <w:pPr>
              <w:widowControl/>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植被类型</w:t>
            </w:r>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64790615">
            <w:pPr>
              <w:widowControl/>
              <w:adjustRightInd w:val="0"/>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土层厚度（cm）</w:t>
            </w:r>
          </w:p>
        </w:tc>
      </w:tr>
      <w:tr w14:paraId="5957101A">
        <w:tblPrEx>
          <w:tblCellMar>
            <w:top w:w="0" w:type="dxa"/>
            <w:left w:w="108" w:type="dxa"/>
            <w:bottom w:w="0" w:type="dxa"/>
            <w:right w:w="108" w:type="dxa"/>
          </w:tblCellMar>
        </w:tblPrEx>
        <w:trPr>
          <w:trHeight w:val="454" w:hRule="atLeast"/>
          <w:jc w:val="center"/>
        </w:trPr>
        <w:tc>
          <w:tcPr>
            <w:tcW w:w="704" w:type="dxa"/>
            <w:vMerge w:val="restart"/>
            <w:tcBorders>
              <w:top w:val="nil"/>
              <w:left w:val="single" w:color="auto" w:sz="4" w:space="0"/>
              <w:bottom w:val="single" w:color="000000" w:sz="4" w:space="0"/>
              <w:right w:val="single" w:color="auto" w:sz="4" w:space="0"/>
            </w:tcBorders>
            <w:shd w:val="clear" w:color="auto" w:fill="auto"/>
            <w:noWrap/>
            <w:vAlign w:val="center"/>
          </w:tcPr>
          <w:p w14:paraId="07EE32BE">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1559" w:type="dxa"/>
            <w:vMerge w:val="restart"/>
            <w:tcBorders>
              <w:top w:val="nil"/>
              <w:left w:val="single" w:color="auto" w:sz="4" w:space="0"/>
              <w:bottom w:val="single" w:color="000000" w:sz="4" w:space="0"/>
              <w:right w:val="single" w:color="auto" w:sz="4" w:space="0"/>
            </w:tcBorders>
            <w:shd w:val="clear" w:color="auto" w:fill="auto"/>
            <w:noWrap/>
            <w:vAlign w:val="center"/>
          </w:tcPr>
          <w:p w14:paraId="581D4D95">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一般栽植</w:t>
            </w:r>
          </w:p>
        </w:tc>
        <w:tc>
          <w:tcPr>
            <w:tcW w:w="1159" w:type="dxa"/>
            <w:vMerge w:val="restart"/>
            <w:tcBorders>
              <w:top w:val="nil"/>
              <w:left w:val="single" w:color="auto" w:sz="4" w:space="0"/>
              <w:bottom w:val="single" w:color="000000" w:sz="4" w:space="0"/>
              <w:right w:val="single" w:color="auto" w:sz="4" w:space="0"/>
            </w:tcBorders>
            <w:shd w:val="clear" w:color="auto" w:fill="auto"/>
            <w:noWrap/>
            <w:vAlign w:val="center"/>
          </w:tcPr>
          <w:p w14:paraId="77362D8F">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乔木</w:t>
            </w:r>
          </w:p>
        </w:tc>
        <w:tc>
          <w:tcPr>
            <w:tcW w:w="3094" w:type="dxa"/>
            <w:tcBorders>
              <w:top w:val="nil"/>
              <w:left w:val="nil"/>
              <w:bottom w:val="single" w:color="auto" w:sz="4" w:space="0"/>
              <w:right w:val="single" w:color="auto" w:sz="4" w:space="0"/>
            </w:tcBorders>
            <w:shd w:val="clear" w:color="auto" w:fill="auto"/>
            <w:noWrap/>
            <w:vAlign w:val="center"/>
          </w:tcPr>
          <w:p w14:paraId="747EBE62">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胸径≥20cm</w:t>
            </w:r>
          </w:p>
        </w:tc>
        <w:tc>
          <w:tcPr>
            <w:tcW w:w="1843" w:type="dxa"/>
            <w:tcBorders>
              <w:top w:val="nil"/>
              <w:left w:val="nil"/>
              <w:bottom w:val="single" w:color="auto" w:sz="4" w:space="0"/>
              <w:right w:val="single" w:color="auto" w:sz="4" w:space="0"/>
            </w:tcBorders>
            <w:shd w:val="clear" w:color="auto" w:fill="auto"/>
            <w:noWrap/>
            <w:vAlign w:val="center"/>
          </w:tcPr>
          <w:p w14:paraId="3D5AA41F">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≥180</w:t>
            </w:r>
          </w:p>
        </w:tc>
      </w:tr>
      <w:tr w14:paraId="11694FE3">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7C11A349">
            <w:pPr>
              <w:widowControl/>
              <w:adjustRightInd w:val="0"/>
              <w:spacing w:line="360" w:lineRule="auto"/>
              <w:jc w:val="center"/>
              <w:rPr>
                <w:rFonts w:hint="eastAsia" w:ascii="宋体" w:hAnsi="宋体" w:eastAsia="宋体" w:cs="宋体"/>
                <w:color w:val="auto"/>
                <w:sz w:val="21"/>
                <w:szCs w:val="21"/>
                <w:highlight w:val="none"/>
              </w:rPr>
            </w:pPr>
          </w:p>
        </w:tc>
        <w:tc>
          <w:tcPr>
            <w:tcW w:w="1559" w:type="dxa"/>
            <w:vMerge w:val="continue"/>
            <w:tcBorders>
              <w:top w:val="nil"/>
              <w:left w:val="single" w:color="auto" w:sz="4" w:space="0"/>
              <w:bottom w:val="single" w:color="000000" w:sz="4" w:space="0"/>
              <w:right w:val="single" w:color="auto" w:sz="4" w:space="0"/>
            </w:tcBorders>
            <w:vAlign w:val="center"/>
          </w:tcPr>
          <w:p w14:paraId="4BB232A9">
            <w:pPr>
              <w:widowControl/>
              <w:adjustRightInd w:val="0"/>
              <w:spacing w:line="360" w:lineRule="auto"/>
              <w:jc w:val="center"/>
              <w:rPr>
                <w:rFonts w:hint="eastAsia" w:ascii="宋体" w:hAnsi="宋体" w:eastAsia="宋体" w:cs="宋体"/>
                <w:color w:val="auto"/>
                <w:sz w:val="21"/>
                <w:szCs w:val="21"/>
                <w:highlight w:val="none"/>
              </w:rPr>
            </w:pPr>
          </w:p>
        </w:tc>
        <w:tc>
          <w:tcPr>
            <w:tcW w:w="1159" w:type="dxa"/>
            <w:vMerge w:val="continue"/>
            <w:tcBorders>
              <w:top w:val="nil"/>
              <w:left w:val="single" w:color="auto" w:sz="4" w:space="0"/>
              <w:bottom w:val="single" w:color="000000" w:sz="4" w:space="0"/>
              <w:right w:val="single" w:color="auto" w:sz="4" w:space="0"/>
            </w:tcBorders>
            <w:vAlign w:val="center"/>
          </w:tcPr>
          <w:p w14:paraId="0E4E6313">
            <w:pPr>
              <w:widowControl/>
              <w:adjustRightInd w:val="0"/>
              <w:spacing w:line="360" w:lineRule="auto"/>
              <w:jc w:val="center"/>
              <w:rPr>
                <w:rFonts w:hint="eastAsia" w:ascii="宋体" w:hAnsi="宋体" w:eastAsia="宋体" w:cs="宋体"/>
                <w:color w:val="auto"/>
                <w:sz w:val="21"/>
                <w:szCs w:val="21"/>
                <w:highlight w:val="none"/>
              </w:rPr>
            </w:pPr>
          </w:p>
        </w:tc>
        <w:tc>
          <w:tcPr>
            <w:tcW w:w="3094" w:type="dxa"/>
            <w:vMerge w:val="restart"/>
            <w:tcBorders>
              <w:top w:val="nil"/>
              <w:left w:val="single" w:color="auto" w:sz="4" w:space="0"/>
              <w:bottom w:val="single" w:color="000000" w:sz="4" w:space="0"/>
              <w:right w:val="single" w:color="auto" w:sz="4" w:space="0"/>
            </w:tcBorders>
            <w:shd w:val="clear" w:color="auto" w:fill="auto"/>
            <w:noWrap/>
            <w:vAlign w:val="center"/>
          </w:tcPr>
          <w:p w14:paraId="703B9608">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胸径＜20cm</w:t>
            </w:r>
          </w:p>
        </w:tc>
        <w:tc>
          <w:tcPr>
            <w:tcW w:w="1843" w:type="dxa"/>
            <w:tcBorders>
              <w:top w:val="nil"/>
              <w:left w:val="nil"/>
              <w:bottom w:val="single" w:color="auto" w:sz="4" w:space="0"/>
              <w:right w:val="single" w:color="auto" w:sz="4" w:space="0"/>
            </w:tcBorders>
            <w:shd w:val="clear" w:color="auto" w:fill="auto"/>
            <w:noWrap/>
            <w:vAlign w:val="center"/>
          </w:tcPr>
          <w:p w14:paraId="38F7B1B5">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≥150(深根）</w:t>
            </w:r>
          </w:p>
        </w:tc>
      </w:tr>
      <w:tr w14:paraId="537B803E">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102A76DC">
            <w:pPr>
              <w:widowControl/>
              <w:adjustRightInd w:val="0"/>
              <w:spacing w:line="360" w:lineRule="auto"/>
              <w:jc w:val="center"/>
              <w:rPr>
                <w:rFonts w:hint="eastAsia" w:ascii="宋体" w:hAnsi="宋体" w:eastAsia="宋体" w:cs="宋体"/>
                <w:color w:val="auto"/>
                <w:sz w:val="21"/>
                <w:szCs w:val="21"/>
                <w:highlight w:val="none"/>
              </w:rPr>
            </w:pPr>
          </w:p>
        </w:tc>
        <w:tc>
          <w:tcPr>
            <w:tcW w:w="1559" w:type="dxa"/>
            <w:vMerge w:val="continue"/>
            <w:tcBorders>
              <w:top w:val="nil"/>
              <w:left w:val="single" w:color="auto" w:sz="4" w:space="0"/>
              <w:bottom w:val="single" w:color="000000" w:sz="4" w:space="0"/>
              <w:right w:val="single" w:color="auto" w:sz="4" w:space="0"/>
            </w:tcBorders>
            <w:vAlign w:val="center"/>
          </w:tcPr>
          <w:p w14:paraId="481E7CA9">
            <w:pPr>
              <w:widowControl/>
              <w:adjustRightInd w:val="0"/>
              <w:spacing w:line="360" w:lineRule="auto"/>
              <w:jc w:val="center"/>
              <w:rPr>
                <w:rFonts w:hint="eastAsia" w:ascii="宋体" w:hAnsi="宋体" w:eastAsia="宋体" w:cs="宋体"/>
                <w:color w:val="auto"/>
                <w:sz w:val="21"/>
                <w:szCs w:val="21"/>
                <w:highlight w:val="none"/>
              </w:rPr>
            </w:pPr>
          </w:p>
        </w:tc>
        <w:tc>
          <w:tcPr>
            <w:tcW w:w="1159" w:type="dxa"/>
            <w:vMerge w:val="continue"/>
            <w:tcBorders>
              <w:top w:val="nil"/>
              <w:left w:val="single" w:color="auto" w:sz="4" w:space="0"/>
              <w:bottom w:val="single" w:color="000000" w:sz="4" w:space="0"/>
              <w:right w:val="single" w:color="auto" w:sz="4" w:space="0"/>
            </w:tcBorders>
            <w:vAlign w:val="center"/>
          </w:tcPr>
          <w:p w14:paraId="54A135B6">
            <w:pPr>
              <w:widowControl/>
              <w:adjustRightInd w:val="0"/>
              <w:spacing w:line="360" w:lineRule="auto"/>
              <w:jc w:val="center"/>
              <w:rPr>
                <w:rFonts w:hint="eastAsia" w:ascii="宋体" w:hAnsi="宋体" w:eastAsia="宋体" w:cs="宋体"/>
                <w:color w:val="auto"/>
                <w:sz w:val="21"/>
                <w:szCs w:val="21"/>
                <w:highlight w:val="none"/>
              </w:rPr>
            </w:pPr>
          </w:p>
        </w:tc>
        <w:tc>
          <w:tcPr>
            <w:tcW w:w="3094" w:type="dxa"/>
            <w:vMerge w:val="continue"/>
            <w:tcBorders>
              <w:top w:val="nil"/>
              <w:left w:val="single" w:color="auto" w:sz="4" w:space="0"/>
              <w:bottom w:val="single" w:color="000000" w:sz="4" w:space="0"/>
              <w:right w:val="single" w:color="auto" w:sz="4" w:space="0"/>
            </w:tcBorders>
            <w:vAlign w:val="center"/>
          </w:tcPr>
          <w:p w14:paraId="47966A8C">
            <w:pPr>
              <w:widowControl/>
              <w:adjustRightInd w:val="0"/>
              <w:spacing w:line="360" w:lineRule="auto"/>
              <w:jc w:val="center"/>
              <w:rPr>
                <w:rFonts w:hint="eastAsia" w:ascii="宋体" w:hAnsi="宋体" w:eastAsia="宋体" w:cs="宋体"/>
                <w:color w:val="auto"/>
                <w:sz w:val="21"/>
                <w:szCs w:val="21"/>
                <w:highlight w:val="none"/>
              </w:rPr>
            </w:pPr>
          </w:p>
        </w:tc>
        <w:tc>
          <w:tcPr>
            <w:tcW w:w="1843" w:type="dxa"/>
            <w:tcBorders>
              <w:top w:val="nil"/>
              <w:left w:val="nil"/>
              <w:bottom w:val="single" w:color="auto" w:sz="4" w:space="0"/>
              <w:right w:val="single" w:color="auto" w:sz="4" w:space="0"/>
            </w:tcBorders>
            <w:shd w:val="clear" w:color="auto" w:fill="auto"/>
            <w:noWrap/>
            <w:vAlign w:val="center"/>
          </w:tcPr>
          <w:p w14:paraId="7082581F">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≥150(深根）</w:t>
            </w:r>
          </w:p>
        </w:tc>
      </w:tr>
      <w:tr w14:paraId="1AB9096E">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43F3A26A">
            <w:pPr>
              <w:widowControl/>
              <w:adjustRightInd w:val="0"/>
              <w:spacing w:line="360" w:lineRule="auto"/>
              <w:jc w:val="center"/>
              <w:rPr>
                <w:rFonts w:hint="eastAsia" w:ascii="宋体" w:hAnsi="宋体" w:eastAsia="宋体" w:cs="宋体"/>
                <w:color w:val="auto"/>
                <w:sz w:val="21"/>
                <w:szCs w:val="21"/>
                <w:highlight w:val="none"/>
              </w:rPr>
            </w:pPr>
          </w:p>
        </w:tc>
        <w:tc>
          <w:tcPr>
            <w:tcW w:w="1559" w:type="dxa"/>
            <w:vMerge w:val="continue"/>
            <w:tcBorders>
              <w:top w:val="nil"/>
              <w:left w:val="single" w:color="auto" w:sz="4" w:space="0"/>
              <w:bottom w:val="single" w:color="000000" w:sz="4" w:space="0"/>
              <w:right w:val="single" w:color="auto" w:sz="4" w:space="0"/>
            </w:tcBorders>
            <w:vAlign w:val="center"/>
          </w:tcPr>
          <w:p w14:paraId="74AA98D1">
            <w:pPr>
              <w:widowControl/>
              <w:adjustRightInd w:val="0"/>
              <w:spacing w:line="360" w:lineRule="auto"/>
              <w:jc w:val="center"/>
              <w:rPr>
                <w:rFonts w:hint="eastAsia" w:ascii="宋体" w:hAnsi="宋体" w:eastAsia="宋体" w:cs="宋体"/>
                <w:color w:val="auto"/>
                <w:sz w:val="21"/>
                <w:szCs w:val="21"/>
                <w:highlight w:val="none"/>
              </w:rPr>
            </w:pPr>
          </w:p>
        </w:tc>
        <w:tc>
          <w:tcPr>
            <w:tcW w:w="1159" w:type="dxa"/>
            <w:vMerge w:val="restart"/>
            <w:tcBorders>
              <w:top w:val="nil"/>
              <w:left w:val="single" w:color="auto" w:sz="4" w:space="0"/>
              <w:bottom w:val="single" w:color="000000" w:sz="4" w:space="0"/>
              <w:right w:val="single" w:color="auto" w:sz="4" w:space="0"/>
            </w:tcBorders>
            <w:shd w:val="clear" w:color="auto" w:fill="auto"/>
            <w:noWrap/>
            <w:vAlign w:val="center"/>
          </w:tcPr>
          <w:p w14:paraId="4FB581BC">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灌木</w:t>
            </w:r>
          </w:p>
        </w:tc>
        <w:tc>
          <w:tcPr>
            <w:tcW w:w="3094" w:type="dxa"/>
            <w:tcBorders>
              <w:top w:val="nil"/>
              <w:left w:val="nil"/>
              <w:bottom w:val="single" w:color="auto" w:sz="4" w:space="0"/>
              <w:right w:val="single" w:color="auto" w:sz="4" w:space="0"/>
            </w:tcBorders>
            <w:shd w:val="clear" w:color="auto" w:fill="auto"/>
            <w:noWrap/>
            <w:vAlign w:val="center"/>
          </w:tcPr>
          <w:p w14:paraId="013EF439">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大、中灌木、大藤本</w:t>
            </w:r>
          </w:p>
        </w:tc>
        <w:tc>
          <w:tcPr>
            <w:tcW w:w="1843" w:type="dxa"/>
            <w:tcBorders>
              <w:top w:val="nil"/>
              <w:left w:val="nil"/>
              <w:bottom w:val="single" w:color="auto" w:sz="4" w:space="0"/>
              <w:right w:val="single" w:color="auto" w:sz="4" w:space="0"/>
            </w:tcBorders>
            <w:shd w:val="clear" w:color="auto" w:fill="auto"/>
            <w:noWrap/>
            <w:vAlign w:val="center"/>
          </w:tcPr>
          <w:p w14:paraId="672BE9E6">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≥90</w:t>
            </w:r>
          </w:p>
        </w:tc>
      </w:tr>
      <w:tr w14:paraId="7242CC06">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47AB7CFA">
            <w:pPr>
              <w:widowControl/>
              <w:adjustRightInd w:val="0"/>
              <w:spacing w:line="360" w:lineRule="auto"/>
              <w:jc w:val="center"/>
              <w:rPr>
                <w:rFonts w:hint="eastAsia" w:ascii="宋体" w:hAnsi="宋体" w:eastAsia="宋体" w:cs="宋体"/>
                <w:color w:val="auto"/>
                <w:sz w:val="21"/>
                <w:szCs w:val="21"/>
                <w:highlight w:val="none"/>
              </w:rPr>
            </w:pPr>
          </w:p>
        </w:tc>
        <w:tc>
          <w:tcPr>
            <w:tcW w:w="1559" w:type="dxa"/>
            <w:vMerge w:val="continue"/>
            <w:tcBorders>
              <w:top w:val="nil"/>
              <w:left w:val="single" w:color="auto" w:sz="4" w:space="0"/>
              <w:bottom w:val="single" w:color="000000" w:sz="4" w:space="0"/>
              <w:right w:val="single" w:color="auto" w:sz="4" w:space="0"/>
            </w:tcBorders>
            <w:vAlign w:val="center"/>
          </w:tcPr>
          <w:p w14:paraId="18E66F9E">
            <w:pPr>
              <w:widowControl/>
              <w:adjustRightInd w:val="0"/>
              <w:spacing w:line="360" w:lineRule="auto"/>
              <w:jc w:val="center"/>
              <w:rPr>
                <w:rFonts w:hint="eastAsia" w:ascii="宋体" w:hAnsi="宋体" w:eastAsia="宋体" w:cs="宋体"/>
                <w:color w:val="auto"/>
                <w:sz w:val="21"/>
                <w:szCs w:val="21"/>
                <w:highlight w:val="none"/>
              </w:rPr>
            </w:pPr>
          </w:p>
        </w:tc>
        <w:tc>
          <w:tcPr>
            <w:tcW w:w="1159" w:type="dxa"/>
            <w:vMerge w:val="continue"/>
            <w:tcBorders>
              <w:top w:val="nil"/>
              <w:left w:val="single" w:color="auto" w:sz="4" w:space="0"/>
              <w:bottom w:val="single" w:color="000000" w:sz="4" w:space="0"/>
              <w:right w:val="single" w:color="auto" w:sz="4" w:space="0"/>
            </w:tcBorders>
            <w:vAlign w:val="center"/>
          </w:tcPr>
          <w:p w14:paraId="5B54D058">
            <w:pPr>
              <w:widowControl/>
              <w:adjustRightInd w:val="0"/>
              <w:spacing w:line="360" w:lineRule="auto"/>
              <w:jc w:val="center"/>
              <w:rPr>
                <w:rFonts w:hint="eastAsia" w:ascii="宋体" w:hAnsi="宋体" w:eastAsia="宋体" w:cs="宋体"/>
                <w:color w:val="auto"/>
                <w:sz w:val="21"/>
                <w:szCs w:val="21"/>
                <w:highlight w:val="none"/>
              </w:rPr>
            </w:pPr>
          </w:p>
        </w:tc>
        <w:tc>
          <w:tcPr>
            <w:tcW w:w="3094" w:type="dxa"/>
            <w:tcBorders>
              <w:top w:val="nil"/>
              <w:left w:val="nil"/>
              <w:bottom w:val="single" w:color="auto" w:sz="4" w:space="0"/>
              <w:right w:val="single" w:color="auto" w:sz="4" w:space="0"/>
            </w:tcBorders>
            <w:shd w:val="clear" w:color="auto" w:fill="auto"/>
            <w:noWrap/>
            <w:vAlign w:val="center"/>
          </w:tcPr>
          <w:p w14:paraId="5FC9B8E7">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小灌木、宿根花卉、小藤本</w:t>
            </w:r>
          </w:p>
        </w:tc>
        <w:tc>
          <w:tcPr>
            <w:tcW w:w="1843" w:type="dxa"/>
            <w:tcBorders>
              <w:top w:val="nil"/>
              <w:left w:val="nil"/>
              <w:bottom w:val="single" w:color="auto" w:sz="4" w:space="0"/>
              <w:right w:val="single" w:color="auto" w:sz="4" w:space="0"/>
            </w:tcBorders>
            <w:shd w:val="clear" w:color="auto" w:fill="auto"/>
            <w:noWrap/>
            <w:vAlign w:val="center"/>
          </w:tcPr>
          <w:p w14:paraId="58C75633">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≥40</w:t>
            </w:r>
          </w:p>
        </w:tc>
      </w:tr>
      <w:tr w14:paraId="54CB8513">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0799F8CC">
            <w:pPr>
              <w:widowControl/>
              <w:adjustRightInd w:val="0"/>
              <w:spacing w:line="360" w:lineRule="auto"/>
              <w:jc w:val="center"/>
              <w:rPr>
                <w:rFonts w:hint="eastAsia" w:ascii="宋体" w:hAnsi="宋体" w:eastAsia="宋体" w:cs="宋体"/>
                <w:color w:val="auto"/>
                <w:sz w:val="21"/>
                <w:szCs w:val="21"/>
                <w:highlight w:val="none"/>
              </w:rPr>
            </w:pPr>
          </w:p>
        </w:tc>
        <w:tc>
          <w:tcPr>
            <w:tcW w:w="1559" w:type="dxa"/>
            <w:vMerge w:val="continue"/>
            <w:tcBorders>
              <w:top w:val="nil"/>
              <w:left w:val="single" w:color="auto" w:sz="4" w:space="0"/>
              <w:bottom w:val="single" w:color="000000" w:sz="4" w:space="0"/>
              <w:right w:val="single" w:color="auto" w:sz="4" w:space="0"/>
            </w:tcBorders>
            <w:vAlign w:val="center"/>
          </w:tcPr>
          <w:p w14:paraId="38EA4BE7">
            <w:pPr>
              <w:widowControl/>
              <w:adjustRightInd w:val="0"/>
              <w:spacing w:line="360" w:lineRule="auto"/>
              <w:jc w:val="center"/>
              <w:rPr>
                <w:rFonts w:hint="eastAsia" w:ascii="宋体" w:hAnsi="宋体" w:eastAsia="宋体" w:cs="宋体"/>
                <w:color w:val="auto"/>
                <w:sz w:val="21"/>
                <w:szCs w:val="21"/>
                <w:highlight w:val="none"/>
              </w:rPr>
            </w:pPr>
          </w:p>
        </w:tc>
        <w:tc>
          <w:tcPr>
            <w:tcW w:w="1159" w:type="dxa"/>
            <w:vMerge w:val="restart"/>
            <w:tcBorders>
              <w:top w:val="nil"/>
              <w:left w:val="single" w:color="auto" w:sz="4" w:space="0"/>
              <w:bottom w:val="single" w:color="000000" w:sz="4" w:space="0"/>
              <w:right w:val="single" w:color="auto" w:sz="4" w:space="0"/>
            </w:tcBorders>
            <w:shd w:val="clear" w:color="auto" w:fill="auto"/>
            <w:noWrap/>
            <w:vAlign w:val="center"/>
          </w:tcPr>
          <w:p w14:paraId="0F6EB3B0">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竹类</w:t>
            </w:r>
          </w:p>
        </w:tc>
        <w:tc>
          <w:tcPr>
            <w:tcW w:w="3094" w:type="dxa"/>
            <w:tcBorders>
              <w:top w:val="nil"/>
              <w:left w:val="nil"/>
              <w:bottom w:val="single" w:color="auto" w:sz="4" w:space="0"/>
              <w:right w:val="single" w:color="auto" w:sz="4" w:space="0"/>
            </w:tcBorders>
            <w:shd w:val="clear" w:color="auto" w:fill="auto"/>
            <w:noWrap/>
            <w:vAlign w:val="center"/>
          </w:tcPr>
          <w:p w14:paraId="24F02774">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大径</w:t>
            </w:r>
          </w:p>
        </w:tc>
        <w:tc>
          <w:tcPr>
            <w:tcW w:w="1843" w:type="dxa"/>
            <w:tcBorders>
              <w:top w:val="nil"/>
              <w:left w:val="nil"/>
              <w:bottom w:val="single" w:color="auto" w:sz="4" w:space="0"/>
              <w:right w:val="single" w:color="auto" w:sz="4" w:space="0"/>
            </w:tcBorders>
            <w:shd w:val="clear" w:color="auto" w:fill="auto"/>
            <w:noWrap/>
            <w:vAlign w:val="center"/>
          </w:tcPr>
          <w:p w14:paraId="2C264FAE">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≥80</w:t>
            </w:r>
          </w:p>
        </w:tc>
      </w:tr>
      <w:tr w14:paraId="5355E1C8">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1EBD12F4">
            <w:pPr>
              <w:widowControl/>
              <w:adjustRightInd w:val="0"/>
              <w:spacing w:line="360" w:lineRule="auto"/>
              <w:jc w:val="center"/>
              <w:rPr>
                <w:rFonts w:hint="eastAsia" w:ascii="宋体" w:hAnsi="宋体" w:eastAsia="宋体" w:cs="宋体"/>
                <w:color w:val="auto"/>
                <w:sz w:val="21"/>
                <w:szCs w:val="21"/>
                <w:highlight w:val="none"/>
              </w:rPr>
            </w:pPr>
          </w:p>
        </w:tc>
        <w:tc>
          <w:tcPr>
            <w:tcW w:w="1559" w:type="dxa"/>
            <w:vMerge w:val="continue"/>
            <w:tcBorders>
              <w:top w:val="nil"/>
              <w:left w:val="single" w:color="auto" w:sz="4" w:space="0"/>
              <w:bottom w:val="single" w:color="000000" w:sz="4" w:space="0"/>
              <w:right w:val="single" w:color="auto" w:sz="4" w:space="0"/>
            </w:tcBorders>
            <w:vAlign w:val="center"/>
          </w:tcPr>
          <w:p w14:paraId="568CE771">
            <w:pPr>
              <w:widowControl/>
              <w:adjustRightInd w:val="0"/>
              <w:spacing w:line="360" w:lineRule="auto"/>
              <w:jc w:val="center"/>
              <w:rPr>
                <w:rFonts w:hint="eastAsia" w:ascii="宋体" w:hAnsi="宋体" w:eastAsia="宋体" w:cs="宋体"/>
                <w:color w:val="auto"/>
                <w:sz w:val="21"/>
                <w:szCs w:val="21"/>
                <w:highlight w:val="none"/>
              </w:rPr>
            </w:pPr>
          </w:p>
        </w:tc>
        <w:tc>
          <w:tcPr>
            <w:tcW w:w="1159" w:type="dxa"/>
            <w:vMerge w:val="continue"/>
            <w:tcBorders>
              <w:top w:val="nil"/>
              <w:left w:val="single" w:color="auto" w:sz="4" w:space="0"/>
              <w:bottom w:val="single" w:color="000000" w:sz="4" w:space="0"/>
              <w:right w:val="single" w:color="auto" w:sz="4" w:space="0"/>
            </w:tcBorders>
            <w:vAlign w:val="center"/>
          </w:tcPr>
          <w:p w14:paraId="7697BADB">
            <w:pPr>
              <w:widowControl/>
              <w:adjustRightInd w:val="0"/>
              <w:spacing w:line="360" w:lineRule="auto"/>
              <w:jc w:val="center"/>
              <w:rPr>
                <w:rFonts w:hint="eastAsia" w:ascii="宋体" w:hAnsi="宋体" w:eastAsia="宋体" w:cs="宋体"/>
                <w:color w:val="auto"/>
                <w:sz w:val="21"/>
                <w:szCs w:val="21"/>
                <w:highlight w:val="none"/>
              </w:rPr>
            </w:pPr>
          </w:p>
        </w:tc>
        <w:tc>
          <w:tcPr>
            <w:tcW w:w="3094" w:type="dxa"/>
            <w:tcBorders>
              <w:top w:val="nil"/>
              <w:left w:val="nil"/>
              <w:bottom w:val="single" w:color="auto" w:sz="4" w:space="0"/>
              <w:right w:val="single" w:color="auto" w:sz="4" w:space="0"/>
            </w:tcBorders>
            <w:shd w:val="clear" w:color="auto" w:fill="auto"/>
            <w:noWrap/>
            <w:vAlign w:val="center"/>
          </w:tcPr>
          <w:p w14:paraId="35E85779">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中、小径</w:t>
            </w:r>
          </w:p>
        </w:tc>
        <w:tc>
          <w:tcPr>
            <w:tcW w:w="1843" w:type="dxa"/>
            <w:tcBorders>
              <w:top w:val="nil"/>
              <w:left w:val="nil"/>
              <w:bottom w:val="single" w:color="auto" w:sz="4" w:space="0"/>
              <w:right w:val="single" w:color="auto" w:sz="4" w:space="0"/>
            </w:tcBorders>
            <w:shd w:val="clear" w:color="auto" w:fill="auto"/>
            <w:noWrap/>
            <w:vAlign w:val="center"/>
          </w:tcPr>
          <w:p w14:paraId="2D7096CC">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≥50</w:t>
            </w:r>
          </w:p>
        </w:tc>
      </w:tr>
      <w:tr w14:paraId="7E53822A">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20C38F0C">
            <w:pPr>
              <w:widowControl/>
              <w:adjustRightInd w:val="0"/>
              <w:spacing w:line="360" w:lineRule="auto"/>
              <w:jc w:val="center"/>
              <w:rPr>
                <w:rFonts w:hint="eastAsia" w:ascii="宋体" w:hAnsi="宋体" w:eastAsia="宋体" w:cs="宋体"/>
                <w:color w:val="auto"/>
                <w:sz w:val="21"/>
                <w:szCs w:val="21"/>
                <w:highlight w:val="none"/>
              </w:rPr>
            </w:pPr>
          </w:p>
        </w:tc>
        <w:tc>
          <w:tcPr>
            <w:tcW w:w="1559" w:type="dxa"/>
            <w:vMerge w:val="continue"/>
            <w:tcBorders>
              <w:top w:val="nil"/>
              <w:left w:val="single" w:color="auto" w:sz="4" w:space="0"/>
              <w:bottom w:val="single" w:color="000000" w:sz="4" w:space="0"/>
              <w:right w:val="single" w:color="auto" w:sz="4" w:space="0"/>
            </w:tcBorders>
            <w:vAlign w:val="center"/>
          </w:tcPr>
          <w:p w14:paraId="09538D97">
            <w:pPr>
              <w:widowControl/>
              <w:adjustRightInd w:val="0"/>
              <w:spacing w:line="360" w:lineRule="auto"/>
              <w:jc w:val="center"/>
              <w:rPr>
                <w:rFonts w:hint="eastAsia" w:ascii="宋体" w:hAnsi="宋体" w:eastAsia="宋体" w:cs="宋体"/>
                <w:color w:val="auto"/>
                <w:sz w:val="21"/>
                <w:szCs w:val="21"/>
                <w:highlight w:val="none"/>
              </w:rPr>
            </w:pPr>
          </w:p>
        </w:tc>
        <w:tc>
          <w:tcPr>
            <w:tcW w:w="4253" w:type="dxa"/>
            <w:gridSpan w:val="2"/>
            <w:tcBorders>
              <w:top w:val="single" w:color="auto" w:sz="4" w:space="0"/>
              <w:left w:val="nil"/>
              <w:bottom w:val="single" w:color="auto" w:sz="4" w:space="0"/>
              <w:right w:val="single" w:color="000000" w:sz="4" w:space="0"/>
            </w:tcBorders>
            <w:shd w:val="clear" w:color="auto" w:fill="auto"/>
            <w:noWrap/>
            <w:vAlign w:val="center"/>
          </w:tcPr>
          <w:p w14:paraId="656B7F3E">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草坪、花卉、草皮地被</w:t>
            </w:r>
          </w:p>
        </w:tc>
        <w:tc>
          <w:tcPr>
            <w:tcW w:w="1843" w:type="dxa"/>
            <w:tcBorders>
              <w:top w:val="nil"/>
              <w:left w:val="nil"/>
              <w:bottom w:val="single" w:color="auto" w:sz="4" w:space="0"/>
              <w:right w:val="single" w:color="auto" w:sz="4" w:space="0"/>
            </w:tcBorders>
            <w:shd w:val="clear" w:color="auto" w:fill="auto"/>
            <w:noWrap/>
            <w:vAlign w:val="center"/>
          </w:tcPr>
          <w:p w14:paraId="67FD5FDD">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≥30</w:t>
            </w:r>
          </w:p>
        </w:tc>
      </w:tr>
      <w:tr w14:paraId="045D02D7">
        <w:tblPrEx>
          <w:tblCellMar>
            <w:top w:w="0" w:type="dxa"/>
            <w:left w:w="108" w:type="dxa"/>
            <w:bottom w:w="0" w:type="dxa"/>
            <w:right w:w="108" w:type="dxa"/>
          </w:tblCellMar>
        </w:tblPrEx>
        <w:trPr>
          <w:trHeight w:val="454" w:hRule="atLeast"/>
          <w:jc w:val="center"/>
        </w:trPr>
        <w:tc>
          <w:tcPr>
            <w:tcW w:w="704" w:type="dxa"/>
            <w:vMerge w:val="restart"/>
            <w:tcBorders>
              <w:top w:val="nil"/>
              <w:left w:val="single" w:color="auto" w:sz="4" w:space="0"/>
              <w:bottom w:val="single" w:color="000000" w:sz="4" w:space="0"/>
              <w:right w:val="single" w:color="auto" w:sz="4" w:space="0"/>
            </w:tcBorders>
            <w:shd w:val="clear" w:color="auto" w:fill="auto"/>
            <w:noWrap/>
            <w:vAlign w:val="center"/>
          </w:tcPr>
          <w:p w14:paraId="64B58023">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1559" w:type="dxa"/>
            <w:vMerge w:val="restart"/>
            <w:tcBorders>
              <w:top w:val="nil"/>
              <w:left w:val="single" w:color="auto" w:sz="4" w:space="0"/>
              <w:bottom w:val="single" w:color="000000" w:sz="4" w:space="0"/>
              <w:right w:val="single" w:color="auto" w:sz="4" w:space="0"/>
            </w:tcBorders>
            <w:shd w:val="clear" w:color="auto" w:fill="auto"/>
            <w:noWrap/>
            <w:vAlign w:val="center"/>
          </w:tcPr>
          <w:p w14:paraId="2201BAB9">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设施顶面绿化</w:t>
            </w:r>
          </w:p>
        </w:tc>
        <w:tc>
          <w:tcPr>
            <w:tcW w:w="4253" w:type="dxa"/>
            <w:gridSpan w:val="2"/>
            <w:tcBorders>
              <w:top w:val="single" w:color="auto" w:sz="4" w:space="0"/>
              <w:left w:val="nil"/>
              <w:bottom w:val="single" w:color="auto" w:sz="4" w:space="0"/>
              <w:right w:val="single" w:color="000000" w:sz="4" w:space="0"/>
            </w:tcBorders>
            <w:shd w:val="clear" w:color="auto" w:fill="auto"/>
            <w:noWrap/>
            <w:vAlign w:val="center"/>
          </w:tcPr>
          <w:p w14:paraId="37651649">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乔木</w:t>
            </w:r>
          </w:p>
        </w:tc>
        <w:tc>
          <w:tcPr>
            <w:tcW w:w="1843" w:type="dxa"/>
            <w:tcBorders>
              <w:top w:val="nil"/>
              <w:left w:val="nil"/>
              <w:bottom w:val="single" w:color="auto" w:sz="4" w:space="0"/>
              <w:right w:val="single" w:color="auto" w:sz="4" w:space="0"/>
            </w:tcBorders>
            <w:shd w:val="clear" w:color="auto" w:fill="auto"/>
            <w:noWrap/>
            <w:vAlign w:val="center"/>
          </w:tcPr>
          <w:p w14:paraId="3C14C882">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≥80</w:t>
            </w:r>
          </w:p>
        </w:tc>
      </w:tr>
      <w:tr w14:paraId="2727AD79">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7F429CE3">
            <w:pPr>
              <w:widowControl/>
              <w:adjustRightInd w:val="0"/>
              <w:spacing w:line="360" w:lineRule="auto"/>
              <w:jc w:val="center"/>
              <w:rPr>
                <w:rFonts w:hint="eastAsia" w:ascii="宋体" w:hAnsi="宋体" w:eastAsia="宋体" w:cs="宋体"/>
                <w:color w:val="auto"/>
                <w:sz w:val="21"/>
                <w:szCs w:val="21"/>
                <w:highlight w:val="none"/>
              </w:rPr>
            </w:pPr>
          </w:p>
        </w:tc>
        <w:tc>
          <w:tcPr>
            <w:tcW w:w="1559" w:type="dxa"/>
            <w:vMerge w:val="continue"/>
            <w:tcBorders>
              <w:top w:val="nil"/>
              <w:left w:val="single" w:color="auto" w:sz="4" w:space="0"/>
              <w:bottom w:val="single" w:color="000000" w:sz="4" w:space="0"/>
              <w:right w:val="single" w:color="auto" w:sz="4" w:space="0"/>
            </w:tcBorders>
            <w:vAlign w:val="center"/>
          </w:tcPr>
          <w:p w14:paraId="3989A5CE">
            <w:pPr>
              <w:widowControl/>
              <w:adjustRightInd w:val="0"/>
              <w:spacing w:line="360" w:lineRule="auto"/>
              <w:jc w:val="center"/>
              <w:rPr>
                <w:rFonts w:hint="eastAsia" w:ascii="宋体" w:hAnsi="宋体" w:eastAsia="宋体" w:cs="宋体"/>
                <w:color w:val="auto"/>
                <w:sz w:val="21"/>
                <w:szCs w:val="21"/>
                <w:highlight w:val="none"/>
              </w:rPr>
            </w:pPr>
          </w:p>
        </w:tc>
        <w:tc>
          <w:tcPr>
            <w:tcW w:w="4253" w:type="dxa"/>
            <w:gridSpan w:val="2"/>
            <w:tcBorders>
              <w:top w:val="single" w:color="auto" w:sz="4" w:space="0"/>
              <w:left w:val="nil"/>
              <w:bottom w:val="single" w:color="auto" w:sz="4" w:space="0"/>
              <w:right w:val="single" w:color="000000" w:sz="4" w:space="0"/>
            </w:tcBorders>
            <w:shd w:val="clear" w:color="auto" w:fill="auto"/>
            <w:noWrap/>
            <w:vAlign w:val="center"/>
          </w:tcPr>
          <w:p w14:paraId="70AA94B1">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灌木</w:t>
            </w:r>
          </w:p>
        </w:tc>
        <w:tc>
          <w:tcPr>
            <w:tcW w:w="1843" w:type="dxa"/>
            <w:tcBorders>
              <w:top w:val="nil"/>
              <w:left w:val="nil"/>
              <w:bottom w:val="single" w:color="auto" w:sz="4" w:space="0"/>
              <w:right w:val="single" w:color="auto" w:sz="4" w:space="0"/>
            </w:tcBorders>
            <w:shd w:val="clear" w:color="auto" w:fill="auto"/>
            <w:noWrap/>
            <w:vAlign w:val="center"/>
          </w:tcPr>
          <w:p w14:paraId="5B1747BB">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≥45</w:t>
            </w:r>
          </w:p>
        </w:tc>
      </w:tr>
      <w:tr w14:paraId="4573DEF1">
        <w:tblPrEx>
          <w:tblCellMar>
            <w:top w:w="0" w:type="dxa"/>
            <w:left w:w="108" w:type="dxa"/>
            <w:bottom w:w="0" w:type="dxa"/>
            <w:right w:w="108" w:type="dxa"/>
          </w:tblCellMar>
        </w:tblPrEx>
        <w:trPr>
          <w:trHeight w:val="454" w:hRule="atLeast"/>
          <w:jc w:val="center"/>
        </w:trPr>
        <w:tc>
          <w:tcPr>
            <w:tcW w:w="704" w:type="dxa"/>
            <w:vMerge w:val="continue"/>
            <w:tcBorders>
              <w:top w:val="nil"/>
              <w:left w:val="single" w:color="auto" w:sz="4" w:space="0"/>
              <w:bottom w:val="single" w:color="000000" w:sz="4" w:space="0"/>
              <w:right w:val="single" w:color="auto" w:sz="4" w:space="0"/>
            </w:tcBorders>
            <w:vAlign w:val="center"/>
          </w:tcPr>
          <w:p w14:paraId="3836BAF2">
            <w:pPr>
              <w:widowControl/>
              <w:adjustRightInd w:val="0"/>
              <w:spacing w:line="360" w:lineRule="auto"/>
              <w:jc w:val="center"/>
              <w:rPr>
                <w:rFonts w:hint="eastAsia" w:ascii="宋体" w:hAnsi="宋体" w:eastAsia="宋体" w:cs="宋体"/>
                <w:color w:val="auto"/>
                <w:sz w:val="21"/>
                <w:szCs w:val="21"/>
                <w:highlight w:val="none"/>
              </w:rPr>
            </w:pPr>
          </w:p>
        </w:tc>
        <w:tc>
          <w:tcPr>
            <w:tcW w:w="1559" w:type="dxa"/>
            <w:vMerge w:val="continue"/>
            <w:tcBorders>
              <w:top w:val="nil"/>
              <w:left w:val="single" w:color="auto" w:sz="4" w:space="0"/>
              <w:bottom w:val="single" w:color="000000" w:sz="4" w:space="0"/>
              <w:right w:val="single" w:color="auto" w:sz="4" w:space="0"/>
            </w:tcBorders>
            <w:vAlign w:val="center"/>
          </w:tcPr>
          <w:p w14:paraId="26AEB467">
            <w:pPr>
              <w:widowControl/>
              <w:adjustRightInd w:val="0"/>
              <w:spacing w:line="360" w:lineRule="auto"/>
              <w:jc w:val="center"/>
              <w:rPr>
                <w:rFonts w:hint="eastAsia" w:ascii="宋体" w:hAnsi="宋体" w:eastAsia="宋体" w:cs="宋体"/>
                <w:color w:val="auto"/>
                <w:sz w:val="21"/>
                <w:szCs w:val="21"/>
                <w:highlight w:val="none"/>
              </w:rPr>
            </w:pPr>
          </w:p>
        </w:tc>
        <w:tc>
          <w:tcPr>
            <w:tcW w:w="4253" w:type="dxa"/>
            <w:gridSpan w:val="2"/>
            <w:tcBorders>
              <w:top w:val="single" w:color="auto" w:sz="4" w:space="0"/>
              <w:left w:val="nil"/>
              <w:bottom w:val="single" w:color="auto" w:sz="4" w:space="0"/>
              <w:right w:val="single" w:color="000000" w:sz="4" w:space="0"/>
            </w:tcBorders>
            <w:shd w:val="clear" w:color="auto" w:fill="auto"/>
            <w:noWrap/>
            <w:vAlign w:val="center"/>
          </w:tcPr>
          <w:p w14:paraId="174B88C5">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草坪、花卉、草皮地被</w:t>
            </w:r>
          </w:p>
        </w:tc>
        <w:tc>
          <w:tcPr>
            <w:tcW w:w="1843" w:type="dxa"/>
            <w:tcBorders>
              <w:top w:val="nil"/>
              <w:left w:val="nil"/>
              <w:bottom w:val="single" w:color="auto" w:sz="4" w:space="0"/>
              <w:right w:val="single" w:color="auto" w:sz="4" w:space="0"/>
            </w:tcBorders>
            <w:shd w:val="clear" w:color="auto" w:fill="auto"/>
            <w:noWrap/>
            <w:vAlign w:val="center"/>
          </w:tcPr>
          <w:p w14:paraId="47CAADA1">
            <w:pPr>
              <w:widowControl/>
              <w:adjustRightInd w:val="0"/>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w:t>
            </w:r>
          </w:p>
        </w:tc>
      </w:tr>
    </w:tbl>
    <w:p w14:paraId="093C9B25">
      <w:pPr>
        <w:spacing w:line="360" w:lineRule="auto"/>
        <w:rPr>
          <w:rFonts w:hint="eastAsia" w:ascii="宋体" w:hAnsi="宋体" w:eastAsia="宋体" w:cs="宋体"/>
          <w:color w:val="auto"/>
          <w:sz w:val="24"/>
          <w:szCs w:val="24"/>
          <w:highlight w:val="none"/>
        </w:rPr>
      </w:pPr>
    </w:p>
    <w:p w14:paraId="75189AE0">
      <w:pPr>
        <w:pStyle w:val="24"/>
        <w:ind w:left="440" w:leftChars="200" w:firstLine="0" w:firstLineChars="0"/>
        <w:rPr>
          <w:rFonts w:hint="eastAsia" w:hAnsi="宋体" w:cs="宋体"/>
          <w:bCs/>
          <w:szCs w:val="24"/>
          <w:highlight w:val="none"/>
        </w:rPr>
      </w:pPr>
      <w:r>
        <w:rPr>
          <w:rFonts w:hint="eastAsia" w:hAnsi="宋体" w:cs="宋体"/>
          <w:bCs/>
          <w:szCs w:val="24"/>
          <w:highlight w:val="none"/>
        </w:rPr>
        <w:t>7.3.2.2 消防车登高操作场地与建筑之间种植</w:t>
      </w:r>
    </w:p>
    <w:p w14:paraId="4BFA8BAB">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根据《建筑设计防火规范》18J811-1，消防车登高场地与建筑之间不应设置妨碍消防车操作的树木、架空管线等障碍物和车库出入口。</w:t>
      </w:r>
    </w:p>
    <w:p w14:paraId="65CD088B">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消防登高场地与建筑之间不种植乔木，种植树木为高度2米以下的灌木地被等，并注明需定期修剪以控制高度在2米以下。</w:t>
      </w:r>
    </w:p>
    <w:p w14:paraId="05CDAC25">
      <w:pPr>
        <w:pStyle w:val="24"/>
        <w:ind w:firstLine="480"/>
        <w:rPr>
          <w:rFonts w:hint="eastAsia" w:hAnsi="宋体" w:cs="宋体"/>
          <w:bCs/>
          <w:szCs w:val="24"/>
          <w:highlight w:val="none"/>
        </w:rPr>
      </w:pPr>
      <w:r>
        <w:rPr>
          <w:rFonts w:hint="eastAsia" w:hAnsi="宋体" w:cs="宋体"/>
          <w:bCs/>
          <w:szCs w:val="24"/>
          <w:highlight w:val="none"/>
        </w:rPr>
        <w:t>7.3.2.2 景观设计的植物配置，优先考虑利用树木迁移的树种，将景观绿化工程与树木保护统一设计、统一实施。</w:t>
      </w:r>
    </w:p>
    <w:p w14:paraId="3E51AD48">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13" w:name="_Toc1106"/>
      <w:bookmarkStart w:id="414" w:name="_Toc20001"/>
      <w:bookmarkStart w:id="415" w:name="_Toc109"/>
      <w:bookmarkStart w:id="416" w:name="_Toc104581762"/>
      <w:r>
        <w:rPr>
          <w:rFonts w:hint="eastAsia" w:ascii="宋体" w:hAnsi="宋体" w:eastAsia="宋体" w:cs="宋体"/>
          <w:color w:val="auto"/>
          <w:sz w:val="24"/>
          <w:szCs w:val="24"/>
          <w:highlight w:val="none"/>
        </w:rPr>
        <w:t>7.4选用指标</w:t>
      </w:r>
      <w:bookmarkEnd w:id="413"/>
      <w:bookmarkEnd w:id="414"/>
      <w:bookmarkEnd w:id="415"/>
      <w:bookmarkEnd w:id="416"/>
    </w:p>
    <w:p w14:paraId="5E717294">
      <w:pPr>
        <w:pStyle w:val="24"/>
        <w:ind w:firstLine="482"/>
        <w:rPr>
          <w:rFonts w:hint="eastAsia" w:hAnsi="宋体" w:cs="宋体"/>
          <w:b/>
          <w:bCs/>
          <w:szCs w:val="24"/>
          <w:highlight w:val="none"/>
        </w:rPr>
      </w:pPr>
      <w:r>
        <w:rPr>
          <w:rFonts w:hint="eastAsia" w:hAnsi="宋体" w:cs="宋体"/>
          <w:b/>
          <w:bCs/>
          <w:szCs w:val="24"/>
          <w:highlight w:val="none"/>
        </w:rPr>
        <w:t>7.4.1 景观园建</w:t>
      </w:r>
    </w:p>
    <w:p w14:paraId="41458649">
      <w:pPr>
        <w:pStyle w:val="24"/>
        <w:ind w:firstLine="480"/>
        <w:rPr>
          <w:rFonts w:hint="eastAsia" w:hAnsi="宋体" w:cs="宋体"/>
          <w:bCs/>
          <w:szCs w:val="24"/>
          <w:highlight w:val="none"/>
        </w:rPr>
      </w:pPr>
      <w:r>
        <w:rPr>
          <w:rFonts w:hint="eastAsia" w:hAnsi="宋体" w:cs="宋体"/>
          <w:bCs/>
          <w:szCs w:val="24"/>
          <w:highlight w:val="none"/>
        </w:rPr>
        <w:t>7.4.1.1 景观布局上应突出重点，着重打造主入口、中心区等重要景观节点，其余区域宜简化设计。</w:t>
      </w:r>
    </w:p>
    <w:p w14:paraId="233D754A">
      <w:pPr>
        <w:pStyle w:val="24"/>
        <w:ind w:firstLine="480"/>
        <w:rPr>
          <w:rFonts w:hint="eastAsia" w:hAnsi="宋体" w:cs="宋体"/>
          <w:bCs/>
          <w:szCs w:val="24"/>
          <w:highlight w:val="none"/>
        </w:rPr>
      </w:pPr>
      <w:r>
        <w:rPr>
          <w:rFonts w:hint="eastAsia" w:hAnsi="宋体" w:cs="宋体"/>
          <w:bCs/>
          <w:szCs w:val="24"/>
          <w:highlight w:val="none"/>
        </w:rPr>
        <w:t>7.4.1.2 铺贴方式需采用规整铺装，减少碎拼、切割等人工及材料成本；可考虑局部取消面层，直接在素混凝土表面进行机械刻纹或扫毛面处理。</w:t>
      </w:r>
    </w:p>
    <w:p w14:paraId="07C95866">
      <w:pPr>
        <w:pStyle w:val="24"/>
        <w:ind w:firstLine="480"/>
        <w:rPr>
          <w:rFonts w:hint="eastAsia" w:hAnsi="宋体" w:cs="宋体"/>
          <w:bCs/>
          <w:szCs w:val="24"/>
          <w:highlight w:val="none"/>
        </w:rPr>
      </w:pPr>
      <w:r>
        <w:rPr>
          <w:rFonts w:hint="eastAsia" w:hAnsi="宋体" w:cs="宋体"/>
          <w:bCs/>
          <w:szCs w:val="24"/>
          <w:highlight w:val="none"/>
        </w:rPr>
        <w:t xml:space="preserve">7.4.1.3 </w:t>
      </w:r>
    </w:p>
    <w:p w14:paraId="52510397">
      <w:pPr>
        <w:pStyle w:val="24"/>
        <w:ind w:firstLine="480"/>
        <w:rPr>
          <w:rFonts w:hint="eastAsia" w:hAnsi="宋体" w:cs="宋体"/>
          <w:bCs/>
          <w:szCs w:val="24"/>
          <w:highlight w:val="none"/>
        </w:rPr>
      </w:pPr>
      <w:r>
        <w:rPr>
          <w:rFonts w:hint="eastAsia" w:hAnsi="宋体"/>
          <w:bCs/>
          <w:highlight w:val="none"/>
        </w:rPr>
        <w:t>消防登高面材料宜选用彩色透水混凝土、沥青及彩色水泥压膜等较为经济适用材料。</w:t>
      </w:r>
    </w:p>
    <w:p w14:paraId="09039D16">
      <w:pPr>
        <w:pStyle w:val="24"/>
        <w:ind w:firstLine="480"/>
        <w:rPr>
          <w:rFonts w:hint="eastAsia" w:hAnsi="宋体" w:cs="宋体"/>
          <w:bCs/>
          <w:szCs w:val="24"/>
          <w:highlight w:val="none"/>
        </w:rPr>
      </w:pPr>
      <w:r>
        <w:rPr>
          <w:rFonts w:hint="eastAsia" w:hAnsi="宋体" w:cs="宋体"/>
          <w:bCs/>
          <w:szCs w:val="24"/>
          <w:highlight w:val="none"/>
        </w:rPr>
        <w:t>7.4.1.4 宜减少景观构筑物单体设计，若在突出的景观节点设置需选用成品构筑物。</w:t>
      </w:r>
    </w:p>
    <w:p w14:paraId="6AAE17AD">
      <w:pPr>
        <w:pStyle w:val="24"/>
        <w:ind w:firstLine="480"/>
        <w:rPr>
          <w:rFonts w:hint="eastAsia" w:hAnsi="宋体" w:cs="宋体"/>
          <w:bCs/>
          <w:szCs w:val="24"/>
          <w:highlight w:val="none"/>
        </w:rPr>
      </w:pPr>
      <w:r>
        <w:rPr>
          <w:rFonts w:hint="eastAsia" w:hAnsi="宋体" w:cs="宋体"/>
          <w:bCs/>
          <w:szCs w:val="24"/>
          <w:highlight w:val="none"/>
        </w:rPr>
        <w:t>7.4.1.5 景观小品、运动设施器材、活动场所设施等宜采用常规、经济、耐用的成品设施，材料选用工程塑料、优质钢、玻璃钢等；不宜采用异形或曲线型座椅、整石坐凳等，减少采购成本及后期维护成本。</w:t>
      </w:r>
    </w:p>
    <w:p w14:paraId="33CF3B03">
      <w:pPr>
        <w:pStyle w:val="24"/>
        <w:ind w:firstLine="480"/>
        <w:rPr>
          <w:rFonts w:hint="eastAsia" w:hAnsi="宋体" w:cs="宋体"/>
          <w:bCs/>
          <w:szCs w:val="24"/>
          <w:highlight w:val="none"/>
        </w:rPr>
      </w:pPr>
      <w:r>
        <w:rPr>
          <w:rFonts w:hint="eastAsia" w:hAnsi="宋体" w:cs="宋体"/>
          <w:bCs/>
          <w:szCs w:val="24"/>
          <w:highlight w:val="none"/>
        </w:rPr>
        <w:t>7.4.1.6 户外情景雕塑及景观置石适当减少或优化数量，仅在重点区域进行点缀表达即可。</w:t>
      </w:r>
    </w:p>
    <w:p w14:paraId="3017C2E6">
      <w:pPr>
        <w:pStyle w:val="24"/>
        <w:ind w:firstLine="480"/>
        <w:rPr>
          <w:rFonts w:hint="eastAsia" w:hAnsi="宋体" w:cs="宋体"/>
          <w:bCs/>
          <w:szCs w:val="24"/>
          <w:highlight w:val="none"/>
        </w:rPr>
      </w:pPr>
      <w:r>
        <w:rPr>
          <w:rFonts w:hint="eastAsia" w:hAnsi="宋体" w:cs="宋体"/>
          <w:bCs/>
          <w:szCs w:val="24"/>
          <w:highlight w:val="none"/>
        </w:rPr>
        <w:t>7.4.1.7围墙和护栏设计需便于管理、维护和施工方便等功能要求，围墙宜选用通透性铁艺围墙为主，设计风格需与主体建筑相呼应。</w:t>
      </w:r>
    </w:p>
    <w:p w14:paraId="1A9CBF1C">
      <w:pPr>
        <w:pStyle w:val="24"/>
        <w:ind w:firstLine="480"/>
        <w:rPr>
          <w:rFonts w:hint="eastAsia" w:hAnsi="宋体" w:cs="宋体"/>
          <w:bCs/>
          <w:szCs w:val="24"/>
          <w:highlight w:val="none"/>
        </w:rPr>
      </w:pPr>
      <w:r>
        <w:rPr>
          <w:rFonts w:hint="eastAsia" w:hAnsi="宋体" w:cs="宋体"/>
          <w:bCs/>
          <w:szCs w:val="24"/>
          <w:highlight w:val="none"/>
        </w:rPr>
        <w:t>7</w:t>
      </w:r>
      <w:r>
        <w:rPr>
          <w:rFonts w:hAnsi="宋体" w:cs="宋体"/>
          <w:bCs/>
          <w:szCs w:val="24"/>
          <w:highlight w:val="none"/>
        </w:rPr>
        <w:t>.4.1.8</w:t>
      </w:r>
      <w:r>
        <w:rPr>
          <w:rFonts w:hint="eastAsia" w:hAnsi="宋体" w:cs="宋体"/>
          <w:bCs/>
          <w:szCs w:val="24"/>
          <w:highlight w:val="none"/>
        </w:rPr>
        <w:t>不宜设计景观功能性水景，施工及维护成本较高。</w:t>
      </w:r>
    </w:p>
    <w:p w14:paraId="0A5C4894">
      <w:pPr>
        <w:pStyle w:val="24"/>
        <w:ind w:left="440" w:leftChars="200" w:firstLine="0" w:firstLineChars="0"/>
        <w:rPr>
          <w:rFonts w:hint="eastAsia" w:hAnsi="宋体" w:cs="宋体"/>
          <w:b/>
          <w:bCs/>
          <w:szCs w:val="24"/>
          <w:highlight w:val="none"/>
        </w:rPr>
      </w:pPr>
      <w:r>
        <w:rPr>
          <w:rFonts w:hint="eastAsia" w:hAnsi="宋体" w:cs="宋体"/>
          <w:b/>
          <w:bCs/>
          <w:szCs w:val="24"/>
          <w:highlight w:val="none"/>
        </w:rPr>
        <w:t>7.4.2 景观电气</w:t>
      </w:r>
    </w:p>
    <w:p w14:paraId="1158FA1C">
      <w:pPr>
        <w:pStyle w:val="24"/>
        <w:ind w:left="440" w:leftChars="200" w:firstLine="0" w:firstLineChars="0"/>
        <w:rPr>
          <w:rFonts w:hint="eastAsia" w:hAnsi="宋体" w:cs="宋体"/>
          <w:bCs/>
          <w:szCs w:val="24"/>
          <w:highlight w:val="none"/>
        </w:rPr>
      </w:pPr>
      <w:r>
        <w:rPr>
          <w:rFonts w:hint="eastAsia" w:hAnsi="宋体" w:cs="宋体"/>
          <w:bCs/>
          <w:szCs w:val="24"/>
          <w:highlight w:val="none"/>
        </w:rPr>
        <w:t>7.4.2.1 照明系统</w:t>
      </w:r>
    </w:p>
    <w:p w14:paraId="1D7FBB52">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设计居住区人行道路路面平均照度维持值为10lx，路面最小照度维持值为3lx，最小垂直照度维持值2lx。避免过度亮化。</w:t>
      </w:r>
    </w:p>
    <w:p w14:paraId="484206A4">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如无特殊景观照明要求园区以功能性照明设计为主，照明范围基本满足居民活动需求即可，不建议在不必要处设置照明设施。</w:t>
      </w:r>
    </w:p>
    <w:p w14:paraId="280590DB">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庭院灯光源采用LED光源，灯具防护等级满足≥IP54，灯杆高度建议统一为3.0m。灯体采用简洁大方、经久耐用的非定制成品庭院灯，灯具采用后期易于维护更换的产品。</w:t>
      </w:r>
    </w:p>
    <w:p w14:paraId="7892DBC6">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小区室外照明应根据季节变化合理确定开关灯时间，宜采用集中时控的控制方式。</w:t>
      </w:r>
    </w:p>
    <w:p w14:paraId="3506404E">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电缆穿管采用PVC管，壁厚不小于2.0㎜，人行道或中间绿化带下，埋深0.5m。过路管采用套镀锌钢管或玻璃钢，埋深0.7m。</w:t>
      </w:r>
    </w:p>
    <w:p w14:paraId="4BDDB019">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室外安装照明配电箱防护等级满足≥IP54。</w:t>
      </w:r>
    </w:p>
    <w:p w14:paraId="12B99F07">
      <w:pPr>
        <w:pStyle w:val="24"/>
        <w:ind w:left="440" w:leftChars="200" w:firstLine="0" w:firstLineChars="0"/>
        <w:rPr>
          <w:rFonts w:hint="eastAsia" w:hAnsi="宋体" w:cs="宋体"/>
          <w:bCs/>
          <w:szCs w:val="24"/>
          <w:highlight w:val="none"/>
        </w:rPr>
      </w:pPr>
      <w:r>
        <w:rPr>
          <w:rFonts w:hint="eastAsia" w:hAnsi="宋体" w:cs="宋体"/>
          <w:bCs/>
          <w:szCs w:val="24"/>
          <w:highlight w:val="none"/>
        </w:rPr>
        <w:t>7.4.2.2 弱电系统：</w:t>
      </w:r>
    </w:p>
    <w:p w14:paraId="76169141">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室外供电线缆采用阻燃电缆。照明、监控系统供电采用ZR-YJV线，广播系统采用ZR-RVVP线，户外光纤采用单模四芯光纤；</w:t>
      </w:r>
    </w:p>
    <w:p w14:paraId="5ACF4FEA">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室外广播采用草坪音箱，应沿行人活动范围设置，布置间距宜为30米。</w:t>
      </w:r>
    </w:p>
    <w:p w14:paraId="5E39B406">
      <w:pPr>
        <w:pStyle w:val="24"/>
        <w:ind w:left="440" w:leftChars="200" w:firstLine="0" w:firstLineChars="0"/>
        <w:rPr>
          <w:rFonts w:hint="eastAsia" w:hAnsi="宋体" w:cs="宋体"/>
          <w:b/>
          <w:bCs/>
          <w:szCs w:val="24"/>
          <w:highlight w:val="none"/>
        </w:rPr>
      </w:pPr>
      <w:r>
        <w:rPr>
          <w:rFonts w:hint="eastAsia" w:hAnsi="宋体" w:cs="宋体"/>
          <w:b/>
          <w:bCs/>
          <w:szCs w:val="24"/>
          <w:highlight w:val="none"/>
        </w:rPr>
        <w:t>7.4.3 景观给排水</w:t>
      </w:r>
    </w:p>
    <w:p w14:paraId="66BC3939">
      <w:pPr>
        <w:pStyle w:val="24"/>
        <w:ind w:firstLine="480"/>
        <w:rPr>
          <w:rFonts w:hint="eastAsia" w:hAnsi="宋体" w:cs="宋体"/>
          <w:bCs/>
          <w:szCs w:val="24"/>
          <w:highlight w:val="none"/>
        </w:rPr>
      </w:pPr>
      <w:r>
        <w:rPr>
          <w:rFonts w:hint="eastAsia" w:hAnsi="宋体" w:cs="宋体"/>
          <w:bCs/>
          <w:szCs w:val="24"/>
          <w:highlight w:val="none"/>
        </w:rPr>
        <w:t>7.4.3.1 绿化区域雨水口采用现浇混凝土平篦式单篦雨水口，采用规格为500*300的铸铁盖板；行车区域采用预制混凝土装配式平篦式单篦雨水口，详见国标图集16S518/P39。</w:t>
      </w:r>
    </w:p>
    <w:p w14:paraId="5DEC20E3">
      <w:pPr>
        <w:pStyle w:val="24"/>
        <w:ind w:firstLine="480"/>
        <w:rPr>
          <w:rFonts w:hint="eastAsia" w:hAnsi="宋体" w:cs="宋体"/>
          <w:bCs/>
          <w:szCs w:val="24"/>
          <w:highlight w:val="none"/>
        </w:rPr>
      </w:pPr>
      <w:r>
        <w:rPr>
          <w:rFonts w:hint="eastAsia" w:hAnsi="宋体" w:cs="宋体"/>
          <w:bCs/>
          <w:szCs w:val="24"/>
          <w:highlight w:val="none"/>
        </w:rPr>
        <w:t>7.4.3.2 对于绿化种植区面积较小区域以人工灌溉为主，对于面积较大区域建议使用自动喷灌系统，对于屋顶绿化和平台绿化建议使用人工灌溉。合理布置喷头间距，在保证大部分绿化被喷头覆盖范围的前提下，尽量减少喷头数量。</w:t>
      </w:r>
    </w:p>
    <w:p w14:paraId="46B694DB">
      <w:pPr>
        <w:pStyle w:val="24"/>
        <w:ind w:firstLine="480"/>
        <w:rPr>
          <w:rFonts w:hint="eastAsia" w:hAnsi="宋体" w:cs="宋体"/>
          <w:bCs/>
          <w:szCs w:val="24"/>
          <w:highlight w:val="none"/>
        </w:rPr>
      </w:pPr>
      <w:r>
        <w:rPr>
          <w:rFonts w:hint="eastAsia" w:hAnsi="宋体" w:cs="宋体"/>
          <w:bCs/>
          <w:szCs w:val="24"/>
          <w:highlight w:val="none"/>
        </w:rPr>
        <w:t>7.4.3.3 绿化给水管采用PE管，电熔连接。给水管道在绿化带下管顶覆土不小于0.5m，车行道下不小于0.7m。</w:t>
      </w:r>
    </w:p>
    <w:p w14:paraId="65798114">
      <w:pPr>
        <w:pStyle w:val="24"/>
        <w:ind w:firstLine="480"/>
        <w:rPr>
          <w:rFonts w:hint="eastAsia" w:hAnsi="宋体" w:cs="宋体"/>
          <w:bCs/>
          <w:szCs w:val="24"/>
          <w:highlight w:val="none"/>
        </w:rPr>
      </w:pPr>
      <w:r>
        <w:rPr>
          <w:rFonts w:hint="eastAsia" w:hAnsi="宋体" w:cs="宋体"/>
          <w:bCs/>
          <w:szCs w:val="24"/>
          <w:highlight w:val="none"/>
        </w:rPr>
        <w:t>7.4.3.4 绿化区域排水沟盖板采用复合树脂材料；铺装区域内排水沟盖板采用石材盖板（与周边铺装保持一致）；行车区域排水沟盖板采用镀锌钢或铸铁盖板。</w:t>
      </w:r>
    </w:p>
    <w:p w14:paraId="0159CF36">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17" w:name="_Toc17410"/>
      <w:r>
        <w:rPr>
          <w:rFonts w:hint="eastAsia" w:ascii="宋体" w:hAnsi="宋体" w:eastAsia="宋体" w:cs="宋体"/>
          <w:color w:val="auto"/>
          <w:sz w:val="24"/>
          <w:szCs w:val="24"/>
          <w:highlight w:val="none"/>
        </w:rPr>
        <w:t>7.5其它指标</w:t>
      </w:r>
      <w:bookmarkEnd w:id="417"/>
    </w:p>
    <w:p w14:paraId="6D6EF027">
      <w:pPr>
        <w:pStyle w:val="80"/>
        <w:spacing w:line="360" w:lineRule="auto"/>
        <w:ind w:firstLine="482"/>
        <w:rPr>
          <w:rFonts w:hint="eastAsia" w:ascii="宋体" w:hAnsi="宋体" w:cs="宋体"/>
          <w:b/>
          <w:sz w:val="24"/>
          <w:szCs w:val="24"/>
          <w:highlight w:val="none"/>
        </w:rPr>
      </w:pPr>
      <w:r>
        <w:rPr>
          <w:rFonts w:hint="eastAsia" w:ascii="宋体" w:hAnsi="宋体" w:cs="宋体"/>
          <w:b/>
          <w:sz w:val="24"/>
          <w:szCs w:val="24"/>
          <w:highlight w:val="none"/>
        </w:rPr>
        <w:t>7.5.1 景观园建</w:t>
      </w:r>
    </w:p>
    <w:p w14:paraId="54000872">
      <w:pPr>
        <w:pStyle w:val="24"/>
        <w:ind w:firstLine="480"/>
        <w:rPr>
          <w:rFonts w:hint="eastAsia" w:hAnsi="宋体" w:cs="宋体"/>
          <w:bCs/>
          <w:szCs w:val="24"/>
          <w:highlight w:val="none"/>
        </w:rPr>
      </w:pPr>
      <w:r>
        <w:rPr>
          <w:rFonts w:hint="eastAsia" w:hAnsi="宋体" w:cs="宋体"/>
          <w:bCs/>
          <w:szCs w:val="24"/>
          <w:highlight w:val="none"/>
        </w:rPr>
        <w:t>7.5.1.1 海绵城市控制项，铺装需采用透水材料，绿化区域建议采用下凹绿地，适当控制雨水花园面积。</w:t>
      </w:r>
    </w:p>
    <w:p w14:paraId="2050E198">
      <w:pPr>
        <w:pStyle w:val="24"/>
        <w:ind w:firstLine="480"/>
        <w:rPr>
          <w:rFonts w:hint="eastAsia" w:hAnsi="宋体" w:cs="宋体"/>
          <w:bCs/>
          <w:szCs w:val="24"/>
          <w:highlight w:val="none"/>
        </w:rPr>
      </w:pPr>
      <w:r>
        <w:rPr>
          <w:rFonts w:hint="eastAsia" w:hAnsi="宋体" w:cs="宋体"/>
          <w:bCs/>
          <w:szCs w:val="24"/>
          <w:highlight w:val="none"/>
        </w:rPr>
        <w:t>7.5.1.2 节能绿建设计相关指标及要求。</w:t>
      </w:r>
    </w:p>
    <w:p w14:paraId="59EB5870">
      <w:pPr>
        <w:pStyle w:val="80"/>
        <w:spacing w:line="360" w:lineRule="auto"/>
        <w:ind w:firstLine="482"/>
        <w:rPr>
          <w:rFonts w:hint="eastAsia" w:ascii="宋体" w:hAnsi="宋体" w:cs="宋体"/>
          <w:b/>
          <w:sz w:val="24"/>
          <w:szCs w:val="24"/>
          <w:highlight w:val="none"/>
        </w:rPr>
      </w:pPr>
      <w:r>
        <w:rPr>
          <w:rFonts w:hint="eastAsia" w:ascii="宋体" w:hAnsi="宋体" w:cs="宋体"/>
          <w:b/>
          <w:sz w:val="24"/>
          <w:szCs w:val="24"/>
          <w:highlight w:val="none"/>
        </w:rPr>
        <w:t>7.5.2 景观绿化</w:t>
      </w:r>
    </w:p>
    <w:p w14:paraId="34ACA0D2">
      <w:pPr>
        <w:pStyle w:val="80"/>
        <w:spacing w:line="360" w:lineRule="auto"/>
        <w:ind w:firstLine="480"/>
        <w:rPr>
          <w:rFonts w:hint="eastAsia" w:ascii="宋体" w:hAnsi="宋体" w:cs="宋体"/>
          <w:bCs/>
          <w:sz w:val="24"/>
          <w:szCs w:val="24"/>
          <w:highlight w:val="none"/>
        </w:rPr>
      </w:pPr>
      <w:r>
        <w:rPr>
          <w:rFonts w:hint="eastAsia" w:ascii="宋体" w:hAnsi="宋体" w:cs="宋体"/>
          <w:bCs/>
          <w:sz w:val="24"/>
          <w:szCs w:val="24"/>
          <w:highlight w:val="none"/>
        </w:rPr>
        <w:t>广州市林业和园林局关于印发《广州市城市树木保护管理规定（试行）》的通知（穗林业园林规字〔2022〕1号）</w:t>
      </w:r>
    </w:p>
    <w:p w14:paraId="5DA273DA">
      <w:pPr>
        <w:pStyle w:val="80"/>
        <w:spacing w:line="360" w:lineRule="auto"/>
        <w:ind w:firstLine="480"/>
        <w:rPr>
          <w:rFonts w:hint="eastAsia" w:ascii="宋体" w:hAnsi="宋体" w:cs="宋体"/>
          <w:bCs/>
          <w:sz w:val="24"/>
          <w:szCs w:val="24"/>
          <w:highlight w:val="none"/>
        </w:rPr>
      </w:pPr>
      <w:r>
        <w:rPr>
          <w:rFonts w:hint="eastAsia" w:ascii="宋体" w:hAnsi="宋体" w:cs="宋体"/>
          <w:bCs/>
          <w:sz w:val="24"/>
          <w:szCs w:val="24"/>
          <w:highlight w:val="none"/>
        </w:rPr>
        <w:t xml:space="preserve">严格遵守最新的树木保护规定，充分回迁利用村落原有的植物资源，在体现原生态设计的同时，有效降低建设成本。 </w:t>
      </w:r>
    </w:p>
    <w:p w14:paraId="3C434AB0">
      <w:pPr>
        <w:pStyle w:val="80"/>
        <w:spacing w:line="360" w:lineRule="auto"/>
        <w:ind w:firstLine="480"/>
        <w:rPr>
          <w:rFonts w:hint="eastAsia" w:ascii="宋体" w:hAnsi="宋体" w:cs="宋体"/>
          <w:bCs/>
          <w:sz w:val="24"/>
          <w:szCs w:val="24"/>
          <w:highlight w:val="none"/>
        </w:rPr>
      </w:pPr>
      <w:r>
        <w:rPr>
          <w:rFonts w:hint="eastAsia" w:ascii="宋体" w:hAnsi="宋体" w:cs="宋体"/>
          <w:bCs/>
          <w:sz w:val="24"/>
          <w:szCs w:val="24"/>
          <w:highlight w:val="none"/>
        </w:rPr>
        <w:t>现状原有保留树木及树木保护专章中明确需要原地回迁的树木直接影响到本项目绿化工程的投资，待树木保护专章按通知要求完成相关报批手续后，设计单位再落实树木保护专章中的具体要求。</w:t>
      </w:r>
    </w:p>
    <w:p w14:paraId="7C950944">
      <w:pPr>
        <w:pStyle w:val="80"/>
        <w:spacing w:line="360" w:lineRule="auto"/>
        <w:ind w:firstLine="482"/>
        <w:rPr>
          <w:rFonts w:hint="eastAsia" w:ascii="宋体" w:hAnsi="宋体" w:cs="宋体"/>
          <w:b/>
          <w:sz w:val="24"/>
          <w:szCs w:val="24"/>
          <w:highlight w:val="none"/>
        </w:rPr>
      </w:pPr>
      <w:r>
        <w:rPr>
          <w:rFonts w:hint="eastAsia" w:ascii="宋体" w:hAnsi="宋体" w:cs="宋体"/>
          <w:b/>
          <w:sz w:val="24"/>
          <w:szCs w:val="24"/>
          <w:highlight w:val="none"/>
        </w:rPr>
        <w:t>7.5.3 景观电气</w:t>
      </w:r>
    </w:p>
    <w:p w14:paraId="7C9172E8">
      <w:pPr>
        <w:pStyle w:val="80"/>
        <w:spacing w:line="360" w:lineRule="auto"/>
        <w:ind w:firstLine="480"/>
        <w:rPr>
          <w:rFonts w:hint="eastAsia" w:ascii="宋体" w:hAnsi="宋体" w:cs="宋体"/>
          <w:bCs/>
          <w:sz w:val="24"/>
          <w:szCs w:val="24"/>
          <w:highlight w:val="none"/>
        </w:rPr>
      </w:pPr>
      <w:r>
        <w:rPr>
          <w:rFonts w:hint="eastAsia" w:ascii="宋体" w:hAnsi="宋体" w:cs="宋体"/>
          <w:bCs/>
          <w:sz w:val="24"/>
          <w:szCs w:val="24"/>
          <w:highlight w:val="none"/>
        </w:rPr>
        <w:t>景观照明设计，在满足最新强条的基础上，使用节约型照明设施，对灯的数量和照度进行合理布置。</w:t>
      </w:r>
    </w:p>
    <w:p w14:paraId="72F21C33">
      <w:pPr>
        <w:pStyle w:val="80"/>
        <w:spacing w:line="360" w:lineRule="auto"/>
        <w:ind w:firstLine="482"/>
        <w:rPr>
          <w:rFonts w:hint="eastAsia" w:ascii="宋体" w:hAnsi="宋体" w:cs="宋体"/>
          <w:b/>
          <w:sz w:val="24"/>
          <w:szCs w:val="24"/>
          <w:highlight w:val="none"/>
        </w:rPr>
      </w:pPr>
      <w:r>
        <w:rPr>
          <w:rFonts w:hint="eastAsia" w:ascii="宋体" w:hAnsi="宋体" w:cs="宋体"/>
          <w:b/>
          <w:sz w:val="24"/>
          <w:szCs w:val="24"/>
          <w:highlight w:val="none"/>
        </w:rPr>
        <w:t>7.5.4 景观给排水</w:t>
      </w:r>
    </w:p>
    <w:p w14:paraId="4D30BC59">
      <w:pPr>
        <w:pStyle w:val="80"/>
        <w:spacing w:line="360" w:lineRule="auto"/>
        <w:ind w:firstLine="480"/>
        <w:rPr>
          <w:rFonts w:hint="eastAsia" w:ascii="宋体" w:hAnsi="宋体" w:cs="宋体"/>
          <w:bCs/>
          <w:sz w:val="24"/>
          <w:szCs w:val="24"/>
          <w:highlight w:val="none"/>
        </w:rPr>
      </w:pPr>
      <w:r>
        <w:rPr>
          <w:rFonts w:hint="eastAsia" w:ascii="宋体" w:hAnsi="宋体" w:cs="宋体"/>
          <w:bCs/>
          <w:sz w:val="24"/>
          <w:szCs w:val="24"/>
          <w:highlight w:val="none"/>
        </w:rPr>
        <w:t>根据《市水务局-关于进一步明确排水工程建设要求的通知》（穗南区环水〔2017〕290号）的指导精神：排水管材应优先选用混凝土管、不宜选用HDPE管材。</w:t>
      </w:r>
    </w:p>
    <w:p w14:paraId="61B68ADB">
      <w:pPr>
        <w:spacing w:line="360" w:lineRule="auto"/>
        <w:rPr>
          <w:rFonts w:hint="eastAsia" w:ascii="宋体" w:hAnsi="宋体" w:eastAsia="宋体" w:cs="宋体"/>
          <w:b/>
          <w:color w:val="auto"/>
          <w:kern w:val="44"/>
          <w:sz w:val="24"/>
          <w:szCs w:val="24"/>
          <w:highlight w:val="none"/>
        </w:rPr>
      </w:pPr>
      <w:bookmarkStart w:id="418" w:name="_Toc18720"/>
      <w:r>
        <w:rPr>
          <w:rFonts w:hint="eastAsia" w:ascii="宋体" w:hAnsi="宋体" w:eastAsia="宋体" w:cs="宋体"/>
          <w:b/>
          <w:color w:val="auto"/>
          <w:kern w:val="44"/>
          <w:sz w:val="24"/>
          <w:szCs w:val="24"/>
          <w:highlight w:val="none"/>
        </w:rPr>
        <w:br w:type="page"/>
      </w:r>
    </w:p>
    <w:p w14:paraId="32F9DC4F">
      <w:pPr>
        <w:pStyle w:val="5"/>
        <w:keepNext w:val="0"/>
        <w:keepLines w:val="0"/>
        <w:snapToGrid/>
        <w:spacing w:before="156" w:beforeLines="50" w:after="0"/>
        <w:ind w:firstLine="482" w:firstLineChars="200"/>
        <w:rPr>
          <w:rFonts w:hint="eastAsia" w:ascii="宋体" w:hAnsi="宋体" w:eastAsia="宋体" w:cs="宋体"/>
          <w:color w:val="auto"/>
          <w:sz w:val="24"/>
          <w:szCs w:val="24"/>
          <w:highlight w:val="none"/>
        </w:rPr>
      </w:pPr>
      <w:bookmarkStart w:id="419" w:name="_Toc104581763"/>
      <w:bookmarkStart w:id="420" w:name="_Toc30280"/>
      <w:bookmarkStart w:id="421" w:name="_Toc27090"/>
      <w:bookmarkStart w:id="422" w:name="_Toc28151"/>
      <w:r>
        <w:rPr>
          <w:rFonts w:hint="eastAsia" w:ascii="宋体" w:hAnsi="宋体" w:eastAsia="宋体" w:cs="宋体"/>
          <w:color w:val="auto"/>
          <w:sz w:val="24"/>
          <w:szCs w:val="24"/>
          <w:highlight w:val="none"/>
        </w:rPr>
        <w:t>8.绿色建筑设计</w:t>
      </w:r>
      <w:bookmarkEnd w:id="418"/>
      <w:bookmarkEnd w:id="419"/>
      <w:bookmarkEnd w:id="420"/>
      <w:bookmarkEnd w:id="421"/>
      <w:bookmarkEnd w:id="422"/>
    </w:p>
    <w:p w14:paraId="368599FE">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23" w:name="_Toc104581764"/>
      <w:bookmarkStart w:id="424" w:name="_Toc17465"/>
      <w:bookmarkStart w:id="425" w:name="_Toc9805"/>
      <w:bookmarkStart w:id="426" w:name="_Toc19442"/>
      <w:r>
        <w:rPr>
          <w:rFonts w:hint="eastAsia" w:ascii="宋体" w:hAnsi="宋体" w:eastAsia="宋体" w:cs="宋体"/>
          <w:color w:val="auto"/>
          <w:sz w:val="24"/>
          <w:szCs w:val="24"/>
          <w:highlight w:val="none"/>
        </w:rPr>
        <w:t>8.1 总则</w:t>
      </w:r>
      <w:bookmarkEnd w:id="423"/>
      <w:bookmarkEnd w:id="424"/>
      <w:bookmarkEnd w:id="425"/>
      <w:bookmarkEnd w:id="426"/>
    </w:p>
    <w:p w14:paraId="3E717034">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8.1.1 在限额设计的基础上保障安置区规划设计基本住房条件和功能质量，使设计满足安全、卫生、适用、经济等性能要求。</w:t>
      </w:r>
    </w:p>
    <w:p w14:paraId="20EA46F2">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8.1.2 本章按国标《绿色建筑评价标准》GB/T 50378-2019（2024年修订版）的条文标准制定。</w:t>
      </w:r>
    </w:p>
    <w:p w14:paraId="56B07366">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27" w:name="_Toc104581765"/>
      <w:bookmarkStart w:id="428" w:name="_Toc27375"/>
      <w:bookmarkStart w:id="429" w:name="_Toc30135"/>
      <w:bookmarkStart w:id="430" w:name="_Toc16363"/>
      <w:r>
        <w:rPr>
          <w:rFonts w:hint="eastAsia" w:ascii="宋体" w:hAnsi="宋体" w:eastAsia="宋体" w:cs="宋体"/>
          <w:color w:val="auto"/>
          <w:sz w:val="24"/>
          <w:szCs w:val="24"/>
          <w:highlight w:val="none"/>
        </w:rPr>
        <w:t>8.2 关键指标</w:t>
      </w:r>
      <w:bookmarkEnd w:id="427"/>
      <w:bookmarkEnd w:id="428"/>
      <w:bookmarkEnd w:id="429"/>
      <w:bookmarkEnd w:id="430"/>
    </w:p>
    <w:p w14:paraId="4A4806D1">
      <w:pPr>
        <w:pStyle w:val="24"/>
        <w:ind w:firstLine="482"/>
        <w:rPr>
          <w:rFonts w:hint="eastAsia" w:hAnsi="宋体" w:cs="宋体"/>
          <w:b/>
          <w:bCs/>
          <w:szCs w:val="24"/>
          <w:highlight w:val="none"/>
        </w:rPr>
      </w:pPr>
      <w:r>
        <w:rPr>
          <w:rFonts w:hint="eastAsia" w:hAnsi="宋体" w:cs="宋体"/>
          <w:b/>
          <w:bCs/>
          <w:szCs w:val="24"/>
          <w:highlight w:val="none"/>
        </w:rPr>
        <w:t>8.2.1 总体设计要求</w:t>
      </w:r>
    </w:p>
    <w:p w14:paraId="483A55F1">
      <w:pPr>
        <w:spacing w:line="360" w:lineRule="auto"/>
        <w:ind w:firstLine="480" w:firstLineChars="200"/>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绿建设计等级要求：按《广州市城建领导小组办公室关于明确绿色建筑标准执行有关事项的通知》，政府投资公益性建筑和大型公共建筑应当按照二星级及以上绿色建筑标准进行建设；建筑面积大于10万平方米的居住小区按照二星级及以上绿色建筑标准进行建设。根据天河区经济发展现状和本项目建设的实际情况，本项目内绿色建筑不应低于国标《绿色建筑评价标准》GB/T 50378-2019（2024年修订版）二星级标准。（项目内需要执行绿色建筑相关要求的楼栋以初步设计审批结果为准）</w:t>
      </w:r>
    </w:p>
    <w:p w14:paraId="00FFEC7A">
      <w:pPr>
        <w:pStyle w:val="24"/>
        <w:ind w:firstLine="482"/>
        <w:rPr>
          <w:rFonts w:hint="eastAsia" w:hAnsi="宋体" w:cs="宋体"/>
          <w:b/>
          <w:bCs/>
          <w:szCs w:val="24"/>
          <w:highlight w:val="none"/>
        </w:rPr>
      </w:pPr>
      <w:r>
        <w:rPr>
          <w:rFonts w:hint="eastAsia" w:hAnsi="宋体" w:cs="宋体"/>
          <w:b/>
          <w:bCs/>
          <w:szCs w:val="24"/>
          <w:highlight w:val="none"/>
        </w:rPr>
        <w:t>8.2.2 评分参考</w:t>
      </w:r>
    </w:p>
    <w:p w14:paraId="751FA356">
      <w:pPr>
        <w:spacing w:line="360" w:lineRule="auto"/>
        <w:ind w:firstLine="480" w:firstLineChars="200"/>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以下自评估得分仅作为绿色建筑得分参考，可根据项目实际情况进行分数调整，调整后项目得分及相关设计不应低于国标《绿色建筑评价标准》GB/T 50378-2019（2024年修订版）二星级标准要求。</w:t>
      </w:r>
    </w:p>
    <w:p w14:paraId="59CA2216">
      <w:pPr>
        <w:spacing w:line="360" w:lineRule="auto"/>
        <w:rPr>
          <w:rFonts w:hint="eastAsia" w:ascii="宋体" w:hAnsi="宋体" w:eastAsia="宋体" w:cs="宋体"/>
          <w:color w:val="auto"/>
          <w:sz w:val="24"/>
          <w:szCs w:val="24"/>
          <w:highlight w:val="none"/>
        </w:rPr>
        <w:sectPr>
          <w:pgSz w:w="11906" w:h="16838"/>
          <w:pgMar w:top="1440" w:right="1440" w:bottom="1440" w:left="1440" w:header="851" w:footer="992" w:gutter="0"/>
          <w:cols w:space="425" w:num="1"/>
          <w:docGrid w:type="lines" w:linePitch="312" w:charSpace="0"/>
        </w:sectPr>
      </w:pPr>
    </w:p>
    <w:p w14:paraId="3A8A9782">
      <w:pPr>
        <w:pStyle w:val="7"/>
        <w:numPr>
          <w:ilvl w:val="3"/>
          <w:numId w:val="0"/>
        </w:numPr>
        <w:jc w:val="both"/>
        <w:rPr>
          <w:rFonts w:hint="eastAsia" w:ascii="宋体" w:hAnsi="宋体" w:cs="宋体"/>
          <w:b w:val="0"/>
          <w:bCs/>
          <w:highlight w:val="none"/>
        </w:rPr>
      </w:pPr>
      <w:r>
        <w:rPr>
          <w:rFonts w:hint="eastAsia" w:ascii="宋体" w:hAnsi="宋体" w:cs="宋体"/>
          <w:b w:val="0"/>
          <w:bCs/>
          <w:highlight w:val="none"/>
        </w:rPr>
        <w:t>（1）住宅：</w:t>
      </w:r>
    </w:p>
    <w:p w14:paraId="71E3372E">
      <w:pPr>
        <w:pStyle w:val="7"/>
        <w:numPr>
          <w:ilvl w:val="3"/>
          <w:numId w:val="0"/>
        </w:numPr>
        <w:jc w:val="both"/>
        <w:rPr>
          <w:rFonts w:hint="eastAsia" w:ascii="宋体" w:hAnsi="宋体" w:cs="宋体"/>
          <w:highlight w:val="none"/>
        </w:rPr>
      </w:pPr>
      <w:r>
        <w:rPr>
          <w:rFonts w:hint="eastAsia" w:ascii="宋体" w:hAnsi="宋体" w:cs="宋体"/>
          <w:b w:val="0"/>
          <w:bCs/>
          <w:highlight w:val="none"/>
        </w:rPr>
        <w:t>住宅二星级评分项</w:t>
      </w:r>
    </w:p>
    <w:tbl>
      <w:tblPr>
        <w:tblStyle w:val="42"/>
        <w:tblW w:w="13948" w:type="dxa"/>
        <w:jc w:val="center"/>
        <w:tblLayout w:type="fixed"/>
        <w:tblCellMar>
          <w:top w:w="0" w:type="dxa"/>
          <w:left w:w="0" w:type="dxa"/>
          <w:bottom w:w="0" w:type="dxa"/>
          <w:right w:w="0" w:type="dxa"/>
        </w:tblCellMar>
      </w:tblPr>
      <w:tblGrid>
        <w:gridCol w:w="1618"/>
        <w:gridCol w:w="1297"/>
        <w:gridCol w:w="798"/>
        <w:gridCol w:w="989"/>
        <w:gridCol w:w="5153"/>
        <w:gridCol w:w="628"/>
        <w:gridCol w:w="625"/>
        <w:gridCol w:w="974"/>
        <w:gridCol w:w="1866"/>
      </w:tblGrid>
      <w:tr w14:paraId="198222E9">
        <w:tblPrEx>
          <w:tblCellMar>
            <w:top w:w="0" w:type="dxa"/>
            <w:left w:w="0" w:type="dxa"/>
            <w:bottom w:w="0" w:type="dxa"/>
            <w:right w:w="0" w:type="dxa"/>
          </w:tblCellMar>
        </w:tblPrEx>
        <w:trPr>
          <w:trHeight w:val="465" w:hRule="atLeast"/>
          <w:jc w:val="center"/>
        </w:trPr>
        <w:tc>
          <w:tcPr>
            <w:tcW w:w="13948" w:type="dxa"/>
            <w:gridSpan w:val="9"/>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C8E190">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天河区长湴村改造项目AT0211020地块住宅项目</w:t>
            </w:r>
          </w:p>
        </w:tc>
      </w:tr>
      <w:tr w14:paraId="3224EB5D">
        <w:tblPrEx>
          <w:tblCellMar>
            <w:top w:w="0" w:type="dxa"/>
            <w:left w:w="0" w:type="dxa"/>
            <w:bottom w:w="0" w:type="dxa"/>
            <w:right w:w="0" w:type="dxa"/>
          </w:tblCellMar>
        </w:tblPrEx>
        <w:trPr>
          <w:trHeight w:val="675" w:hRule="atLeast"/>
          <w:jc w:val="center"/>
        </w:trPr>
        <w:tc>
          <w:tcPr>
            <w:tcW w:w="161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821711">
            <w:pPr>
              <w:jc w:val="center"/>
              <w:rPr>
                <w:rFonts w:hint="eastAsia" w:ascii="宋体" w:hAnsi="宋体" w:eastAsia="宋体" w:cs="宋体"/>
                <w:bCs/>
                <w:color w:val="auto"/>
                <w:sz w:val="18"/>
                <w:szCs w:val="18"/>
                <w:highlight w:val="none"/>
              </w:rPr>
            </w:pPr>
          </w:p>
        </w:tc>
        <w:tc>
          <w:tcPr>
            <w:tcW w:w="1297"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BBB987">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基本级要求</w:t>
            </w: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C91510">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一星级要求</w:t>
            </w:r>
          </w:p>
        </w:tc>
        <w:tc>
          <w:tcPr>
            <w:tcW w:w="989"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39AFF3">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二星级要求</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1FCC68">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三星级要求</w:t>
            </w:r>
          </w:p>
        </w:tc>
        <w:tc>
          <w:tcPr>
            <w:tcW w:w="4093" w:type="dxa"/>
            <w:gridSpan w:val="4"/>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F17512">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评分项和加分项</w:t>
            </w:r>
          </w:p>
        </w:tc>
      </w:tr>
      <w:tr w14:paraId="257D048F">
        <w:tblPrEx>
          <w:tblCellMar>
            <w:top w:w="0" w:type="dxa"/>
            <w:left w:w="0" w:type="dxa"/>
            <w:bottom w:w="0" w:type="dxa"/>
            <w:right w:w="0" w:type="dxa"/>
          </w:tblCellMar>
        </w:tblPrEx>
        <w:trPr>
          <w:trHeight w:val="45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660EA0">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总得分</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4BE0AC">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40</w:t>
            </w:r>
          </w:p>
        </w:tc>
        <w:tc>
          <w:tcPr>
            <w:tcW w:w="79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F70A6F">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≥60</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58505E">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≥70</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0FEC5B">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≥85</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EB4078">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总分</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14F429">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得分</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E7CE6A">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得分率</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E6ACB9">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总得分</w:t>
            </w:r>
          </w:p>
        </w:tc>
      </w:tr>
      <w:tr w14:paraId="5454695F">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24A323">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 安全耐久</w:t>
            </w:r>
          </w:p>
        </w:tc>
        <w:tc>
          <w:tcPr>
            <w:tcW w:w="1297" w:type="dxa"/>
            <w:vMerge w:val="restart"/>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4093509A">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w:t>
            </w: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880A72">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05A3D5">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100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6B1C4A">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41</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290ABE">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41%</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8DD5EA">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 xml:space="preserve">71.80 </w:t>
            </w:r>
          </w:p>
        </w:tc>
      </w:tr>
      <w:tr w14:paraId="3F449BB6">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5B398D">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5 健康舒适</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57BBC078">
            <w:pPr>
              <w:jc w:val="center"/>
              <w:rPr>
                <w:rFonts w:hint="eastAsia" w:ascii="宋体" w:hAnsi="宋体" w:eastAsia="宋体" w:cs="宋体"/>
                <w:bCs/>
                <w:color w:val="auto"/>
                <w:sz w:val="18"/>
                <w:szCs w:val="18"/>
                <w:highlight w:val="none"/>
              </w:rPr>
            </w:pP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D3AB29">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5A2F7E">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100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DCC851">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55</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FDB991">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55%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C4F055">
            <w:pPr>
              <w:jc w:val="center"/>
              <w:rPr>
                <w:rFonts w:hint="eastAsia" w:ascii="宋体" w:hAnsi="宋体" w:eastAsia="宋体" w:cs="宋体"/>
                <w:bCs/>
                <w:color w:val="auto"/>
                <w:sz w:val="18"/>
                <w:szCs w:val="18"/>
                <w:highlight w:val="none"/>
              </w:rPr>
            </w:pPr>
          </w:p>
        </w:tc>
      </w:tr>
      <w:tr w14:paraId="7DA3BE30">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165CC0">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6 生活便利</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62F0FE1A">
            <w:pPr>
              <w:jc w:val="center"/>
              <w:rPr>
                <w:rFonts w:hint="eastAsia" w:ascii="宋体" w:hAnsi="宋体" w:eastAsia="宋体" w:cs="宋体"/>
                <w:bCs/>
                <w:color w:val="auto"/>
                <w:sz w:val="18"/>
                <w:szCs w:val="18"/>
                <w:highlight w:val="none"/>
              </w:rPr>
            </w:pP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5108CE">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CBAD1E">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70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BD090D">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32</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11178F">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47%</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C188A3">
            <w:pPr>
              <w:jc w:val="center"/>
              <w:rPr>
                <w:rFonts w:hint="eastAsia" w:ascii="宋体" w:hAnsi="宋体" w:eastAsia="宋体" w:cs="宋体"/>
                <w:bCs/>
                <w:color w:val="auto"/>
                <w:sz w:val="18"/>
                <w:szCs w:val="18"/>
                <w:highlight w:val="none"/>
              </w:rPr>
            </w:pPr>
          </w:p>
        </w:tc>
      </w:tr>
      <w:tr w14:paraId="584D1BB6">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C423A3">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7 资源节约</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3897E2C8">
            <w:pPr>
              <w:jc w:val="center"/>
              <w:rPr>
                <w:rFonts w:hint="eastAsia" w:ascii="宋体" w:hAnsi="宋体" w:eastAsia="宋体" w:cs="宋体"/>
                <w:bCs/>
                <w:color w:val="auto"/>
                <w:sz w:val="18"/>
                <w:szCs w:val="18"/>
                <w:highlight w:val="none"/>
              </w:rPr>
            </w:pP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E3DFD5">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0ECBAB">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200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A81812">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99</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B01FD1">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50%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C16504">
            <w:pPr>
              <w:jc w:val="center"/>
              <w:rPr>
                <w:rFonts w:hint="eastAsia" w:ascii="宋体" w:hAnsi="宋体" w:eastAsia="宋体" w:cs="宋体"/>
                <w:bCs/>
                <w:color w:val="auto"/>
                <w:sz w:val="18"/>
                <w:szCs w:val="18"/>
                <w:highlight w:val="none"/>
              </w:rPr>
            </w:pPr>
          </w:p>
        </w:tc>
      </w:tr>
      <w:tr w14:paraId="1D29B7AB">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2D01BA">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8 环境宜居</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56A80E3E">
            <w:pPr>
              <w:jc w:val="center"/>
              <w:rPr>
                <w:rFonts w:hint="eastAsia" w:ascii="宋体" w:hAnsi="宋体" w:eastAsia="宋体" w:cs="宋体"/>
                <w:bCs/>
                <w:color w:val="auto"/>
                <w:sz w:val="18"/>
                <w:szCs w:val="18"/>
                <w:highlight w:val="none"/>
              </w:rPr>
            </w:pP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3739EB">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B5943C">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100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048D8C">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61</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B72634">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61%</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41536A">
            <w:pPr>
              <w:jc w:val="center"/>
              <w:rPr>
                <w:rFonts w:hint="eastAsia" w:ascii="宋体" w:hAnsi="宋体" w:eastAsia="宋体" w:cs="宋体"/>
                <w:bCs/>
                <w:color w:val="auto"/>
                <w:sz w:val="18"/>
                <w:szCs w:val="18"/>
                <w:highlight w:val="none"/>
              </w:rPr>
            </w:pPr>
          </w:p>
        </w:tc>
      </w:tr>
      <w:tr w14:paraId="72978343">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77CA66">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9 创新提高</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629C9C7F">
            <w:pPr>
              <w:jc w:val="center"/>
              <w:rPr>
                <w:rFonts w:hint="eastAsia" w:ascii="宋体" w:hAnsi="宋体" w:eastAsia="宋体" w:cs="宋体"/>
                <w:bCs/>
                <w:color w:val="auto"/>
                <w:sz w:val="18"/>
                <w:szCs w:val="18"/>
                <w:highlight w:val="none"/>
              </w:rPr>
            </w:pPr>
          </w:p>
        </w:tc>
        <w:tc>
          <w:tcPr>
            <w:tcW w:w="6940"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2C8E21">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55413C">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100</w:t>
            </w:r>
          </w:p>
        </w:tc>
        <w:tc>
          <w:tcPr>
            <w:tcW w:w="62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B46BF1">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97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9DF1E3">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557C8A">
            <w:pPr>
              <w:jc w:val="center"/>
              <w:rPr>
                <w:rFonts w:hint="eastAsia" w:ascii="宋体" w:hAnsi="宋体" w:eastAsia="宋体" w:cs="宋体"/>
                <w:bCs/>
                <w:color w:val="auto"/>
                <w:sz w:val="18"/>
                <w:szCs w:val="18"/>
                <w:highlight w:val="none"/>
              </w:rPr>
            </w:pPr>
          </w:p>
        </w:tc>
      </w:tr>
      <w:tr w14:paraId="2E9F9B07">
        <w:tblPrEx>
          <w:tblCellMar>
            <w:top w:w="0" w:type="dxa"/>
            <w:left w:w="0" w:type="dxa"/>
            <w:bottom w:w="0" w:type="dxa"/>
            <w:right w:w="0" w:type="dxa"/>
          </w:tblCellMar>
        </w:tblPrEx>
        <w:trPr>
          <w:trHeight w:val="69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9385F8">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章节</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B8752D5">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分类</w:t>
            </w: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181AA1E">
            <w:pPr>
              <w:jc w:val="center"/>
              <w:rPr>
                <w:rFonts w:hint="eastAsia" w:ascii="宋体" w:hAnsi="宋体" w:eastAsia="宋体" w:cs="宋体"/>
                <w:bCs/>
                <w:color w:val="auto"/>
                <w:sz w:val="18"/>
                <w:szCs w:val="18"/>
                <w:highlight w:val="none"/>
              </w:rPr>
            </w:pPr>
          </w:p>
        </w:tc>
        <w:tc>
          <w:tcPr>
            <w:tcW w:w="989"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6681ABD">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编号</w:t>
            </w:r>
          </w:p>
        </w:tc>
        <w:tc>
          <w:tcPr>
            <w:tcW w:w="5153"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2D69656">
            <w:pPr>
              <w:widowControl/>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条文内容</w:t>
            </w:r>
          </w:p>
        </w:tc>
        <w:tc>
          <w:tcPr>
            <w:tcW w:w="62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D521444">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总分值</w:t>
            </w:r>
          </w:p>
        </w:tc>
        <w:tc>
          <w:tcPr>
            <w:tcW w:w="1599"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50E0694B">
            <w:pPr>
              <w:rPr>
                <w:rFonts w:hint="eastAsia" w:ascii="宋体" w:hAnsi="宋体" w:eastAsia="宋体" w:cs="宋体"/>
                <w:bCs/>
                <w:color w:val="auto"/>
                <w:sz w:val="18"/>
                <w:szCs w:val="18"/>
                <w:highlight w:val="none"/>
              </w:rPr>
            </w:pPr>
            <w:r>
              <w:rPr>
                <w:rFonts w:hint="eastAsia" w:ascii="宋体" w:hAnsi="宋体" w:eastAsia="宋体" w:cs="宋体"/>
                <w:bCs/>
                <w:color w:val="auto"/>
                <w:sz w:val="18"/>
                <w:szCs w:val="18"/>
                <w:highlight w:val="none"/>
              </w:rPr>
              <w:t>预评估得分</w:t>
            </w:r>
          </w:p>
          <w:p w14:paraId="4C344513">
            <w:pPr>
              <w:widowControl/>
              <w:jc w:val="center"/>
              <w:textAlignment w:val="center"/>
              <w:rPr>
                <w:rFonts w:hint="eastAsia" w:ascii="宋体" w:hAnsi="宋体" w:eastAsia="宋体" w:cs="宋体"/>
                <w:bCs/>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4ADA26">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涉及专业</w:t>
            </w:r>
          </w:p>
        </w:tc>
      </w:tr>
      <w:tr w14:paraId="212A4C7F">
        <w:tblPrEx>
          <w:tblCellMar>
            <w:top w:w="0" w:type="dxa"/>
            <w:left w:w="0" w:type="dxa"/>
            <w:bottom w:w="0" w:type="dxa"/>
            <w:right w:w="0" w:type="dxa"/>
          </w:tblCellMar>
        </w:tblPrEx>
        <w:trPr>
          <w:trHeight w:val="90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0B305D">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 安全耐久</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44B2AF1">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2BB1A26">
            <w:pPr>
              <w:jc w:val="center"/>
              <w:rPr>
                <w:rFonts w:hint="eastAsia" w:ascii="宋体" w:hAnsi="宋体" w:eastAsia="宋体" w:cs="宋体"/>
                <w:bCs/>
                <w:color w:val="auto"/>
                <w:sz w:val="18"/>
                <w:szCs w:val="18"/>
                <w:highlight w:val="none"/>
              </w:rPr>
            </w:pPr>
          </w:p>
        </w:tc>
        <w:tc>
          <w:tcPr>
            <w:tcW w:w="989"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E6D8ED">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4.1.1</w:t>
            </w:r>
          </w:p>
        </w:tc>
        <w:tc>
          <w:tcPr>
            <w:tcW w:w="5153"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1CF3FB">
            <w:pPr>
              <w:widowControl/>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场地应无洪涝、滑坡、泥石流、地陷、地裂、崩塌等自然灾害的威胁，无危险化学品、易燃易爆危险源的威胁，无电磁辐射、含氡土壤等危害。</w:t>
            </w:r>
          </w:p>
        </w:tc>
        <w:tc>
          <w:tcPr>
            <w:tcW w:w="628"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C8D5FF">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w:t>
            </w:r>
          </w:p>
        </w:tc>
        <w:tc>
          <w:tcPr>
            <w:tcW w:w="1599"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C6948B">
            <w:pPr>
              <w:jc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3D6A77">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建设单位</w:t>
            </w:r>
          </w:p>
        </w:tc>
      </w:tr>
      <w:tr w14:paraId="382EAE90">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C561F3">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54BA1DD">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18D550E">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04D5A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8519C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建筑结构应满足承载力和建筑使用功能要求。建筑外墙、屋面、门窗、幕墙及外保温等围护结构应满足安全、耐久和防护的要求。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3B6E7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08BBE5">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1D1EA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3207E1B7">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EB8A60">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74286A53">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D83F042">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A4E26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8F504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外遮阳、太阳能设施、空调室外机位、外墙花池等外部设施应与建筑主体结构统一设计、施工，并应具备安装、检修与维护条件。</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06B39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2489DD">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C9AD3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建筑、结构</w:t>
            </w:r>
          </w:p>
        </w:tc>
      </w:tr>
      <w:tr w14:paraId="6F47B36F">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6AFA53">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A1241FA">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97A0F87">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B2839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6FE22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建筑内部的非结构构件、设备及附属设施等应连接牢固并能适应主体结构变形。</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43838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1A9775">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31384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07BC0471">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BB8E67">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252E09B">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07F7652">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EB03B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FACB8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外门窗的气密性能、水密性能和抗风压性能应根据使用要求确定，且外门窗洞口与外门窗本体的结合部位应严密。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5F463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15D16C">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0FF87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087661F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03054B">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5EEE876">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958C505">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8B159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C8850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卫生间、浴室的地面应设置防水层，墙面、顶棚应设置防潮层。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A4D78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EC47E7">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8F532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5C988FB4">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9986FE">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CDC8993">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396BB4D">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9C25D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6514D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走廊、疏散通道等通行空间应满足紧急疏散、应急救护等要求，且应保持畅通。</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DCF3C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816001">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4CD51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5F797775">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CDC1E2">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793DE9B">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ECFC28A">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36706F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4.1.8</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284167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应具有安全防护的警示和引导标识系统。</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05EA52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9F1AAEC">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36E19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6E81DADA">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E8AB47">
            <w:pPr>
              <w:jc w:val="center"/>
              <w:rPr>
                <w:rFonts w:hint="eastAsia" w:ascii="宋体" w:hAnsi="宋体" w:eastAsia="宋体" w:cs="宋体"/>
                <w:color w:val="auto"/>
                <w:sz w:val="18"/>
                <w:szCs w:val="18"/>
                <w:highlight w:val="none"/>
              </w:rPr>
            </w:pPr>
          </w:p>
        </w:tc>
        <w:tc>
          <w:tcPr>
            <w:tcW w:w="1297" w:type="dxa"/>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5FFB296">
            <w:pPr>
              <w:jc w:val="center"/>
              <w:rPr>
                <w:rFonts w:hint="eastAsia" w:ascii="宋体" w:hAnsi="宋体" w:eastAsia="宋体" w:cs="宋体"/>
                <w:color w:val="auto"/>
                <w:sz w:val="18"/>
                <w:szCs w:val="18"/>
                <w:highlight w:val="none"/>
              </w:rPr>
            </w:pPr>
          </w:p>
        </w:tc>
        <w:tc>
          <w:tcPr>
            <w:tcW w:w="798" w:type="dxa"/>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D72FEA2">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F9F5408">
            <w:pPr>
              <w:widowControl/>
              <w:jc w:val="center"/>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4.1.9</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E67A62C">
            <w:pPr>
              <w:pStyle w:val="17"/>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安全耐久相关技术要求应符合现行强制性工程建设规范《工程结构通用规范》GB55001、《建筑与市政工程抗震通用规范》GB55002、《建筑与市政地基基础通用规范》GB55003、《组合结构通用规范》GB55004、《木结构通用规范》GB55005、《钢结构通用规范》GB55006、《砌体结构通用规范》GB55007、《混凝土结构通用规范》GB55008、《燃气工程项目规范》GB55009、《供热工程项目规范》GB55010、《建筑环境通用规范》GB55016、《建筑给水排水与节水通用规范》GB55020、《民用建筑通用规范》GB55031、《建筑防火通用规范》GB55037</w:t>
            </w:r>
          </w:p>
          <w:p w14:paraId="695EDC12">
            <w:pPr>
              <w:widowControl/>
              <w:textAlignment w:val="center"/>
              <w:rPr>
                <w:rFonts w:hint="eastAsia" w:ascii="宋体" w:hAnsi="宋体" w:eastAsia="宋体" w:cs="宋体"/>
                <w:color w:val="auto"/>
                <w:kern w:val="0"/>
                <w:sz w:val="18"/>
                <w:szCs w:val="18"/>
                <w:highlight w:val="none"/>
              </w:rPr>
            </w:pP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72D8291">
            <w:pPr>
              <w:widowControl/>
              <w:jc w:val="center"/>
              <w:textAlignment w:val="center"/>
              <w:rPr>
                <w:rFonts w:hint="eastAsia" w:ascii="宋体" w:hAnsi="宋体" w:eastAsia="宋体" w:cs="宋体"/>
                <w:color w:val="auto"/>
                <w:kern w:val="0"/>
                <w:sz w:val="18"/>
                <w:szCs w:val="18"/>
                <w:highlight w:val="none"/>
              </w:rPr>
            </w:pP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7F6E153">
            <w:pPr>
              <w:jc w:val="center"/>
              <w:rPr>
                <w:rFonts w:hint="eastAsia" w:ascii="宋体" w:hAnsi="宋体" w:eastAsia="宋体" w:cs="宋体"/>
                <w:color w:val="auto"/>
                <w:kern w:val="0"/>
                <w:sz w:val="18"/>
                <w:szCs w:val="18"/>
                <w:highlight w:val="none"/>
              </w:rPr>
            </w:pPr>
          </w:p>
          <w:p w14:paraId="452EEF50">
            <w:pPr>
              <w:rPr>
                <w:rFonts w:hint="eastAsia"/>
                <w:color w:val="auto"/>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9FB8D0">
            <w:pPr>
              <w:widowControl/>
              <w:jc w:val="center"/>
              <w:textAlignment w:val="center"/>
              <w:rPr>
                <w:rFonts w:hint="eastAsia" w:ascii="宋体" w:hAnsi="宋体" w:eastAsia="宋体" w:cs="宋体"/>
                <w:color w:val="auto"/>
                <w:kern w:val="0"/>
                <w:sz w:val="18"/>
                <w:szCs w:val="18"/>
                <w:highlight w:val="none"/>
              </w:rPr>
            </w:pPr>
          </w:p>
        </w:tc>
      </w:tr>
      <w:tr w14:paraId="7B786FCD">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B5CE7E">
            <w:pPr>
              <w:jc w:val="center"/>
              <w:rPr>
                <w:rFonts w:hint="eastAsia" w:ascii="宋体" w:hAnsi="宋体" w:eastAsia="宋体" w:cs="宋体"/>
                <w:color w:val="auto"/>
                <w:sz w:val="18"/>
                <w:szCs w:val="18"/>
                <w:highlight w:val="none"/>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BF5D7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715FB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安全</w:t>
            </w:r>
          </w:p>
        </w:tc>
        <w:tc>
          <w:tcPr>
            <w:tcW w:w="989"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71E63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4.2.1</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9AAE8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采用基于性能的抗震设计并合理提高建筑的抗震性能。</w:t>
            </w:r>
          </w:p>
        </w:tc>
        <w:tc>
          <w:tcPr>
            <w:tcW w:w="62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26D20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552878">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FE651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37B5F54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660CD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08BB87">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0EEED3">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ED0B1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D0381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采取措施提高阳台、外窗、窗台、防护栏杆等安全防护水平；</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05B5E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206B6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C564B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6965DF3B">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8FB07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716885">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C3A55B">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AB9B9B">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7D536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建筑物出入口均设外墙饰面、门窗玻璃意外脱落的防护措施，并与人员通行区域的遮阳、遮风或挡雨措施结合；</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F5D5A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1196A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CE10C3">
            <w:pPr>
              <w:jc w:val="center"/>
              <w:rPr>
                <w:rFonts w:hint="eastAsia" w:ascii="宋体" w:hAnsi="宋体" w:eastAsia="宋体" w:cs="宋体"/>
                <w:color w:val="auto"/>
                <w:sz w:val="18"/>
                <w:szCs w:val="18"/>
                <w:highlight w:val="none"/>
              </w:rPr>
            </w:pPr>
          </w:p>
        </w:tc>
      </w:tr>
      <w:tr w14:paraId="31A9D1E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31C4D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58F686">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F62FAB">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8FADC7">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0A926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利用场地或景观形成可降低坠物风险的缓冲区、隔离带。</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9F042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6E653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2DE4A8">
            <w:pPr>
              <w:jc w:val="center"/>
              <w:rPr>
                <w:rFonts w:hint="eastAsia" w:ascii="宋体" w:hAnsi="宋体" w:eastAsia="宋体" w:cs="宋体"/>
                <w:color w:val="auto"/>
                <w:sz w:val="18"/>
                <w:szCs w:val="18"/>
                <w:highlight w:val="none"/>
              </w:rPr>
            </w:pPr>
          </w:p>
        </w:tc>
      </w:tr>
      <w:tr w14:paraId="3179B291">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E6EE2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A9B07">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2A49B1">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59BF3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09E93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采用具有安全防护功能的玻璃；</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43BD7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C84EC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830C4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52A960AF">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C42AD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AB21A4">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364D46">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3F2EDA">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F5326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采用具备防夹功能的门窗。</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9C08D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0AFA8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396375">
            <w:pPr>
              <w:jc w:val="center"/>
              <w:rPr>
                <w:rFonts w:hint="eastAsia" w:ascii="宋体" w:hAnsi="宋体" w:eastAsia="宋体" w:cs="宋体"/>
                <w:color w:val="auto"/>
                <w:sz w:val="18"/>
                <w:szCs w:val="18"/>
                <w:highlight w:val="none"/>
              </w:rPr>
            </w:pPr>
          </w:p>
        </w:tc>
      </w:tr>
      <w:tr w14:paraId="42CD3AFA">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EF09F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5E3440">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076E31">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1B19B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B5E84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建筑出入口及平台、公共走廊、电梯门厅、厨房、浴室、卫生间等设置防滑措施，防滑等级不低于现行行业标准《建筑地面工程防滑技术规程》JGJ/T 331规定的Bd、BW级，</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9DD0F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66DC1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162D1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建筑、景观</w:t>
            </w:r>
          </w:p>
        </w:tc>
      </w:tr>
      <w:tr w14:paraId="7018586F">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5C5E5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9B0692">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57CAE8">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100524">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A20E4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建筑室内外活动场所采用防滑地面，防滑等级达到现行行业标准《建筑地面工程防滑技术规程》JGJ/T 331规定的Ad、AW级，</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0A3EE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1B71C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E93EBA">
            <w:pPr>
              <w:jc w:val="center"/>
              <w:rPr>
                <w:rFonts w:hint="eastAsia" w:ascii="宋体" w:hAnsi="宋体" w:eastAsia="宋体" w:cs="宋体"/>
                <w:color w:val="auto"/>
                <w:sz w:val="18"/>
                <w:szCs w:val="18"/>
                <w:highlight w:val="none"/>
              </w:rPr>
            </w:pPr>
          </w:p>
        </w:tc>
      </w:tr>
      <w:tr w14:paraId="0BC2241D">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05859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E402CB">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4C2472">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1F2F9D">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7259C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建筑坡道、楼梯踏步防滑等级达到现行行业标准《建筑地面工程防滑技术规程》JGJ/T 331规定的Ad、AW级或按水平地面等级提高一级，并采用防滑条等防滑构造技术措施。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EBD70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A5F5C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D3787D">
            <w:pPr>
              <w:jc w:val="center"/>
              <w:rPr>
                <w:rFonts w:hint="eastAsia" w:ascii="宋体" w:hAnsi="宋体" w:eastAsia="宋体" w:cs="宋体"/>
                <w:color w:val="auto"/>
                <w:sz w:val="18"/>
                <w:szCs w:val="18"/>
                <w:highlight w:val="none"/>
              </w:rPr>
            </w:pPr>
          </w:p>
        </w:tc>
      </w:tr>
      <w:tr w14:paraId="4BBA227F">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F011B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E3DD76">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B3E51C">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695CE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1EF6B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采取人车分流措施，且步行和自行车交通系统有充足照明。</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ECC09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A584C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E4706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建筑、电气</w:t>
            </w:r>
          </w:p>
        </w:tc>
      </w:tr>
      <w:tr w14:paraId="67314465">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CA49C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7C9FB2">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07520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耐久</w:t>
            </w: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E35CD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6E879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采取通用开放、灵活可变的使用空间设计，或采取建筑使用功能可变措施；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53942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66705B">
            <w:pPr>
              <w:jc w:val="center"/>
              <w:rPr>
                <w:rFonts w:hint="eastAsia" w:ascii="宋体" w:hAnsi="宋体" w:eastAsia="宋体" w:cs="宋体"/>
                <w:color w:val="auto"/>
                <w:sz w:val="18"/>
                <w:szCs w:val="18"/>
                <w:highlight w:val="none"/>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F1400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建筑、给排水、暖通、电气</w:t>
            </w:r>
          </w:p>
        </w:tc>
      </w:tr>
      <w:tr w14:paraId="249A48B1">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19D551">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198394">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D9A7F8">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0DC1D1">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D137E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建筑结构与建筑设备管线分离；</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5A95F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38515D">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9649CE">
            <w:pPr>
              <w:jc w:val="center"/>
              <w:rPr>
                <w:rFonts w:hint="eastAsia" w:ascii="宋体" w:hAnsi="宋体" w:eastAsia="宋体" w:cs="宋体"/>
                <w:color w:val="auto"/>
                <w:sz w:val="18"/>
                <w:szCs w:val="18"/>
                <w:highlight w:val="none"/>
              </w:rPr>
            </w:pPr>
          </w:p>
        </w:tc>
      </w:tr>
      <w:tr w14:paraId="2672940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E3748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F980A3">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C8A5C9">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8CEF2E">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C0856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采用与建筑功能和空间变化相适应的设备设施布置方式或控制方式。</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CAF4D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1FEB4C">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927A81">
            <w:pPr>
              <w:jc w:val="center"/>
              <w:rPr>
                <w:rFonts w:hint="eastAsia" w:ascii="宋体" w:hAnsi="宋体" w:eastAsia="宋体" w:cs="宋体"/>
                <w:color w:val="auto"/>
                <w:sz w:val="18"/>
                <w:szCs w:val="18"/>
                <w:highlight w:val="none"/>
              </w:rPr>
            </w:pPr>
          </w:p>
        </w:tc>
      </w:tr>
      <w:tr w14:paraId="4F0F0505">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A5E9C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0615DD">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819D52">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7D2B0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E990E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使用耐腐蚀、抗老化、耐久性能好的管材、管线、管件；</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67C49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ED4E7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E8DA6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建筑、给排水、暖通、电气</w:t>
            </w:r>
          </w:p>
        </w:tc>
      </w:tr>
      <w:tr w14:paraId="605E0D72">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4070B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31563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C5D3EC">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5FF14E">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B91EB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活动配件选用长寿命产品，并考虑部品组合的同寿命性；不同使用寿命的部品组合时，采用便于分别拆换、更新和升级的构造。</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DD3DF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9EBF2A">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187C1B">
            <w:pPr>
              <w:jc w:val="center"/>
              <w:rPr>
                <w:rFonts w:hint="eastAsia" w:ascii="宋体" w:hAnsi="宋体" w:eastAsia="宋体" w:cs="宋体"/>
                <w:color w:val="auto"/>
                <w:sz w:val="18"/>
                <w:szCs w:val="18"/>
                <w:highlight w:val="none"/>
              </w:rPr>
            </w:pPr>
          </w:p>
        </w:tc>
      </w:tr>
      <w:tr w14:paraId="0FA33743">
        <w:tblPrEx>
          <w:tblCellMar>
            <w:top w:w="0" w:type="dxa"/>
            <w:left w:w="0" w:type="dxa"/>
            <w:bottom w:w="0" w:type="dxa"/>
            <w:right w:w="0" w:type="dxa"/>
          </w:tblCellMar>
        </w:tblPrEx>
        <w:trPr>
          <w:trHeight w:val="24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36AF0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E44BA6">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36DF11">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187F1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D189F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提高建筑结构材料的耐久性，评价总分值为10分，并按下列规则评分：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按100年进行耐久性设计。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采用耐久性能好的建筑结构材料，满足下列条件之一：</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1）对于混凝土构件，提高钢筋保护层厚度或采用高耐久混凝土；</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2）对于钢构件，采用耐候结构钢及耐候型防腐涂料；</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3）对于木构件，采用防腐木材、耐久木材或耐久木制品。</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A6FAC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EED47E">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5AD4D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4211BE4A">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8BB6F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F61ED5">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099EB4">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1A4A9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AD402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采用耐久性好的外饰面材料；</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83E1B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768AB0">
            <w:pPr>
              <w:jc w:val="center"/>
              <w:rPr>
                <w:rFonts w:hint="eastAsia" w:ascii="宋体" w:hAnsi="宋体" w:eastAsia="宋体" w:cs="宋体"/>
                <w:color w:val="auto"/>
                <w:sz w:val="18"/>
                <w:szCs w:val="18"/>
                <w:highlight w:val="none"/>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B342A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B485B66">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BDF5C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898A9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95788D">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3E8294">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243AF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采用耐久性好的防水和密封材料；</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F5D47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E5AE4D">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5CB995">
            <w:pPr>
              <w:jc w:val="center"/>
              <w:rPr>
                <w:rFonts w:hint="eastAsia" w:ascii="宋体" w:hAnsi="宋体" w:eastAsia="宋体" w:cs="宋体"/>
                <w:color w:val="auto"/>
                <w:sz w:val="18"/>
                <w:szCs w:val="18"/>
                <w:highlight w:val="none"/>
              </w:rPr>
            </w:pPr>
          </w:p>
        </w:tc>
      </w:tr>
      <w:tr w14:paraId="3339E8AD">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E742D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FB92B6">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3825D6">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1054CA">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919F4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采用耐久性好、易维护的室内装饰装修材料。</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973A3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A1DD6D">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B858F7">
            <w:pPr>
              <w:jc w:val="center"/>
              <w:rPr>
                <w:rFonts w:hint="eastAsia" w:ascii="宋体" w:hAnsi="宋体" w:eastAsia="宋体" w:cs="宋体"/>
                <w:color w:val="auto"/>
                <w:sz w:val="18"/>
                <w:szCs w:val="18"/>
                <w:highlight w:val="none"/>
              </w:rPr>
            </w:pPr>
          </w:p>
        </w:tc>
      </w:tr>
      <w:tr w14:paraId="202D4A66">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A012B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AFB80A0">
            <w:pPr>
              <w:rPr>
                <w:rFonts w:hint="eastAsia" w:ascii="宋体" w:hAnsi="宋体" w:eastAsia="宋体" w:cs="宋体"/>
                <w:color w:val="auto"/>
                <w:sz w:val="18"/>
                <w:szCs w:val="18"/>
                <w:highlight w:val="none"/>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D825B29">
            <w:pP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CEFEFFC">
            <w:pP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BD68A50">
            <w:pPr>
              <w:rPr>
                <w:rFonts w:hint="eastAsia" w:ascii="宋体" w:hAnsi="宋体" w:eastAsia="宋体" w:cs="宋体"/>
                <w:color w:val="auto"/>
                <w:sz w:val="18"/>
                <w:szCs w:val="18"/>
                <w:highlight w:val="none"/>
              </w:rPr>
            </w:pPr>
          </w:p>
        </w:tc>
        <w:tc>
          <w:tcPr>
            <w:tcW w:w="62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084EAF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100</w:t>
            </w:r>
          </w:p>
        </w:tc>
        <w:tc>
          <w:tcPr>
            <w:tcW w:w="1599"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5636DFA5">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2E9596">
            <w:pPr>
              <w:jc w:val="center"/>
              <w:rPr>
                <w:rFonts w:hint="eastAsia" w:ascii="宋体" w:hAnsi="宋体" w:eastAsia="宋体" w:cs="宋体"/>
                <w:color w:val="auto"/>
                <w:sz w:val="18"/>
                <w:szCs w:val="18"/>
                <w:highlight w:val="none"/>
              </w:rPr>
            </w:pPr>
          </w:p>
        </w:tc>
      </w:tr>
      <w:tr w14:paraId="166C4AA5">
        <w:tblPrEx>
          <w:tblCellMar>
            <w:top w:w="0" w:type="dxa"/>
            <w:left w:w="0" w:type="dxa"/>
            <w:bottom w:w="0" w:type="dxa"/>
            <w:right w:w="0" w:type="dxa"/>
          </w:tblCellMar>
        </w:tblPrEx>
        <w:trPr>
          <w:trHeight w:val="135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8BF9A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 健康舒适</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8F56A4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9FA6A13">
            <w:pPr>
              <w:jc w:val="center"/>
              <w:rPr>
                <w:rFonts w:hint="eastAsia" w:ascii="宋体" w:hAnsi="宋体" w:eastAsia="宋体" w:cs="宋体"/>
                <w:color w:val="auto"/>
                <w:sz w:val="18"/>
                <w:szCs w:val="18"/>
                <w:highlight w:val="none"/>
              </w:rPr>
            </w:pPr>
          </w:p>
        </w:tc>
        <w:tc>
          <w:tcPr>
            <w:tcW w:w="989"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C43DA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5.1.1</w:t>
            </w:r>
          </w:p>
        </w:tc>
        <w:tc>
          <w:tcPr>
            <w:tcW w:w="5153"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7E3F4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室内空气中的氨、甲醛、苯、总挥发性有机物、氡等污染物浓度应符合现行国家标准《室内空气质量标准》GB/T 18883的有关规定。建筑室内和建筑主出入口处应禁止吸烟，并应在醒目位置设置禁烟标志。</w:t>
            </w:r>
          </w:p>
        </w:tc>
        <w:tc>
          <w:tcPr>
            <w:tcW w:w="628"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4F750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49FB71">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3FECC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建筑、暖通</w:t>
            </w:r>
          </w:p>
        </w:tc>
      </w:tr>
      <w:tr w14:paraId="7BDDEE71">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784B12">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8E4D50B">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DCDE93B">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7934E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F066A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应采取措施避免厨房、餐厅、打印复印室、卫生间、地下车库等区域的空气和污染物串通到其他空间；应防止厨房、卫生间的排气倒灌。</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9EE67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FD30BD">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4388A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37C4D8B6">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11505A">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F44445F">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8FFA26A">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06954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9A67D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给排水系统的设置应符合下列规定：</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生活饮用水水质应满足现行国家标准《生活饮用水卫生标准》GB 5749的要求；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应制定水池、水箱等储水设施定期清洗消毒计划并实施，且生活饮用水储水设施每半年清洗消毒应不少于1次；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应使用构造内自带水封的便器，且其水封深度应不小于50mm；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4 非传统水源管道和设备应设置明确、清晰的永久性标识。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8D834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F25080">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07153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2E2E9178">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BA84C7">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F8484C9">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9E6D93B">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28677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16924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主要功能房间的室内噪声级和隔声性能应符合下列规定：</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室内噪声级应满足现行国家标准《民用建筑隔声设计规范》GB 50118中的低限要求；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外墙、隔墙、楼板和门窗的隔声性能应满足现行国家标准《民用建筑隔声设计规范》GB 50118中的低限要求。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F5A6D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0EA781">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3CBD1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0F8B00AD">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8F6A9B">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7F9971F">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D275FCC">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92DF4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8CECF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建筑照明应符合下列规定：</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照明数量和质量应符合现行国家标准《建筑照明设计标准》GB 50034的规定；</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人员长期停留的场所应采用符合现行国家标准《灯和灯系统的光生物安全性》GB/T 20145规定的无危险类照明产品；</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选用LED照明产品的光输出波形的波动深度应满足现行国家标准《LED室内照明应用技术要求》GB/T 31831的规定。</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6C1D8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B543F7">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FD53F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2F6F57BA">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A5AD6F">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8FB6B32">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04C17E9">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3E08B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E0D10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采取措施保障室内热环境。采用集中供暖空调系统的建筑，房间内的温度、湿度、新风量等设计参数应符合现行国家标准《民用建筑供暖通风与空气调节设计规范》GB50736的有关规定；采用非集中供暖空调系统的建筑，应具有保障室内热环境的措施或预留条件。</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C0129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973B1F">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C3FA8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78E08EE2">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853B02">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B359DA8">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2EE1F62">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36B4E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C7455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围护结构热工性能应符合下列规定：</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屋顶和外墙应计算隔热性能计算，透光围护结构太阳得热系数与夏季建筑遮阳系数的乘积还应满足现行国家标准《民用建筑热工设计规范》GB50176 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BB9CE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802237">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AD63F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6DAC67B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D66EFC">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26C8F31">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9BE15E0">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5A32B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58E92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主要功能房间应具有现场独立控制的热环境调节装置。</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F65AD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0878F9">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15B42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1DD64138">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140937">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DB230C3">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8058200">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659400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5.1.9</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8FAE48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地下车库应设置与排风设备联动的一氧化碳浓度监测装置。</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C1EC70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3C6D854">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65AE2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暖通、电气</w:t>
            </w:r>
          </w:p>
        </w:tc>
      </w:tr>
      <w:tr w14:paraId="12DC156F">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90C65A">
            <w:pPr>
              <w:jc w:val="center"/>
              <w:rPr>
                <w:rFonts w:hint="eastAsia" w:ascii="宋体" w:hAnsi="宋体" w:eastAsia="宋体" w:cs="宋体"/>
                <w:color w:val="auto"/>
                <w:sz w:val="18"/>
                <w:szCs w:val="18"/>
                <w:highlight w:val="none"/>
              </w:rPr>
            </w:pPr>
          </w:p>
        </w:tc>
        <w:tc>
          <w:tcPr>
            <w:tcW w:w="1297" w:type="dxa"/>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0164FB3">
            <w:pPr>
              <w:jc w:val="center"/>
              <w:rPr>
                <w:rFonts w:hint="eastAsia" w:ascii="宋体" w:hAnsi="宋体" w:eastAsia="宋体" w:cs="宋体"/>
                <w:color w:val="auto"/>
                <w:sz w:val="18"/>
                <w:szCs w:val="18"/>
                <w:highlight w:val="none"/>
              </w:rPr>
            </w:pPr>
          </w:p>
        </w:tc>
        <w:tc>
          <w:tcPr>
            <w:tcW w:w="798" w:type="dxa"/>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2FC5A2C">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61C2327">
            <w:pPr>
              <w:widowControl/>
              <w:jc w:val="center"/>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5.10</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07D487E">
            <w:pPr>
              <w:widowControl/>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健康舒适相关技术要求应符合现行强制性工程建设规范《建筑环境通用规范》GB55016、《建筑给水排水与节水通用规范》GB55020、《民用建筑通用规范》GB55031等的规定</w:t>
            </w:r>
          </w:p>
          <w:p w14:paraId="6152BB86">
            <w:pPr>
              <w:widowControl/>
              <w:textAlignment w:val="center"/>
              <w:rPr>
                <w:rFonts w:hint="eastAsia" w:ascii="宋体" w:hAnsi="宋体" w:eastAsia="宋体" w:cs="宋体"/>
                <w:color w:val="auto"/>
                <w:kern w:val="0"/>
                <w:sz w:val="18"/>
                <w:szCs w:val="18"/>
                <w:highlight w:val="none"/>
              </w:rPr>
            </w:pP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DF0F4E6">
            <w:pPr>
              <w:widowControl/>
              <w:jc w:val="center"/>
              <w:textAlignment w:val="center"/>
              <w:rPr>
                <w:rFonts w:hint="eastAsia" w:ascii="宋体" w:hAnsi="宋体" w:eastAsia="宋体" w:cs="宋体"/>
                <w:color w:val="auto"/>
                <w:kern w:val="0"/>
                <w:sz w:val="18"/>
                <w:szCs w:val="18"/>
                <w:highlight w:val="none"/>
              </w:rPr>
            </w:pP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FEFEC1A">
            <w:pPr>
              <w:jc w:val="center"/>
              <w:rPr>
                <w:rFonts w:hint="eastAsia" w:ascii="宋体" w:hAnsi="宋体" w:eastAsia="宋体" w:cs="宋体"/>
                <w:color w:val="auto"/>
                <w:kern w:val="0"/>
                <w:sz w:val="18"/>
                <w:szCs w:val="18"/>
                <w:highlight w:val="none"/>
              </w:rPr>
            </w:pPr>
          </w:p>
          <w:p w14:paraId="12418567">
            <w:pPr>
              <w:rPr>
                <w:rFonts w:hint="eastAsia"/>
                <w:color w:val="auto"/>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A77FBB">
            <w:pPr>
              <w:widowControl/>
              <w:jc w:val="center"/>
              <w:textAlignment w:val="center"/>
              <w:rPr>
                <w:rFonts w:hint="eastAsia" w:ascii="宋体" w:hAnsi="宋体" w:eastAsia="宋体" w:cs="宋体"/>
                <w:color w:val="auto"/>
                <w:kern w:val="0"/>
                <w:sz w:val="18"/>
                <w:szCs w:val="18"/>
                <w:highlight w:val="none"/>
              </w:rPr>
            </w:pPr>
          </w:p>
        </w:tc>
      </w:tr>
      <w:tr w14:paraId="0B89F584">
        <w:tblPrEx>
          <w:tblCellMar>
            <w:top w:w="0" w:type="dxa"/>
            <w:left w:w="0" w:type="dxa"/>
            <w:bottom w:w="0" w:type="dxa"/>
            <w:right w:w="0" w:type="dxa"/>
          </w:tblCellMar>
        </w:tblPrEx>
        <w:trPr>
          <w:trHeight w:val="118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2EF767">
            <w:pPr>
              <w:jc w:val="center"/>
              <w:rPr>
                <w:rFonts w:hint="eastAsia" w:ascii="宋体" w:hAnsi="宋体" w:eastAsia="宋体" w:cs="宋体"/>
                <w:color w:val="auto"/>
                <w:sz w:val="18"/>
                <w:szCs w:val="18"/>
                <w:highlight w:val="none"/>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D5E71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0FFBF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室内空气品质</w:t>
            </w:r>
          </w:p>
        </w:tc>
        <w:tc>
          <w:tcPr>
            <w:tcW w:w="989"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41B73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5.2.1</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1F020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氨、甲醛、苯、总挥发性有机物、氡等污染物浓度低于现行国家标准《室内空气质量标准》GB/T 18883规定限值的10%，得3分；低于20%，得6分；</w:t>
            </w:r>
          </w:p>
        </w:tc>
        <w:tc>
          <w:tcPr>
            <w:tcW w:w="62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9D140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599"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16B3A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F6D65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305763EF">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9C92F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BF92B4">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6BF654">
            <w:pPr>
              <w:jc w:val="center"/>
              <w:rPr>
                <w:rFonts w:hint="eastAsia" w:ascii="宋体" w:hAnsi="宋体" w:eastAsia="宋体" w:cs="宋体"/>
                <w:color w:val="auto"/>
                <w:sz w:val="18"/>
                <w:szCs w:val="18"/>
                <w:highlight w:val="none"/>
              </w:rPr>
            </w:pPr>
          </w:p>
        </w:tc>
        <w:tc>
          <w:tcPr>
            <w:tcW w:w="989"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D5E6EF">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09206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室内PM2.5年均浓度不高于25μg/m3，且室内PM10年均浓度不高于50μg/m3，得6分。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2C4D5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9F87C7">
            <w:pPr>
              <w:widowControl/>
              <w:jc w:val="center"/>
              <w:textAlignment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28A53A">
            <w:pPr>
              <w:jc w:val="center"/>
              <w:rPr>
                <w:rFonts w:hint="eastAsia" w:ascii="宋体" w:hAnsi="宋体" w:eastAsia="宋体" w:cs="宋体"/>
                <w:color w:val="auto"/>
                <w:sz w:val="18"/>
                <w:szCs w:val="18"/>
                <w:highlight w:val="none"/>
              </w:rPr>
            </w:pPr>
          </w:p>
        </w:tc>
      </w:tr>
      <w:tr w14:paraId="0A6B9551">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A194B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D27ECF">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576E45">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2E00D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E325A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选用的装饰装修材料满足国家现行绿色产品评价标准中对有害物质限量的要求，评价总分值为8分。选用满足要求的装饰装修材料达到3类及以上，得5分；达到5类及以上，得8分。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28409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421720">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7E0AA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2AD1C7FC">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4C069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A5913D">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C1CED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水质</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27F2E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9F677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直饮水、集中生活热水、游泳池水、采暖空调系统用水、景观水体等的水质满足国家现行有关标准的要求。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51BD6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DC5C4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CD08A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641417BB">
        <w:tblPrEx>
          <w:tblCellMar>
            <w:top w:w="0" w:type="dxa"/>
            <w:left w:w="0" w:type="dxa"/>
            <w:bottom w:w="0" w:type="dxa"/>
            <w:right w:w="0" w:type="dxa"/>
          </w:tblCellMar>
        </w:tblPrEx>
        <w:trPr>
          <w:trHeight w:val="4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F1D5C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A40FB5">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FB84B8">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1F6B5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6518E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1采用符合要求的成品水箱</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7865C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E453D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701CF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7D177753">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DF3F4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8B07D8">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B8B1ED">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8E9D5F">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38424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2采取保证储水不变质的措施。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53152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603D7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2290BD">
            <w:pPr>
              <w:jc w:val="center"/>
              <w:rPr>
                <w:rFonts w:hint="eastAsia" w:ascii="宋体" w:hAnsi="宋体" w:eastAsia="宋体" w:cs="宋体"/>
                <w:color w:val="auto"/>
                <w:sz w:val="18"/>
                <w:szCs w:val="18"/>
                <w:highlight w:val="none"/>
              </w:rPr>
            </w:pPr>
          </w:p>
        </w:tc>
      </w:tr>
      <w:tr w14:paraId="0ED3BACD">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49B519">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B542FF">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D7EBFB">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84D0A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447F2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所有给排水管道、设备、设施设置明确、清晰的永久性标识，评价分值为8分。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CF3D7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758B1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66E10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31C2ED1A">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B1FFD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B171A7">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61E3E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声环境与光环境</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71767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DA0FF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取措施优化主要功能房间的室内声环境，评价总分值为8分。1.建筑物外部噪声源传播至主要功能房间的噪声比现行强制性工程建设规范《建筑环境通用规范》GB55016限值低3dB及以上，得4分；2.建筑物内部建筑设备传播至主要功能房间的噪声比现行强制性工程建设规范《建筑环境通用规范》GB55016限值低3dB及以上，得4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A2639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D2BBC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7A455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27FB83A4">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0ED7C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781B19">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B45DF5">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right w:val="single" w:color="000000" w:sz="4" w:space="0"/>
            </w:tcBorders>
            <w:shd w:val="clear" w:color="auto" w:fill="auto"/>
            <w:tcMar>
              <w:top w:w="15" w:type="dxa"/>
              <w:left w:w="15" w:type="dxa"/>
              <w:right w:w="15" w:type="dxa"/>
            </w:tcMar>
            <w:vAlign w:val="center"/>
          </w:tcPr>
          <w:p w14:paraId="1E854B9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B25DB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构件及相邻房间之间的空气声隔声性能达到现行国家标准《民用建筑隔声设计规范》GB 50118中的低限标准限值和高要求标准限值的平均值，得3分；达到高要求标准限值，得5分；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C1F83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5D365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FB97C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37774AC5">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F60131">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98B41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423AAA">
            <w:pPr>
              <w:jc w:val="center"/>
              <w:rPr>
                <w:rFonts w:hint="eastAsia" w:ascii="宋体" w:hAnsi="宋体" w:eastAsia="宋体" w:cs="宋体"/>
                <w:color w:val="auto"/>
                <w:sz w:val="18"/>
                <w:szCs w:val="18"/>
                <w:highlight w:val="none"/>
              </w:rPr>
            </w:pPr>
          </w:p>
        </w:tc>
        <w:tc>
          <w:tcPr>
            <w:tcW w:w="989" w:type="dxa"/>
            <w:vMerge w:val="continue"/>
            <w:tcBorders>
              <w:left w:val="single" w:color="000000" w:sz="4" w:space="0"/>
              <w:right w:val="single" w:color="000000" w:sz="4" w:space="0"/>
            </w:tcBorders>
            <w:shd w:val="clear" w:color="auto" w:fill="auto"/>
            <w:tcMar>
              <w:top w:w="15" w:type="dxa"/>
              <w:left w:w="15" w:type="dxa"/>
              <w:right w:w="15" w:type="dxa"/>
            </w:tcMar>
            <w:vAlign w:val="center"/>
          </w:tcPr>
          <w:p w14:paraId="76D150D7">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17341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2楼板的撞击声隔声性能达到现行国家标准《民用建筑隔声设计规范》GB 50118中的低限标准限值和高要求标准限值的平均值，得3分；达到高要求标准限值，得5分。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35B35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2ED74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063049">
            <w:pPr>
              <w:jc w:val="center"/>
              <w:rPr>
                <w:rFonts w:hint="eastAsia" w:ascii="宋体" w:hAnsi="宋体" w:eastAsia="宋体" w:cs="宋体"/>
                <w:color w:val="auto"/>
                <w:sz w:val="18"/>
                <w:szCs w:val="18"/>
                <w:highlight w:val="none"/>
              </w:rPr>
            </w:pPr>
          </w:p>
        </w:tc>
      </w:tr>
      <w:tr w14:paraId="24DE8B7D">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7C30E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6DA0E8">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C2AFBC">
            <w:pPr>
              <w:jc w:val="center"/>
              <w:rPr>
                <w:rFonts w:hint="eastAsia" w:ascii="宋体" w:hAnsi="宋体" w:eastAsia="宋体" w:cs="宋体"/>
                <w:color w:val="auto"/>
                <w:sz w:val="18"/>
                <w:szCs w:val="18"/>
                <w:highlight w:val="none"/>
              </w:rPr>
            </w:pPr>
          </w:p>
        </w:tc>
        <w:tc>
          <w:tcPr>
            <w:tcW w:w="989" w:type="dxa"/>
            <w:vMerge w:val="continue"/>
            <w:tcBorders>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DC95C4">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6A4B35">
            <w:pPr>
              <w:pStyle w:val="17"/>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3、卧室和起居室楼板撞击声隔声计权标准化撞击声压级L'nT,w≤60dB，得分2分；计权标准化撞击声压级L'nT,w≤55dB，得分4分。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D40345">
            <w:pPr>
              <w:widowControl/>
              <w:jc w:val="center"/>
              <w:textAlignment w:val="center"/>
              <w:rPr>
                <w:rStyle w:val="50"/>
                <w:rFonts w:hint="eastAsia"/>
                <w:color w:val="auto"/>
                <w:highlight w:val="none"/>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8E7829">
            <w:pPr>
              <w:widowControl/>
              <w:jc w:val="center"/>
              <w:textAlignment w:val="center"/>
              <w:rPr>
                <w:rStyle w:val="50"/>
                <w:rFonts w:hint="eastAsia"/>
                <w:color w:val="auto"/>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A48DBE">
            <w:pPr>
              <w:jc w:val="center"/>
              <w:rPr>
                <w:rFonts w:hint="eastAsia" w:ascii="宋体" w:hAnsi="宋体" w:eastAsia="宋体" w:cs="宋体"/>
                <w:color w:val="auto"/>
                <w:sz w:val="18"/>
                <w:szCs w:val="18"/>
                <w:highlight w:val="none"/>
              </w:rPr>
            </w:pPr>
          </w:p>
        </w:tc>
      </w:tr>
      <w:tr w14:paraId="490C67D1">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9A0F9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5574F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740DE6">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46344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506E3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住宅建筑室内主要功能空间至少60%面积比例区域，其采光照度值不低于300lx的小时数平均不少于8h/d，得9分；</w:t>
            </w:r>
          </w:p>
        </w:tc>
        <w:tc>
          <w:tcPr>
            <w:tcW w:w="62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A13FC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194CB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12</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A055E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5F6BE744">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F7A22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149B37">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93804C">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ADABFE">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ABF49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2-1）公建内区采光系数满足采光要求的面积比例达到60%，得3分；</w:t>
            </w:r>
          </w:p>
        </w:tc>
        <w:tc>
          <w:tcPr>
            <w:tcW w:w="62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D2D2A5">
            <w:pPr>
              <w:jc w:val="center"/>
              <w:rPr>
                <w:rFonts w:hint="eastAsia" w:ascii="宋体" w:hAnsi="宋体" w:eastAsia="宋体" w:cs="宋体"/>
                <w:color w:val="auto"/>
                <w:sz w:val="18"/>
                <w:szCs w:val="18"/>
                <w:highlight w:val="none"/>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E7C79B">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E1399C">
            <w:pPr>
              <w:jc w:val="center"/>
              <w:rPr>
                <w:rFonts w:hint="eastAsia" w:ascii="宋体" w:hAnsi="宋体" w:eastAsia="宋体" w:cs="宋体"/>
                <w:color w:val="auto"/>
                <w:sz w:val="18"/>
                <w:szCs w:val="18"/>
                <w:highlight w:val="none"/>
              </w:rPr>
            </w:pPr>
          </w:p>
        </w:tc>
      </w:tr>
      <w:tr w14:paraId="0B77336D">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94147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E2D1C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95CADB">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94030F">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46259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2-2）公建地下空间平均采光系数不小于0.5%的面积与地下室首层面积的比例达到10%以上，得3分；</w:t>
            </w:r>
          </w:p>
        </w:tc>
        <w:tc>
          <w:tcPr>
            <w:tcW w:w="62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1C4B0D">
            <w:pPr>
              <w:jc w:val="center"/>
              <w:rPr>
                <w:rFonts w:hint="eastAsia" w:ascii="宋体" w:hAnsi="宋体" w:eastAsia="宋体" w:cs="宋体"/>
                <w:color w:val="auto"/>
                <w:sz w:val="18"/>
                <w:szCs w:val="18"/>
                <w:highlight w:val="none"/>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77F29C">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A3300D">
            <w:pPr>
              <w:jc w:val="center"/>
              <w:rPr>
                <w:rFonts w:hint="eastAsia" w:ascii="宋体" w:hAnsi="宋体" w:eastAsia="宋体" w:cs="宋体"/>
                <w:color w:val="auto"/>
                <w:sz w:val="18"/>
                <w:szCs w:val="18"/>
                <w:highlight w:val="none"/>
              </w:rPr>
            </w:pPr>
          </w:p>
        </w:tc>
      </w:tr>
      <w:tr w14:paraId="0DD1B525">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FC81C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0AF346">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23B1C0">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66ED1E">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A34DA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2-3）公建室内主要功能空间至少60%面积比例区域的采光照度值不低于采光要求的小时数平均不少于4h/d，得3分。</w:t>
            </w:r>
          </w:p>
        </w:tc>
        <w:tc>
          <w:tcPr>
            <w:tcW w:w="62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E5AFAB">
            <w:pPr>
              <w:jc w:val="center"/>
              <w:rPr>
                <w:rFonts w:hint="eastAsia" w:ascii="宋体" w:hAnsi="宋体" w:eastAsia="宋体" w:cs="宋体"/>
                <w:color w:val="auto"/>
                <w:sz w:val="18"/>
                <w:szCs w:val="18"/>
                <w:highlight w:val="none"/>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9103F8">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521A8E">
            <w:pPr>
              <w:jc w:val="center"/>
              <w:rPr>
                <w:rFonts w:hint="eastAsia" w:ascii="宋体" w:hAnsi="宋体" w:eastAsia="宋体" w:cs="宋体"/>
                <w:color w:val="auto"/>
                <w:sz w:val="18"/>
                <w:szCs w:val="18"/>
                <w:highlight w:val="none"/>
              </w:rPr>
            </w:pPr>
          </w:p>
        </w:tc>
      </w:tr>
      <w:tr w14:paraId="11C876D6">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1F141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51E94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6E3FF9">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9919BC">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7D18D0">
            <w:pPr>
              <w:widowControl/>
              <w:textAlignment w:val="center"/>
              <w:rPr>
                <w:rFonts w:hint="eastAsia" w:ascii="宋体" w:hAnsi="宋体" w:eastAsia="宋体" w:cs="宋体"/>
                <w:strike/>
                <w:color w:val="auto"/>
                <w:sz w:val="18"/>
                <w:szCs w:val="18"/>
                <w:highlight w:val="none"/>
              </w:rPr>
            </w:pPr>
            <w:r>
              <w:rPr>
                <w:rFonts w:hint="eastAsia" w:ascii="宋体" w:hAnsi="宋体" w:eastAsia="宋体" w:cs="宋体"/>
                <w:strike/>
                <w:color w:val="auto"/>
                <w:kern w:val="0"/>
                <w:sz w:val="18"/>
                <w:szCs w:val="18"/>
                <w:highlight w:val="none"/>
              </w:rPr>
              <w:t>3主要功能房间有眩光控制措施，得3分。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2DC366">
            <w:pPr>
              <w:widowControl/>
              <w:jc w:val="center"/>
              <w:textAlignment w:val="center"/>
              <w:rPr>
                <w:rFonts w:hint="eastAsia" w:ascii="宋体" w:hAnsi="宋体" w:eastAsia="宋体" w:cs="宋体"/>
                <w:strike/>
                <w:color w:val="auto"/>
                <w:sz w:val="18"/>
                <w:szCs w:val="18"/>
                <w:highlight w:val="none"/>
              </w:rPr>
            </w:pPr>
            <w:r>
              <w:rPr>
                <w:rFonts w:hint="eastAsia" w:ascii="宋体" w:hAnsi="宋体" w:eastAsia="宋体" w:cs="宋体"/>
                <w:strike/>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ADDFBE">
            <w:pPr>
              <w:widowControl/>
              <w:jc w:val="center"/>
              <w:textAlignment w:val="center"/>
              <w:rPr>
                <w:rFonts w:hint="eastAsia" w:ascii="宋体" w:hAnsi="宋体" w:eastAsia="宋体" w:cs="宋体"/>
                <w:strike/>
                <w:color w:val="auto"/>
                <w:sz w:val="18"/>
                <w:szCs w:val="18"/>
                <w:highlight w:val="none"/>
              </w:rPr>
            </w:pPr>
            <w:r>
              <w:rPr>
                <w:rFonts w:hint="eastAsia" w:ascii="宋体" w:hAnsi="宋体" w:eastAsia="宋体" w:cs="宋体"/>
                <w:strike/>
                <w:color w:val="auto"/>
                <w:kern w:val="0"/>
                <w:sz w:val="18"/>
                <w:szCs w:val="18"/>
                <w:highlight w:val="none"/>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6D6500">
            <w:pPr>
              <w:jc w:val="center"/>
              <w:rPr>
                <w:rFonts w:hint="eastAsia" w:ascii="宋体" w:hAnsi="宋体" w:eastAsia="宋体" w:cs="宋体"/>
                <w:color w:val="auto"/>
                <w:sz w:val="18"/>
                <w:szCs w:val="18"/>
                <w:highlight w:val="none"/>
              </w:rPr>
            </w:pPr>
          </w:p>
        </w:tc>
      </w:tr>
      <w:tr w14:paraId="00BB6499">
        <w:tblPrEx>
          <w:tblCellMar>
            <w:top w:w="0" w:type="dxa"/>
            <w:left w:w="0" w:type="dxa"/>
            <w:bottom w:w="0" w:type="dxa"/>
            <w:right w:w="0" w:type="dxa"/>
          </w:tblCellMar>
        </w:tblPrEx>
        <w:trPr>
          <w:trHeight w:val="31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83AE4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C2D9E1">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2D43A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室内热湿环境</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8989B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749A0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具有良好的室内热湿环境，评价总分值为8分，并按下列规则评分：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1采用自然通风或复合通风的建筑，建筑主要功能房间室内热环境参数在适应性热舒适区域的时间比例，达到30%，得2分；每再增加10%，再得1分，最高得8分。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采用人工冷热源的建筑，主要功能房间达到现行国家标准《民用建筑室内热湿环境评价标准》GB/T 50785规定的室内人工冷热源热湿环境整体评价Ⅱ级的面积比例，达到60%，得5分；每再增加10%，再得1分，最高得8分。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45DE0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628F9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2AD1B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37CDB938">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0EE74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CB29EB">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13F844">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2853C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5.2.10</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228B3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优化建筑空间和平面布局，改善自然通风效果，评价总分值为8分，并按下列规则评分：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住宅建筑：通风开口面积与房间地板面积的比例在夏热冬暖地区达到12%，在夏热冬冷地区达到8%，在其他地区达到5%，得5分；每再增加2%，再得1分，最高得8分。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公共建筑：过渡季典型工况下主要功能房间平均自然通风换气次数不小于2次/h的面积比例达到70%，得5分；每再增加10%，再得1分，最高得8分。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430D2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5D558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A7289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237E0BB1">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477D4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9EB249">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2A8705">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8A7EE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5.2.11</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32D3E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设置可调节遮阳设施，改善室内热舒适，评价总分值为9分，根据可调节遮阳设施的面积占外窗透明部分的比例按表5.2.11的规则评分。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F763E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BFCCB0">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1C51E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76F6469">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934EC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F4315F1">
            <w:pPr>
              <w:jc w:val="center"/>
              <w:rPr>
                <w:rFonts w:hint="eastAsia" w:ascii="宋体" w:hAnsi="宋体" w:eastAsia="宋体" w:cs="宋体"/>
                <w:color w:val="auto"/>
                <w:sz w:val="18"/>
                <w:szCs w:val="18"/>
                <w:highlight w:val="none"/>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BADA7F9">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5011EB2D">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5A77F097">
            <w:pPr>
              <w:rPr>
                <w:rFonts w:hint="eastAsia" w:ascii="宋体" w:hAnsi="宋体" w:eastAsia="宋体" w:cs="宋体"/>
                <w:color w:val="auto"/>
                <w:sz w:val="18"/>
                <w:szCs w:val="18"/>
                <w:highlight w:val="none"/>
              </w:rPr>
            </w:pPr>
          </w:p>
        </w:tc>
        <w:tc>
          <w:tcPr>
            <w:tcW w:w="62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655C97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100</w:t>
            </w:r>
          </w:p>
        </w:tc>
        <w:tc>
          <w:tcPr>
            <w:tcW w:w="1599"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41FAB2E">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55</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F6FDB2">
            <w:pPr>
              <w:jc w:val="center"/>
              <w:rPr>
                <w:rFonts w:hint="eastAsia" w:ascii="宋体" w:hAnsi="宋体" w:eastAsia="宋体" w:cs="宋体"/>
                <w:color w:val="auto"/>
                <w:sz w:val="18"/>
                <w:szCs w:val="18"/>
                <w:highlight w:val="none"/>
              </w:rPr>
            </w:pPr>
          </w:p>
        </w:tc>
      </w:tr>
      <w:tr w14:paraId="175DCBEA">
        <w:tblPrEx>
          <w:tblCellMar>
            <w:top w:w="0" w:type="dxa"/>
            <w:left w:w="0" w:type="dxa"/>
            <w:bottom w:w="0" w:type="dxa"/>
            <w:right w:w="0" w:type="dxa"/>
          </w:tblCellMar>
        </w:tblPrEx>
        <w:trPr>
          <w:trHeight w:val="675"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6C0CA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 生活便利</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72F1E7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5B192DA">
            <w:pPr>
              <w:jc w:val="center"/>
              <w:rPr>
                <w:rFonts w:hint="eastAsia" w:ascii="宋体" w:hAnsi="宋体" w:eastAsia="宋体" w:cs="宋体"/>
                <w:color w:val="auto"/>
                <w:sz w:val="18"/>
                <w:szCs w:val="18"/>
                <w:highlight w:val="none"/>
              </w:rPr>
            </w:pPr>
          </w:p>
        </w:tc>
        <w:tc>
          <w:tcPr>
            <w:tcW w:w="989"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5B8F2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6.1.1</w:t>
            </w:r>
          </w:p>
        </w:tc>
        <w:tc>
          <w:tcPr>
            <w:tcW w:w="5153"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90DDA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建筑、室外场地、公共绿地、城市道路相互之间应设置连贯的无障碍步行系统。</w:t>
            </w:r>
          </w:p>
        </w:tc>
        <w:tc>
          <w:tcPr>
            <w:tcW w:w="628"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9553B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B9AF42">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8542B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建筑、景观</w:t>
            </w:r>
          </w:p>
        </w:tc>
      </w:tr>
      <w:tr w14:paraId="2506656E">
        <w:tblPrEx>
          <w:tblCellMar>
            <w:top w:w="0" w:type="dxa"/>
            <w:left w:w="0" w:type="dxa"/>
            <w:bottom w:w="0" w:type="dxa"/>
            <w:right w:w="0" w:type="dxa"/>
          </w:tblCellMar>
        </w:tblPrEx>
        <w:trPr>
          <w:trHeight w:val="69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648A88">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0233190">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13136F6">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16201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D99F9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场地人行出入口</w:t>
            </w:r>
            <w:r>
              <w:rPr>
                <w:rStyle w:val="101"/>
                <w:rFonts w:hint="eastAsia" w:ascii="宋体" w:hAnsi="宋体" w:eastAsia="宋体" w:cs="宋体"/>
                <w:color w:val="auto"/>
                <w:highlight w:val="none"/>
              </w:rPr>
              <w:t>500m</w:t>
            </w:r>
            <w:r>
              <w:rPr>
                <w:rFonts w:hint="eastAsia" w:ascii="宋体" w:hAnsi="宋体" w:eastAsia="宋体" w:cs="宋体"/>
                <w:color w:val="auto"/>
                <w:kern w:val="0"/>
                <w:sz w:val="18"/>
                <w:szCs w:val="18"/>
                <w:highlight w:val="none"/>
              </w:rPr>
              <w:t>内应设有公共交通站点或配备联系公共交通站点的专用接驳车。</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CD5B7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3AFA17">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99029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46E4B395">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6DF45F">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724497F5">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C867BBA">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457F5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32EE3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停车场应具有电动汽车充电设施或具备充电设施的安装条件，并应合理设置电动汽车和无障碍汽车停车位。</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EA9ED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DD2BB2">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E23A5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建筑、电气</w:t>
            </w:r>
          </w:p>
        </w:tc>
      </w:tr>
      <w:tr w14:paraId="24A517A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CA39C3">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F16D77D">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A55B498">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FE116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EF2CC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自行车停车场所应位置合理、方便出入。</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95D8A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A69E39">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10B2B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1CB07586">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896790">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E56EFDA">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83C77CF">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CCEC2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8D927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建筑设备管理系统应具有自动监控管理功能。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383BA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54D1B5">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FDB90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01A2703F">
        <w:tblPrEx>
          <w:tblCellMar>
            <w:top w:w="0" w:type="dxa"/>
            <w:left w:w="0" w:type="dxa"/>
            <w:bottom w:w="0" w:type="dxa"/>
            <w:right w:w="0" w:type="dxa"/>
          </w:tblCellMar>
        </w:tblPrEx>
        <w:trPr>
          <w:trHeight w:val="28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9954B2">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D530149">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4653872">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A3328A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6.1.6</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7AC8F0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建筑应设置信息网络系统。</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1F8B88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DCB9538">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28431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7434A477">
        <w:tblPrEx>
          <w:tblCellMar>
            <w:top w:w="0" w:type="dxa"/>
            <w:left w:w="0" w:type="dxa"/>
            <w:bottom w:w="0" w:type="dxa"/>
            <w:right w:w="0" w:type="dxa"/>
          </w:tblCellMar>
        </w:tblPrEx>
        <w:trPr>
          <w:trHeight w:val="28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B8DEDA">
            <w:pPr>
              <w:jc w:val="center"/>
              <w:rPr>
                <w:rFonts w:hint="eastAsia" w:ascii="宋体" w:hAnsi="宋体" w:eastAsia="宋体" w:cs="宋体"/>
                <w:color w:val="auto"/>
                <w:sz w:val="18"/>
                <w:szCs w:val="18"/>
                <w:highlight w:val="none"/>
              </w:rPr>
            </w:pPr>
          </w:p>
        </w:tc>
        <w:tc>
          <w:tcPr>
            <w:tcW w:w="1297" w:type="dxa"/>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24A335B">
            <w:pPr>
              <w:jc w:val="center"/>
              <w:rPr>
                <w:rFonts w:hint="eastAsia" w:ascii="宋体" w:hAnsi="宋体" w:eastAsia="宋体" w:cs="宋体"/>
                <w:color w:val="auto"/>
                <w:sz w:val="18"/>
                <w:szCs w:val="18"/>
                <w:highlight w:val="none"/>
              </w:rPr>
            </w:pPr>
          </w:p>
        </w:tc>
        <w:tc>
          <w:tcPr>
            <w:tcW w:w="798" w:type="dxa"/>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3A0E70C">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ECCB204">
            <w:pPr>
              <w:widowControl/>
              <w:jc w:val="center"/>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6.1.7</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DD64190">
            <w:pPr>
              <w:widowControl/>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生活便利相关技术要求应符合现行强制性工程建设规范《建筑与市政工程无障碍通用规范》GB55019、《建筑电气与智能化通用规范》GB55024、《建筑节能与可再生能源利用通用规范》GB 55015等的规定</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F9DD96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5A9FEB7">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9D723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56665D54">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96514F">
            <w:pPr>
              <w:jc w:val="center"/>
              <w:rPr>
                <w:rFonts w:hint="eastAsia" w:ascii="宋体" w:hAnsi="宋体" w:eastAsia="宋体" w:cs="宋体"/>
                <w:color w:val="auto"/>
                <w:sz w:val="18"/>
                <w:szCs w:val="18"/>
                <w:highlight w:val="none"/>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BA02B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06F71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出行与无障碍</w:t>
            </w:r>
          </w:p>
        </w:tc>
        <w:tc>
          <w:tcPr>
            <w:tcW w:w="989"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28B5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6.2.1</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E976B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场地出入口到达公共交通站点的步行距离不超过500m，或到达轨道交通站的步行距离不大于800m，得2分；场地出入口到达公共交通站点的步行距离不超过300m，或到达轨道交通站的步行距离不大于500m，得4分；</w:t>
            </w:r>
          </w:p>
        </w:tc>
        <w:tc>
          <w:tcPr>
            <w:tcW w:w="62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7BC44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599"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25154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AD536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7F368519">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174C7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DD28C2">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713E72">
            <w:pPr>
              <w:jc w:val="center"/>
              <w:rPr>
                <w:rFonts w:hint="eastAsia" w:ascii="宋体" w:hAnsi="宋体" w:eastAsia="宋体" w:cs="宋体"/>
                <w:color w:val="auto"/>
                <w:sz w:val="18"/>
                <w:szCs w:val="18"/>
                <w:highlight w:val="none"/>
              </w:rPr>
            </w:pPr>
          </w:p>
        </w:tc>
        <w:tc>
          <w:tcPr>
            <w:tcW w:w="989"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755615">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74461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场地出入口步行距离800m范围内设有不少于2条线路的公共交通站点，得4分。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B1876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A3F98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A83642">
            <w:pPr>
              <w:jc w:val="center"/>
              <w:rPr>
                <w:rFonts w:hint="eastAsia" w:ascii="宋体" w:hAnsi="宋体" w:eastAsia="宋体" w:cs="宋体"/>
                <w:color w:val="auto"/>
                <w:sz w:val="18"/>
                <w:szCs w:val="18"/>
                <w:highlight w:val="none"/>
              </w:rPr>
            </w:pPr>
          </w:p>
        </w:tc>
      </w:tr>
      <w:tr w14:paraId="020D3E17">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9D0B7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CE9A8B">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0BA20F">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54F1F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D271E1">
            <w:pPr>
              <w:widowControl/>
              <w:textAlignment w:val="center"/>
              <w:rPr>
                <w:rFonts w:hint="eastAsia" w:ascii="宋体" w:hAnsi="宋体" w:eastAsia="宋体" w:cs="宋体"/>
                <w:strike/>
                <w:color w:val="auto"/>
                <w:sz w:val="18"/>
                <w:szCs w:val="18"/>
                <w:highlight w:val="none"/>
              </w:rPr>
            </w:pPr>
            <w:r>
              <w:rPr>
                <w:rFonts w:hint="eastAsia" w:ascii="宋体" w:hAnsi="宋体" w:eastAsia="宋体" w:cs="宋体"/>
                <w:color w:val="auto"/>
                <w:kern w:val="0"/>
                <w:sz w:val="18"/>
                <w:szCs w:val="18"/>
                <w:highlight w:val="none"/>
              </w:rPr>
              <w:t>1 建筑室内公共区域、室外公共活动场地及道路均满足无障碍设计要求；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67C1F3">
            <w:pPr>
              <w:widowControl/>
              <w:jc w:val="center"/>
              <w:textAlignment w:val="center"/>
              <w:rPr>
                <w:rFonts w:hint="eastAsia" w:ascii="宋体" w:hAnsi="宋体" w:eastAsia="宋体" w:cs="宋体"/>
                <w:strike/>
                <w:color w:val="auto"/>
                <w:sz w:val="18"/>
                <w:szCs w:val="18"/>
                <w:highlight w:val="none"/>
              </w:rPr>
            </w:pPr>
            <w:r>
              <w:rPr>
                <w:rFonts w:hint="eastAsia" w:ascii="宋体" w:hAnsi="宋体" w:eastAsia="宋体" w:cs="宋体"/>
                <w:strike/>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882879">
            <w:pPr>
              <w:widowControl/>
              <w:jc w:val="center"/>
              <w:textAlignment w:val="center"/>
              <w:rPr>
                <w:rFonts w:hint="eastAsia" w:ascii="宋体" w:hAnsi="宋体" w:eastAsia="宋体" w:cs="宋体"/>
                <w:strike/>
                <w:color w:val="auto"/>
                <w:sz w:val="18"/>
                <w:szCs w:val="18"/>
                <w:highlight w:val="none"/>
              </w:rPr>
            </w:pPr>
            <w:r>
              <w:rPr>
                <w:rFonts w:hint="eastAsia" w:ascii="宋体" w:hAnsi="宋体" w:eastAsia="宋体" w:cs="宋体"/>
                <w:strike/>
                <w:color w:val="auto"/>
                <w:kern w:val="0"/>
                <w:sz w:val="18"/>
                <w:szCs w:val="18"/>
                <w:highlight w:val="none"/>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856F5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建筑、景观</w:t>
            </w:r>
          </w:p>
        </w:tc>
      </w:tr>
      <w:tr w14:paraId="449A3D74">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13B7E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82A73A">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566783">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CDE7C6">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41994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建筑室内公共区域的墙、柱等处的阳角均为圆角，并设有安全抓杆或扶手；</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A3214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404F66">
            <w:pPr>
              <w:jc w:val="center"/>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32EC26">
            <w:pPr>
              <w:jc w:val="center"/>
              <w:rPr>
                <w:rFonts w:hint="eastAsia" w:ascii="宋体" w:hAnsi="宋体" w:eastAsia="宋体" w:cs="宋体"/>
                <w:color w:val="auto"/>
                <w:sz w:val="18"/>
                <w:szCs w:val="18"/>
                <w:highlight w:val="none"/>
              </w:rPr>
            </w:pPr>
          </w:p>
        </w:tc>
      </w:tr>
      <w:tr w14:paraId="4670B805">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34683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8E5D4C">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9DEE52">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CCA517">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E6536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设有可容纳担架的无障碍电梯。</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1952A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83D2A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34A37C">
            <w:pPr>
              <w:jc w:val="center"/>
              <w:rPr>
                <w:rFonts w:hint="eastAsia" w:ascii="宋体" w:hAnsi="宋体" w:eastAsia="宋体" w:cs="宋体"/>
                <w:color w:val="auto"/>
                <w:sz w:val="18"/>
                <w:szCs w:val="18"/>
                <w:highlight w:val="none"/>
              </w:rPr>
            </w:pPr>
          </w:p>
        </w:tc>
      </w:tr>
      <w:tr w14:paraId="6C7B27B8">
        <w:tblPrEx>
          <w:tblCellMar>
            <w:top w:w="0" w:type="dxa"/>
            <w:left w:w="0" w:type="dxa"/>
            <w:bottom w:w="0" w:type="dxa"/>
            <w:right w:w="0" w:type="dxa"/>
          </w:tblCellMar>
        </w:tblPrEx>
        <w:trPr>
          <w:trHeight w:val="826"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5067D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AC7CA5">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36A22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服务设施</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F8893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B3E56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提供便利的公共服务，评价总分值为10分，并按下列规则评分：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住宅建筑，满足下列要求中的4项，得5分；满足6项及以上，得10分：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1）场地出入口到达幼儿园的步行距离不大于300m；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2）场地出入口到达小学的步行距离不大于500m；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3）场地出入口到达中学的步行距离不大于1000m；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4）场地出入口到达医院的步行距离不大于1000m；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5）场地出入口到达群众文化活动设施的步行距离不大于800m；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6）场地出入口到达老年人日间照料设施的步行距离不大于500m；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7）场地周边500m范围内具有不少于3种商业服务设施。</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公共建筑，满足下列要求中的3项，得5分；满足5项，得10分：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1）建筑内至少兼容2种面向社会的公共服务功能；</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2）建筑向社会公众提供开放的公共活动空间；</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3）电动汽车充电桩的车位数占总车位数的比例不低于10%；</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4）周边500m范围内设有社会公共停车场（库）；</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5）场地不封闭或场地内步行公共通道向社会开放。</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74A10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5124C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FD1E2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1497B57E">
        <w:tblPrEx>
          <w:tblCellMar>
            <w:top w:w="0" w:type="dxa"/>
            <w:left w:w="0" w:type="dxa"/>
            <w:bottom w:w="0" w:type="dxa"/>
            <w:right w:w="0" w:type="dxa"/>
          </w:tblCellMar>
        </w:tblPrEx>
        <w:trPr>
          <w:trHeight w:val="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AF9E5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5ABABD">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BAA88B">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E0CC1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016D6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场地出入口到达城市公园绿地、居住住区公园、广场的步行距离不大于300m；</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CF28B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58D615">
            <w:pPr>
              <w:jc w:val="center"/>
              <w:rPr>
                <w:rFonts w:hint="eastAsia" w:ascii="宋体" w:hAnsi="宋体" w:eastAsia="宋体" w:cs="宋体"/>
                <w:color w:val="auto"/>
                <w:sz w:val="18"/>
                <w:szCs w:val="18"/>
                <w:highlight w:val="none"/>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19BDE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2E81DEF7">
        <w:tblPrEx>
          <w:tblCellMar>
            <w:top w:w="0" w:type="dxa"/>
            <w:left w:w="0" w:type="dxa"/>
            <w:bottom w:w="0" w:type="dxa"/>
            <w:right w:w="0" w:type="dxa"/>
          </w:tblCellMar>
        </w:tblPrEx>
        <w:trPr>
          <w:trHeight w:val="9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1A637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659029">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5851E1">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4A0E89">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1C89E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到达中型多功能运动场地的步行距离不大于500m，得2分。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E2CDC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FD8FA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7DE333">
            <w:pPr>
              <w:jc w:val="center"/>
              <w:rPr>
                <w:rFonts w:hint="eastAsia" w:ascii="宋体" w:hAnsi="宋体" w:eastAsia="宋体" w:cs="宋体"/>
                <w:color w:val="auto"/>
                <w:sz w:val="18"/>
                <w:szCs w:val="18"/>
                <w:highlight w:val="none"/>
              </w:rPr>
            </w:pPr>
          </w:p>
        </w:tc>
      </w:tr>
      <w:tr w14:paraId="07A4D515">
        <w:tblPrEx>
          <w:tblCellMar>
            <w:top w:w="0" w:type="dxa"/>
            <w:left w:w="0" w:type="dxa"/>
            <w:bottom w:w="0" w:type="dxa"/>
            <w:right w:w="0" w:type="dxa"/>
          </w:tblCellMar>
        </w:tblPrEx>
        <w:trPr>
          <w:trHeight w:val="31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536F7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E8EC5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C0C9D0">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0AE71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51000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合理设置健身场地和空间，评价总分值为10分，并按下列规则分别评分并累计：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 xml:space="preserve">1 室外健身场地面积不少于总用地面积的0.5%，得3分； </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设置宽度不少于1.25m的专用健身慢行道，健身慢行道长度不少于用地红线周长的1/4且不少于100m，得2分；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室内健身空间的面积不少于地上建筑面积的0.3%且不少于60 m2，得3分；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4 楼梯间具有天然采光和良好的视野，且距离主入口的距离不大于15m，得2分。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79F03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02584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00BEC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581F7198">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8F3DD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44A903">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14C99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智慧运行</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87204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EDAC3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设置分类、分级用能自动远传计量系统，且设置能源管理系统实现对建筑能耗的监测、数据分析和管理。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F3A55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1A2C9C">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2E23C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575F56F0">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55A81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1D5177">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CB3266">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5949B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6F044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设置PM</w:t>
            </w:r>
            <w:r>
              <w:rPr>
                <w:rFonts w:hint="eastAsia" w:ascii="宋体" w:hAnsi="宋体" w:eastAsia="宋体" w:cs="宋体"/>
                <w:color w:val="auto"/>
                <w:kern w:val="0"/>
                <w:sz w:val="18"/>
                <w:szCs w:val="18"/>
                <w:highlight w:val="none"/>
                <w:vertAlign w:val="subscript"/>
              </w:rPr>
              <w:t>10</w:t>
            </w:r>
            <w:r>
              <w:rPr>
                <w:rFonts w:hint="eastAsia" w:ascii="宋体" w:hAnsi="宋体" w:eastAsia="宋体" w:cs="宋体"/>
                <w:color w:val="auto"/>
                <w:kern w:val="0"/>
                <w:sz w:val="18"/>
                <w:szCs w:val="18"/>
                <w:highlight w:val="none"/>
              </w:rPr>
              <w:t>、PM</w:t>
            </w:r>
            <w:r>
              <w:rPr>
                <w:rFonts w:hint="eastAsia" w:ascii="宋体" w:hAnsi="宋体" w:eastAsia="宋体" w:cs="宋体"/>
                <w:color w:val="auto"/>
                <w:kern w:val="0"/>
                <w:sz w:val="18"/>
                <w:szCs w:val="18"/>
                <w:highlight w:val="none"/>
                <w:vertAlign w:val="subscript"/>
              </w:rPr>
              <w:t>2.5</w:t>
            </w:r>
            <w:r>
              <w:rPr>
                <w:rFonts w:hint="eastAsia" w:ascii="宋体" w:hAnsi="宋体" w:eastAsia="宋体" w:cs="宋体"/>
                <w:color w:val="auto"/>
                <w:kern w:val="0"/>
                <w:sz w:val="18"/>
                <w:szCs w:val="18"/>
                <w:highlight w:val="none"/>
              </w:rPr>
              <w:t>、CO</w:t>
            </w:r>
            <w:r>
              <w:rPr>
                <w:rFonts w:hint="eastAsia" w:ascii="宋体" w:hAnsi="宋体" w:eastAsia="宋体" w:cs="宋体"/>
                <w:color w:val="auto"/>
                <w:kern w:val="0"/>
                <w:sz w:val="18"/>
                <w:szCs w:val="18"/>
                <w:highlight w:val="none"/>
                <w:vertAlign w:val="subscript"/>
              </w:rPr>
              <w:t>2</w:t>
            </w:r>
            <w:r>
              <w:rPr>
                <w:rFonts w:hint="eastAsia" w:ascii="宋体" w:hAnsi="宋体" w:eastAsia="宋体" w:cs="宋体"/>
                <w:color w:val="auto"/>
                <w:kern w:val="0"/>
                <w:sz w:val="18"/>
                <w:szCs w:val="18"/>
                <w:highlight w:val="none"/>
              </w:rPr>
              <w:t>浓度的空气质量监测系统，且具有存储至少一年的监测数据和实时显示等功能。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049E4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387B8E">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E8E32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254AFAAB">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97141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EBC86B">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74A516">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EE0C4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596D4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设置用水量远传计量系统，能分类、分级记录、统计分析各种用水情况；</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C2689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33C90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B4707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电气、给排水</w:t>
            </w:r>
          </w:p>
        </w:tc>
      </w:tr>
      <w:tr w14:paraId="5D2B5398">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7F348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0E4205">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07936E">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AFC617">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F461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利用计量数据进行管网漏损自动检测、分析与整改，管道漏损率低于5%；</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416D6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0FAC7E">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591298">
            <w:pPr>
              <w:jc w:val="center"/>
              <w:rPr>
                <w:rFonts w:hint="eastAsia" w:ascii="宋体" w:hAnsi="宋体" w:eastAsia="宋体" w:cs="宋体"/>
                <w:color w:val="auto"/>
                <w:sz w:val="18"/>
                <w:szCs w:val="18"/>
                <w:highlight w:val="none"/>
              </w:rPr>
            </w:pPr>
          </w:p>
        </w:tc>
      </w:tr>
      <w:tr w14:paraId="11276033">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32CA2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82358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4B4898">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2CA192">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3F3A4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设置水质在线监测系统，监测生活饮用水、管道直饮水、游泳池水、非传统水源、空调冷却水的水质指标，记录并保存水质监测结果，且能随时供用户查询。</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AB804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599" w:type="dxa"/>
            <w:gridSpan w:val="2"/>
            <w:tcBorders>
              <w:top w:val="nil"/>
              <w:left w:val="nil"/>
              <w:bottom w:val="nil"/>
              <w:right w:val="single" w:color="000000" w:sz="4" w:space="0"/>
            </w:tcBorders>
            <w:shd w:val="clear" w:color="auto" w:fill="auto"/>
            <w:tcMar>
              <w:top w:w="15" w:type="dxa"/>
              <w:left w:w="15" w:type="dxa"/>
              <w:right w:w="15" w:type="dxa"/>
            </w:tcMar>
            <w:vAlign w:val="center"/>
          </w:tcPr>
          <w:p w14:paraId="5F64C609">
            <w:pPr>
              <w:widowControl/>
              <w:jc w:val="center"/>
              <w:textAlignment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0E217C">
            <w:pPr>
              <w:jc w:val="center"/>
              <w:rPr>
                <w:rFonts w:hint="eastAsia" w:ascii="宋体" w:hAnsi="宋体" w:eastAsia="宋体" w:cs="宋体"/>
                <w:color w:val="auto"/>
                <w:sz w:val="18"/>
                <w:szCs w:val="18"/>
                <w:highlight w:val="none"/>
              </w:rPr>
            </w:pPr>
          </w:p>
        </w:tc>
      </w:tr>
      <w:tr w14:paraId="347D306D">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A2495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E3522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D3CF68">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C87A7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0EC4C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具有家电控制、照明控制、安全报警、环境监测、建筑设备控制、工作生活服务等至少3种类型的服务功能；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9EE95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69B405">
            <w:pPr>
              <w:jc w:val="center"/>
              <w:rPr>
                <w:rFonts w:hint="eastAsia" w:ascii="宋体" w:hAnsi="宋体" w:eastAsia="宋体" w:cs="宋体"/>
                <w:color w:val="auto"/>
                <w:sz w:val="18"/>
                <w:szCs w:val="18"/>
                <w:highlight w:val="none"/>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2C1DB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595A646E">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B7A6D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88F08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815EFD">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25DCDE">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96D2A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具有远程监控的功能；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1CAF6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830079">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B62948">
            <w:pPr>
              <w:jc w:val="center"/>
              <w:rPr>
                <w:rFonts w:hint="eastAsia" w:ascii="宋体" w:hAnsi="宋体" w:eastAsia="宋体" w:cs="宋体"/>
                <w:color w:val="auto"/>
                <w:sz w:val="18"/>
                <w:szCs w:val="18"/>
                <w:highlight w:val="none"/>
              </w:rPr>
            </w:pPr>
          </w:p>
        </w:tc>
      </w:tr>
      <w:tr w14:paraId="19F69958">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CBAF6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15857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AD3DB4">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2513AE">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70ECA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具有接入智慧城市（城区、社区）的功能。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329DF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E35037">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894A5C">
            <w:pPr>
              <w:jc w:val="center"/>
              <w:rPr>
                <w:rFonts w:hint="eastAsia" w:ascii="宋体" w:hAnsi="宋体" w:eastAsia="宋体" w:cs="宋体"/>
                <w:color w:val="auto"/>
                <w:sz w:val="18"/>
                <w:szCs w:val="18"/>
                <w:highlight w:val="none"/>
              </w:rPr>
            </w:pPr>
          </w:p>
        </w:tc>
      </w:tr>
      <w:tr w14:paraId="5BD83DE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658A5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79802D">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37244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物业管理</w:t>
            </w: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76864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6.2.10</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0A92F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相关设施具有完善的操作规程和应急预案；</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B4A52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31D04A">
            <w:pPr>
              <w:jc w:val="center"/>
              <w:rPr>
                <w:rFonts w:hint="eastAsia" w:ascii="宋体" w:hAnsi="宋体" w:eastAsia="宋体" w:cs="宋体"/>
                <w:color w:val="auto"/>
                <w:sz w:val="18"/>
                <w:szCs w:val="18"/>
                <w:highlight w:val="none"/>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10AD6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物业</w:t>
            </w:r>
          </w:p>
        </w:tc>
      </w:tr>
      <w:tr w14:paraId="5ED6B5DA">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CA99D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7C69F4">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F98CDB">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9D97E2">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D8894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物业管理机构的工作考核体系中包含节能和节水绩效考核激励机制。</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1729E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AF7D33">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62F827">
            <w:pPr>
              <w:jc w:val="center"/>
              <w:rPr>
                <w:rFonts w:hint="eastAsia" w:ascii="宋体" w:hAnsi="宋体" w:eastAsia="宋体" w:cs="宋体"/>
                <w:color w:val="auto"/>
                <w:sz w:val="18"/>
                <w:szCs w:val="18"/>
                <w:highlight w:val="none"/>
              </w:rPr>
            </w:pPr>
          </w:p>
        </w:tc>
      </w:tr>
      <w:tr w14:paraId="7BDC9BF7">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0B432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1D5DDB">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A67719">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33BA1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6.2.11</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76230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建筑平均日用水量满足现行国家标准《民用建筑节水设计标准》GB 50555中节水用水定额的要求，评价总分值为5分，并按下列规则评分：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平均日用水量大于节水用水定额的平均值、不大于上限值，得2分。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平均日用水量大于节水用水定额下限值、不大于平均值，得3分。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平均日用水量不大于节水用水定额下限值，得5分。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2A78F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6F8920">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EC71F6">
            <w:pPr>
              <w:jc w:val="center"/>
              <w:rPr>
                <w:rFonts w:hint="eastAsia" w:ascii="宋体" w:hAnsi="宋体" w:eastAsia="宋体" w:cs="宋体"/>
                <w:color w:val="auto"/>
                <w:sz w:val="18"/>
                <w:szCs w:val="18"/>
                <w:highlight w:val="none"/>
              </w:rPr>
            </w:pPr>
          </w:p>
        </w:tc>
      </w:tr>
      <w:tr w14:paraId="33705C2F">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585C5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DC9C47">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641BA0">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8475B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A47D8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制定绿色建筑运营效果评估的技术方案和计划；</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7005D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9D27F5">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12987B">
            <w:pPr>
              <w:jc w:val="center"/>
              <w:rPr>
                <w:rFonts w:hint="eastAsia" w:ascii="宋体" w:hAnsi="宋体" w:eastAsia="宋体" w:cs="宋体"/>
                <w:color w:val="auto"/>
                <w:sz w:val="18"/>
                <w:szCs w:val="18"/>
                <w:highlight w:val="none"/>
              </w:rPr>
            </w:pPr>
          </w:p>
        </w:tc>
      </w:tr>
      <w:tr w14:paraId="69372366">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8D451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9FC71D">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A67BE0">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EB2022">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3C976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定期检查、调适公共设施设备，具有检查、调试、运行、标定的记录，且记录完整；</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8A6A6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2176B1">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D34CD3">
            <w:pPr>
              <w:jc w:val="center"/>
              <w:rPr>
                <w:rFonts w:hint="eastAsia" w:ascii="宋体" w:hAnsi="宋体" w:eastAsia="宋体" w:cs="宋体"/>
                <w:color w:val="auto"/>
                <w:sz w:val="18"/>
                <w:szCs w:val="18"/>
                <w:highlight w:val="none"/>
              </w:rPr>
            </w:pPr>
          </w:p>
        </w:tc>
      </w:tr>
      <w:tr w14:paraId="12437E5E">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55FDD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F8B9C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FC3E32">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EAC666">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CA26C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定期开展节能诊断评估，并根据评估结果制定优化方案并实施；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3E4D2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2389B2">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663D1D">
            <w:pPr>
              <w:jc w:val="center"/>
              <w:rPr>
                <w:rFonts w:hint="eastAsia" w:ascii="宋体" w:hAnsi="宋体" w:eastAsia="宋体" w:cs="宋体"/>
                <w:color w:val="auto"/>
                <w:sz w:val="18"/>
                <w:szCs w:val="18"/>
                <w:highlight w:val="none"/>
              </w:rPr>
            </w:pPr>
          </w:p>
        </w:tc>
      </w:tr>
      <w:tr w14:paraId="5658F491">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53A72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40563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37532B">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7E6965">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9E1A3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 定期对各类用水水质进行检测、公示。</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5F7CC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41BF5F">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576F63">
            <w:pPr>
              <w:jc w:val="center"/>
              <w:rPr>
                <w:rFonts w:hint="eastAsia" w:ascii="宋体" w:hAnsi="宋体" w:eastAsia="宋体" w:cs="宋体"/>
                <w:color w:val="auto"/>
                <w:sz w:val="18"/>
                <w:szCs w:val="18"/>
                <w:highlight w:val="none"/>
              </w:rPr>
            </w:pPr>
          </w:p>
        </w:tc>
      </w:tr>
      <w:tr w14:paraId="2B7740EF">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AB431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393F64">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41B31A">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80A2C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F12D7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每年组织不少于2次的绿色建筑技术宣传、绿色生活引导、灾害应急演练等绿色教育宣传和实践活动，并有活动记录；</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6B110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78A2EB">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0ECA65">
            <w:pPr>
              <w:jc w:val="center"/>
              <w:rPr>
                <w:rFonts w:hint="eastAsia" w:ascii="宋体" w:hAnsi="宋体" w:eastAsia="宋体" w:cs="宋体"/>
                <w:color w:val="auto"/>
                <w:sz w:val="18"/>
                <w:szCs w:val="18"/>
                <w:highlight w:val="none"/>
              </w:rPr>
            </w:pPr>
          </w:p>
        </w:tc>
      </w:tr>
      <w:tr w14:paraId="313E9D3E">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02EC2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2ACAD8">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B4942A">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A4E4FA">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F11CD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具有绿色生活展示、体验或交流分享的平台，并向使用者提供绿色设施使用手册；</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ED468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B715EF">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D165E4">
            <w:pPr>
              <w:jc w:val="center"/>
              <w:rPr>
                <w:rFonts w:hint="eastAsia" w:ascii="宋体" w:hAnsi="宋体" w:eastAsia="宋体" w:cs="宋体"/>
                <w:color w:val="auto"/>
                <w:sz w:val="18"/>
                <w:szCs w:val="18"/>
                <w:highlight w:val="none"/>
              </w:rPr>
            </w:pPr>
          </w:p>
        </w:tc>
      </w:tr>
      <w:tr w14:paraId="6D4D2E30">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231CF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1A96C8">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173DD6">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AC2A03">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D484D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每年开展1次针对建筑绿色性能的使用者满意度调查，且根据调查结果制定改进措施并实施、公示。</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F8039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AEA480">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E9AAE1">
            <w:pPr>
              <w:jc w:val="center"/>
              <w:rPr>
                <w:rFonts w:hint="eastAsia" w:ascii="宋体" w:hAnsi="宋体" w:eastAsia="宋体" w:cs="宋体"/>
                <w:color w:val="auto"/>
                <w:sz w:val="18"/>
                <w:szCs w:val="18"/>
                <w:highlight w:val="none"/>
              </w:rPr>
            </w:pPr>
          </w:p>
        </w:tc>
      </w:tr>
      <w:tr w14:paraId="167C1FA3">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F1C6F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A6B08B7">
            <w:pPr>
              <w:jc w:val="center"/>
              <w:rPr>
                <w:rFonts w:hint="eastAsia" w:ascii="宋体" w:hAnsi="宋体" w:eastAsia="宋体" w:cs="宋体"/>
                <w:color w:val="auto"/>
                <w:sz w:val="18"/>
                <w:szCs w:val="18"/>
                <w:highlight w:val="none"/>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73A082E">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858B34A">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DE2EAE9">
            <w:pPr>
              <w:rPr>
                <w:rFonts w:hint="eastAsia" w:ascii="宋体" w:hAnsi="宋体" w:eastAsia="宋体" w:cs="宋体"/>
                <w:color w:val="auto"/>
                <w:sz w:val="18"/>
                <w:szCs w:val="18"/>
                <w:highlight w:val="none"/>
              </w:rPr>
            </w:pPr>
          </w:p>
        </w:tc>
        <w:tc>
          <w:tcPr>
            <w:tcW w:w="62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55ABBF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100</w:t>
            </w:r>
          </w:p>
        </w:tc>
        <w:tc>
          <w:tcPr>
            <w:tcW w:w="1599"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4EAE6D4">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A6078A">
            <w:pPr>
              <w:jc w:val="center"/>
              <w:rPr>
                <w:rFonts w:hint="eastAsia" w:ascii="宋体" w:hAnsi="宋体" w:eastAsia="宋体" w:cs="宋体"/>
                <w:color w:val="auto"/>
                <w:sz w:val="18"/>
                <w:szCs w:val="18"/>
                <w:highlight w:val="none"/>
              </w:rPr>
            </w:pPr>
          </w:p>
        </w:tc>
      </w:tr>
      <w:tr w14:paraId="7FD0BCCD">
        <w:tblPrEx>
          <w:tblCellMar>
            <w:top w:w="0" w:type="dxa"/>
            <w:left w:w="0" w:type="dxa"/>
            <w:bottom w:w="0" w:type="dxa"/>
            <w:right w:w="0" w:type="dxa"/>
          </w:tblCellMar>
        </w:tblPrEx>
        <w:trPr>
          <w:trHeight w:val="90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D6764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 资源节约</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8842EE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20814BB">
            <w:pPr>
              <w:jc w:val="center"/>
              <w:rPr>
                <w:rFonts w:hint="eastAsia" w:ascii="宋体" w:hAnsi="宋体" w:eastAsia="宋体" w:cs="宋体"/>
                <w:color w:val="auto"/>
                <w:sz w:val="18"/>
                <w:szCs w:val="18"/>
                <w:highlight w:val="none"/>
              </w:rPr>
            </w:pPr>
          </w:p>
        </w:tc>
        <w:tc>
          <w:tcPr>
            <w:tcW w:w="989"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10285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7.1.1</w:t>
            </w:r>
          </w:p>
        </w:tc>
        <w:tc>
          <w:tcPr>
            <w:tcW w:w="5153"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E88CB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应结合场地自然条件和建筑功能需求，对建筑的体形、平面布局、空间尺度、围护结构等进行节能设计，且应符合国家有关节能设计的要求。</w:t>
            </w:r>
          </w:p>
        </w:tc>
        <w:tc>
          <w:tcPr>
            <w:tcW w:w="628"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6B0CB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D49AB4">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3FE8C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342CAADF">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E80760">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16FADF1">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470B5A4">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F52C2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AC546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应采取措施降低部分负荷、部分空间使用下的供暖、空调系统能耗，并应符合下列要求：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应区分房间的朝向细分供暖、空调区域，并应对系统进行分区控制；</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空调冷源的部分负荷性能系数（IPLV）、电冷源综合制冷性能系数（SCOP）应符合现行国家标准《公共建筑节能设计标准》GB50189的规定。</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2F952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7A559C">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3303F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01D010D8">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A3FC10">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E09BD7E">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6B74FC8">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7C90A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C6778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应根据建筑空间功能设置分区温度，合理降低室内过渡区空间的温度设定标准。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E4C26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019D2A">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F7284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6801672B">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22F009">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55F5146">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4BDAB9E">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6DA74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B7820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主要功能房间的照明功率密度值不应高于现行国家标准《建筑照明设计标准》GB 50034规定的现行值；公共区域的照明系统应采用分区、定时、感应等节能控制；采光区域的照明控制应独立于其他区域的照明控制。</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03E63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A485A1">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A758A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4AEC1C56">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DFCEAA">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D0814C4">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A118836">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A32D6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117B3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冷热源、输配系统和照明等各部分能耗应进行独立分项计量。</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B0F30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682BA8">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5FBD4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给排水、暖通、电气</w:t>
            </w:r>
          </w:p>
        </w:tc>
      </w:tr>
      <w:tr w14:paraId="75E3B02A">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07F225">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EE16CA7">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9121C22">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CE198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B6D77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垂直电梯应采取群控、变频调速或能量反馈等节能措施；自动扶梯应采用变频感应启动等节能控制措施。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75C92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B1ADFC">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6C82D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7BA8F61F">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EA4174">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7DDE545">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6B151A6">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960F0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CAF1C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应制定水资源利用方案，统筹利用各种水资源，并应符合下列要求：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应按使用用途、付费或管理单元，分别设置用水计量装置；</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用水点处水压大于0.2MPa的配水支管应设置减压设施，并应满足给水配件最低工作压力的要求；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用水器具和设备应满足节水产品的要求。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A9692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330608">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7B423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43BE8B9B">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F70CE8">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FB6EDAE">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7C91E67">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A0285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39548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不应采用严重不规则的建筑结构。</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6D53C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32E550">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93EB8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6712C868">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FE87AE">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2A81E43">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69DDA83">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D4BC3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446D2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建筑造型要素应简约，应无大量装饰性构件，并应符合下列要求：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住宅建筑的装饰性构件造价与建筑总造价的比例不应大于2%；</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公共建筑的装饰性构件造价与建筑总造价的比例不应大于1%。</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1C6AB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3646B2">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42E33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0B132357">
        <w:tblPrEx>
          <w:tblCellMar>
            <w:top w:w="0" w:type="dxa"/>
            <w:left w:w="0" w:type="dxa"/>
            <w:bottom w:w="0" w:type="dxa"/>
            <w:right w:w="0" w:type="dxa"/>
          </w:tblCellMar>
        </w:tblPrEx>
        <w:trPr>
          <w:trHeight w:val="11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9F367D">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4FA4B27">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121E6AC">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C9AFD4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7.1.10</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0F22C8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选用的建筑材料应符合下列要求：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1 500km以内生产的建筑材料重量占建筑材料总重量的比例应大于60%；</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现浇混凝土应采用预拌混凝土，建筑砂浆应采用预拌砂浆</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5A3502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547028E">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39F90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12684FF3">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3F7102">
            <w:pPr>
              <w:jc w:val="center"/>
              <w:rPr>
                <w:rFonts w:hint="eastAsia" w:ascii="宋体" w:hAnsi="宋体" w:eastAsia="宋体" w:cs="宋体"/>
                <w:color w:val="auto"/>
                <w:sz w:val="18"/>
                <w:szCs w:val="18"/>
                <w:highlight w:val="none"/>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DF409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BE3CE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节地与土地利用</w:t>
            </w:r>
          </w:p>
        </w:tc>
        <w:tc>
          <w:tcPr>
            <w:tcW w:w="989"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33EF9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7A729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节约集约利用土地，评价总分值为20分，并按下列规则评分：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对于住宅建筑，根据其所在居住街坊人均住宅用地指标按表7.2.1-1的规则评分。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对于公共建筑，根据不同功能建筑的容积率按表7.2.1-2的规则评分。</w:t>
            </w:r>
          </w:p>
        </w:tc>
        <w:tc>
          <w:tcPr>
            <w:tcW w:w="62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8B717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8D7F55">
            <w:pPr>
              <w:widowControl/>
              <w:jc w:val="center"/>
              <w:textAlignment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5ABF42">
            <w:pPr>
              <w:jc w:val="center"/>
              <w:rPr>
                <w:rFonts w:hint="eastAsia" w:ascii="宋体" w:hAnsi="宋体" w:eastAsia="宋体" w:cs="宋体"/>
                <w:color w:val="auto"/>
                <w:sz w:val="18"/>
                <w:szCs w:val="18"/>
                <w:highlight w:val="none"/>
              </w:rPr>
            </w:pPr>
          </w:p>
        </w:tc>
      </w:tr>
      <w:tr w14:paraId="2B8729F7">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CFD24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C1CB33">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9D3738">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5C5B6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2C36A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合理开发利用地下空间，评价总分值为12分，根据地下空间开发利用指标，按表7.2.2的规则评分。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392DE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A21E0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67C89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1DE5C463">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61ABC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085406">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8C5CE4">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D49AA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3CD97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采用机械式停车设施、地下停车库或地面停车楼等方式，评价总分值为8分，并按下列规则评分：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1住宅建筑地面停车位数量与住宅总套数的比率小于10%，得8分。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2公共建筑地面停车占地面积与其总建设用地面积的比率小于8%，得8分。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6EC4D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82C25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65CFE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6D423670">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ABB9E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084FCD">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EA46B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节能与能源利用</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A87D4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DAE49C">
            <w:pPr>
              <w:pStyle w:val="17"/>
              <w:numPr>
                <w:ilvl w:val="0"/>
                <w:numId w:val="14"/>
              </w:numP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围护结构热工性能比现行强制性工程建设规范《建筑节能与可再生能源利用通用规范》GB55015的规定提高5%；每提高1%，再得1分，最高得10分；</w:t>
            </w:r>
          </w:p>
          <w:p w14:paraId="6E810A03">
            <w:pPr>
              <w:pStyle w:val="17"/>
              <w:numPr>
                <w:ilvl w:val="0"/>
                <w:numId w:val="14"/>
              </w:numP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建筑供暖空调负荷降低3%；每降低1%，再得1分，最高得10分。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6A110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1BD77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24CFB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04FC52BE">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2F4A0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385C7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3F29B9">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3093C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A1C64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供暖空调系统的冷、热源机组能效均优于现行国家标准《公共建筑节能设计标准》GB 50189的规定以及现行有关国家标准能效限定值的要求，评价总分值为10分，按表7.2.5的规则评分。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3F95B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5F48BF">
            <w:pPr>
              <w:widowControl/>
              <w:jc w:val="center"/>
              <w:textAlignment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76BB4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14915B14">
        <w:tblPrEx>
          <w:tblCellMar>
            <w:top w:w="0" w:type="dxa"/>
            <w:left w:w="0" w:type="dxa"/>
            <w:bottom w:w="0" w:type="dxa"/>
            <w:right w:w="0" w:type="dxa"/>
          </w:tblCellMar>
        </w:tblPrEx>
        <w:trPr>
          <w:trHeight w:val="7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FEE75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FEB84B">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F10977">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04C33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C1FC8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1通风空调系统风机的单位风量耗功率比现行国家标准《公共建筑节能设计标准》GB 50189 等的规定低20%，得2分；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01C87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738B7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BB1E9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584553EF">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5FC80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89DCD6">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E9AFDE">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0CC559">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FB97C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2集中供暖系统热水循环泵的耗电输热比、空调冷热水系统循环水泵的耗电输冷（热）比比现行国家标准《民用建筑供暖通风与空气调节设计规范》GB 50736 规定值低20%，得3分。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FBCE0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1C60C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B97189">
            <w:pPr>
              <w:jc w:val="center"/>
              <w:rPr>
                <w:rFonts w:hint="eastAsia" w:ascii="宋体" w:hAnsi="宋体" w:eastAsia="宋体" w:cs="宋体"/>
                <w:color w:val="auto"/>
                <w:sz w:val="18"/>
                <w:szCs w:val="18"/>
                <w:highlight w:val="none"/>
              </w:rPr>
            </w:pPr>
          </w:p>
        </w:tc>
      </w:tr>
      <w:tr w14:paraId="10D25DC2">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B1D661">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7A5049">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66BC8A">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5BC09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F74AA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主要功能房间的照明功率密度值达到现行国家标准《建筑照明设计标准》GB 50034规定的目标值；</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F6AEB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98C2F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7BA76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电气、给排水、暖通</w:t>
            </w:r>
          </w:p>
        </w:tc>
      </w:tr>
      <w:tr w14:paraId="23F9267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63A38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8674C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39AE76">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E6AE00">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ADF44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采光区域的人工照明随天然光照度变化自动调节；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80AC5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617FEC">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75382E">
            <w:pPr>
              <w:jc w:val="center"/>
              <w:rPr>
                <w:rFonts w:hint="eastAsia" w:ascii="宋体" w:hAnsi="宋体" w:eastAsia="宋体" w:cs="宋体"/>
                <w:color w:val="auto"/>
                <w:sz w:val="18"/>
                <w:szCs w:val="18"/>
                <w:highlight w:val="none"/>
              </w:rPr>
            </w:pPr>
          </w:p>
        </w:tc>
      </w:tr>
      <w:tr w14:paraId="1CF66450">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44557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900B66">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123F58">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14CD0B">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0AC9B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照明产品、三相配电变压器、水泵、风机等设备满足国家现行有关标准的节能评价值的要求。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E8ECC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CFBDA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AC383D">
            <w:pPr>
              <w:jc w:val="center"/>
              <w:rPr>
                <w:rFonts w:hint="eastAsia" w:ascii="宋体" w:hAnsi="宋体" w:eastAsia="宋体" w:cs="宋体"/>
                <w:color w:val="auto"/>
                <w:sz w:val="18"/>
                <w:szCs w:val="18"/>
                <w:highlight w:val="none"/>
              </w:rPr>
            </w:pPr>
          </w:p>
        </w:tc>
      </w:tr>
      <w:tr w14:paraId="0873E17C">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7316F9">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4513FD">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1CC054">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0B342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DD7E2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采取措施降低建筑供暖空调系统和照明系统的能耗，评价总分值为10分。建筑供暖空调和照明系统能耗相比国家现行有关建筑节能标准降低10%，得5分；降低20%，得10分。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3CCBC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613FB8">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D64DD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暖通、电气</w:t>
            </w:r>
          </w:p>
        </w:tc>
      </w:tr>
      <w:tr w14:paraId="47116576">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9DF90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66ACF3">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05BD59">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3DB55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633C7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结合当地气候和自然资源条件合理利用可再生能源，评价总分值为10分，按表7.2.9的规则评分。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13D4A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D31889">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612D3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建筑、给排水、暖通、电气</w:t>
            </w:r>
          </w:p>
        </w:tc>
      </w:tr>
      <w:tr w14:paraId="12D0613F">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6E33B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C2B0C5">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0465B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节水与水资源利用</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BFBF8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7.2.10</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237CF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使用较高用水效率等级的卫生器具，评价总分值为15分，并按下列规则评分：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全部卫生器具的用水效率等级达到2级，得8分。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50%以上卫生器具的用水效率等级达到1级且其他达到2级，得12分。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全部卫生器具的用水效率等级达到1级，得15分。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7E620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8487C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58DAD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0DC27FBB">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2F5A0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9D4B2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581E9C">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9B168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7.2.11</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BCC47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绿化灌溉采用节水设备或技术，并按下列规则评分：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在采用节水灌溉系统的基础上，设置土壤湿度感应器、雨天自动关闭装置等节水控制措施，或种植无需永久灌溉植物，得6分。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C9C74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EE8B3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5EAA9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w:t>
            </w:r>
          </w:p>
        </w:tc>
      </w:tr>
      <w:tr w14:paraId="41E4EEC0">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AAD07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0D6E6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505BC7">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DDA148">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8125A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空调冷却水系统采用节水设备或技术，并按下列规则评分：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1）循环冷却水系统采取设置水处理措施、加大集水盘、设置平衡管或平衡水箱等方式，避免冷却水泵停泵时冷却水溢出，得3分。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2）采用无蒸发耗水量的冷却技术，得6分。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8DF74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54D59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9381B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58B9A0C5">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A8137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009725">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B3667F">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6FD9F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09018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结合雨水综合利用设施营造室外景观水体，室外景观水体利用雨水的补水量大于水体蒸发量的60%，且采用保障水体水质的生态水处理技术，评价总分值为8分，并按下列规则分别评分并累计：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对进入室外景观水体的雨水，利用生态设施削减径流污染，得4分；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利用水生动、植物保障室外景观水体水质，得4分。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8BEE4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421FD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CD797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景观、给排水</w:t>
            </w:r>
          </w:p>
        </w:tc>
      </w:tr>
      <w:tr w14:paraId="1AF36671">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599DE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0B75D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B3B708">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817B2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5E91C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绿化灌溉、车库及道路冲洗，洗车用水采用非传统水源的用水量占其总用水量的比例不低于60%，得5分；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0BA73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1A7857">
            <w:pPr>
              <w:jc w:val="center"/>
              <w:rPr>
                <w:rFonts w:hint="eastAsia" w:ascii="宋体" w:hAnsi="宋体" w:eastAsia="宋体" w:cs="宋体"/>
                <w:color w:val="auto"/>
                <w:sz w:val="18"/>
                <w:szCs w:val="18"/>
                <w:highlight w:val="none"/>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87848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764A1BA6">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ADB02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4B9D5C">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E0C06A">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429538">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63892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冲厕采用非传统水源的用水量占其总用水量的比例不低于40%，得5分；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91176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3B7E6B">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6DAB1B">
            <w:pPr>
              <w:jc w:val="center"/>
              <w:rPr>
                <w:rFonts w:hint="eastAsia" w:ascii="宋体" w:hAnsi="宋体" w:eastAsia="宋体" w:cs="宋体"/>
                <w:color w:val="auto"/>
                <w:sz w:val="18"/>
                <w:szCs w:val="18"/>
                <w:highlight w:val="none"/>
              </w:rPr>
            </w:pPr>
          </w:p>
        </w:tc>
      </w:tr>
      <w:tr w14:paraId="544D0C9B">
        <w:tblPrEx>
          <w:tblCellMar>
            <w:top w:w="0" w:type="dxa"/>
            <w:left w:w="0" w:type="dxa"/>
            <w:bottom w:w="0" w:type="dxa"/>
            <w:right w:w="0" w:type="dxa"/>
          </w:tblCellMar>
        </w:tblPrEx>
        <w:trPr>
          <w:trHeight w:val="48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139E4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ABBDB8">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9A10F7">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899465">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0EB72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冷却水补水采用非传统水源的用水量占其总用水量的比例不低于20%，得5分。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95A33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A46B5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B614E9">
            <w:pPr>
              <w:jc w:val="center"/>
              <w:rPr>
                <w:rFonts w:hint="eastAsia" w:ascii="宋体" w:hAnsi="宋体" w:eastAsia="宋体" w:cs="宋体"/>
                <w:color w:val="auto"/>
                <w:sz w:val="18"/>
                <w:szCs w:val="18"/>
                <w:highlight w:val="none"/>
              </w:rPr>
            </w:pPr>
          </w:p>
        </w:tc>
      </w:tr>
      <w:tr w14:paraId="1F52075F">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E9679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388238">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E8812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节材与绿色建材</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B0653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283FA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建筑所有区域实施土建工程与装修工程一体化设计及施工，评价分值为8分。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1EE4D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3E4A5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B7194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C278A77">
        <w:tblPrEx>
          <w:tblCellMar>
            <w:top w:w="0" w:type="dxa"/>
            <w:left w:w="0" w:type="dxa"/>
            <w:bottom w:w="0" w:type="dxa"/>
            <w:right w:w="0" w:type="dxa"/>
          </w:tblCellMar>
        </w:tblPrEx>
        <w:trPr>
          <w:trHeight w:val="3094"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F19909">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88B9B9">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49C4AD">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0AEBD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06DD3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合理选用建筑结构材料与构件，评价总分值为10分，并按下列规则评分：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混凝土结构，按下列规则分别评分并累计：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1）400MPa级及以上强度等级钢筋应用比例达到85%，得5分；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2）混凝土竖向承重结构采用强度等级不小于C50混凝土用量占竖向承重结构中混凝土总量的比例达到50%，得5分。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2钢结构，按下列规则分别评分并累计：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1）Q345及以上高强钢材用量占钢材总量的比例达到50%，得3分；达到70％，得4分；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2）螺栓连接等非现场焊接节点占现场全部连接、拼接节点的数量比例达到50%，得4分；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3）采用施工时免支撑的楼屋面板，得2分。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3混合结构：对其混凝土结构部分、钢结构部分，分别按本条第1款、第2款进行评价，得分取各项得分的平均值。</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616AB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4798E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C1355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5D6B184B">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F7E4D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134F25">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01104">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29805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2EA60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建筑装修选用工业化内装部品，评价总分值为8分。建筑装修选用工业化内装部品占同类部品用量比例达到50%以上的部品种类，达到1种，得3分；达到3种，得5分；达到3种以上，得8分。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A3915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0B7EB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07F5B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5528E1D0">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8FDDC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3BB75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F475DE">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5A9E8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7FF1C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可再循环材料和可再利用材料用量比例，按下列规则评分：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1）住宅建筑达到6%或公共建筑达到10%，得3分。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2）住宅建筑达到10%或公共建筑达到15%，得6分。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6AAE7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B2EE6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0</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70DF0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130F106C">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6BD35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975DDC">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F8B60A">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6C4D84">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E6770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利废建材选用及其用量比例，按下列规则评分：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1）采用一种利废建材，其占同类建材的用量比例不低于50%，得3分。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2）选用二种及以上的利废建材，每一种占同类建材的用量比例均不低于30%，得6分。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720D1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6DA76A">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BC68D8">
            <w:pPr>
              <w:jc w:val="center"/>
              <w:rPr>
                <w:rFonts w:hint="eastAsia" w:ascii="宋体" w:hAnsi="宋体" w:eastAsia="宋体" w:cs="宋体"/>
                <w:color w:val="auto"/>
                <w:sz w:val="18"/>
                <w:szCs w:val="18"/>
                <w:highlight w:val="none"/>
              </w:rPr>
            </w:pPr>
          </w:p>
        </w:tc>
      </w:tr>
      <w:tr w14:paraId="0897E910">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F5ACB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EFCC23">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772486">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C0D8E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4F21C4">
            <w:pPr>
              <w:pStyle w:val="17"/>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选用绿色建材，评价总分值为12分。绿色建材应用比例不低于</w:t>
            </w:r>
            <w:r>
              <w:rPr>
                <w:rFonts w:ascii="宋体" w:hAnsi="宋体" w:eastAsia="宋体" w:cs="宋体"/>
                <w:color w:val="auto"/>
                <w:kern w:val="0"/>
                <w:sz w:val="18"/>
                <w:szCs w:val="18"/>
                <w:highlight w:val="none"/>
              </w:rPr>
              <w:t>40</w:t>
            </w:r>
            <w:r>
              <w:rPr>
                <w:rFonts w:hint="eastAsia" w:ascii="宋体" w:hAnsi="宋体" w:eastAsia="宋体" w:cs="宋体"/>
                <w:color w:val="auto"/>
                <w:kern w:val="0"/>
                <w:sz w:val="18"/>
                <w:szCs w:val="18"/>
                <w:highlight w:val="none"/>
              </w:rPr>
              <w:t>%，得4分；不低于50%，得8分；不低于70%，得12分。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CF26F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174FA9">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57F67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365D3183">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D4C18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B1088FE">
            <w:pPr>
              <w:jc w:val="center"/>
              <w:rPr>
                <w:rFonts w:hint="eastAsia" w:ascii="宋体" w:hAnsi="宋体" w:eastAsia="宋体" w:cs="宋体"/>
                <w:color w:val="auto"/>
                <w:sz w:val="18"/>
                <w:szCs w:val="18"/>
                <w:highlight w:val="none"/>
              </w:rPr>
            </w:pPr>
          </w:p>
        </w:tc>
        <w:tc>
          <w:tcPr>
            <w:tcW w:w="798" w:type="dxa"/>
            <w:tcBorders>
              <w:top w:val="nil"/>
              <w:left w:val="single" w:color="000000" w:sz="4" w:space="0"/>
              <w:bottom w:val="nil"/>
              <w:right w:val="single" w:color="000000" w:sz="4" w:space="0"/>
            </w:tcBorders>
            <w:shd w:val="clear" w:color="auto" w:fill="auto"/>
            <w:tcMar>
              <w:top w:w="15" w:type="dxa"/>
              <w:left w:w="15" w:type="dxa"/>
              <w:right w:w="15" w:type="dxa"/>
            </w:tcMar>
            <w:vAlign w:val="center"/>
          </w:tcPr>
          <w:p w14:paraId="74646045">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9CE3BC4">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7D79C0F">
            <w:pPr>
              <w:rPr>
                <w:rFonts w:hint="eastAsia" w:ascii="宋体" w:hAnsi="宋体" w:eastAsia="宋体" w:cs="宋体"/>
                <w:color w:val="auto"/>
                <w:sz w:val="18"/>
                <w:szCs w:val="18"/>
                <w:highlight w:val="none"/>
              </w:rPr>
            </w:pPr>
          </w:p>
        </w:tc>
        <w:tc>
          <w:tcPr>
            <w:tcW w:w="62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58A945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200</w:t>
            </w:r>
          </w:p>
        </w:tc>
        <w:tc>
          <w:tcPr>
            <w:tcW w:w="1599"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06A6E01">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99</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0AFB72">
            <w:pPr>
              <w:jc w:val="center"/>
              <w:rPr>
                <w:rFonts w:hint="eastAsia" w:ascii="宋体" w:hAnsi="宋体" w:eastAsia="宋体" w:cs="宋体"/>
                <w:color w:val="auto"/>
                <w:sz w:val="18"/>
                <w:szCs w:val="18"/>
                <w:highlight w:val="none"/>
              </w:rPr>
            </w:pPr>
          </w:p>
        </w:tc>
      </w:tr>
      <w:tr w14:paraId="79BFF897">
        <w:tblPrEx>
          <w:tblCellMar>
            <w:top w:w="0" w:type="dxa"/>
            <w:left w:w="0" w:type="dxa"/>
            <w:bottom w:w="0" w:type="dxa"/>
            <w:right w:w="0" w:type="dxa"/>
          </w:tblCellMar>
        </w:tblPrEx>
        <w:trPr>
          <w:trHeight w:val="45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41340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 环境宜居</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07698C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0D11EFA">
            <w:pPr>
              <w:jc w:val="center"/>
              <w:rPr>
                <w:rFonts w:hint="eastAsia" w:ascii="宋体" w:hAnsi="宋体" w:eastAsia="宋体" w:cs="宋体"/>
                <w:color w:val="auto"/>
                <w:sz w:val="18"/>
                <w:szCs w:val="18"/>
                <w:highlight w:val="none"/>
              </w:rPr>
            </w:pPr>
          </w:p>
        </w:tc>
        <w:tc>
          <w:tcPr>
            <w:tcW w:w="989"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9E5E9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8.1.1</w:t>
            </w:r>
          </w:p>
        </w:tc>
        <w:tc>
          <w:tcPr>
            <w:tcW w:w="5153"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9FDE2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建筑规划布局应满足日照标准，且不得降低周边建筑的日照标准。</w:t>
            </w:r>
          </w:p>
        </w:tc>
        <w:tc>
          <w:tcPr>
            <w:tcW w:w="628"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19B44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2650F9">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FD555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3983F4D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B0C113">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BEBD870">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1DAEEB2">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03EA6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4311D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室外热环境应满足国家现行有关标准的要求。</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0FF19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B5210D">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C1C3D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规划、景观</w:t>
            </w:r>
          </w:p>
        </w:tc>
      </w:tr>
      <w:tr w14:paraId="59B43A6E">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53AF40">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376DC01">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1E2DD38">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4D726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2BAB9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配建的绿地应符合所在地城乡规划的要求，应合理选择绿化方式，植物种植应适应当地气候和土壤，且应无毒害、易维护，种植区域覆土深度和排水能力应满足植物生长需求，并应采用复层绿化方式。</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61D01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77CF59">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5A8BD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w:t>
            </w:r>
          </w:p>
        </w:tc>
      </w:tr>
      <w:tr w14:paraId="41439693">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32810C">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68DA991">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3AECB0F">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B0DEC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60754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场地的竖向设计应有利于雨水的收集或排放，应有效组织雨水的下渗、滞蓄或再利用；对大于</w:t>
            </w:r>
            <w:r>
              <w:rPr>
                <w:rStyle w:val="101"/>
                <w:rFonts w:hint="eastAsia" w:ascii="宋体" w:hAnsi="宋体" w:eastAsia="宋体" w:cs="宋体"/>
                <w:color w:val="auto"/>
                <w:highlight w:val="none"/>
              </w:rPr>
              <w:t>10hm</w:t>
            </w:r>
            <w:r>
              <w:rPr>
                <w:rFonts w:hint="eastAsia" w:ascii="宋体" w:hAnsi="宋体" w:eastAsia="宋体" w:cs="宋体"/>
                <w:color w:val="auto"/>
                <w:kern w:val="0"/>
                <w:sz w:val="18"/>
                <w:szCs w:val="18"/>
                <w:highlight w:val="none"/>
                <w:vertAlign w:val="superscript"/>
              </w:rPr>
              <w:t>2</w:t>
            </w:r>
            <w:r>
              <w:rPr>
                <w:rFonts w:hint="eastAsia" w:ascii="宋体" w:hAnsi="宋体" w:eastAsia="宋体" w:cs="宋体"/>
                <w:color w:val="auto"/>
                <w:kern w:val="0"/>
                <w:sz w:val="18"/>
                <w:szCs w:val="18"/>
                <w:highlight w:val="none"/>
              </w:rPr>
              <w:t>的场地应进行雨水控制利用专项设计。</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80FD8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8B668F">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EA441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规划、景观</w:t>
            </w:r>
          </w:p>
        </w:tc>
      </w:tr>
      <w:tr w14:paraId="3DC92B64">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F46C47">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3EAC8B2">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1221387">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540B1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3A648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建筑内外均应设置便于识别和使用的标识系统。</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2F231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63502C">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07A81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A71168A">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926069">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F89881E">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A37B6EC">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71554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E13A9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场地内不应有排放超标的污染源。</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919CB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367EA8">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A5F33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1959239F">
        <w:tblPrEx>
          <w:tblCellMar>
            <w:top w:w="0" w:type="dxa"/>
            <w:left w:w="0" w:type="dxa"/>
            <w:bottom w:w="0" w:type="dxa"/>
            <w:right w:w="0" w:type="dxa"/>
          </w:tblCellMar>
        </w:tblPrEx>
        <w:trPr>
          <w:trHeight w:val="69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7AB2ED">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12F259D">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8C2A0A6">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D99C50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8.1.7</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F27FF1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生活垃圾应分类收集，垃圾容器和收集点的设置应合理并应与周围景观协调。</w:t>
            </w: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C71BBE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2428B78">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ED72C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w:t>
            </w:r>
          </w:p>
        </w:tc>
      </w:tr>
      <w:tr w14:paraId="669C7040">
        <w:tblPrEx>
          <w:tblCellMar>
            <w:top w:w="0" w:type="dxa"/>
            <w:left w:w="0" w:type="dxa"/>
            <w:bottom w:w="0" w:type="dxa"/>
            <w:right w:w="0" w:type="dxa"/>
          </w:tblCellMar>
        </w:tblPrEx>
        <w:trPr>
          <w:trHeight w:val="69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B850D3">
            <w:pPr>
              <w:jc w:val="center"/>
              <w:rPr>
                <w:rFonts w:hint="eastAsia" w:ascii="宋体" w:hAnsi="宋体" w:eastAsia="宋体" w:cs="宋体"/>
                <w:color w:val="auto"/>
                <w:sz w:val="18"/>
                <w:szCs w:val="18"/>
                <w:highlight w:val="none"/>
              </w:rPr>
            </w:pPr>
          </w:p>
        </w:tc>
        <w:tc>
          <w:tcPr>
            <w:tcW w:w="1297" w:type="dxa"/>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9015BC3">
            <w:pPr>
              <w:jc w:val="center"/>
              <w:rPr>
                <w:rFonts w:hint="eastAsia" w:ascii="宋体" w:hAnsi="宋体" w:eastAsia="宋体" w:cs="宋体"/>
                <w:color w:val="auto"/>
                <w:sz w:val="18"/>
                <w:szCs w:val="18"/>
                <w:highlight w:val="none"/>
              </w:rPr>
            </w:pPr>
          </w:p>
        </w:tc>
        <w:tc>
          <w:tcPr>
            <w:tcW w:w="798" w:type="dxa"/>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42A08A8">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B9ACD14">
            <w:pPr>
              <w:widowControl/>
              <w:jc w:val="center"/>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8.1.8</w:t>
            </w:r>
          </w:p>
        </w:tc>
        <w:tc>
          <w:tcPr>
            <w:tcW w:w="5153"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CBA4D02">
            <w:pPr>
              <w:pStyle w:val="17"/>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环境宜居相关技术要求应符合现行强制性工程建设规范《建筑环境通用规范》GB55016、《市容环卫工程项目规范》GB55013、《园林绿化工程项目规范》GB55014、《建筑给水排水与节水通用规范》GB55020等。</w:t>
            </w:r>
          </w:p>
          <w:p w14:paraId="72293046">
            <w:pPr>
              <w:widowControl/>
              <w:textAlignment w:val="center"/>
              <w:rPr>
                <w:rFonts w:hint="eastAsia" w:ascii="宋体" w:hAnsi="宋体" w:eastAsia="宋体" w:cs="宋体"/>
                <w:color w:val="auto"/>
                <w:kern w:val="0"/>
                <w:sz w:val="18"/>
                <w:szCs w:val="18"/>
                <w:highlight w:val="none"/>
              </w:rPr>
            </w:pPr>
          </w:p>
        </w:tc>
        <w:tc>
          <w:tcPr>
            <w:tcW w:w="628"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12DD282">
            <w:pPr>
              <w:widowControl/>
              <w:jc w:val="center"/>
              <w:textAlignment w:val="center"/>
              <w:rPr>
                <w:rFonts w:hint="eastAsia" w:ascii="宋体" w:hAnsi="宋体" w:eastAsia="宋体" w:cs="宋体"/>
                <w:color w:val="auto"/>
                <w:kern w:val="0"/>
                <w:sz w:val="18"/>
                <w:szCs w:val="18"/>
                <w:highlight w:val="none"/>
              </w:rPr>
            </w:pPr>
          </w:p>
        </w:tc>
        <w:tc>
          <w:tcPr>
            <w:tcW w:w="1599"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5F1A06A">
            <w:pPr>
              <w:jc w:val="center"/>
              <w:rPr>
                <w:rFonts w:hint="eastAsia" w:ascii="宋体" w:hAnsi="宋体" w:eastAsia="宋体" w:cs="宋体"/>
                <w:color w:val="auto"/>
                <w:kern w:val="0"/>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A3DE85">
            <w:pPr>
              <w:widowControl/>
              <w:jc w:val="center"/>
              <w:textAlignment w:val="center"/>
              <w:rPr>
                <w:rFonts w:hint="eastAsia" w:ascii="宋体" w:hAnsi="宋体" w:eastAsia="宋体" w:cs="宋体"/>
                <w:color w:val="auto"/>
                <w:kern w:val="0"/>
                <w:sz w:val="18"/>
                <w:szCs w:val="18"/>
                <w:highlight w:val="none"/>
              </w:rPr>
            </w:pPr>
          </w:p>
        </w:tc>
      </w:tr>
      <w:tr w14:paraId="57AA3B84">
        <w:tblPrEx>
          <w:tblCellMar>
            <w:top w:w="0" w:type="dxa"/>
            <w:left w:w="0" w:type="dxa"/>
            <w:bottom w:w="0" w:type="dxa"/>
            <w:right w:w="0" w:type="dxa"/>
          </w:tblCellMar>
        </w:tblPrEx>
        <w:trPr>
          <w:trHeight w:val="14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8B4296">
            <w:pPr>
              <w:jc w:val="center"/>
              <w:rPr>
                <w:rFonts w:hint="eastAsia" w:ascii="宋体" w:hAnsi="宋体" w:eastAsia="宋体" w:cs="宋体"/>
                <w:color w:val="auto"/>
                <w:sz w:val="18"/>
                <w:szCs w:val="18"/>
                <w:highlight w:val="none"/>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86273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9B681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场地生态与景观</w:t>
            </w:r>
          </w:p>
        </w:tc>
        <w:tc>
          <w:tcPr>
            <w:tcW w:w="989"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F3E3B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8.2.1</w:t>
            </w:r>
          </w:p>
        </w:tc>
        <w:tc>
          <w:tcPr>
            <w:tcW w:w="5153"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72A16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充分保护或修复场地生态环境，合理布局建筑及景观，评价总分值为10分，并按下列规则评分：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保护场地内原有的自然水域、湿地、植被等，保持场地内的生态系统与场地外生态系统的连贯性，得10分。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采取净地表层土回收利用等生态补偿措施，得10分。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根据场地实际状况，采取其他生态恢复或补偿措施，得10分。</w:t>
            </w:r>
          </w:p>
        </w:tc>
        <w:tc>
          <w:tcPr>
            <w:tcW w:w="62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A74E7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7A7889">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6EEDE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5F6C82DC">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BA2D6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6D1C04">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D89D7E">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1ED50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DF106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规划场地地表和屋面雨水径流，对场地雨水实施外排总量控制，评价总分值为10分。场地年径流总量控制率达到55%，得5分；达到70%，得10分。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846B3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11571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463BA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给排水、景观</w:t>
            </w:r>
          </w:p>
        </w:tc>
      </w:tr>
      <w:tr w14:paraId="0341EB8A">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E52D6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0BAF72">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5678E4">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68797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081A9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住宅建筑按下列规则分别评分并累计：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1）绿地率达到规划指标105%及以上，得10分；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2）住宅建筑所在居住街坊内人均集中绿地面积满足，6分。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公建按下列规则分别评分并累计：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1）绿地率达到规划指标105%及以上，得10分；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2）绿地向公众开放，6分。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F07C8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16</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E61BF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CA984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3691C398">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F5C2B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3B6EB9">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139F4C">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D31CA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FDDCE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室外吸烟区布置在建筑主出入口的主导风的下风向，与所有建筑出入口、新风进气口和可开启窗扇的距离不少于8m，且距离儿童和老人活动场地不少于8m；</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1034E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CB4C2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34544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w:t>
            </w:r>
          </w:p>
        </w:tc>
      </w:tr>
      <w:tr w14:paraId="66EDF723">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09609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CBF19A">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006BE0">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373C6E">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16097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室外吸烟区与绿植结合布置，并合理配置坐椅和带烟头收集的垃圾筒，从建筑主出入口至室外吸烟区的导向标识完整、定位标识醒目，吸烟区设置吸烟有害健康的警示标识。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75512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B8015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193AB4">
            <w:pPr>
              <w:jc w:val="center"/>
              <w:rPr>
                <w:rFonts w:hint="eastAsia" w:ascii="宋体" w:hAnsi="宋体" w:eastAsia="宋体" w:cs="宋体"/>
                <w:color w:val="auto"/>
                <w:sz w:val="18"/>
                <w:szCs w:val="18"/>
                <w:highlight w:val="none"/>
              </w:rPr>
            </w:pPr>
          </w:p>
        </w:tc>
      </w:tr>
      <w:tr w14:paraId="20A0DED9">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2EDB3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9BF310">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C8AE36">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D0420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82F76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下凹式绿地、雨水花园等有调蓄雨水功能的绿地和水体的面积之和占绿地面积的比例达到40%，得3分；达到60%，得5分；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5A7FA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E074A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E7E09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w:t>
            </w:r>
          </w:p>
        </w:tc>
      </w:tr>
      <w:tr w14:paraId="008DE604">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91EF6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99B0E3">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23BAFA">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C8B95F">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7C665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衔接和引导不少于80%的屋面雨水进入地面生态设施；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6E5EC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38112D">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F7CD5B">
            <w:pPr>
              <w:jc w:val="center"/>
              <w:rPr>
                <w:rFonts w:hint="eastAsia" w:ascii="宋体" w:hAnsi="宋体" w:eastAsia="宋体" w:cs="宋体"/>
                <w:color w:val="auto"/>
                <w:sz w:val="18"/>
                <w:szCs w:val="18"/>
                <w:highlight w:val="none"/>
              </w:rPr>
            </w:pPr>
          </w:p>
        </w:tc>
      </w:tr>
      <w:tr w14:paraId="517FC907">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BDE5A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1FBBA4">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6E5991">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6F0B74">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17640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衔接和引导不少于80%的道路雨水进入地面生态设施；</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65BA1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9FB6E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0</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389382">
            <w:pPr>
              <w:jc w:val="center"/>
              <w:rPr>
                <w:rFonts w:hint="eastAsia" w:ascii="宋体" w:hAnsi="宋体" w:eastAsia="宋体" w:cs="宋体"/>
                <w:color w:val="auto"/>
                <w:sz w:val="18"/>
                <w:szCs w:val="18"/>
                <w:highlight w:val="none"/>
              </w:rPr>
            </w:pPr>
          </w:p>
        </w:tc>
      </w:tr>
      <w:tr w14:paraId="772B6F38">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4FF37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3C524E">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2E6303">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993A6A">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62C38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 硬质铺装地面中透水铺装面积的比例达到50%。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F510A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8BB57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BEAE23">
            <w:pPr>
              <w:jc w:val="center"/>
              <w:rPr>
                <w:rFonts w:hint="eastAsia" w:ascii="宋体" w:hAnsi="宋体" w:eastAsia="宋体" w:cs="宋体"/>
                <w:color w:val="auto"/>
                <w:sz w:val="18"/>
                <w:szCs w:val="18"/>
                <w:highlight w:val="none"/>
              </w:rPr>
            </w:pPr>
          </w:p>
        </w:tc>
      </w:tr>
      <w:tr w14:paraId="25F99924">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56B6D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B268D9">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6D0C8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室外物理环境</w:t>
            </w: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86334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6A8A1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场地内的环境噪声优于现行国家标准《声环境质量标准》GB 3096的要求，评价总分值为10分，并按下列规则评分：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环境噪声值大于2类声环境功能区标准限值，且小于等于3类声环境功能区标准限值，得5分。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环境噪声值小于等于2类声环境功能区标准限值，得10分。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40063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3A795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4DDBE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4418C630">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74AF59">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77EF27">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1E94E4">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42D3F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CB264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在居住空间窗户外表面产生的垂直照度不大于表8.2.7-1的规定的最大允许值</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87CFA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350D8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55F80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建筑、景观</w:t>
            </w:r>
          </w:p>
        </w:tc>
      </w:tr>
      <w:tr w14:paraId="597E93C4">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77E859">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1947B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E03555">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6AC42A">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F4414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建筑室外设置的显示屏表面平均亮度不大于表8.2.7-2规定的限值，且车道和人行道两侧未设置动态模拟显示屏</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78CEE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A56D4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5DE09D">
            <w:pPr>
              <w:jc w:val="center"/>
              <w:rPr>
                <w:rFonts w:hint="eastAsia" w:ascii="宋体" w:hAnsi="宋体" w:eastAsia="宋体" w:cs="宋体"/>
                <w:color w:val="auto"/>
                <w:sz w:val="18"/>
                <w:szCs w:val="18"/>
                <w:highlight w:val="none"/>
              </w:rPr>
            </w:pPr>
          </w:p>
        </w:tc>
      </w:tr>
      <w:tr w14:paraId="2248ABDB">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F7B0E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4A5A9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8165E9">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2F717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1FAEB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1）冬季典型风速条件下，建筑物周围人行区距地高1.5m处风速小于5m/s，户外休息区、儿童娱乐区风速小于2m/s，且室外风速放大系数小于2；</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7E012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FE7C1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EAAF0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66AADD79">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F5B90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C79AB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87CE54">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03308D">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6A685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2）冬季典型风速条件下，除迎风第一排建筑外，建筑迎风面与背风面表面风压差不大于5Pa。</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329B2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76885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5A8B9E">
            <w:pPr>
              <w:jc w:val="center"/>
              <w:rPr>
                <w:rFonts w:hint="eastAsia" w:ascii="宋体" w:hAnsi="宋体" w:eastAsia="宋体" w:cs="宋体"/>
                <w:color w:val="auto"/>
                <w:sz w:val="18"/>
                <w:szCs w:val="18"/>
                <w:highlight w:val="none"/>
              </w:rPr>
            </w:pPr>
          </w:p>
        </w:tc>
      </w:tr>
      <w:tr w14:paraId="40AF23F8">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FF6A3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998E4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F30CC8">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3E4534">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F188C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3）过渡季、夏季典型风速和风向条件下，场地内人活动区不出现涡旋或无风区；</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18E63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441D4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24E698">
            <w:pPr>
              <w:jc w:val="center"/>
              <w:rPr>
                <w:rFonts w:hint="eastAsia" w:ascii="宋体" w:hAnsi="宋体" w:eastAsia="宋体" w:cs="宋体"/>
                <w:color w:val="auto"/>
                <w:sz w:val="18"/>
                <w:szCs w:val="18"/>
                <w:highlight w:val="none"/>
              </w:rPr>
            </w:pPr>
          </w:p>
        </w:tc>
      </w:tr>
      <w:tr w14:paraId="346C00A4">
        <w:tblPrEx>
          <w:tblCellMar>
            <w:top w:w="0" w:type="dxa"/>
            <w:left w:w="0" w:type="dxa"/>
            <w:bottom w:w="0" w:type="dxa"/>
            <w:right w:w="0" w:type="dxa"/>
          </w:tblCellMar>
        </w:tblPrEx>
        <w:trPr>
          <w:trHeight w:val="43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03B74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9A5AD6">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9B80E3">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AC4055">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2CDBB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4）过渡季、夏季典型风速和风向条件下，50％以上可开启外窗室内外表面的风压差大于0.5Pa。</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F6B9D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44B20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6E2AC9">
            <w:pPr>
              <w:jc w:val="center"/>
              <w:rPr>
                <w:rFonts w:hint="eastAsia" w:ascii="宋体" w:hAnsi="宋体" w:eastAsia="宋体" w:cs="宋体"/>
                <w:color w:val="auto"/>
                <w:sz w:val="18"/>
                <w:szCs w:val="18"/>
                <w:highlight w:val="none"/>
              </w:rPr>
            </w:pPr>
          </w:p>
        </w:tc>
      </w:tr>
      <w:tr w14:paraId="5C3E14B4">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61601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AFCA9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FAD459">
            <w:pPr>
              <w:jc w:val="center"/>
              <w:rPr>
                <w:rFonts w:hint="eastAsia" w:ascii="宋体" w:hAnsi="宋体" w:eastAsia="宋体" w:cs="宋体"/>
                <w:color w:val="auto"/>
                <w:sz w:val="18"/>
                <w:szCs w:val="18"/>
                <w:highlight w:val="none"/>
              </w:rPr>
            </w:pPr>
          </w:p>
        </w:tc>
        <w:tc>
          <w:tcPr>
            <w:tcW w:w="98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B1329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EEF05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场地中处于建筑阴影区外的步道、游憩场、庭院、广场等室外活动场地设有乔木、花架等遮阴措施的面积比例，住宅建筑达到30%，公共建筑达到10％，得2分；住宅建筑达到50％，公共建筑达到20％，得3分；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884FB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670C33">
            <w:pPr>
              <w:jc w:val="center"/>
              <w:rPr>
                <w:rFonts w:hint="eastAsia" w:ascii="宋体" w:hAnsi="宋体" w:eastAsia="宋体" w:cs="宋体"/>
                <w:color w:val="auto"/>
                <w:sz w:val="18"/>
                <w:szCs w:val="18"/>
                <w:highlight w:val="none"/>
              </w:rPr>
            </w:pPr>
          </w:p>
        </w:tc>
        <w:tc>
          <w:tcPr>
            <w:tcW w:w="1866"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4BEFD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规划、建筑、景观</w:t>
            </w:r>
          </w:p>
        </w:tc>
      </w:tr>
      <w:tr w14:paraId="2F08B586">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AD1D4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49D9A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2EDA57">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7B282E">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C127D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场地中处于建筑阴影区外的机动车道，路面太阳辐射反射系数不小于0.4或设有遮荫面积较大的行道树的路段长度超过70%；</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21D5E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18736A">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105139">
            <w:pPr>
              <w:jc w:val="center"/>
              <w:rPr>
                <w:rFonts w:hint="eastAsia" w:ascii="宋体" w:hAnsi="宋体" w:eastAsia="宋体" w:cs="宋体"/>
                <w:color w:val="auto"/>
                <w:sz w:val="18"/>
                <w:szCs w:val="18"/>
                <w:highlight w:val="none"/>
              </w:rPr>
            </w:pPr>
          </w:p>
        </w:tc>
      </w:tr>
      <w:tr w14:paraId="53201CAA">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28A9E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0ABCB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F58794">
            <w:pPr>
              <w:jc w:val="center"/>
              <w:rPr>
                <w:rFonts w:hint="eastAsia" w:ascii="宋体" w:hAnsi="宋体" w:eastAsia="宋体" w:cs="宋体"/>
                <w:color w:val="auto"/>
                <w:sz w:val="18"/>
                <w:szCs w:val="18"/>
                <w:highlight w:val="none"/>
              </w:rPr>
            </w:pPr>
          </w:p>
        </w:tc>
        <w:tc>
          <w:tcPr>
            <w:tcW w:w="98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5EF1DC">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716E8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屋顶的绿化面积、太阳能板水平投影面积以及太阳辐射反射系数不小于0.4的屋面面积合计达到75%。</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A8D56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10A7E3">
            <w:pPr>
              <w:jc w:val="center"/>
              <w:rPr>
                <w:rFonts w:hint="eastAsia" w:ascii="宋体" w:hAnsi="宋体" w:eastAsia="宋体" w:cs="宋体"/>
                <w:color w:val="auto"/>
                <w:sz w:val="18"/>
                <w:szCs w:val="18"/>
                <w:highlight w:val="none"/>
              </w:rPr>
            </w:pPr>
          </w:p>
        </w:tc>
        <w:tc>
          <w:tcPr>
            <w:tcW w:w="1866"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05A1E1">
            <w:pPr>
              <w:jc w:val="center"/>
              <w:rPr>
                <w:rFonts w:hint="eastAsia" w:ascii="宋体" w:hAnsi="宋体" w:eastAsia="宋体" w:cs="宋体"/>
                <w:color w:val="auto"/>
                <w:sz w:val="18"/>
                <w:szCs w:val="18"/>
                <w:highlight w:val="none"/>
              </w:rPr>
            </w:pPr>
          </w:p>
        </w:tc>
      </w:tr>
      <w:tr w14:paraId="26337C52">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F87D2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E50687">
            <w:pPr>
              <w:jc w:val="center"/>
              <w:rPr>
                <w:rFonts w:hint="eastAsia" w:ascii="宋体" w:hAnsi="宋体" w:eastAsia="宋体" w:cs="宋体"/>
                <w:color w:val="auto"/>
                <w:sz w:val="18"/>
                <w:szCs w:val="18"/>
                <w:highlight w:val="none"/>
              </w:rPr>
            </w:pP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380A9C">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FBEAE6">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6F466F">
            <w:pPr>
              <w:rPr>
                <w:rFonts w:hint="eastAsia" w:ascii="宋体" w:hAnsi="宋体" w:eastAsia="宋体" w:cs="宋体"/>
                <w:color w:val="auto"/>
                <w:sz w:val="18"/>
                <w:szCs w:val="18"/>
                <w:highlight w:val="none"/>
              </w:rPr>
            </w:pP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EDD1B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940917">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2D917F">
            <w:pPr>
              <w:jc w:val="center"/>
              <w:rPr>
                <w:rFonts w:hint="eastAsia" w:ascii="宋体" w:hAnsi="宋体" w:eastAsia="宋体" w:cs="宋体"/>
                <w:color w:val="auto"/>
                <w:sz w:val="18"/>
                <w:szCs w:val="18"/>
                <w:highlight w:val="none"/>
              </w:rPr>
            </w:pPr>
          </w:p>
        </w:tc>
      </w:tr>
      <w:tr w14:paraId="1BA3B25F">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351EB2">
            <w:pPr>
              <w:jc w:val="center"/>
              <w:rPr>
                <w:rFonts w:hint="eastAsia" w:ascii="宋体" w:hAnsi="宋体" w:eastAsia="宋体" w:cs="宋体"/>
                <w:color w:val="auto"/>
                <w:sz w:val="18"/>
                <w:szCs w:val="18"/>
                <w:highlight w:val="none"/>
              </w:rPr>
            </w:pP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E76264">
            <w:pPr>
              <w:jc w:val="center"/>
              <w:rPr>
                <w:rFonts w:hint="eastAsia" w:ascii="宋体" w:hAnsi="宋体" w:eastAsia="宋体" w:cs="宋体"/>
                <w:color w:val="auto"/>
                <w:sz w:val="18"/>
                <w:szCs w:val="18"/>
                <w:highlight w:val="none"/>
              </w:rPr>
            </w:pPr>
          </w:p>
        </w:tc>
        <w:tc>
          <w:tcPr>
            <w:tcW w:w="79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B653FF">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C123EB">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8BD6BF">
            <w:pPr>
              <w:jc w:val="center"/>
              <w:rPr>
                <w:rFonts w:hint="eastAsia" w:ascii="宋体" w:hAnsi="宋体" w:eastAsia="宋体" w:cs="宋体"/>
                <w:color w:val="auto"/>
                <w:sz w:val="18"/>
                <w:szCs w:val="18"/>
                <w:highlight w:val="none"/>
              </w:rPr>
            </w:pP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BA3834">
            <w:pPr>
              <w:jc w:val="center"/>
              <w:rPr>
                <w:rFonts w:hint="eastAsia" w:ascii="宋体" w:hAnsi="宋体" w:eastAsia="宋体" w:cs="宋体"/>
                <w:color w:val="auto"/>
                <w:sz w:val="18"/>
                <w:szCs w:val="18"/>
                <w:highlight w:val="none"/>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0ADC0F">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A91BFE">
            <w:pPr>
              <w:jc w:val="center"/>
              <w:rPr>
                <w:rFonts w:hint="eastAsia" w:ascii="宋体" w:hAnsi="宋体" w:eastAsia="宋体" w:cs="宋体"/>
                <w:color w:val="auto"/>
                <w:sz w:val="18"/>
                <w:szCs w:val="18"/>
                <w:highlight w:val="none"/>
              </w:rPr>
            </w:pPr>
          </w:p>
        </w:tc>
      </w:tr>
      <w:tr w14:paraId="01C9AD27">
        <w:tblPrEx>
          <w:tblCellMar>
            <w:top w:w="0" w:type="dxa"/>
            <w:left w:w="0" w:type="dxa"/>
            <w:bottom w:w="0" w:type="dxa"/>
            <w:right w:w="0" w:type="dxa"/>
          </w:tblCellMar>
        </w:tblPrEx>
        <w:trPr>
          <w:trHeight w:val="48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FEAAD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 提高创新</w:t>
            </w:r>
          </w:p>
        </w:tc>
        <w:tc>
          <w:tcPr>
            <w:tcW w:w="12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ED137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一般规定</w:t>
            </w: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114EFF">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10430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9.1.1</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E8852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绿色建筑评价时，应按本章规定对提高与创新项进行评价。</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496E60">
            <w:pPr>
              <w:jc w:val="center"/>
              <w:rPr>
                <w:rFonts w:hint="eastAsia" w:ascii="宋体" w:hAnsi="宋体" w:eastAsia="宋体" w:cs="宋体"/>
                <w:color w:val="auto"/>
                <w:sz w:val="18"/>
                <w:szCs w:val="18"/>
                <w:highlight w:val="none"/>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1C5C12">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0520D8">
            <w:pPr>
              <w:jc w:val="center"/>
              <w:rPr>
                <w:rFonts w:hint="eastAsia" w:ascii="宋体" w:hAnsi="宋体" w:eastAsia="宋体" w:cs="宋体"/>
                <w:color w:val="auto"/>
                <w:sz w:val="18"/>
                <w:szCs w:val="18"/>
                <w:highlight w:val="none"/>
              </w:rPr>
            </w:pPr>
          </w:p>
        </w:tc>
      </w:tr>
      <w:tr w14:paraId="72638908">
        <w:tblPrEx>
          <w:tblCellMar>
            <w:top w:w="0" w:type="dxa"/>
            <w:left w:w="0" w:type="dxa"/>
            <w:bottom w:w="0" w:type="dxa"/>
            <w:right w:w="0" w:type="dxa"/>
          </w:tblCellMar>
        </w:tblPrEx>
        <w:trPr>
          <w:trHeight w:val="7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046ADD">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8474E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84CF5B">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1393F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9.1.2</w:t>
            </w:r>
          </w:p>
        </w:tc>
        <w:tc>
          <w:tcPr>
            <w:tcW w:w="5153" w:type="dxa"/>
            <w:tcBorders>
              <w:top w:val="nil"/>
              <w:left w:val="nil"/>
              <w:bottom w:val="nil"/>
              <w:right w:val="nil"/>
            </w:tcBorders>
            <w:shd w:val="clear" w:color="auto" w:fill="auto"/>
            <w:tcMar>
              <w:top w:w="15" w:type="dxa"/>
              <w:left w:w="15" w:type="dxa"/>
              <w:right w:w="15" w:type="dxa"/>
            </w:tcMar>
            <w:vAlign w:val="center"/>
          </w:tcPr>
          <w:p w14:paraId="2D1FAC7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提高与创新项得分为加分项得分之和，当得分大于100分时，应取为100分。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282D52">
            <w:pPr>
              <w:jc w:val="center"/>
              <w:rPr>
                <w:rFonts w:hint="eastAsia" w:ascii="宋体" w:hAnsi="宋体" w:eastAsia="宋体" w:cs="宋体"/>
                <w:color w:val="auto"/>
                <w:sz w:val="18"/>
                <w:szCs w:val="18"/>
                <w:highlight w:val="none"/>
              </w:rPr>
            </w:pP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5F5F55">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D910BB">
            <w:pPr>
              <w:jc w:val="center"/>
              <w:rPr>
                <w:rFonts w:hint="eastAsia" w:ascii="宋体" w:hAnsi="宋体" w:eastAsia="宋体" w:cs="宋体"/>
                <w:color w:val="auto"/>
                <w:sz w:val="18"/>
                <w:szCs w:val="18"/>
                <w:highlight w:val="none"/>
              </w:rPr>
            </w:pPr>
          </w:p>
        </w:tc>
      </w:tr>
      <w:tr w14:paraId="68F8076D">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8CF376">
            <w:pPr>
              <w:jc w:val="center"/>
              <w:rPr>
                <w:rFonts w:hint="eastAsia" w:ascii="宋体" w:hAnsi="宋体" w:eastAsia="宋体" w:cs="宋体"/>
                <w:color w:val="auto"/>
                <w:sz w:val="18"/>
                <w:szCs w:val="18"/>
                <w:highlight w:val="none"/>
              </w:rPr>
            </w:pPr>
          </w:p>
        </w:tc>
        <w:tc>
          <w:tcPr>
            <w:tcW w:w="12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64E3F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加分项</w:t>
            </w: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894194">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A5D15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9.2.1</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5CB2C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采取措施进一步降低建筑供暖空调系统的能耗，评价总分值为30分。建筑供暖空调系统能耗相比国家现行有关建筑节能标准降低40%，得10分；每再降低10%，再得5分，最高得30分。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432A4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BA93D4">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C60D4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建筑、暖通</w:t>
            </w:r>
          </w:p>
        </w:tc>
      </w:tr>
      <w:tr w14:paraId="63946828">
        <w:tblPrEx>
          <w:tblCellMar>
            <w:top w:w="0" w:type="dxa"/>
            <w:left w:w="0" w:type="dxa"/>
            <w:bottom w:w="0" w:type="dxa"/>
            <w:right w:w="0" w:type="dxa"/>
          </w:tblCellMar>
        </w:tblPrEx>
        <w:trPr>
          <w:trHeight w:val="73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41C801">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A274F4">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6D7D05">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62147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9.2.2</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B8D9E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因地制宜建设绿色建筑。</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8D1CC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951938">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F52B8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A0519DD">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6CBF9D">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FFD84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1816E0">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323A0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9.2.3</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E8462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采用蓄冷蓄热蓄电、建筑设备智能调节等技术实现建筑电力交互</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D72CF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E3E1EF">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5F532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34E729CA">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BE1D4F">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773A7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09B340">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2E92E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9.2.4</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C6EDBB">
            <w:pPr>
              <w:widowControl/>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场地绿容率计算值，不低于1.0，得1分；不低于2.0 , 得2分；不低于3.0，得3分。</w:t>
            </w:r>
          </w:p>
          <w:p w14:paraId="379AE6C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场地绿容率实测值，不低于1.0，得2分；不低于2.0, 得4分；不低于3.0，得5分。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94B4A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E2C892">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3596C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规划、景观</w:t>
            </w:r>
          </w:p>
        </w:tc>
      </w:tr>
      <w:tr w14:paraId="1A9D34C0">
        <w:tblPrEx>
          <w:tblCellMar>
            <w:top w:w="0" w:type="dxa"/>
            <w:left w:w="0" w:type="dxa"/>
            <w:bottom w:w="0" w:type="dxa"/>
            <w:right w:w="0" w:type="dxa"/>
          </w:tblCellMar>
        </w:tblPrEx>
        <w:trPr>
          <w:trHeight w:val="216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3AF2C4">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800E83">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B9921A">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26D97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9.2.5</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71AB5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采用符合工业化建造要求的结构体系与建筑构件，评价分值为10分，并按下列规则评分：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1主体结构采用钢结构、木结构，得10分。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2主体结构采用装配式混凝土结构，地上部分预制构件应用混凝土体积占混凝土总体积的比例达到35%，得5分；达到50%，得10分。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C6B47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0547B8">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9D0A3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2A2233E3">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FD64A5">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0ADEF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178497">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4661C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9.2.6</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230A9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应用建筑信息模型（BIM）技术，评价总分值为15分。在建筑的规划设计、施工建造和运行维护阶段中的一个阶段应用，得5分；两个阶段应用，得10分；三个阶段应用，得15分。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59BB6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15</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78923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8D988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全专业</w:t>
            </w:r>
          </w:p>
        </w:tc>
      </w:tr>
      <w:tr w14:paraId="2A90DCEC">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2D5D0F">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58013C">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342D24">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B4AFD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9.2.7</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C9DAC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进行建筑碳排放计算分析，采取措施降低单位建筑面积碳排放强度，评价分值为12分。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DB469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2F9BBF">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76AB2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全专业</w:t>
            </w:r>
          </w:p>
        </w:tc>
      </w:tr>
      <w:tr w14:paraId="22265545">
        <w:tblPrEx>
          <w:tblCellMar>
            <w:top w:w="0" w:type="dxa"/>
            <w:left w:w="0" w:type="dxa"/>
            <w:bottom w:w="0" w:type="dxa"/>
            <w:right w:w="0" w:type="dxa"/>
          </w:tblCellMar>
        </w:tblPrEx>
        <w:trPr>
          <w:trHeight w:val="26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7816FD">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16A5C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E384AA">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65236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9.2.8</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0C28B8">
            <w:pPr>
              <w:widowControl/>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按照绿色施工的要求进行施工和管理，评价总分值为20分，并按下列规则分别评分并累计：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1、单位工程单位面积的用电量比定额节约10%以上，得4分；</w:t>
            </w:r>
          </w:p>
          <w:p w14:paraId="2E82EFD0">
            <w:pPr>
              <w:widowControl/>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2、采取措施加强建筑垃圾回收再利用，建筑垃圾回收利用率不低于50%，得4分；</w:t>
            </w:r>
          </w:p>
          <w:p w14:paraId="7036D7A6">
            <w:pPr>
              <w:widowControl/>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3、采取措施减少预拌混凝土损耗，损耗率降低至1.0%，得4分；</w:t>
            </w:r>
          </w:p>
          <w:p w14:paraId="02FBFA63">
            <w:pPr>
              <w:widowControl/>
              <w:textAlignment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4、采取措施减少现场加工钢筋损耗，损耗率降低至1.5%，得4分；</w:t>
            </w:r>
          </w:p>
          <w:p w14:paraId="17C15DD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5、现浇混凝土构件采用高周转率、免抹灰的新型模架体系，得4分。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39CB9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441919">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83CB9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施工</w:t>
            </w:r>
          </w:p>
        </w:tc>
      </w:tr>
      <w:tr w14:paraId="13830557">
        <w:tblPrEx>
          <w:tblCellMar>
            <w:top w:w="0" w:type="dxa"/>
            <w:left w:w="0" w:type="dxa"/>
            <w:bottom w:w="0" w:type="dxa"/>
            <w:right w:w="0" w:type="dxa"/>
          </w:tblCellMar>
        </w:tblPrEx>
        <w:trPr>
          <w:trHeight w:val="26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A203D2">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795B44">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AF2095">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81EF0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9.2.9</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BB1BBC">
            <w:pPr>
              <w:widowControl/>
              <w:textAlignment w:val="center"/>
              <w:rPr>
                <w:rFonts w:hint="eastAsia" w:ascii="宋体" w:hAnsi="宋体" w:eastAsia="宋体" w:cs="宋体"/>
                <w:color w:val="auto"/>
                <w:sz w:val="18"/>
                <w:szCs w:val="18"/>
                <w:highlight w:val="none"/>
              </w:rPr>
            </w:pPr>
            <w:r>
              <w:rPr>
                <w:color w:val="auto"/>
                <w:highlight w:val="none"/>
              </w:rPr>
              <w:drawing>
                <wp:inline distT="0" distB="0" distL="114300" distR="114300">
                  <wp:extent cx="3251200" cy="1352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0"/>
                          <a:stretch>
                            <a:fillRect/>
                          </a:stretch>
                        </pic:blipFill>
                        <pic:spPr>
                          <a:xfrm>
                            <a:off x="0" y="0"/>
                            <a:ext cx="3251200" cy="135255"/>
                          </a:xfrm>
                          <a:prstGeom prst="rect">
                            <a:avLst/>
                          </a:prstGeom>
                          <a:noFill/>
                          <a:ln>
                            <a:noFill/>
                          </a:ln>
                        </pic:spPr>
                      </pic:pic>
                    </a:graphicData>
                  </a:graphic>
                </wp:inline>
              </w:drawing>
            </w:r>
            <w:r>
              <w:rPr>
                <w:rFonts w:hint="eastAsia" w:ascii="宋体" w:hAnsi="宋体" w:eastAsia="宋体" w:cs="宋体"/>
                <w:color w:val="auto"/>
                <w:kern w:val="0"/>
                <w:sz w:val="18"/>
                <w:szCs w:val="18"/>
                <w:highlight w:val="none"/>
              </w:rPr>
              <w:t>，并按下列规则分别评分并累计：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1保险承保范围包括地基基础工程、主体结构工程、屋面防水工程和其他土建工程的质量问题，得10分；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2保险承保范围包括装修工程、电气管线、上下水管线的安装工程，供热、供冷系统工程的质量问题，得10分。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23C66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7E2ADD">
            <w:pPr>
              <w:jc w:val="center"/>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20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3F3FE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施工</w:t>
            </w:r>
          </w:p>
        </w:tc>
      </w:tr>
      <w:tr w14:paraId="1C799133">
        <w:tblPrEx>
          <w:tblCellMar>
            <w:top w:w="0" w:type="dxa"/>
            <w:left w:w="0" w:type="dxa"/>
            <w:bottom w:w="0" w:type="dxa"/>
            <w:right w:w="0" w:type="dxa"/>
          </w:tblCellMar>
        </w:tblPrEx>
        <w:trPr>
          <w:trHeight w:val="12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70A995">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267DD7">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B66A3D">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16646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9.2.10</w:t>
            </w: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17814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采取节约资源、保护生态环境、保障安全健康、智慧友好运行、传承历史文化等其他创新，并有明显效益，评价总分值为40分。每采取一项，得10分，最高得40分。</w:t>
            </w: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C6D51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EA710F">
            <w:pPr>
              <w:jc w:val="center"/>
              <w:rPr>
                <w:rFonts w:hint="eastAsia" w:ascii="宋体" w:hAnsi="宋体" w:eastAsia="宋体" w:cs="宋体"/>
                <w:color w:val="auto"/>
                <w:sz w:val="18"/>
                <w:szCs w:val="18"/>
                <w:highlight w:val="none"/>
              </w:rPr>
            </w:pP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0016D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全专业</w:t>
            </w:r>
          </w:p>
        </w:tc>
      </w:tr>
      <w:tr w14:paraId="13D31E3C">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C4097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AD4147">
            <w:pPr>
              <w:jc w:val="center"/>
              <w:rPr>
                <w:rFonts w:hint="eastAsia" w:ascii="宋体" w:hAnsi="宋体" w:eastAsia="宋体" w:cs="宋体"/>
                <w:color w:val="auto"/>
                <w:sz w:val="18"/>
                <w:szCs w:val="18"/>
                <w:highlight w:val="none"/>
              </w:rPr>
            </w:pP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AE0940">
            <w:pPr>
              <w:jc w:val="center"/>
              <w:rPr>
                <w:rFonts w:hint="eastAsia" w:ascii="宋体" w:hAnsi="宋体" w:eastAsia="宋体" w:cs="宋体"/>
                <w:color w:val="auto"/>
                <w:sz w:val="18"/>
                <w:szCs w:val="18"/>
                <w:highlight w:val="none"/>
              </w:rPr>
            </w:pPr>
          </w:p>
        </w:tc>
        <w:tc>
          <w:tcPr>
            <w:tcW w:w="98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A5A886">
            <w:pPr>
              <w:jc w:val="center"/>
              <w:rPr>
                <w:rFonts w:hint="eastAsia" w:ascii="宋体" w:hAnsi="宋体" w:eastAsia="宋体" w:cs="宋体"/>
                <w:color w:val="auto"/>
                <w:sz w:val="18"/>
                <w:szCs w:val="18"/>
                <w:highlight w:val="none"/>
              </w:rPr>
            </w:pPr>
          </w:p>
        </w:tc>
        <w:tc>
          <w:tcPr>
            <w:tcW w:w="5153"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3F1970">
            <w:pPr>
              <w:rPr>
                <w:rFonts w:hint="eastAsia" w:ascii="宋体" w:hAnsi="宋体" w:eastAsia="宋体" w:cs="宋体"/>
                <w:color w:val="auto"/>
                <w:sz w:val="18"/>
                <w:szCs w:val="18"/>
                <w:highlight w:val="none"/>
              </w:rPr>
            </w:pPr>
          </w:p>
        </w:tc>
        <w:tc>
          <w:tcPr>
            <w:tcW w:w="6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BFA1B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100</w:t>
            </w:r>
          </w:p>
        </w:tc>
        <w:tc>
          <w:tcPr>
            <w:tcW w:w="1599"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AC0D5A">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30</w:t>
            </w:r>
          </w:p>
        </w:tc>
        <w:tc>
          <w:tcPr>
            <w:tcW w:w="18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88F2B1">
            <w:pPr>
              <w:rPr>
                <w:rFonts w:hint="eastAsia" w:ascii="宋体" w:hAnsi="宋体" w:eastAsia="宋体" w:cs="宋体"/>
                <w:color w:val="auto"/>
                <w:sz w:val="18"/>
                <w:szCs w:val="18"/>
                <w:highlight w:val="none"/>
              </w:rPr>
            </w:pPr>
          </w:p>
        </w:tc>
      </w:tr>
    </w:tbl>
    <w:p w14:paraId="253BA489">
      <w:pPr>
        <w:rPr>
          <w:rFonts w:hint="eastAsia" w:ascii="宋体" w:hAnsi="宋体" w:eastAsia="宋体" w:cs="宋体"/>
          <w:color w:val="auto"/>
          <w:highlight w:val="none"/>
        </w:rPr>
      </w:pPr>
    </w:p>
    <w:p w14:paraId="7C23F335">
      <w:pPr>
        <w:rPr>
          <w:rFonts w:hint="eastAsia" w:ascii="宋体" w:hAnsi="宋体" w:eastAsia="宋体" w:cs="宋体"/>
          <w:color w:val="auto"/>
          <w:highlight w:val="none"/>
        </w:rPr>
      </w:pPr>
    </w:p>
    <w:p w14:paraId="0A36377C">
      <w:pPr>
        <w:pStyle w:val="7"/>
        <w:numPr>
          <w:ilvl w:val="3"/>
          <w:numId w:val="0"/>
        </w:numPr>
        <w:jc w:val="both"/>
        <w:rPr>
          <w:rStyle w:val="81"/>
          <w:rFonts w:hint="eastAsia" w:ascii="宋体" w:hAnsi="宋体" w:cs="宋体"/>
          <w:b w:val="0"/>
          <w:bCs/>
          <w:sz w:val="21"/>
          <w:szCs w:val="21"/>
          <w:highlight w:val="none"/>
        </w:rPr>
      </w:pPr>
      <w:r>
        <w:rPr>
          <w:rStyle w:val="81"/>
          <w:rFonts w:hint="eastAsia" w:ascii="宋体" w:hAnsi="宋体" w:cs="宋体"/>
          <w:b w:val="0"/>
          <w:bCs/>
          <w:sz w:val="21"/>
          <w:szCs w:val="21"/>
          <w:highlight w:val="none"/>
        </w:rPr>
        <w:t>（2）公建部分（如有）</w:t>
      </w:r>
    </w:p>
    <w:p w14:paraId="5CFB5401">
      <w:pPr>
        <w:pStyle w:val="7"/>
        <w:numPr>
          <w:ilvl w:val="3"/>
          <w:numId w:val="0"/>
        </w:numPr>
        <w:jc w:val="both"/>
        <w:rPr>
          <w:rStyle w:val="81"/>
          <w:rFonts w:hint="eastAsia" w:ascii="宋体" w:hAnsi="宋体" w:cs="宋体"/>
          <w:b w:val="0"/>
          <w:bCs/>
          <w:sz w:val="21"/>
          <w:szCs w:val="21"/>
          <w:highlight w:val="none"/>
        </w:rPr>
      </w:pPr>
      <w:r>
        <w:rPr>
          <w:rFonts w:hint="eastAsia" w:ascii="宋体" w:hAnsi="宋体" w:cs="宋体"/>
          <w:b w:val="0"/>
          <w:bCs/>
          <w:highlight w:val="none"/>
        </w:rPr>
        <w:t>公建二星级评分项</w:t>
      </w:r>
    </w:p>
    <w:tbl>
      <w:tblPr>
        <w:tblStyle w:val="42"/>
        <w:tblW w:w="13948" w:type="dxa"/>
        <w:jc w:val="center"/>
        <w:tblLayout w:type="fixed"/>
        <w:tblCellMar>
          <w:top w:w="0" w:type="dxa"/>
          <w:left w:w="0" w:type="dxa"/>
          <w:bottom w:w="0" w:type="dxa"/>
          <w:right w:w="0" w:type="dxa"/>
        </w:tblCellMar>
      </w:tblPr>
      <w:tblGrid>
        <w:gridCol w:w="1618"/>
        <w:gridCol w:w="1297"/>
        <w:gridCol w:w="798"/>
        <w:gridCol w:w="1054"/>
        <w:gridCol w:w="5766"/>
        <w:gridCol w:w="670"/>
        <w:gridCol w:w="728"/>
        <w:gridCol w:w="1018"/>
        <w:gridCol w:w="999"/>
      </w:tblGrid>
      <w:tr w14:paraId="1B737F09">
        <w:tblPrEx>
          <w:tblCellMar>
            <w:top w:w="0" w:type="dxa"/>
            <w:left w:w="0" w:type="dxa"/>
            <w:bottom w:w="0" w:type="dxa"/>
            <w:right w:w="0" w:type="dxa"/>
          </w:tblCellMar>
        </w:tblPrEx>
        <w:trPr>
          <w:trHeight w:val="465" w:hRule="atLeast"/>
          <w:jc w:val="center"/>
        </w:trPr>
        <w:tc>
          <w:tcPr>
            <w:tcW w:w="13948" w:type="dxa"/>
            <w:gridSpan w:val="9"/>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D2A0E7">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天河区长湴村改造项目AT0211020地块公建</w:t>
            </w:r>
          </w:p>
        </w:tc>
      </w:tr>
      <w:tr w14:paraId="770B95B1">
        <w:tblPrEx>
          <w:tblCellMar>
            <w:top w:w="0" w:type="dxa"/>
            <w:left w:w="0" w:type="dxa"/>
            <w:bottom w:w="0" w:type="dxa"/>
            <w:right w:w="0" w:type="dxa"/>
          </w:tblCellMar>
        </w:tblPrEx>
        <w:trPr>
          <w:trHeight w:val="675" w:hRule="atLeast"/>
          <w:jc w:val="center"/>
        </w:trPr>
        <w:tc>
          <w:tcPr>
            <w:tcW w:w="161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DD29D4">
            <w:pPr>
              <w:jc w:val="center"/>
              <w:rPr>
                <w:rFonts w:hint="eastAsia" w:ascii="宋体" w:hAnsi="宋体" w:eastAsia="宋体" w:cs="宋体"/>
                <w:bCs/>
                <w:color w:val="auto"/>
                <w:sz w:val="18"/>
                <w:szCs w:val="18"/>
                <w:highlight w:val="none"/>
              </w:rPr>
            </w:pPr>
          </w:p>
        </w:tc>
        <w:tc>
          <w:tcPr>
            <w:tcW w:w="1297"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9A6E47">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基本级要求</w:t>
            </w: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855F7B">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一星级要求</w:t>
            </w:r>
          </w:p>
        </w:tc>
        <w:tc>
          <w:tcPr>
            <w:tcW w:w="1054"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ACA251">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二星级要求</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DBAC7B">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三星级要求</w:t>
            </w:r>
          </w:p>
        </w:tc>
        <w:tc>
          <w:tcPr>
            <w:tcW w:w="3415" w:type="dxa"/>
            <w:gridSpan w:val="4"/>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74C739">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评分项和加分项</w:t>
            </w:r>
          </w:p>
        </w:tc>
      </w:tr>
      <w:tr w14:paraId="5EA67223">
        <w:tblPrEx>
          <w:tblCellMar>
            <w:top w:w="0" w:type="dxa"/>
            <w:left w:w="0" w:type="dxa"/>
            <w:bottom w:w="0" w:type="dxa"/>
            <w:right w:w="0" w:type="dxa"/>
          </w:tblCellMar>
        </w:tblPrEx>
        <w:trPr>
          <w:trHeight w:val="45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7AAC27">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总得分</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2B0998">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40</w:t>
            </w:r>
          </w:p>
        </w:tc>
        <w:tc>
          <w:tcPr>
            <w:tcW w:w="79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1BD341">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≥60</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841F95">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≥70</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BC6F17">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≥85</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FECF00">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总分</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580068">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得分</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143B3F">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得分率</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31B2D6">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总得分</w:t>
            </w:r>
          </w:p>
        </w:tc>
      </w:tr>
      <w:tr w14:paraId="499DF531">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75A3F9">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 安全耐久</w:t>
            </w:r>
          </w:p>
        </w:tc>
        <w:tc>
          <w:tcPr>
            <w:tcW w:w="1297" w:type="dxa"/>
            <w:vMerge w:val="restart"/>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66205994">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w:t>
            </w: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195F9B">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7572CF">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100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C23D35">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48</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B2C1BE">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48%</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BF654D">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 xml:space="preserve">70.40 </w:t>
            </w:r>
          </w:p>
        </w:tc>
      </w:tr>
      <w:tr w14:paraId="6E996442">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D437D0">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5 健康舒适</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276DF1CB">
            <w:pPr>
              <w:jc w:val="center"/>
              <w:rPr>
                <w:rFonts w:hint="eastAsia" w:ascii="宋体" w:hAnsi="宋体" w:eastAsia="宋体" w:cs="宋体"/>
                <w:bCs/>
                <w:color w:val="auto"/>
                <w:sz w:val="18"/>
                <w:szCs w:val="18"/>
                <w:highlight w:val="none"/>
              </w:rPr>
            </w:pP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E1BA4F">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B54011">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100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679E13">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54</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2806D5">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54%</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9B019A">
            <w:pPr>
              <w:jc w:val="center"/>
              <w:rPr>
                <w:rFonts w:hint="eastAsia" w:ascii="宋体" w:hAnsi="宋体" w:eastAsia="宋体" w:cs="宋体"/>
                <w:bCs/>
                <w:color w:val="auto"/>
                <w:sz w:val="18"/>
                <w:szCs w:val="18"/>
                <w:highlight w:val="none"/>
              </w:rPr>
            </w:pPr>
          </w:p>
        </w:tc>
      </w:tr>
      <w:tr w14:paraId="4BF3052C">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A826CD">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6 生活便利</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06E52C77">
            <w:pPr>
              <w:jc w:val="center"/>
              <w:rPr>
                <w:rFonts w:hint="eastAsia" w:ascii="宋体" w:hAnsi="宋体" w:eastAsia="宋体" w:cs="宋体"/>
                <w:bCs/>
                <w:color w:val="auto"/>
                <w:sz w:val="18"/>
                <w:szCs w:val="18"/>
                <w:highlight w:val="none"/>
              </w:rPr>
            </w:pP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E7883B">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61FF58">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70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8DD0D9">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36</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91F4AA">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51%</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6403CF">
            <w:pPr>
              <w:jc w:val="center"/>
              <w:rPr>
                <w:rFonts w:hint="eastAsia" w:ascii="宋体" w:hAnsi="宋体" w:eastAsia="宋体" w:cs="宋体"/>
                <w:bCs/>
                <w:color w:val="auto"/>
                <w:sz w:val="18"/>
                <w:szCs w:val="18"/>
                <w:highlight w:val="none"/>
              </w:rPr>
            </w:pPr>
          </w:p>
        </w:tc>
      </w:tr>
      <w:tr w14:paraId="2D839414">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1A552E">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7 资源节约</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1E42AAA4">
            <w:pPr>
              <w:jc w:val="center"/>
              <w:rPr>
                <w:rFonts w:hint="eastAsia" w:ascii="宋体" w:hAnsi="宋体" w:eastAsia="宋体" w:cs="宋体"/>
                <w:bCs/>
                <w:color w:val="auto"/>
                <w:sz w:val="18"/>
                <w:szCs w:val="18"/>
                <w:highlight w:val="none"/>
              </w:rPr>
            </w:pP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9922C0">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D72366">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200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75DF6F">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91</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09AE4A">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46%</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704E95">
            <w:pPr>
              <w:jc w:val="center"/>
              <w:rPr>
                <w:rFonts w:hint="eastAsia" w:ascii="宋体" w:hAnsi="宋体" w:eastAsia="宋体" w:cs="宋体"/>
                <w:bCs/>
                <w:color w:val="auto"/>
                <w:sz w:val="18"/>
                <w:szCs w:val="18"/>
                <w:highlight w:val="none"/>
              </w:rPr>
            </w:pPr>
          </w:p>
        </w:tc>
      </w:tr>
      <w:tr w14:paraId="529D6BD1">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D496F6">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8 环境宜居</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15B03117">
            <w:pPr>
              <w:jc w:val="center"/>
              <w:rPr>
                <w:rFonts w:hint="eastAsia" w:ascii="宋体" w:hAnsi="宋体" w:eastAsia="宋体" w:cs="宋体"/>
                <w:bCs/>
                <w:color w:val="auto"/>
                <w:sz w:val="18"/>
                <w:szCs w:val="18"/>
                <w:highlight w:val="none"/>
              </w:rPr>
            </w:pP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57EB0A">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≥30%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E0B47F">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100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79727D">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65</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29CCC0">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65%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A0A316">
            <w:pPr>
              <w:jc w:val="center"/>
              <w:rPr>
                <w:rFonts w:hint="eastAsia" w:ascii="宋体" w:hAnsi="宋体" w:eastAsia="宋体" w:cs="宋体"/>
                <w:bCs/>
                <w:color w:val="auto"/>
                <w:sz w:val="18"/>
                <w:szCs w:val="18"/>
                <w:highlight w:val="none"/>
              </w:rPr>
            </w:pPr>
          </w:p>
        </w:tc>
      </w:tr>
      <w:tr w14:paraId="1549D06E">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3E0F2F">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9 创新提高</w:t>
            </w:r>
          </w:p>
        </w:tc>
        <w:tc>
          <w:tcPr>
            <w:tcW w:w="1297" w:type="dxa"/>
            <w:vMerge w:val="continue"/>
            <w:tcBorders>
              <w:top w:val="single" w:color="000000" w:sz="4" w:space="0"/>
              <w:left w:val="single" w:color="000000" w:sz="4" w:space="0"/>
              <w:bottom w:val="single" w:color="000000" w:sz="4" w:space="0"/>
              <w:right w:val="nil"/>
            </w:tcBorders>
            <w:shd w:val="clear" w:color="auto" w:fill="auto"/>
            <w:tcMar>
              <w:top w:w="15" w:type="dxa"/>
              <w:left w:w="15" w:type="dxa"/>
              <w:right w:w="15" w:type="dxa"/>
            </w:tcMar>
            <w:vAlign w:val="center"/>
          </w:tcPr>
          <w:p w14:paraId="73D96B3E">
            <w:pPr>
              <w:jc w:val="center"/>
              <w:rPr>
                <w:rFonts w:hint="eastAsia" w:ascii="宋体" w:hAnsi="宋体" w:eastAsia="宋体" w:cs="宋体"/>
                <w:bCs/>
                <w:color w:val="auto"/>
                <w:sz w:val="18"/>
                <w:szCs w:val="18"/>
                <w:highlight w:val="none"/>
              </w:rPr>
            </w:pPr>
          </w:p>
        </w:tc>
        <w:tc>
          <w:tcPr>
            <w:tcW w:w="7618" w:type="dxa"/>
            <w:gridSpan w:val="3"/>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F41C63">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F1ED57">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100</w:t>
            </w:r>
          </w:p>
        </w:tc>
        <w:tc>
          <w:tcPr>
            <w:tcW w:w="72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2AE153">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10</w:t>
            </w:r>
          </w:p>
        </w:tc>
        <w:tc>
          <w:tcPr>
            <w:tcW w:w="10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12E1E7">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10%</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712FF6">
            <w:pPr>
              <w:jc w:val="center"/>
              <w:rPr>
                <w:rFonts w:hint="eastAsia" w:ascii="宋体" w:hAnsi="宋体" w:eastAsia="宋体" w:cs="宋体"/>
                <w:bCs/>
                <w:color w:val="auto"/>
                <w:sz w:val="18"/>
                <w:szCs w:val="18"/>
                <w:highlight w:val="none"/>
              </w:rPr>
            </w:pPr>
          </w:p>
        </w:tc>
      </w:tr>
      <w:tr w14:paraId="287FD404">
        <w:tblPrEx>
          <w:tblCellMar>
            <w:top w:w="0" w:type="dxa"/>
            <w:left w:w="0" w:type="dxa"/>
            <w:bottom w:w="0" w:type="dxa"/>
            <w:right w:w="0" w:type="dxa"/>
          </w:tblCellMar>
        </w:tblPrEx>
        <w:trPr>
          <w:trHeight w:val="69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CDBA31">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章节</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E6CC66A">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分类</w:t>
            </w: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E049778">
            <w:pPr>
              <w:jc w:val="center"/>
              <w:rPr>
                <w:rFonts w:hint="eastAsia" w:ascii="宋体" w:hAnsi="宋体" w:eastAsia="宋体" w:cs="宋体"/>
                <w:bCs/>
                <w:color w:val="auto"/>
                <w:sz w:val="18"/>
                <w:szCs w:val="18"/>
                <w:highlight w:val="none"/>
              </w:rPr>
            </w:pPr>
          </w:p>
        </w:tc>
        <w:tc>
          <w:tcPr>
            <w:tcW w:w="1054"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1338A98">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编号</w:t>
            </w:r>
          </w:p>
        </w:tc>
        <w:tc>
          <w:tcPr>
            <w:tcW w:w="5766"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158C54F">
            <w:pPr>
              <w:widowControl/>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条文内容</w:t>
            </w:r>
          </w:p>
        </w:tc>
        <w:tc>
          <w:tcPr>
            <w:tcW w:w="670"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596243D">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总分值</w:t>
            </w:r>
          </w:p>
        </w:tc>
        <w:tc>
          <w:tcPr>
            <w:tcW w:w="1746"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BF92F5F">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预评估</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9B28FA">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涉及专业</w:t>
            </w:r>
          </w:p>
        </w:tc>
      </w:tr>
      <w:tr w14:paraId="1CFCB177">
        <w:tblPrEx>
          <w:tblCellMar>
            <w:top w:w="0" w:type="dxa"/>
            <w:left w:w="0" w:type="dxa"/>
            <w:bottom w:w="0" w:type="dxa"/>
            <w:right w:w="0" w:type="dxa"/>
          </w:tblCellMar>
        </w:tblPrEx>
        <w:trPr>
          <w:trHeight w:val="90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F56516">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 安全耐久</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333C958">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4C01255">
            <w:pPr>
              <w:jc w:val="center"/>
              <w:rPr>
                <w:rFonts w:hint="eastAsia" w:ascii="宋体" w:hAnsi="宋体" w:eastAsia="宋体" w:cs="宋体"/>
                <w:bCs/>
                <w:color w:val="auto"/>
                <w:sz w:val="18"/>
                <w:szCs w:val="18"/>
                <w:highlight w:val="none"/>
              </w:rPr>
            </w:pPr>
          </w:p>
        </w:tc>
        <w:tc>
          <w:tcPr>
            <w:tcW w:w="1054"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8C06CB">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4.1.1</w:t>
            </w:r>
          </w:p>
        </w:tc>
        <w:tc>
          <w:tcPr>
            <w:tcW w:w="5766"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ED7143">
            <w:pPr>
              <w:widowControl/>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场地应无洪涝、滑坡、泥石流、地陷、地裂、崩塌等自然灾害的威胁，无危险化学品、易燃易爆危险源的威胁，无电磁辐射、含氡土壤等危害。</w:t>
            </w:r>
          </w:p>
        </w:tc>
        <w:tc>
          <w:tcPr>
            <w:tcW w:w="670"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1EF72C">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w:t>
            </w:r>
          </w:p>
        </w:tc>
        <w:tc>
          <w:tcPr>
            <w:tcW w:w="1746"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FD3909">
            <w:pPr>
              <w:jc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81F765">
            <w:pPr>
              <w:widowControl/>
              <w:jc w:val="center"/>
              <w:textAlignment w:val="center"/>
              <w:rPr>
                <w:rFonts w:hint="eastAsia" w:ascii="宋体" w:hAnsi="宋体" w:eastAsia="宋体" w:cs="宋体"/>
                <w:bCs/>
                <w:color w:val="auto"/>
                <w:sz w:val="18"/>
                <w:szCs w:val="18"/>
                <w:highlight w:val="none"/>
              </w:rPr>
            </w:pPr>
            <w:r>
              <w:rPr>
                <w:rFonts w:hint="eastAsia" w:ascii="宋体" w:hAnsi="宋体" w:eastAsia="宋体" w:cs="宋体"/>
                <w:bCs/>
                <w:color w:val="auto"/>
                <w:kern w:val="0"/>
                <w:sz w:val="18"/>
                <w:szCs w:val="18"/>
                <w:highlight w:val="none"/>
              </w:rPr>
              <w:t>建设单位</w:t>
            </w:r>
          </w:p>
        </w:tc>
      </w:tr>
      <w:tr w14:paraId="680AAE4F">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30D88E">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DF08D83">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071B0D4">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99B7D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2E92A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建筑结构应满足承载力和建筑使用功能要求。建筑外墙、屋面、门窗、幕墙及外保温等围护结构应满足安全、耐久和防护的要求。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BC67C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E55092">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50DBB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7DDB6358">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CE0601">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6C9577E">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52E2B73">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45E13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DD364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外遮阳、太阳能设施、空调室外机位、外墙花池等外部设施应与建筑主体结构统一设计、施工，并应具备安装、检修与维护条件。</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77DF9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CA6F1D">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1586A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建筑、结构</w:t>
            </w:r>
          </w:p>
        </w:tc>
      </w:tr>
      <w:tr w14:paraId="7458CF49">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7F2D63">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7DFD2A12">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443DF16">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D2343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2A317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建筑内部的非结构构件、设备及附属设施等应连接牢固并能适应主体结构变形。</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B89C6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565858">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87F1E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20957D5D">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151A95">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AA991BB">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6489757">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E2A75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3B94E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外门窗的气密性能、水密性能和抗风压性能应根据使用要求确定，且外门窗洞口与外门窗本体的结合部位应严密。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CCD80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898560">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CE8A1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27E7869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F711CF">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E72EE72">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A324064">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DCFFE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5287B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卫生间、浴室的地面应设置防水层，墙面、顶棚应设置防潮层。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2CDA1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B83639">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04D83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341AF859">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23ACDD">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BABA235">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27A91E9">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3C7C8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8100B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走廊、疏散通道等通行空间应满足紧急疏散、应急救护等要求，且应保持畅通。</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05012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0A60D5">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319B2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0BC073C4">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B6307F">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D6F3A86">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F24FDF9">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930046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4.1.8</w:t>
            </w:r>
          </w:p>
        </w:tc>
        <w:tc>
          <w:tcPr>
            <w:tcW w:w="5766"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225160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应具有安全防护的警示和引导标识系统。</w:t>
            </w:r>
          </w:p>
        </w:tc>
        <w:tc>
          <w:tcPr>
            <w:tcW w:w="670"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3CA7F4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A82A3E2">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D5F90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3749E9C">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25EC55">
            <w:pPr>
              <w:jc w:val="center"/>
              <w:rPr>
                <w:rFonts w:hint="eastAsia" w:ascii="宋体" w:hAnsi="宋体" w:eastAsia="宋体" w:cs="宋体"/>
                <w:color w:val="auto"/>
                <w:sz w:val="18"/>
                <w:szCs w:val="18"/>
                <w:highlight w:val="none"/>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E879A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90EB5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安全</w:t>
            </w:r>
          </w:p>
        </w:tc>
        <w:tc>
          <w:tcPr>
            <w:tcW w:w="1054"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A14E5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4.2.1</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47EC8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采用基于性能的抗震设计并合理提高建筑的抗震性能。</w:t>
            </w:r>
          </w:p>
        </w:tc>
        <w:tc>
          <w:tcPr>
            <w:tcW w:w="670"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49A6F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986810">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DD2F8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20D46E1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F5C7B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FAEFC5">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CD5F49">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CD642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876CD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采取措施提高阳台、外窗、窗台、防护栏杆等安全防护水平；</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67D4B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5945E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DC8B2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391985F6">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90C81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5902BC">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CA9ABE">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9F70EC">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BBD7F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建筑物出入口均设外墙饰面、门窗玻璃意外脱落的防护措施，并与人员通行区域的遮阳、遮风或挡雨措施结合；</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59DEF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CBDD0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EB6F4C">
            <w:pPr>
              <w:jc w:val="center"/>
              <w:rPr>
                <w:rFonts w:hint="eastAsia" w:ascii="宋体" w:hAnsi="宋体" w:eastAsia="宋体" w:cs="宋体"/>
                <w:color w:val="auto"/>
                <w:sz w:val="18"/>
                <w:szCs w:val="18"/>
                <w:highlight w:val="none"/>
              </w:rPr>
            </w:pPr>
          </w:p>
        </w:tc>
      </w:tr>
      <w:tr w14:paraId="4DF3F2AD">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34EF8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D6F579">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940976">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3BB9EC">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588C9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利用场地或景观形成可降低坠物风险的缓冲区、隔离带。</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157E0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8FB25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B9CCD6">
            <w:pPr>
              <w:jc w:val="center"/>
              <w:rPr>
                <w:rFonts w:hint="eastAsia" w:ascii="宋体" w:hAnsi="宋体" w:eastAsia="宋体" w:cs="宋体"/>
                <w:color w:val="auto"/>
                <w:sz w:val="18"/>
                <w:szCs w:val="18"/>
                <w:highlight w:val="none"/>
              </w:rPr>
            </w:pPr>
          </w:p>
        </w:tc>
      </w:tr>
      <w:tr w14:paraId="41ADF7FE">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B1B4E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751A5F">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8160F1">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70BA6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AB7B0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采用具有安全防护功能的玻璃；</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9C6AC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B931F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BE396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2390D773">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0FAC9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5D8E46">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27F6B5">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307172">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7CE74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采用具备防夹功能的门窗。</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C13F7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ADC78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CC3818">
            <w:pPr>
              <w:jc w:val="center"/>
              <w:rPr>
                <w:rFonts w:hint="eastAsia" w:ascii="宋体" w:hAnsi="宋体" w:eastAsia="宋体" w:cs="宋体"/>
                <w:color w:val="auto"/>
                <w:sz w:val="18"/>
                <w:szCs w:val="18"/>
                <w:highlight w:val="none"/>
              </w:rPr>
            </w:pPr>
          </w:p>
        </w:tc>
      </w:tr>
      <w:tr w14:paraId="12288646">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A60B61">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0F4F59">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63CB46">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79E9E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0F734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建筑出入口及平台、公共走廊、电梯门厅、厨房、浴室、卫生间等设置防滑措施，防滑等级不低于现行行业标准《建筑地面工程防滑技术规程》JGJ/T 331规定的Bd、BW级，</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C71AC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5B1AE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24359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建筑、景观</w:t>
            </w:r>
          </w:p>
        </w:tc>
      </w:tr>
      <w:tr w14:paraId="546D2B9F">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B3E98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136998">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C69581">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6252EC">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14188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建筑室内外活动场所采用防滑地面，防滑等级达到现行行业标准《建筑地面工程防滑技术规程》JGJ/T 331规定的Ad、AW级，</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FCCE8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8AE2D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2CF985">
            <w:pPr>
              <w:jc w:val="center"/>
              <w:rPr>
                <w:rFonts w:hint="eastAsia" w:ascii="宋体" w:hAnsi="宋体" w:eastAsia="宋体" w:cs="宋体"/>
                <w:color w:val="auto"/>
                <w:sz w:val="18"/>
                <w:szCs w:val="18"/>
                <w:highlight w:val="none"/>
              </w:rPr>
            </w:pPr>
          </w:p>
        </w:tc>
      </w:tr>
      <w:tr w14:paraId="61F51A51">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2F577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3B4EDD">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4D5E03">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1C57E1">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6434D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建筑坡道、楼梯踏步防滑等级达到现行行业标准《建筑地面工程防滑技术规程》JGJ/T 331规定的Ad、AW级或按水平地面等级提高一级，并采用防滑条等防滑构造技术措施。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4B2D4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1530E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029AB0">
            <w:pPr>
              <w:jc w:val="center"/>
              <w:rPr>
                <w:rFonts w:hint="eastAsia" w:ascii="宋体" w:hAnsi="宋体" w:eastAsia="宋体" w:cs="宋体"/>
                <w:color w:val="auto"/>
                <w:sz w:val="18"/>
                <w:szCs w:val="18"/>
                <w:highlight w:val="none"/>
              </w:rPr>
            </w:pPr>
          </w:p>
        </w:tc>
      </w:tr>
      <w:tr w14:paraId="2E3F6EDF">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FF811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087698">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BA8F3E">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16184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AD9AE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采取人车分流措施，且步行和自行车交通系统有充足照明。</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1C849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171AE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70C4E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建筑、电气</w:t>
            </w:r>
          </w:p>
        </w:tc>
      </w:tr>
      <w:tr w14:paraId="34418FC3">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8D400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DE9DE5">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5C20F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耐久</w:t>
            </w: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6AC96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BE3EE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采取通用开放、灵活可变的使用空间设计，或采取建筑使用功能可变措施；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80EC5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F73173">
            <w:pPr>
              <w:jc w:val="center"/>
              <w:rPr>
                <w:rFonts w:hint="eastAsia" w:ascii="宋体" w:hAnsi="宋体" w:eastAsia="宋体" w:cs="宋体"/>
                <w:color w:val="auto"/>
                <w:sz w:val="18"/>
                <w:szCs w:val="18"/>
                <w:highlight w:val="none"/>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30E80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建筑、给排水、暖通、电气</w:t>
            </w:r>
          </w:p>
        </w:tc>
      </w:tr>
      <w:tr w14:paraId="0F0D4016">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34E90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DDA749">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677643">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309A8B">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A594C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建筑结构与建筑设备管线分离；</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4A28D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0D3B3C">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A64E0E">
            <w:pPr>
              <w:jc w:val="center"/>
              <w:rPr>
                <w:rFonts w:hint="eastAsia" w:ascii="宋体" w:hAnsi="宋体" w:eastAsia="宋体" w:cs="宋体"/>
                <w:color w:val="auto"/>
                <w:sz w:val="18"/>
                <w:szCs w:val="18"/>
                <w:highlight w:val="none"/>
              </w:rPr>
            </w:pPr>
          </w:p>
        </w:tc>
      </w:tr>
      <w:tr w14:paraId="412B653A">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604D09">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77F8DC">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92D84E">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80EDA6">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29AD7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采用与建筑功能和空间变化相适应的设备设施布置方式或控制方式。</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F0252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CEA28A">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3E395C">
            <w:pPr>
              <w:jc w:val="center"/>
              <w:rPr>
                <w:rFonts w:hint="eastAsia" w:ascii="宋体" w:hAnsi="宋体" w:eastAsia="宋体" w:cs="宋体"/>
                <w:color w:val="auto"/>
                <w:sz w:val="18"/>
                <w:szCs w:val="18"/>
                <w:highlight w:val="none"/>
              </w:rPr>
            </w:pPr>
          </w:p>
        </w:tc>
      </w:tr>
      <w:tr w14:paraId="0CABB127">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D734B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0E37BC">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7CE650">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9C5BB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76337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使用耐腐蚀、抗老化、耐久性能好的管材、管线、管件；</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A270B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CA235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B9E5A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建筑、给排水、暖通、电气</w:t>
            </w:r>
          </w:p>
        </w:tc>
      </w:tr>
      <w:tr w14:paraId="51E922E7">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B7E03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21568C">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023E61">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200375">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31487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活动配件选用长寿命产品，并考虑部品组合的同寿命性；不同使用寿命的部品组合时，采用便于分别拆换、更新和升级的构造。</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B6CAF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951A41">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1D1631">
            <w:pPr>
              <w:jc w:val="center"/>
              <w:rPr>
                <w:rFonts w:hint="eastAsia" w:ascii="宋体" w:hAnsi="宋体" w:eastAsia="宋体" w:cs="宋体"/>
                <w:color w:val="auto"/>
                <w:sz w:val="18"/>
                <w:szCs w:val="18"/>
                <w:highlight w:val="none"/>
              </w:rPr>
            </w:pPr>
          </w:p>
        </w:tc>
      </w:tr>
      <w:tr w14:paraId="176EEF17">
        <w:tblPrEx>
          <w:tblCellMar>
            <w:top w:w="0" w:type="dxa"/>
            <w:left w:w="0" w:type="dxa"/>
            <w:bottom w:w="0" w:type="dxa"/>
            <w:right w:w="0" w:type="dxa"/>
          </w:tblCellMar>
        </w:tblPrEx>
        <w:trPr>
          <w:trHeight w:val="24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ECCE3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B0B73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720768">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930AB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0F7BA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提高建筑结构材料的耐久性，评价总分值为10分，并按下列规则评分：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按100年进行耐久性设计。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采用耐久性能好的建筑结构材料，满足下列条件之一：</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1）对于混凝土构件，提高钢筋保护层厚度或采用高耐久混凝土；</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2）对于钢构件，采用耐候结构钢及耐候型防腐涂料；</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3）对于木构件，采用防腐木材、耐久木材或耐久木制品。</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06A53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FCB44D">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9DC3D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0EF63188">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D712F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0007E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3C88F4">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5ED6A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5E831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采用耐久性好的外饰面材料；</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D8C85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89FB6F">
            <w:pPr>
              <w:jc w:val="center"/>
              <w:rPr>
                <w:rFonts w:hint="eastAsia" w:ascii="宋体" w:hAnsi="宋体" w:eastAsia="宋体" w:cs="宋体"/>
                <w:color w:val="auto"/>
                <w:sz w:val="18"/>
                <w:szCs w:val="18"/>
                <w:highlight w:val="none"/>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7F9EA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5F82ED71">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D6DF1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3A118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C0735E">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169D82">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A5858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采用耐久性好的防水和密封材料；</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015FD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C6B158">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8E4893">
            <w:pPr>
              <w:jc w:val="center"/>
              <w:rPr>
                <w:rFonts w:hint="eastAsia" w:ascii="宋体" w:hAnsi="宋体" w:eastAsia="宋体" w:cs="宋体"/>
                <w:color w:val="auto"/>
                <w:sz w:val="18"/>
                <w:szCs w:val="18"/>
                <w:highlight w:val="none"/>
              </w:rPr>
            </w:pPr>
          </w:p>
        </w:tc>
      </w:tr>
      <w:tr w14:paraId="49375392">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DBF12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C01F1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769E96">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AEAE6B">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66151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采用耐久性好、易维护的室内装饰装修材料。</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44D5F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D27705">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2CDD6B">
            <w:pPr>
              <w:jc w:val="center"/>
              <w:rPr>
                <w:rFonts w:hint="eastAsia" w:ascii="宋体" w:hAnsi="宋体" w:eastAsia="宋体" w:cs="宋体"/>
                <w:color w:val="auto"/>
                <w:sz w:val="18"/>
                <w:szCs w:val="18"/>
                <w:highlight w:val="none"/>
              </w:rPr>
            </w:pPr>
          </w:p>
        </w:tc>
      </w:tr>
      <w:tr w14:paraId="7C796F20">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8DF20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28C2A79">
            <w:pPr>
              <w:rPr>
                <w:rFonts w:hint="eastAsia" w:ascii="宋体" w:hAnsi="宋体" w:eastAsia="宋体" w:cs="宋体"/>
                <w:color w:val="auto"/>
                <w:sz w:val="18"/>
                <w:szCs w:val="18"/>
                <w:highlight w:val="none"/>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6465BEB">
            <w:pP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44118CB">
            <w:pP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060F618">
            <w:pPr>
              <w:rPr>
                <w:rFonts w:hint="eastAsia" w:ascii="宋体" w:hAnsi="宋体" w:eastAsia="宋体" w:cs="宋体"/>
                <w:color w:val="auto"/>
                <w:sz w:val="18"/>
                <w:szCs w:val="18"/>
                <w:highlight w:val="none"/>
              </w:rPr>
            </w:pPr>
          </w:p>
        </w:tc>
        <w:tc>
          <w:tcPr>
            <w:tcW w:w="670"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2CDC21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100</w:t>
            </w:r>
          </w:p>
        </w:tc>
        <w:tc>
          <w:tcPr>
            <w:tcW w:w="1746"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5A9C0894">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020B54">
            <w:pPr>
              <w:jc w:val="center"/>
              <w:rPr>
                <w:rFonts w:hint="eastAsia" w:ascii="宋体" w:hAnsi="宋体" w:eastAsia="宋体" w:cs="宋体"/>
                <w:color w:val="auto"/>
                <w:sz w:val="18"/>
                <w:szCs w:val="18"/>
                <w:highlight w:val="none"/>
              </w:rPr>
            </w:pPr>
          </w:p>
        </w:tc>
      </w:tr>
      <w:tr w14:paraId="7F32C358">
        <w:tblPrEx>
          <w:tblCellMar>
            <w:top w:w="0" w:type="dxa"/>
            <w:left w:w="0" w:type="dxa"/>
            <w:bottom w:w="0" w:type="dxa"/>
            <w:right w:w="0" w:type="dxa"/>
          </w:tblCellMar>
        </w:tblPrEx>
        <w:trPr>
          <w:trHeight w:val="135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A9281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 健康舒适</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974ECB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5AA6FA4">
            <w:pPr>
              <w:jc w:val="center"/>
              <w:rPr>
                <w:rFonts w:hint="eastAsia" w:ascii="宋体" w:hAnsi="宋体" w:eastAsia="宋体" w:cs="宋体"/>
                <w:color w:val="auto"/>
                <w:sz w:val="18"/>
                <w:szCs w:val="18"/>
                <w:highlight w:val="none"/>
              </w:rPr>
            </w:pPr>
          </w:p>
        </w:tc>
        <w:tc>
          <w:tcPr>
            <w:tcW w:w="1054"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89B8C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5.1.1</w:t>
            </w:r>
          </w:p>
        </w:tc>
        <w:tc>
          <w:tcPr>
            <w:tcW w:w="5766"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8267B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室内空气中的氨、甲醛、苯、总挥发性有机物、氡等污染物浓度应符合现行国家标准《室内空气质量标准》GB/T 18883的有关规定。建筑室内和建筑主出入口处应禁止吸烟，并应在醒目位置设置禁烟标志。</w:t>
            </w:r>
          </w:p>
        </w:tc>
        <w:tc>
          <w:tcPr>
            <w:tcW w:w="670"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D26F0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FAA102">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FFA39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建筑、暖通</w:t>
            </w:r>
          </w:p>
        </w:tc>
      </w:tr>
      <w:tr w14:paraId="2D2E1B20">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7D06B8">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C77B582">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77B0EF4">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F9482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51219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应采取措施避免厨房、餐厅、打印复印室、卫生间、地下车库等区域的空气和污染物串通到其他空间；应防止厨房、卫生间的排气倒灌。</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832EA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A23D99">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21EA8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7AEBFDF1">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D3604F">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4228DB1">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CA294B8">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30336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2FF69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给排水系统的设置应符合下列规定：</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生活饮用水水质应满足现行国家标准《生活饮用水卫生标准》GB 5749的要求；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应制定水池、水箱等储水设施定期清洗消毒计划并实施，且生活饮用水储水设施每半年清洗消毒应不少于1次；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应使用构造内自带水封的便器，且其水封深度应不小于50mm；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4 非传统水源管道和设备应设置明确、清晰的永久性标识。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13DD7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24EE23">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D0738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02D29CA9">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79FDE9">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50EBB1F">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12D682E">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02975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7483E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主要功能房间的室内噪声级和隔声性能应符合下列规定：</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室内噪声级应满足现行国家标准《民用建筑隔声设计规范》GB 50118中的低限要求；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外墙、隔墙、楼板和门窗的隔声性能应满足现行国家标准《民用建筑隔声设计规范》GB 50118中的低限要求。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F5F21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5531C5">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63557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6E2DC9F">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D0BE7B">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72872A4">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5C2D505">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72F9A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E1726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建筑照明应符合下列规定：</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照明数量和质量应符合现行国家标准《建筑照明设计标准》GB 50034的规定；</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人员长期停留的场所应采用符合现行国家标准《灯和灯系统的光生物安全性》GB/T 20145规定的无危险类照明产品；</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选用LED照明产品的光输出波形的波动深度应满足现行国家标准《LED室内照明应用技术要求》GB/T 31831的规定。</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EE023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D74E3F">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E19A2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1F666543">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36AAAE">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43EDD34">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AB907CE">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6D439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C735A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采取措施保障室内热环境。采用集中供暖空调系统的建筑，房间内的温度、湿度、新风量等设计参数应符合现行国家标准《民用建筑供暖通风与空气调节设计规范》GB50736的有关规定；采用非集中供暖空调系统的建筑，应具有保障室内热环境的措施或预留条件。</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61FED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7965C7">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42529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4DF743BA">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4773FD">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E3970AC">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CA4666E">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FA4BD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3BAA8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围护结构热工性能应符合下列规定：</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在室内设计温、湿度条件下，建筑非透光围护结构内表面不得结露；</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供暖建筑的屋面、外墙内部不应产生冷凝；</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屋顶和外墙隔热性能应满足现行国家标准《民用建筑热工设计规范》GB 50176的要求。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09E4D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9C15B8">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FA0DF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49B1C81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EE25D8">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82E8FD5">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D50B958">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E32C1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1EBD3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主要功能房间应具有现场独立控制的热环境调节装置。</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4D47B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C5DAF3">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6D8C7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6C5F097C">
        <w:tblPrEx>
          <w:tblCellMar>
            <w:top w:w="0" w:type="dxa"/>
            <w:left w:w="0" w:type="dxa"/>
            <w:bottom w:w="0" w:type="dxa"/>
            <w:right w:w="0" w:type="dxa"/>
          </w:tblCellMar>
        </w:tblPrEx>
        <w:trPr>
          <w:trHeight w:val="4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5693B8">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486DC080">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57ED35B">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D7F104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5.1.9</w:t>
            </w:r>
          </w:p>
        </w:tc>
        <w:tc>
          <w:tcPr>
            <w:tcW w:w="5766"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E9FE21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地下车库应设置与排风设备联动的一氧化碳浓度监测装置。</w:t>
            </w:r>
          </w:p>
        </w:tc>
        <w:tc>
          <w:tcPr>
            <w:tcW w:w="670"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6B22B1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C2C8A0A">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B89CA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暖通、电气</w:t>
            </w:r>
          </w:p>
        </w:tc>
      </w:tr>
      <w:tr w14:paraId="530BC2FB">
        <w:tblPrEx>
          <w:tblCellMar>
            <w:top w:w="0" w:type="dxa"/>
            <w:left w:w="0" w:type="dxa"/>
            <w:bottom w:w="0" w:type="dxa"/>
            <w:right w:w="0" w:type="dxa"/>
          </w:tblCellMar>
        </w:tblPrEx>
        <w:trPr>
          <w:trHeight w:val="118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FBD130">
            <w:pPr>
              <w:jc w:val="center"/>
              <w:rPr>
                <w:rFonts w:hint="eastAsia" w:ascii="宋体" w:hAnsi="宋体" w:eastAsia="宋体" w:cs="宋体"/>
                <w:color w:val="auto"/>
                <w:sz w:val="18"/>
                <w:szCs w:val="18"/>
                <w:highlight w:val="none"/>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94CAB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31DC1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室内空气品质</w:t>
            </w:r>
          </w:p>
        </w:tc>
        <w:tc>
          <w:tcPr>
            <w:tcW w:w="1054"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D56A1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5.2.1</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5411B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氨、甲醛、苯、总挥发性有机物、氡等污染物浓度低于现行国家标准《室内空气质量标准》GB/T 18883规定限值的10%，得3分；低于20%，得6分；</w:t>
            </w:r>
          </w:p>
        </w:tc>
        <w:tc>
          <w:tcPr>
            <w:tcW w:w="670"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38115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746"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FD0B9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B3994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58DB906A">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440C0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8D164C">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9D213A">
            <w:pPr>
              <w:jc w:val="center"/>
              <w:rPr>
                <w:rFonts w:hint="eastAsia" w:ascii="宋体" w:hAnsi="宋体" w:eastAsia="宋体" w:cs="宋体"/>
                <w:color w:val="auto"/>
                <w:sz w:val="18"/>
                <w:szCs w:val="18"/>
                <w:highlight w:val="none"/>
              </w:rPr>
            </w:pPr>
          </w:p>
        </w:tc>
        <w:tc>
          <w:tcPr>
            <w:tcW w:w="1054"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1069B7">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B45B6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室内PM2.5年均浓度不高于25μg/m3，且室内PM10年均浓度不高于50μg/m3，得6分。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2495E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96A96F">
            <w:pPr>
              <w:widowControl/>
              <w:jc w:val="center"/>
              <w:textAlignment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EEF937">
            <w:pPr>
              <w:jc w:val="center"/>
              <w:rPr>
                <w:rFonts w:hint="eastAsia" w:ascii="宋体" w:hAnsi="宋体" w:eastAsia="宋体" w:cs="宋体"/>
                <w:color w:val="auto"/>
                <w:sz w:val="18"/>
                <w:szCs w:val="18"/>
                <w:highlight w:val="none"/>
              </w:rPr>
            </w:pPr>
          </w:p>
        </w:tc>
      </w:tr>
      <w:tr w14:paraId="110C2E65">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401FC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0F0283">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E01583">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A605B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3680D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选用的装饰装修材料满足国家现行绿色产品评价标准中对有害物质限量的要求，评价总分值为8分。选用满足要求的装饰装修材料达到3类及以上，得5分；达到5类及以上，得8分。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F8C07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FBAC2F">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09479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209EA4BD">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5C978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2F0BA3">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DE390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水质</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3E2F4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A7EAE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直饮水、集中生活热水、游泳池水、采暖空调系统用水、景观水体等的水质满足国家现行有关标准的要求。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EB069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68BFE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979E3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6548CD40">
        <w:tblPrEx>
          <w:tblCellMar>
            <w:top w:w="0" w:type="dxa"/>
            <w:left w:w="0" w:type="dxa"/>
            <w:bottom w:w="0" w:type="dxa"/>
            <w:right w:w="0" w:type="dxa"/>
          </w:tblCellMar>
        </w:tblPrEx>
        <w:trPr>
          <w:trHeight w:val="4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22B5F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AA7269">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F3DECB">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B6DD0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49945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1采用符合要求的成品水箱</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CD3FD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174B0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A684F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786449DE">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F70D4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C6494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F4BC8B">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F20559">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C413E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2采取保证储水不变质的措施。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3C665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2E5D1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B5F426">
            <w:pPr>
              <w:jc w:val="center"/>
              <w:rPr>
                <w:rFonts w:hint="eastAsia" w:ascii="宋体" w:hAnsi="宋体" w:eastAsia="宋体" w:cs="宋体"/>
                <w:color w:val="auto"/>
                <w:sz w:val="18"/>
                <w:szCs w:val="18"/>
                <w:highlight w:val="none"/>
              </w:rPr>
            </w:pPr>
          </w:p>
        </w:tc>
      </w:tr>
      <w:tr w14:paraId="68B151C3">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72B16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0D6C1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F9028D">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E3C4A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FBDD9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所有给排水管道、设备、设施设置明确、清晰的永久性标识，评价分值为8分。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708FD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4B2ED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50614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489F30FD">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9A85A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06FD89">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3959E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声环境与光环境</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3A79F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65AF0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采取措施优化主要功能房间的室内声环境，评价总分值为8分。噪声级达到现行国家标准《民用建筑隔声设计规范》GB50118中的低限标准限值和高要求标准限值的平均值，得4分；达到高要求标准限值，得8分。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F97A0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CA9B5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B5E85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58915685">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273C8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496F4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3F53D5">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7FE61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AA3C9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构件及相邻房间之间的空气声隔声性能达到现行国家标准《民用建筑隔声设计规范》GB 50118中的低限标准限值和高要求标准限值的平均值，得3分；达到高要求标准限值，得5分；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E471D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EEE81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49B42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11DBF8FC">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B10D0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4E724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83F839">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D66D0A">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21D34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2楼板的撞击声隔声性能达到现行国家标准《民用建筑隔声设计规范》GB 50118中的低限标准限值和高要求标准限值的平均值，得3分；达到高要求标准限值，得5分。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B4136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5A305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FE2B9C">
            <w:pPr>
              <w:jc w:val="center"/>
              <w:rPr>
                <w:rFonts w:hint="eastAsia" w:ascii="宋体" w:hAnsi="宋体" w:eastAsia="宋体" w:cs="宋体"/>
                <w:color w:val="auto"/>
                <w:sz w:val="18"/>
                <w:szCs w:val="18"/>
                <w:highlight w:val="none"/>
              </w:rPr>
            </w:pPr>
          </w:p>
        </w:tc>
      </w:tr>
      <w:tr w14:paraId="6A19C950">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EB91F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4AC5C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936852">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15EEA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704BF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住宅建筑室内主要功能空间至少60%面积比例区域，其采光照度值不低于300lx的小时数平均不少于8h/d，得9分；</w:t>
            </w:r>
          </w:p>
        </w:tc>
        <w:tc>
          <w:tcPr>
            <w:tcW w:w="670"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1FF6E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5025DC">
            <w:pPr>
              <w:jc w:val="center"/>
              <w:rPr>
                <w:rFonts w:hint="eastAsia" w:ascii="宋体" w:hAnsi="宋体" w:eastAsia="宋体" w:cs="宋体"/>
                <w:color w:val="auto"/>
                <w:sz w:val="18"/>
                <w:szCs w:val="18"/>
                <w:highlight w:val="none"/>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C91AE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10081176">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4CE12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663589">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20B497">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BCED61">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EB8AF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2-1）公建内区采光系数满足采光要求的面积比例达到60%，得3分；</w:t>
            </w:r>
          </w:p>
        </w:tc>
        <w:tc>
          <w:tcPr>
            <w:tcW w:w="67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3FE333">
            <w:pPr>
              <w:jc w:val="center"/>
              <w:rPr>
                <w:rFonts w:hint="eastAsia" w:ascii="宋体" w:hAnsi="宋体" w:eastAsia="宋体" w:cs="宋体"/>
                <w:color w:val="auto"/>
                <w:sz w:val="18"/>
                <w:szCs w:val="18"/>
                <w:highlight w:val="none"/>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FC0CD3">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84A058">
            <w:pPr>
              <w:jc w:val="center"/>
              <w:rPr>
                <w:rFonts w:hint="eastAsia" w:ascii="宋体" w:hAnsi="宋体" w:eastAsia="宋体" w:cs="宋体"/>
                <w:color w:val="auto"/>
                <w:sz w:val="18"/>
                <w:szCs w:val="18"/>
                <w:highlight w:val="none"/>
              </w:rPr>
            </w:pPr>
          </w:p>
        </w:tc>
      </w:tr>
      <w:tr w14:paraId="1626F280">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9285E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27C4F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BAF2C0">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FF4EC6">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7DBD0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2-2）公建地下空间平均采光系数不小于0.5%的面积与地下室首层面积的比例达到10%以上，得3分；</w:t>
            </w:r>
          </w:p>
        </w:tc>
        <w:tc>
          <w:tcPr>
            <w:tcW w:w="67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CA66C3">
            <w:pPr>
              <w:jc w:val="center"/>
              <w:rPr>
                <w:rFonts w:hint="eastAsia" w:ascii="宋体" w:hAnsi="宋体" w:eastAsia="宋体" w:cs="宋体"/>
                <w:color w:val="auto"/>
                <w:sz w:val="18"/>
                <w:szCs w:val="18"/>
                <w:highlight w:val="none"/>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D5307C">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B20999">
            <w:pPr>
              <w:jc w:val="center"/>
              <w:rPr>
                <w:rFonts w:hint="eastAsia" w:ascii="宋体" w:hAnsi="宋体" w:eastAsia="宋体" w:cs="宋体"/>
                <w:color w:val="auto"/>
                <w:sz w:val="18"/>
                <w:szCs w:val="18"/>
                <w:highlight w:val="none"/>
              </w:rPr>
            </w:pPr>
          </w:p>
        </w:tc>
      </w:tr>
      <w:tr w14:paraId="1835E913">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31C9A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11EB8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8473A1">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54B111">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19C13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2-3）公建室内主要功能空间至少60%面积比例区域的采光照度值不低于采光要求的小时数平均不少于4h/d，得3分。</w:t>
            </w:r>
          </w:p>
        </w:tc>
        <w:tc>
          <w:tcPr>
            <w:tcW w:w="670"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17998E">
            <w:pPr>
              <w:jc w:val="center"/>
              <w:rPr>
                <w:rFonts w:hint="eastAsia" w:ascii="宋体" w:hAnsi="宋体" w:eastAsia="宋体" w:cs="宋体"/>
                <w:color w:val="auto"/>
                <w:sz w:val="18"/>
                <w:szCs w:val="18"/>
                <w:highlight w:val="none"/>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6AA63D">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786135">
            <w:pPr>
              <w:jc w:val="center"/>
              <w:rPr>
                <w:rFonts w:hint="eastAsia" w:ascii="宋体" w:hAnsi="宋体" w:eastAsia="宋体" w:cs="宋体"/>
                <w:color w:val="auto"/>
                <w:sz w:val="18"/>
                <w:szCs w:val="18"/>
                <w:highlight w:val="none"/>
              </w:rPr>
            </w:pPr>
          </w:p>
        </w:tc>
      </w:tr>
      <w:tr w14:paraId="6182B317">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3B47E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4360FB">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EC701F">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964787">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42E00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3主要功能房间有眩光控制措施，得3分。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99728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CB031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42CB6C">
            <w:pPr>
              <w:jc w:val="center"/>
              <w:rPr>
                <w:rFonts w:hint="eastAsia" w:ascii="宋体" w:hAnsi="宋体" w:eastAsia="宋体" w:cs="宋体"/>
                <w:color w:val="auto"/>
                <w:sz w:val="18"/>
                <w:szCs w:val="18"/>
                <w:highlight w:val="none"/>
              </w:rPr>
            </w:pPr>
          </w:p>
        </w:tc>
      </w:tr>
      <w:tr w14:paraId="5EE9ABE6">
        <w:tblPrEx>
          <w:tblCellMar>
            <w:top w:w="0" w:type="dxa"/>
            <w:left w:w="0" w:type="dxa"/>
            <w:bottom w:w="0" w:type="dxa"/>
            <w:right w:w="0" w:type="dxa"/>
          </w:tblCellMar>
        </w:tblPrEx>
        <w:trPr>
          <w:trHeight w:val="31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1D76C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62D967">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3B434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室内热湿环境</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909BD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B73E8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具有良好的室内热湿环境，评价总分值为8分，并按下列规则评分：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1采用自然通风或复合通风的建筑，建筑主要功能房间室内热环境参数在适应性热舒适区域的时间比例，达到30%，得2分；每再增加10%，再得1分，最高得8分。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采用人工冷热源的建筑，主要功能房间达到现行国家标准《民用建筑室内热湿环境评价标准》GB/T 50785规定的室内人工冷热源热湿环境整体评价Ⅱ级的面积比例，达到60%，得5分；每再增加10%，再得1分，最高得8分。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E790F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B0791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21634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0926AA28">
        <w:tblPrEx>
          <w:tblCellMar>
            <w:top w:w="0" w:type="dxa"/>
            <w:left w:w="0" w:type="dxa"/>
            <w:bottom w:w="0" w:type="dxa"/>
            <w:right w:w="0" w:type="dxa"/>
          </w:tblCellMar>
        </w:tblPrEx>
        <w:trPr>
          <w:trHeight w:val="27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7476F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0598FC">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CAC38E">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BCE76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5.2.10</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06BCA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优化建筑空间和平面布局，改善自然通风效果，评价总分值为8分，并按下列规则评分：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住宅建筑：通风开口面积与房间地板面积的比例在夏热冬暖地区达到12%，在夏热冬冷地区达到8%，在其他地区达到5%，得5分；每再增加2%，再得1分，最高得8分。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公共建筑：过渡季典型工况下主要功能房间平均自然通风换气次数不小于2次/h的面积比例达到70%，得5分；每再增加10%，再得1分，最高得8分。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7F2E4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1F1FB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1001E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5F499B43">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5A77D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B3DBCD">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0434DE">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6D09F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5.2.11</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24BA2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设置可调节遮阳设施，改善室内热舒适，评价总分值为9分，根据可调节遮阳设施的面积占外窗透明部分的比例按表5.2.11的规则评分。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06271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164465">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4AA28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0B873EC5">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D6361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5E65857">
            <w:pPr>
              <w:jc w:val="center"/>
              <w:rPr>
                <w:rFonts w:hint="eastAsia" w:ascii="宋体" w:hAnsi="宋体" w:eastAsia="宋体" w:cs="宋体"/>
                <w:color w:val="auto"/>
                <w:sz w:val="18"/>
                <w:szCs w:val="18"/>
                <w:highlight w:val="none"/>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0D7D3BB">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2E26368">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20C68A6">
            <w:pPr>
              <w:rPr>
                <w:rFonts w:hint="eastAsia" w:ascii="宋体" w:hAnsi="宋体" w:eastAsia="宋体" w:cs="宋体"/>
                <w:color w:val="auto"/>
                <w:sz w:val="18"/>
                <w:szCs w:val="18"/>
                <w:highlight w:val="none"/>
              </w:rPr>
            </w:pPr>
          </w:p>
        </w:tc>
        <w:tc>
          <w:tcPr>
            <w:tcW w:w="670"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1174FF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100</w:t>
            </w:r>
          </w:p>
        </w:tc>
        <w:tc>
          <w:tcPr>
            <w:tcW w:w="1746"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6662ADC3">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54</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B1012E">
            <w:pPr>
              <w:jc w:val="center"/>
              <w:rPr>
                <w:rFonts w:hint="eastAsia" w:ascii="宋体" w:hAnsi="宋体" w:eastAsia="宋体" w:cs="宋体"/>
                <w:color w:val="auto"/>
                <w:sz w:val="18"/>
                <w:szCs w:val="18"/>
                <w:highlight w:val="none"/>
              </w:rPr>
            </w:pPr>
          </w:p>
        </w:tc>
      </w:tr>
      <w:tr w14:paraId="406C5C73">
        <w:tblPrEx>
          <w:tblCellMar>
            <w:top w:w="0" w:type="dxa"/>
            <w:left w:w="0" w:type="dxa"/>
            <w:bottom w:w="0" w:type="dxa"/>
            <w:right w:w="0" w:type="dxa"/>
          </w:tblCellMar>
        </w:tblPrEx>
        <w:trPr>
          <w:trHeight w:val="675"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7FC52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 生活便利</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6BC901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AEF968B">
            <w:pPr>
              <w:jc w:val="center"/>
              <w:rPr>
                <w:rFonts w:hint="eastAsia" w:ascii="宋体" w:hAnsi="宋体" w:eastAsia="宋体" w:cs="宋体"/>
                <w:color w:val="auto"/>
                <w:sz w:val="18"/>
                <w:szCs w:val="18"/>
                <w:highlight w:val="none"/>
              </w:rPr>
            </w:pPr>
          </w:p>
        </w:tc>
        <w:tc>
          <w:tcPr>
            <w:tcW w:w="1054"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6F3F7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6.1.1</w:t>
            </w:r>
          </w:p>
        </w:tc>
        <w:tc>
          <w:tcPr>
            <w:tcW w:w="5766"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E1B01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建筑、室外场地、公共绿地、城市道路相互之间应设置连贯的无障碍步行系统。</w:t>
            </w:r>
          </w:p>
        </w:tc>
        <w:tc>
          <w:tcPr>
            <w:tcW w:w="670"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2D144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6F00C3">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7D427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建筑、景观</w:t>
            </w:r>
          </w:p>
        </w:tc>
      </w:tr>
      <w:tr w14:paraId="77CEBC98">
        <w:tblPrEx>
          <w:tblCellMar>
            <w:top w:w="0" w:type="dxa"/>
            <w:left w:w="0" w:type="dxa"/>
            <w:bottom w:w="0" w:type="dxa"/>
            <w:right w:w="0" w:type="dxa"/>
          </w:tblCellMar>
        </w:tblPrEx>
        <w:trPr>
          <w:trHeight w:val="69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23739C">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316D442">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DD99E60">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9D9DC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BA60B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场地人行出入口</w:t>
            </w:r>
            <w:r>
              <w:rPr>
                <w:rFonts w:hint="eastAsia" w:ascii="宋体" w:hAnsi="宋体" w:eastAsia="宋体" w:cs="宋体"/>
                <w:color w:val="auto"/>
                <w:kern w:val="0"/>
                <w:sz w:val="24"/>
                <w:szCs w:val="24"/>
                <w:highlight w:val="none"/>
              </w:rPr>
              <w:t>500m</w:t>
            </w:r>
            <w:r>
              <w:rPr>
                <w:rFonts w:hint="eastAsia" w:ascii="宋体" w:hAnsi="宋体" w:eastAsia="宋体" w:cs="宋体"/>
                <w:color w:val="auto"/>
                <w:kern w:val="0"/>
                <w:sz w:val="18"/>
                <w:szCs w:val="18"/>
                <w:highlight w:val="none"/>
              </w:rPr>
              <w:t>内应设有公共交通站点或配备联系公共交通站点的专用接驳车。</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1C1CC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88B3CB">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6640C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3E031E13">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2611EC">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C8A6A91">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52722BB">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6C228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761AB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停车场应具有电动汽车充电设施或具备充电设施的安装条件，并应合理设置电动汽车和无障碍汽车停车位。</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EADD3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35EDAF">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EC36E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建筑、电气</w:t>
            </w:r>
          </w:p>
        </w:tc>
      </w:tr>
      <w:tr w14:paraId="49B1AD0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A596CC">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396C60F">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A38FEE5">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97820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64943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自行车停车场所应位置合理、方便出入。</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97195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B3CEC8">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10C71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6E21C7C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485EFB">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37090CF">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07035F0">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D1D86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67EBA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建筑设备管理系统应具有自动监控管理功能。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C8D51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A2ADD6">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F3E19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30BC7B0D">
        <w:tblPrEx>
          <w:tblCellMar>
            <w:top w:w="0" w:type="dxa"/>
            <w:left w:w="0" w:type="dxa"/>
            <w:bottom w:w="0" w:type="dxa"/>
            <w:right w:w="0" w:type="dxa"/>
          </w:tblCellMar>
        </w:tblPrEx>
        <w:trPr>
          <w:trHeight w:val="28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F8FAA0">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AB398EE">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6FE9CE8">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0D63DD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6.1.6</w:t>
            </w:r>
          </w:p>
        </w:tc>
        <w:tc>
          <w:tcPr>
            <w:tcW w:w="5766"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60EEE2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建筑应设置信息网络系统。</w:t>
            </w:r>
          </w:p>
        </w:tc>
        <w:tc>
          <w:tcPr>
            <w:tcW w:w="670"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5D2CC2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2EE84F5">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6F527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4FF8969B">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C972F2">
            <w:pPr>
              <w:jc w:val="center"/>
              <w:rPr>
                <w:rFonts w:hint="eastAsia" w:ascii="宋体" w:hAnsi="宋体" w:eastAsia="宋体" w:cs="宋体"/>
                <w:color w:val="auto"/>
                <w:sz w:val="18"/>
                <w:szCs w:val="18"/>
                <w:highlight w:val="none"/>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4B83D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0E4F8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出行与无障碍</w:t>
            </w:r>
          </w:p>
        </w:tc>
        <w:tc>
          <w:tcPr>
            <w:tcW w:w="1054"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0D1E1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6.2.1</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485FE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场地出入口到达公共交通站点的步行距离不超过500m，或到达轨道交通站的步行距离不大于800m，得2分；场地出入口到达公共交通站点的步行距离不超过300m，或到达轨道交通站的步行距离不大于500m，得4分；</w:t>
            </w:r>
          </w:p>
        </w:tc>
        <w:tc>
          <w:tcPr>
            <w:tcW w:w="670"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93EAF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746"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A9317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DA624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6C66BF5D">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B6923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146D5A">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B3C499">
            <w:pPr>
              <w:jc w:val="center"/>
              <w:rPr>
                <w:rFonts w:hint="eastAsia" w:ascii="宋体" w:hAnsi="宋体" w:eastAsia="宋体" w:cs="宋体"/>
                <w:color w:val="auto"/>
                <w:sz w:val="18"/>
                <w:szCs w:val="18"/>
                <w:highlight w:val="none"/>
              </w:rPr>
            </w:pPr>
          </w:p>
        </w:tc>
        <w:tc>
          <w:tcPr>
            <w:tcW w:w="1054"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8A168D">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8FC11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场地出入口步行距离800m范围内设有不少于2条线路的公共交通站点，得4分。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EF6D1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39051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85ADBB">
            <w:pPr>
              <w:jc w:val="center"/>
              <w:rPr>
                <w:rFonts w:hint="eastAsia" w:ascii="宋体" w:hAnsi="宋体" w:eastAsia="宋体" w:cs="宋体"/>
                <w:color w:val="auto"/>
                <w:sz w:val="18"/>
                <w:szCs w:val="18"/>
                <w:highlight w:val="none"/>
              </w:rPr>
            </w:pPr>
          </w:p>
        </w:tc>
      </w:tr>
      <w:tr w14:paraId="1DBEB0BE">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C84A39">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D434DC">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FCD90D">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1FAEC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7FCC3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建筑室内公共区域、室外公共活动场地及道路均满足无障碍设计要求；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CA83B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2B072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BF161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建筑、景观</w:t>
            </w:r>
          </w:p>
        </w:tc>
      </w:tr>
      <w:tr w14:paraId="687648D1">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8F3AB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CB980F">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951F4F">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DF0BD0">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D51CF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建筑室内公共区域的墙、柱等处的阳角均为圆角，并设有安全抓杆或扶手；</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C58AA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65B8E2">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728C1E">
            <w:pPr>
              <w:jc w:val="center"/>
              <w:rPr>
                <w:rFonts w:hint="eastAsia" w:ascii="宋体" w:hAnsi="宋体" w:eastAsia="宋体" w:cs="宋体"/>
                <w:color w:val="auto"/>
                <w:sz w:val="18"/>
                <w:szCs w:val="18"/>
                <w:highlight w:val="none"/>
              </w:rPr>
            </w:pPr>
          </w:p>
        </w:tc>
      </w:tr>
      <w:tr w14:paraId="687C422B">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D465C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5038D7">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A14B85">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DB2F18">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AA764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设有可容纳担架的无障碍电梯。</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882B0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E69B7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E6A607">
            <w:pPr>
              <w:jc w:val="center"/>
              <w:rPr>
                <w:rFonts w:hint="eastAsia" w:ascii="宋体" w:hAnsi="宋体" w:eastAsia="宋体" w:cs="宋体"/>
                <w:color w:val="auto"/>
                <w:sz w:val="18"/>
                <w:szCs w:val="18"/>
                <w:highlight w:val="none"/>
              </w:rPr>
            </w:pPr>
          </w:p>
        </w:tc>
      </w:tr>
      <w:tr w14:paraId="66314C47">
        <w:tblPrEx>
          <w:tblCellMar>
            <w:top w:w="0" w:type="dxa"/>
            <w:left w:w="0" w:type="dxa"/>
            <w:bottom w:w="0" w:type="dxa"/>
            <w:right w:w="0" w:type="dxa"/>
          </w:tblCellMar>
        </w:tblPrEx>
        <w:trPr>
          <w:trHeight w:val="70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034D7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C023B3">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2676D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服务设施</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A9639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5EFAD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提供便利的公共服务，评价总分值为10分，并按下列规则评分：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住宅建筑，满足下列要求中的4项，得5分；满足6项及以上，得10分：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1）场地出入口到达幼儿园的步行距离不大于300m；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2）场地出入口到达小学的步行距离不大于500m；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3）场地出入口到达中学的步行距离不大于1000m；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4）场地出入口到达医院的步行距离不大于1000m；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5）场地出入口到达群众文化活动设施的步行距离不大于800m；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6）场地出入口到达老年人日间照料设施的步行距离不大于500m；</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7）场地周边500m范围内具有不少于3种商业服务设施。</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公共建筑，满足下列要求中的3项，得5分；满足5项，得10分：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1）建筑内至少兼容2种面向社会的公共服务功能；</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2）建筑向社会公众提供开放的公共活动空间；</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3）电动汽车充电桩的车位数占总车位数的比例不低于10%；</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4）周边500m范围内设有社会公共停车场（库）；</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5）场地不封闭或场地内步行公共通道向社会开放。</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C8DEA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132F8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13D72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1F59B2E7">
        <w:tblPrEx>
          <w:tblCellMar>
            <w:top w:w="0" w:type="dxa"/>
            <w:left w:w="0" w:type="dxa"/>
            <w:bottom w:w="0" w:type="dxa"/>
            <w:right w:w="0" w:type="dxa"/>
          </w:tblCellMar>
        </w:tblPrEx>
        <w:trPr>
          <w:trHeight w:val="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4835A9">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3F3D28">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19FA2E">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9F779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BC0DF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场地出入口到达城市公园绿地、居住住区公园、广场的步行距离不大于300m；</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70671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2EC2B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F050D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501DC514">
        <w:tblPrEx>
          <w:tblCellMar>
            <w:top w:w="0" w:type="dxa"/>
            <w:left w:w="0" w:type="dxa"/>
            <w:bottom w:w="0" w:type="dxa"/>
            <w:right w:w="0" w:type="dxa"/>
          </w:tblCellMar>
        </w:tblPrEx>
        <w:trPr>
          <w:trHeight w:val="9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31125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98BBCB">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6912B9">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FFEAA0">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D89E1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到达中型多功能运动场地的步行距离不大于500m，得2分。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34D6E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24545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C5AA2A">
            <w:pPr>
              <w:jc w:val="center"/>
              <w:rPr>
                <w:rFonts w:hint="eastAsia" w:ascii="宋体" w:hAnsi="宋体" w:eastAsia="宋体" w:cs="宋体"/>
                <w:color w:val="auto"/>
                <w:sz w:val="18"/>
                <w:szCs w:val="18"/>
                <w:highlight w:val="none"/>
              </w:rPr>
            </w:pPr>
          </w:p>
        </w:tc>
      </w:tr>
      <w:tr w14:paraId="47FB23CA">
        <w:tblPrEx>
          <w:tblCellMar>
            <w:top w:w="0" w:type="dxa"/>
            <w:left w:w="0" w:type="dxa"/>
            <w:bottom w:w="0" w:type="dxa"/>
            <w:right w:w="0" w:type="dxa"/>
          </w:tblCellMar>
        </w:tblPrEx>
        <w:trPr>
          <w:trHeight w:val="31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1E767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B3AA25">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930B09">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1B179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649BA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合理设置健身场地和空间，评价总分值为10分，并按下列规则分别评分并累计：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 xml:space="preserve">1 室外健身场地面积不少于总用地面积的0.5%，得3分； </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设置宽度不少于1.25m的专用健身慢行道，健身慢行道长度不少于用地红线周长的1/4且不少于100m，得2分；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室内健身空间的面积不少于地上建筑面积的0.3%且不少于60 m2，得3分；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4 楼梯间具有天然采光和良好的视野，且距离主入口的距离不大于15m，得2分。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B3238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682E5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C7AB1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40F12B06">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98CA1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8D6F54">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F4D25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智慧运行</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3631D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23D87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设置分类、分级用能自动远传计量系统，且设置能源管理系统实现对建筑能耗的监测、数据分析和管理。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33CCE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49AACB">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29E98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285E93E6">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0C619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07D018">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C6E915">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E8A59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257F5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设置PM</w:t>
            </w:r>
            <w:r>
              <w:rPr>
                <w:rFonts w:hint="eastAsia" w:ascii="宋体" w:hAnsi="宋体" w:eastAsia="宋体" w:cs="宋体"/>
                <w:color w:val="auto"/>
                <w:kern w:val="0"/>
                <w:sz w:val="18"/>
                <w:szCs w:val="18"/>
                <w:highlight w:val="none"/>
                <w:vertAlign w:val="subscript"/>
              </w:rPr>
              <w:t>10</w:t>
            </w:r>
            <w:r>
              <w:rPr>
                <w:rFonts w:hint="eastAsia" w:ascii="宋体" w:hAnsi="宋体" w:eastAsia="宋体" w:cs="宋体"/>
                <w:color w:val="auto"/>
                <w:kern w:val="0"/>
                <w:sz w:val="18"/>
                <w:szCs w:val="18"/>
                <w:highlight w:val="none"/>
              </w:rPr>
              <w:t>、PM</w:t>
            </w:r>
            <w:r>
              <w:rPr>
                <w:rFonts w:hint="eastAsia" w:ascii="宋体" w:hAnsi="宋体" w:eastAsia="宋体" w:cs="宋体"/>
                <w:color w:val="auto"/>
                <w:kern w:val="0"/>
                <w:sz w:val="18"/>
                <w:szCs w:val="18"/>
                <w:highlight w:val="none"/>
                <w:vertAlign w:val="subscript"/>
              </w:rPr>
              <w:t>2.5</w:t>
            </w:r>
            <w:r>
              <w:rPr>
                <w:rFonts w:hint="eastAsia" w:ascii="宋体" w:hAnsi="宋体" w:eastAsia="宋体" w:cs="宋体"/>
                <w:color w:val="auto"/>
                <w:kern w:val="0"/>
                <w:sz w:val="18"/>
                <w:szCs w:val="18"/>
                <w:highlight w:val="none"/>
              </w:rPr>
              <w:t>、CO</w:t>
            </w:r>
            <w:r>
              <w:rPr>
                <w:rFonts w:hint="eastAsia" w:ascii="宋体" w:hAnsi="宋体" w:eastAsia="宋体" w:cs="宋体"/>
                <w:color w:val="auto"/>
                <w:kern w:val="0"/>
                <w:sz w:val="18"/>
                <w:szCs w:val="18"/>
                <w:highlight w:val="none"/>
                <w:vertAlign w:val="subscript"/>
              </w:rPr>
              <w:t>2</w:t>
            </w:r>
            <w:r>
              <w:rPr>
                <w:rFonts w:hint="eastAsia" w:ascii="宋体" w:hAnsi="宋体" w:eastAsia="宋体" w:cs="宋体"/>
                <w:color w:val="auto"/>
                <w:kern w:val="0"/>
                <w:sz w:val="18"/>
                <w:szCs w:val="18"/>
                <w:highlight w:val="none"/>
              </w:rPr>
              <w:t>浓度的空气质量监测系统，且具有存储至少一年的监测数据和实时显示等功能。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927B8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99C4DB">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21E51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58670A02">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5CB1A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18180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5DAB03">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768B5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CBC4F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设置用水量远传计量系统，能分类、分级记录、统计分析各种用水情况；</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4F50E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E08C3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6FADA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电气、给排水</w:t>
            </w:r>
          </w:p>
        </w:tc>
      </w:tr>
      <w:tr w14:paraId="0BAAFFD2">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F7DD4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EF90A7">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8D3D8B">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7EE666">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5995E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利用计量数据进行管网漏损自动检测、分析与整改，管道漏损率低于5%；</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D9416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AF9909">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8ECF14">
            <w:pPr>
              <w:jc w:val="center"/>
              <w:rPr>
                <w:rFonts w:hint="eastAsia" w:ascii="宋体" w:hAnsi="宋体" w:eastAsia="宋体" w:cs="宋体"/>
                <w:color w:val="auto"/>
                <w:sz w:val="18"/>
                <w:szCs w:val="18"/>
                <w:highlight w:val="none"/>
              </w:rPr>
            </w:pPr>
          </w:p>
        </w:tc>
      </w:tr>
      <w:tr w14:paraId="01B3B1C9">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24CEB1">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1A270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572EDF">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AE153A">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71215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设置水质在线监测系统，监测生活饮用水、管道直饮水、游泳池水、非传统水源、空调冷却水的水质指标，记录并保存水质监测结果，且能随时供用户查询。</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190D8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nil"/>
              <w:left w:val="nil"/>
              <w:bottom w:val="nil"/>
              <w:right w:val="single" w:color="000000" w:sz="4" w:space="0"/>
            </w:tcBorders>
            <w:shd w:val="clear" w:color="auto" w:fill="auto"/>
            <w:tcMar>
              <w:top w:w="15" w:type="dxa"/>
              <w:left w:w="15" w:type="dxa"/>
              <w:right w:w="15" w:type="dxa"/>
            </w:tcMar>
            <w:vAlign w:val="center"/>
          </w:tcPr>
          <w:p w14:paraId="6229B94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B6D26E">
            <w:pPr>
              <w:jc w:val="center"/>
              <w:rPr>
                <w:rFonts w:hint="eastAsia" w:ascii="宋体" w:hAnsi="宋体" w:eastAsia="宋体" w:cs="宋体"/>
                <w:color w:val="auto"/>
                <w:sz w:val="18"/>
                <w:szCs w:val="18"/>
                <w:highlight w:val="none"/>
              </w:rPr>
            </w:pPr>
          </w:p>
        </w:tc>
      </w:tr>
      <w:tr w14:paraId="56931B29">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B82E2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D08376">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50342A">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EDF11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47FF2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具有家电控制、照明控制、安全报警、环境监测、建筑设备控制、工作生活服务等至少3种类型的服务功能；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13C97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25B03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E5950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6B114319">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85EA21">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73E5F5">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49A60B">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73DD20">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F6CDA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具有远程监控的功能；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3C158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137732">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D0A32F">
            <w:pPr>
              <w:jc w:val="center"/>
              <w:rPr>
                <w:rFonts w:hint="eastAsia" w:ascii="宋体" w:hAnsi="宋体" w:eastAsia="宋体" w:cs="宋体"/>
                <w:color w:val="auto"/>
                <w:sz w:val="18"/>
                <w:szCs w:val="18"/>
                <w:highlight w:val="none"/>
              </w:rPr>
            </w:pPr>
          </w:p>
        </w:tc>
      </w:tr>
      <w:tr w14:paraId="186E1B2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480E3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554E3C">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A724DE">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3E4704">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3753A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具有接入智慧城市（城区、社区）的功能。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90D01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8AB799">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B254DB">
            <w:pPr>
              <w:jc w:val="center"/>
              <w:rPr>
                <w:rFonts w:hint="eastAsia" w:ascii="宋体" w:hAnsi="宋体" w:eastAsia="宋体" w:cs="宋体"/>
                <w:color w:val="auto"/>
                <w:sz w:val="18"/>
                <w:szCs w:val="18"/>
                <w:highlight w:val="none"/>
              </w:rPr>
            </w:pPr>
          </w:p>
        </w:tc>
      </w:tr>
      <w:tr w14:paraId="0220612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1510A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2C637A">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F141D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物业管理</w:t>
            </w: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77E55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6.2.10</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A62DB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相关设施具有完善的操作规程和应急预案；</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33DF8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122989">
            <w:pPr>
              <w:jc w:val="center"/>
              <w:rPr>
                <w:rFonts w:hint="eastAsia" w:ascii="宋体" w:hAnsi="宋体" w:eastAsia="宋体" w:cs="宋体"/>
                <w:color w:val="auto"/>
                <w:sz w:val="18"/>
                <w:szCs w:val="18"/>
                <w:highlight w:val="none"/>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D0462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物业</w:t>
            </w:r>
          </w:p>
        </w:tc>
      </w:tr>
      <w:tr w14:paraId="78030E5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3AAE0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329B6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81C2D9">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1CCA48">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8928F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物业管理机构的工作考核体系中包含节能和节水绩效考核激励机制。</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F63D0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916FC6">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79B435">
            <w:pPr>
              <w:jc w:val="center"/>
              <w:rPr>
                <w:rFonts w:hint="eastAsia" w:ascii="宋体" w:hAnsi="宋体" w:eastAsia="宋体" w:cs="宋体"/>
                <w:color w:val="auto"/>
                <w:sz w:val="18"/>
                <w:szCs w:val="18"/>
                <w:highlight w:val="none"/>
              </w:rPr>
            </w:pPr>
          </w:p>
        </w:tc>
      </w:tr>
      <w:tr w14:paraId="5CDE1B92">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4A6CE9">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40F4CB">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FBFAE5">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D4F34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6.2.11</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863E6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建筑平均日用水量满足现行国家标准《民用建筑节水设计标准》GB 50555中节水用水定额的要求，评价总分值为5分，并按下列规则评分：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平均日用水量大于节水用水定额的平均值、不大于上限值，得2分。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平均日用水量大于节水用水定额下限值、不大于平均值，得3分。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平均日用水量不大于节水用水定额下限值，得5分。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145A5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DBB266">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57BC42">
            <w:pPr>
              <w:jc w:val="center"/>
              <w:rPr>
                <w:rFonts w:hint="eastAsia" w:ascii="宋体" w:hAnsi="宋体" w:eastAsia="宋体" w:cs="宋体"/>
                <w:color w:val="auto"/>
                <w:sz w:val="18"/>
                <w:szCs w:val="18"/>
                <w:highlight w:val="none"/>
              </w:rPr>
            </w:pPr>
          </w:p>
        </w:tc>
      </w:tr>
      <w:tr w14:paraId="60948466">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D4A9F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88970F">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17F4BE">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14CBC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DA785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制定绿色建筑运营效果评估的技术方案和计划；</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46B24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319153">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A106F3">
            <w:pPr>
              <w:jc w:val="center"/>
              <w:rPr>
                <w:rFonts w:hint="eastAsia" w:ascii="宋体" w:hAnsi="宋体" w:eastAsia="宋体" w:cs="宋体"/>
                <w:color w:val="auto"/>
                <w:sz w:val="18"/>
                <w:szCs w:val="18"/>
                <w:highlight w:val="none"/>
              </w:rPr>
            </w:pPr>
          </w:p>
        </w:tc>
      </w:tr>
      <w:tr w14:paraId="6DBACC61">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A81B1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2419A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F7C18D">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C9216E">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143F5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定期检查、调适公共设施设备，具有检查、调试、运行、标定的记录，且记录完整；</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CDF5C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5A5D42">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B89862">
            <w:pPr>
              <w:jc w:val="center"/>
              <w:rPr>
                <w:rFonts w:hint="eastAsia" w:ascii="宋体" w:hAnsi="宋体" w:eastAsia="宋体" w:cs="宋体"/>
                <w:color w:val="auto"/>
                <w:sz w:val="18"/>
                <w:szCs w:val="18"/>
                <w:highlight w:val="none"/>
              </w:rPr>
            </w:pPr>
          </w:p>
        </w:tc>
      </w:tr>
      <w:tr w14:paraId="2CC055A2">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3F8AD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BE3FA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9C0868">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FB86D4">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702F0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定期开展节能诊断评估，并根据评估结果制定优化方案并实施；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C932B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AAF358">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46232D">
            <w:pPr>
              <w:jc w:val="center"/>
              <w:rPr>
                <w:rFonts w:hint="eastAsia" w:ascii="宋体" w:hAnsi="宋体" w:eastAsia="宋体" w:cs="宋体"/>
                <w:color w:val="auto"/>
                <w:sz w:val="18"/>
                <w:szCs w:val="18"/>
                <w:highlight w:val="none"/>
              </w:rPr>
            </w:pPr>
          </w:p>
        </w:tc>
      </w:tr>
      <w:tr w14:paraId="3DF0300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A1EAF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C0BC2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FF38FB">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399E9F">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86FE6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 定期对各类用水水质进行检测、公示。</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DA513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6A93BB">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B24439">
            <w:pPr>
              <w:jc w:val="center"/>
              <w:rPr>
                <w:rFonts w:hint="eastAsia" w:ascii="宋体" w:hAnsi="宋体" w:eastAsia="宋体" w:cs="宋体"/>
                <w:color w:val="auto"/>
                <w:sz w:val="18"/>
                <w:szCs w:val="18"/>
                <w:highlight w:val="none"/>
              </w:rPr>
            </w:pPr>
          </w:p>
        </w:tc>
      </w:tr>
      <w:tr w14:paraId="75AE71D6">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6E3C0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02A693">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BD25CC">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5FFF7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6.2.13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D94C5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每年组织不少于2次的绿色建筑技术宣传、绿色生活引导、灾害应急演练等绿色教育宣传和实践活动，并有活动记录；</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521E4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5FD1D1">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014B31">
            <w:pPr>
              <w:jc w:val="center"/>
              <w:rPr>
                <w:rFonts w:hint="eastAsia" w:ascii="宋体" w:hAnsi="宋体" w:eastAsia="宋体" w:cs="宋体"/>
                <w:color w:val="auto"/>
                <w:sz w:val="18"/>
                <w:szCs w:val="18"/>
                <w:highlight w:val="none"/>
              </w:rPr>
            </w:pPr>
          </w:p>
        </w:tc>
      </w:tr>
      <w:tr w14:paraId="6114D634">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52132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B6B00B">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8C51CA">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2A8A45">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077BB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具有绿色生活展示、体验或交流分享的平台，并向使用者提供绿色设施使用手册；</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22F97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C95B71">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C5D8A4">
            <w:pPr>
              <w:jc w:val="center"/>
              <w:rPr>
                <w:rFonts w:hint="eastAsia" w:ascii="宋体" w:hAnsi="宋体" w:eastAsia="宋体" w:cs="宋体"/>
                <w:color w:val="auto"/>
                <w:sz w:val="18"/>
                <w:szCs w:val="18"/>
                <w:highlight w:val="none"/>
              </w:rPr>
            </w:pPr>
          </w:p>
        </w:tc>
      </w:tr>
      <w:tr w14:paraId="468DA4EE">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6A85C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9BB515">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7EB5AF">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0C9FE3">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5EB2D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每年开展1次针对建筑绿色性能的使用者满意度调查，且根据调查结果制定改进措施并实施、公示。</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FFA0D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C97367">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5D0B78">
            <w:pPr>
              <w:jc w:val="center"/>
              <w:rPr>
                <w:rFonts w:hint="eastAsia" w:ascii="宋体" w:hAnsi="宋体" w:eastAsia="宋体" w:cs="宋体"/>
                <w:color w:val="auto"/>
                <w:sz w:val="18"/>
                <w:szCs w:val="18"/>
                <w:highlight w:val="none"/>
              </w:rPr>
            </w:pPr>
          </w:p>
        </w:tc>
      </w:tr>
      <w:tr w14:paraId="73113C19">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FD09F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075235A">
            <w:pPr>
              <w:jc w:val="center"/>
              <w:rPr>
                <w:rFonts w:hint="eastAsia" w:ascii="宋体" w:hAnsi="宋体" w:eastAsia="宋体" w:cs="宋体"/>
                <w:color w:val="auto"/>
                <w:sz w:val="18"/>
                <w:szCs w:val="18"/>
                <w:highlight w:val="none"/>
              </w:rPr>
            </w:pPr>
          </w:p>
        </w:tc>
        <w:tc>
          <w:tcPr>
            <w:tcW w:w="798"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28D9F183">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C1302CF">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05FAAD6">
            <w:pPr>
              <w:rPr>
                <w:rFonts w:hint="eastAsia" w:ascii="宋体" w:hAnsi="宋体" w:eastAsia="宋体" w:cs="宋体"/>
                <w:color w:val="auto"/>
                <w:sz w:val="18"/>
                <w:szCs w:val="18"/>
                <w:highlight w:val="none"/>
              </w:rPr>
            </w:pPr>
          </w:p>
        </w:tc>
        <w:tc>
          <w:tcPr>
            <w:tcW w:w="670"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412997A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100</w:t>
            </w:r>
          </w:p>
        </w:tc>
        <w:tc>
          <w:tcPr>
            <w:tcW w:w="1746"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3AAC4B1">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36</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48A5E5">
            <w:pPr>
              <w:jc w:val="center"/>
              <w:rPr>
                <w:rFonts w:hint="eastAsia" w:ascii="宋体" w:hAnsi="宋体" w:eastAsia="宋体" w:cs="宋体"/>
                <w:color w:val="auto"/>
                <w:sz w:val="18"/>
                <w:szCs w:val="18"/>
                <w:highlight w:val="none"/>
              </w:rPr>
            </w:pPr>
          </w:p>
        </w:tc>
      </w:tr>
      <w:tr w14:paraId="5A70F2EF">
        <w:tblPrEx>
          <w:tblCellMar>
            <w:top w:w="0" w:type="dxa"/>
            <w:left w:w="0" w:type="dxa"/>
            <w:bottom w:w="0" w:type="dxa"/>
            <w:right w:w="0" w:type="dxa"/>
          </w:tblCellMar>
        </w:tblPrEx>
        <w:trPr>
          <w:trHeight w:val="90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3B794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 资源节约</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FA9604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FE06860">
            <w:pPr>
              <w:jc w:val="center"/>
              <w:rPr>
                <w:rFonts w:hint="eastAsia" w:ascii="宋体" w:hAnsi="宋体" w:eastAsia="宋体" w:cs="宋体"/>
                <w:color w:val="auto"/>
                <w:sz w:val="18"/>
                <w:szCs w:val="18"/>
                <w:highlight w:val="none"/>
              </w:rPr>
            </w:pPr>
          </w:p>
        </w:tc>
        <w:tc>
          <w:tcPr>
            <w:tcW w:w="1054"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11152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7.1.1</w:t>
            </w:r>
          </w:p>
        </w:tc>
        <w:tc>
          <w:tcPr>
            <w:tcW w:w="5766"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6435D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应结合场地自然条件和建筑功能需求，对建筑的体形、平面布局、空间尺度、围护结构等进行节能设计，且应符合国家有关节能设计的要求。</w:t>
            </w:r>
          </w:p>
        </w:tc>
        <w:tc>
          <w:tcPr>
            <w:tcW w:w="670"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71F19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4EE795">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1706E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22BEE5E5">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248FF2">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7B2F794">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7D0B93E">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5F362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AD133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应采取措施降低部分负荷、部分空间使用下的供暖、空调系统能耗，并应符合下列要求：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应区分房间的朝向细分供暖、空调区域，并应对系统进行分区控制；</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空调冷源的部分负荷性能系数（IPLV）、电冷源综合制冷性能系数（SCOP）应符合现行国家标准《公共建筑节能设计标准》GB50189的规定。</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C7F74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66631D">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F5475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52EB27F1">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863D77">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8F0A559">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303F3C5">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AB750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B56AA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应根据建筑空间功能设置分区温度，合理降低室内过渡区空间的温度设定标准。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CA669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CE4601">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60996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4F00171D">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68229E">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004C79E">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26A9F10">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64F82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91247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主要功能房间的照明功率密度值不应高于现行国家标准《建筑照明设计标准》GB 50034规定的现行值；公共区域的照明系统应采用分区、定时、感应等节能控制；采光区域的照明控制应独立于其他区域的照明控制。</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30047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27A438">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D3B62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75EB14D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8393AB">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3FC4E2AF">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F392C10">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5C4F8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63051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冷热源、输配系统和照明等各部分能耗应进行独立分项计量。</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C64B0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38E398">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8023D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给排水、暖通、电气</w:t>
            </w:r>
          </w:p>
        </w:tc>
      </w:tr>
      <w:tr w14:paraId="558855CC">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8A747C">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8A39BE1">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579FD09E">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131AF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FF0A5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垂直电梯应采取群控、变频调速或能量反馈等节能措施；自动扶梯应采用变频感应启动等节能控制措施。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3D834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E301EE">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CDE2F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w:t>
            </w:r>
          </w:p>
        </w:tc>
      </w:tr>
      <w:tr w14:paraId="2D12708E">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5064EC">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293CAE91">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801BBAF">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89D53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C61C2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应制定水资源利用方案，统筹利用各种水资源，并应符合下列要求：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应按使用用途、付费或管理单元，分别设置用水计量装置；</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用水点处水压大于0.2MPa的配水支管应设置减压设施，并应满足给水配件最低工作压力的要求；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用水器具和设备应满足节水产品的要求。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33480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5F2D67">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5DA1B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38D80EDD">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74C776">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614C579">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5E87100">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43CFC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863F9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不应采用严重不规则的建筑结构。</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43205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3D3759">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81279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211813BE">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BF13AB">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46269BA">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E7EDFE9">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60B13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7BF82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建筑造型要素应简约，应无大量装饰性构件，并应符合下列要求：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住宅建筑的装饰性构件造价与建筑总造价的比例不应大于2%；</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公共建筑的装饰性构件造价与建筑总造价的比例不应大于1%。</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EADFB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94F4CC">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80325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016E96C">
        <w:tblPrEx>
          <w:tblCellMar>
            <w:top w:w="0" w:type="dxa"/>
            <w:left w:w="0" w:type="dxa"/>
            <w:bottom w:w="0" w:type="dxa"/>
            <w:right w:w="0" w:type="dxa"/>
          </w:tblCellMar>
        </w:tblPrEx>
        <w:trPr>
          <w:trHeight w:val="11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BA1539">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4CD0434">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826DFDC">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666D1C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7.1.10</w:t>
            </w:r>
          </w:p>
        </w:tc>
        <w:tc>
          <w:tcPr>
            <w:tcW w:w="5766"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18A13B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选用的建筑材料应符合下列要求：</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1 500km以内生产的建筑材料重量占建筑材料总重量的比例应大于60%；</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现浇混凝土应采用预拌混凝土，建筑砂浆应采用预拌砂浆</w:t>
            </w:r>
          </w:p>
        </w:tc>
        <w:tc>
          <w:tcPr>
            <w:tcW w:w="670"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2922055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1934334D">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A0DBA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323D5843">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05B754">
            <w:pPr>
              <w:jc w:val="center"/>
              <w:rPr>
                <w:rFonts w:hint="eastAsia" w:ascii="宋体" w:hAnsi="宋体" w:eastAsia="宋体" w:cs="宋体"/>
                <w:color w:val="auto"/>
                <w:sz w:val="18"/>
                <w:szCs w:val="18"/>
                <w:highlight w:val="none"/>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56F7A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673E8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节地与土地利用</w:t>
            </w:r>
          </w:p>
        </w:tc>
        <w:tc>
          <w:tcPr>
            <w:tcW w:w="1054"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D65C6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A34DA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节约集约利用土地，评价总分值为20分，并按下列规则评分：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对于住宅建筑，根据其所在居住街坊人均住宅用地指标按表7.2.1-1的规则评分。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对于公共建筑，根据不同功能建筑的容积率按表7.2.1-2的规则评分。</w:t>
            </w:r>
          </w:p>
        </w:tc>
        <w:tc>
          <w:tcPr>
            <w:tcW w:w="670"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E6098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0788E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1C0D77">
            <w:pPr>
              <w:jc w:val="center"/>
              <w:rPr>
                <w:rFonts w:hint="eastAsia" w:ascii="宋体" w:hAnsi="宋体" w:eastAsia="宋体" w:cs="宋体"/>
                <w:color w:val="auto"/>
                <w:sz w:val="18"/>
                <w:szCs w:val="18"/>
                <w:highlight w:val="none"/>
              </w:rPr>
            </w:pPr>
          </w:p>
        </w:tc>
      </w:tr>
      <w:tr w14:paraId="1C2DAD56">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6FC77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454614">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9E3952">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09C04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22343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合理开发利用地下空间，评价总分值为12分，根据地下空间开发利用指标，按表7.2.2的规则评分。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3911D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6D6CD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F5864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64C26DB6">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5F77A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7E69CF">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ADF4C2">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935FB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CAB90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采用机械式停车设施、地下停车库或地面停车楼等方式，评价总分值为8分，并按下列规则评分：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1住宅建筑地面停车位数量与住宅总套数的比率小于10%，得8分。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2公共建筑地面停车占地面积与其总建设用地面积的比率小于8%，得8分。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29366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1A019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BBB95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4AE0E95B">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F7CBE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569FF4">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434C9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节能与能源利用</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DD83A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11BA1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优化建筑围护结构的热工性能，评价总分值为15分，并按下列规则评分：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1围护结构热工性能比国家现行相关建筑节能设计标准规定的提高幅度达到5%，得5分；达到10%，得10分；达到15%，得15分。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2建筑供暖空调负荷降低5%，得5分；降低10%，得10分；降低15%，得15分。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1C3B2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160F4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53DA0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9E1EA3A">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65309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05ACE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C60B07">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A1FCD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6D69C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供暖空调系统的冷、热源机组能效均优于现行国家标准《公共建筑节能设计标准》GB 50189的规定以及现行有关国家标准能效限定值的要求，评价总分值为10分，按表7.2.5的规则评分。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80789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9F5621">
            <w:pPr>
              <w:widowControl/>
              <w:jc w:val="center"/>
              <w:textAlignment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B813F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0AC88EFB">
        <w:tblPrEx>
          <w:tblCellMar>
            <w:top w:w="0" w:type="dxa"/>
            <w:left w:w="0" w:type="dxa"/>
            <w:bottom w:w="0" w:type="dxa"/>
            <w:right w:w="0" w:type="dxa"/>
          </w:tblCellMar>
        </w:tblPrEx>
        <w:trPr>
          <w:trHeight w:val="76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E39F9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6D581D">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DA33AB">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FCE68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23FCB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1通风空调系统风机的单位风量耗功率比现行国家标准《公共建筑节能设计标准》GB 50189 等的规定低20%，得2分；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A1E8B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68B8B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82822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2E485995">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21E11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C5FCA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79D0A8">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4695F8">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F43C3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2集中供暖系统热水循环泵的耗电输热比、空调冷热水系统循环水泵的耗电输冷（热）比比现行国家标准《民用建筑供暖通风与空气调节设计规范》GB 50736 规定值低20%，得3分。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1B7AE4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A5A38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7F1B55">
            <w:pPr>
              <w:jc w:val="center"/>
              <w:rPr>
                <w:rFonts w:hint="eastAsia" w:ascii="宋体" w:hAnsi="宋体" w:eastAsia="宋体" w:cs="宋体"/>
                <w:color w:val="auto"/>
                <w:sz w:val="18"/>
                <w:szCs w:val="18"/>
                <w:highlight w:val="none"/>
              </w:rPr>
            </w:pPr>
          </w:p>
        </w:tc>
      </w:tr>
      <w:tr w14:paraId="21F44465">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A16A7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7E400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6C3759">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94182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6EE98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主要功能房间的照明功率密度值达到现行国家标准《建筑照明设计标准》GB 50034规定的目标值；</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00DE3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58E00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9771C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电气、给排水、暖通</w:t>
            </w:r>
          </w:p>
        </w:tc>
      </w:tr>
      <w:tr w14:paraId="34D07D97">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F0A88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7D90EA">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2D4D5B">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FD688F">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A1213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采光区域的人工照明随天然光照度变化自动调节；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854BE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BE7500">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9B59C9">
            <w:pPr>
              <w:jc w:val="center"/>
              <w:rPr>
                <w:rFonts w:hint="eastAsia" w:ascii="宋体" w:hAnsi="宋体" w:eastAsia="宋体" w:cs="宋体"/>
                <w:color w:val="auto"/>
                <w:sz w:val="18"/>
                <w:szCs w:val="18"/>
                <w:highlight w:val="none"/>
              </w:rPr>
            </w:pPr>
          </w:p>
        </w:tc>
      </w:tr>
      <w:tr w14:paraId="196EC3F0">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6ED03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3696F6">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4A320F">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6F495B">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5E151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照明产品、三相配电变压器、水泵、风机等设备满足国家现行有关标准的节能评价值的要求。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5B851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0EBC7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612900">
            <w:pPr>
              <w:jc w:val="center"/>
              <w:rPr>
                <w:rFonts w:hint="eastAsia" w:ascii="宋体" w:hAnsi="宋体" w:eastAsia="宋体" w:cs="宋体"/>
                <w:color w:val="auto"/>
                <w:sz w:val="18"/>
                <w:szCs w:val="18"/>
                <w:highlight w:val="none"/>
              </w:rPr>
            </w:pPr>
          </w:p>
        </w:tc>
      </w:tr>
      <w:tr w14:paraId="14607BFD">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5F86F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CA3F3F">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E93B97">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9FD25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544BB0">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采取措施降低建筑供暖空调系统和照明系统的能耗，评价总分值为10分。建筑供暖空调和照明系统能耗相比国家现行有关建筑节能标准降低10%，得5分；降低20%，得10分。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E865B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941CD0">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223BE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暖通、电气</w:t>
            </w:r>
          </w:p>
        </w:tc>
      </w:tr>
      <w:tr w14:paraId="7477ACBD">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814A70">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1186FF">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74DC72">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39EC5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2C80C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结合当地气候和自然资源条件合理利用可再生能源，评价总分值为10分，按表7.2.9的规则评分。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55FEF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23BA2E">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AA25C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建筑、给排水、暖通、电气</w:t>
            </w:r>
          </w:p>
        </w:tc>
      </w:tr>
      <w:tr w14:paraId="0443FF03">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2AB50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6F12BA">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2E2CD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节水与水资源利用</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7BABB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7.2.10</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787E3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使用较高用水效率等级的卫生器具，评价总分值为15分，并按下列规则评分：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全部卫生器具的用水效率等级达到2级，得8分。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50%以上卫生器具的用水效率等级达到1级且其他达到2级，得12分。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全部卫生器具的用水效率等级达到1级，得15分。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8F479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BB5C5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D2CE5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6DC61A76">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9ACA2A">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4A905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8F2BD9">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91F50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7.2.11</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72F00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绿化灌溉采用节水设备或技术，并按下列规则评分：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1）采用节水灌溉系统，得4分。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2）在采用节水灌溉系统的基础上，设置土壤湿度感应器、雨天自动关闭装置等节水控制措施，或种植无需永久灌溉植物，得6分。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06F238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B188A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D3DCB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w:t>
            </w:r>
          </w:p>
        </w:tc>
      </w:tr>
      <w:tr w14:paraId="5683FFFB">
        <w:tblPrEx>
          <w:tblCellMar>
            <w:top w:w="0" w:type="dxa"/>
            <w:left w:w="0" w:type="dxa"/>
            <w:bottom w:w="0" w:type="dxa"/>
            <w:right w:w="0" w:type="dxa"/>
          </w:tblCellMar>
        </w:tblPrEx>
        <w:trPr>
          <w:trHeight w:val="18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F2087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73CABB4">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9401BD">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139856">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C7EB9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空调冷却水系统采用节水设备或技术，并按下列规则评分：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1）循环冷却水系统采取设置水处理措施、加大集水盘、设置平衡管或平衡水箱等方式，避免冷却水泵停泵时冷却水溢出，得3分。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2）采用无蒸发耗水量的冷却技术，得6分。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A4E8B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80F33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00A34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暖通</w:t>
            </w:r>
          </w:p>
        </w:tc>
      </w:tr>
      <w:tr w14:paraId="2C1ECD58">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00145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B18B3AF">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B1F9E6">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CC9E4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E2078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结合雨水综合利用设施营造室外景观水体，室外景观水体利用雨水的补水量大于水体蒸发量的60%，且采用保障水体水质的生态水处理技术，评价总分值为8分，并按下列规则分别评分并累计：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对进入室外景观水体的雨水，利用生态设施削减径流污染，得4分；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利用水生动、植物保障室外景观水体水质，得4分。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4897A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EF673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58937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景观、给排水</w:t>
            </w:r>
          </w:p>
        </w:tc>
      </w:tr>
      <w:tr w14:paraId="364B7E52">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B885E1">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F4EB9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FE09EB">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CF59F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BAE0D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绿化灌溉、车库及道路冲洗，洗车用水采用非传统水源的用水量占其总用水量的比例不低于60%，得5分；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4FC9C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FDC4CB">
            <w:pPr>
              <w:jc w:val="center"/>
              <w:rPr>
                <w:rFonts w:hint="eastAsia" w:ascii="宋体" w:hAnsi="宋体" w:eastAsia="宋体" w:cs="宋体"/>
                <w:color w:val="auto"/>
                <w:sz w:val="18"/>
                <w:szCs w:val="18"/>
                <w:highlight w:val="none"/>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737B3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w:t>
            </w:r>
          </w:p>
        </w:tc>
      </w:tr>
      <w:tr w14:paraId="0AE3318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39DB3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9CAFFF">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5186E48">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4B6CD0">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9A4B4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冲厕采用非传统水源的用水量占其总用水量的比例不低于40%，得5分；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474D0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628B4F">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875560">
            <w:pPr>
              <w:jc w:val="center"/>
              <w:rPr>
                <w:rFonts w:hint="eastAsia" w:ascii="宋体" w:hAnsi="宋体" w:eastAsia="宋体" w:cs="宋体"/>
                <w:color w:val="auto"/>
                <w:sz w:val="18"/>
                <w:szCs w:val="18"/>
                <w:highlight w:val="none"/>
              </w:rPr>
            </w:pPr>
          </w:p>
        </w:tc>
      </w:tr>
      <w:tr w14:paraId="2C6343DB">
        <w:tblPrEx>
          <w:tblCellMar>
            <w:top w:w="0" w:type="dxa"/>
            <w:left w:w="0" w:type="dxa"/>
            <w:bottom w:w="0" w:type="dxa"/>
            <w:right w:w="0" w:type="dxa"/>
          </w:tblCellMar>
        </w:tblPrEx>
        <w:trPr>
          <w:trHeight w:val="48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EEA50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3D2FB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5B7DB4">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F24B83">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E47DAC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冷却水补水采用非传统水源的用水量占其总用水量的比例不低于20%，得5分。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A1A7D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B0B3E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F19162">
            <w:pPr>
              <w:jc w:val="center"/>
              <w:rPr>
                <w:rFonts w:hint="eastAsia" w:ascii="宋体" w:hAnsi="宋体" w:eastAsia="宋体" w:cs="宋体"/>
                <w:color w:val="auto"/>
                <w:sz w:val="18"/>
                <w:szCs w:val="18"/>
                <w:highlight w:val="none"/>
              </w:rPr>
            </w:pPr>
          </w:p>
        </w:tc>
      </w:tr>
      <w:tr w14:paraId="51114701">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2EE7B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D7C82C4">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B17C0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节材与绿色建材</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F02F2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C4DA26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建筑所有区域实施土建工程与装修工程一体化设计及施工，评价分值为8分。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5BAB2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C19BF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88E6F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0F46C30B">
        <w:tblPrEx>
          <w:tblCellMar>
            <w:top w:w="0" w:type="dxa"/>
            <w:left w:w="0" w:type="dxa"/>
            <w:bottom w:w="0" w:type="dxa"/>
            <w:right w:w="0" w:type="dxa"/>
          </w:tblCellMar>
        </w:tblPrEx>
        <w:trPr>
          <w:trHeight w:val="54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DDD0D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A0F1DD">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6B8281">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7A52D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C838D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合理选用建筑结构材料与构件，评价总分值为10分，并按下列规则评分：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混凝土结构，按下列规则分别评分并累计：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1）400MPa级及以上强度等级钢筋应用比例达到85%，得5分；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2）混凝土竖向承重结构采用强度等级不小于C50混凝土用量占竖向承重结构中混凝土总量的比例达到50%，得5分。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2钢结构，按下列规则分别评分并累计：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1）Q345及以上高强钢材用量占钢材总量的比例达到50%，得3分；达到70％，得4分；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2）螺栓连接等非现场焊接节点占现场全部连接、拼接节点的数量比例达到50%，得4分；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3）采用施工时免支撑的楼屋面板，得2分。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3混合结构：对其混凝土结构部分、钢结构部分，分别按本条第1款、第2款进行评价，得分取各项得分的平均值。</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38DE2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AE6BE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6E8DE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25EAB768">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B5349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AF7C84">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48B0DD">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B5F11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EFD5C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建筑装修选用工业化内装部品，评价总分值为8分。建筑装修选用工业化内装部品占同类部品用量比例达到50%以上的部品种类，达到1种，得3分；达到3种，得5分；达到3种以上，得8分。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E910E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395C8E">
            <w:pPr>
              <w:widowControl/>
              <w:jc w:val="center"/>
              <w:textAlignment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A0A51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6721F1AF">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8AC5E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D726C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F8784A">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2B855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A798B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可再循环材料和可再利用材料用量比例，按下列规则评分：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1）住宅建筑达到6%或公共建筑达到10%，得3分。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2）住宅建筑达到10%或公共建筑达到15%，得6分。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99DE1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EB35F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81EB0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43B7367E">
        <w:tblPrEx>
          <w:tblCellMar>
            <w:top w:w="0" w:type="dxa"/>
            <w:left w:w="0" w:type="dxa"/>
            <w:bottom w:w="0" w:type="dxa"/>
            <w:right w:w="0" w:type="dxa"/>
          </w:tblCellMar>
        </w:tblPrEx>
        <w:trPr>
          <w:trHeight w:val="15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41C2B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D858F3">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3D93407">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ADAA8A">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743A3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利废建材选用及其用量比例，按下列规则评分：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1）采用一种利废建材，其占同类建材的用量比例不低于50%，得3分。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2）选用二种及以上的利废建材，每一种占同类建材的用量比例均不低于30%，得6分。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EB024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C39957">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DE6AE1">
            <w:pPr>
              <w:jc w:val="center"/>
              <w:rPr>
                <w:rFonts w:hint="eastAsia" w:ascii="宋体" w:hAnsi="宋体" w:eastAsia="宋体" w:cs="宋体"/>
                <w:color w:val="auto"/>
                <w:sz w:val="18"/>
                <w:szCs w:val="18"/>
                <w:highlight w:val="none"/>
              </w:rPr>
            </w:pPr>
          </w:p>
        </w:tc>
      </w:tr>
      <w:tr w14:paraId="3298F97C">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B26A2B">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9FF120">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F23BFB">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F3E07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7.2.18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F78F6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选用绿色建材，评价总分值为12分。绿色建材应用比例不低于30%，得4分；不低于50%，得8分；不低于70%，得12分。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045F9A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883AB7">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41424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1801029D">
        <w:tblPrEx>
          <w:tblCellMar>
            <w:top w:w="0" w:type="dxa"/>
            <w:left w:w="0" w:type="dxa"/>
            <w:bottom w:w="0" w:type="dxa"/>
            <w:right w:w="0" w:type="dxa"/>
          </w:tblCellMar>
        </w:tblPrEx>
        <w:trPr>
          <w:trHeight w:val="285"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A7D36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0E65E997">
            <w:pPr>
              <w:jc w:val="center"/>
              <w:rPr>
                <w:rFonts w:hint="eastAsia" w:ascii="宋体" w:hAnsi="宋体" w:eastAsia="宋体" w:cs="宋体"/>
                <w:color w:val="auto"/>
                <w:sz w:val="18"/>
                <w:szCs w:val="18"/>
                <w:highlight w:val="none"/>
              </w:rPr>
            </w:pPr>
          </w:p>
        </w:tc>
        <w:tc>
          <w:tcPr>
            <w:tcW w:w="798" w:type="dxa"/>
            <w:tcBorders>
              <w:top w:val="nil"/>
              <w:left w:val="single" w:color="000000" w:sz="4" w:space="0"/>
              <w:bottom w:val="nil"/>
              <w:right w:val="single" w:color="000000" w:sz="4" w:space="0"/>
            </w:tcBorders>
            <w:shd w:val="clear" w:color="auto" w:fill="auto"/>
            <w:tcMar>
              <w:top w:w="15" w:type="dxa"/>
              <w:left w:w="15" w:type="dxa"/>
              <w:right w:w="15" w:type="dxa"/>
            </w:tcMar>
            <w:vAlign w:val="center"/>
          </w:tcPr>
          <w:p w14:paraId="76BF1128">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1B021A6D">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3ABC9AD8">
            <w:pPr>
              <w:rPr>
                <w:rFonts w:hint="eastAsia" w:ascii="宋体" w:hAnsi="宋体" w:eastAsia="宋体" w:cs="宋体"/>
                <w:color w:val="auto"/>
                <w:sz w:val="18"/>
                <w:szCs w:val="18"/>
                <w:highlight w:val="none"/>
              </w:rPr>
            </w:pPr>
          </w:p>
        </w:tc>
        <w:tc>
          <w:tcPr>
            <w:tcW w:w="670" w:type="dxa"/>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08D22B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200</w:t>
            </w:r>
          </w:p>
        </w:tc>
        <w:tc>
          <w:tcPr>
            <w:tcW w:w="1746" w:type="dxa"/>
            <w:gridSpan w:val="2"/>
            <w:tcBorders>
              <w:top w:val="single" w:color="000000" w:sz="4" w:space="0"/>
              <w:left w:val="single" w:color="000000" w:sz="4" w:space="0"/>
              <w:bottom w:val="nil"/>
              <w:right w:val="single" w:color="000000" w:sz="4" w:space="0"/>
            </w:tcBorders>
            <w:shd w:val="clear" w:color="auto" w:fill="auto"/>
            <w:tcMar>
              <w:top w:w="15" w:type="dxa"/>
              <w:left w:w="15" w:type="dxa"/>
              <w:right w:w="15" w:type="dxa"/>
            </w:tcMar>
            <w:vAlign w:val="center"/>
          </w:tcPr>
          <w:p w14:paraId="717A976E">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91</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105106">
            <w:pPr>
              <w:jc w:val="center"/>
              <w:rPr>
                <w:rFonts w:hint="eastAsia" w:ascii="宋体" w:hAnsi="宋体" w:eastAsia="宋体" w:cs="宋体"/>
                <w:color w:val="auto"/>
                <w:sz w:val="18"/>
                <w:szCs w:val="18"/>
                <w:highlight w:val="none"/>
              </w:rPr>
            </w:pPr>
          </w:p>
        </w:tc>
      </w:tr>
      <w:tr w14:paraId="64E83618">
        <w:tblPrEx>
          <w:tblCellMar>
            <w:top w:w="0" w:type="dxa"/>
            <w:left w:w="0" w:type="dxa"/>
            <w:bottom w:w="0" w:type="dxa"/>
            <w:right w:w="0" w:type="dxa"/>
          </w:tblCellMar>
        </w:tblPrEx>
        <w:trPr>
          <w:trHeight w:val="45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CDF3A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 环境宜居</w:t>
            </w:r>
          </w:p>
        </w:tc>
        <w:tc>
          <w:tcPr>
            <w:tcW w:w="1297" w:type="dxa"/>
            <w:vMerge w:val="restart"/>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D0A78A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控制项</w:t>
            </w:r>
          </w:p>
        </w:tc>
        <w:tc>
          <w:tcPr>
            <w:tcW w:w="798" w:type="dxa"/>
            <w:vMerge w:val="restart"/>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5C4B202">
            <w:pPr>
              <w:jc w:val="center"/>
              <w:rPr>
                <w:rFonts w:hint="eastAsia" w:ascii="宋体" w:hAnsi="宋体" w:eastAsia="宋体" w:cs="宋体"/>
                <w:color w:val="auto"/>
                <w:sz w:val="18"/>
                <w:szCs w:val="18"/>
                <w:highlight w:val="none"/>
              </w:rPr>
            </w:pPr>
          </w:p>
        </w:tc>
        <w:tc>
          <w:tcPr>
            <w:tcW w:w="1054"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EDC7E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8.1.1</w:t>
            </w:r>
          </w:p>
        </w:tc>
        <w:tc>
          <w:tcPr>
            <w:tcW w:w="5766"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19AB5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建筑规划布局应满足日照标准，且不得降低周边建筑的日照标准。</w:t>
            </w:r>
          </w:p>
        </w:tc>
        <w:tc>
          <w:tcPr>
            <w:tcW w:w="670" w:type="dxa"/>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CF606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8"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B23EEA">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24554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4E002B30">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70247D">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5834AD38">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7E62711">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759C5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FB24B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室外热环境应满足国家现行有关标准的要求。</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BD923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A05314">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9FF82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规划、景观</w:t>
            </w:r>
          </w:p>
        </w:tc>
      </w:tr>
      <w:tr w14:paraId="53CDD3F2">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85B8A9">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600A35A3">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2B88D01">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060A3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C302A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配建的绿地应符合所在地城乡规划的要求，应合理选择绿化方式，植物种植应适应当地气候和土壤，且应无毒害、易维护，种植区域覆土深度和排水能力应满足植物生长需求，并应采用复层绿化方式。</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49984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6302DB">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714E1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w:t>
            </w:r>
          </w:p>
        </w:tc>
      </w:tr>
      <w:tr w14:paraId="739492D6">
        <w:tblPrEx>
          <w:tblCellMar>
            <w:top w:w="0" w:type="dxa"/>
            <w:left w:w="0" w:type="dxa"/>
            <w:bottom w:w="0" w:type="dxa"/>
            <w:right w:w="0" w:type="dxa"/>
          </w:tblCellMar>
        </w:tblPrEx>
        <w:trPr>
          <w:trHeight w:val="94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48D3F7">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76F87787">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50E7D37">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E6748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115F2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场地的竖向设计应有利于雨水的收集或排放，应有效组织雨水的下渗、滞蓄或再利用；对大于</w:t>
            </w:r>
            <w:r>
              <w:rPr>
                <w:rFonts w:hint="eastAsia" w:ascii="宋体" w:hAnsi="宋体" w:eastAsia="宋体" w:cs="宋体"/>
                <w:color w:val="auto"/>
                <w:kern w:val="0"/>
                <w:sz w:val="24"/>
                <w:szCs w:val="24"/>
                <w:highlight w:val="none"/>
              </w:rPr>
              <w:t>10hm</w:t>
            </w:r>
            <w:r>
              <w:rPr>
                <w:rFonts w:hint="eastAsia" w:ascii="宋体" w:hAnsi="宋体" w:eastAsia="宋体" w:cs="宋体"/>
                <w:color w:val="auto"/>
                <w:kern w:val="0"/>
                <w:sz w:val="18"/>
                <w:szCs w:val="18"/>
                <w:highlight w:val="none"/>
                <w:vertAlign w:val="superscript"/>
              </w:rPr>
              <w:t>2</w:t>
            </w:r>
            <w:r>
              <w:rPr>
                <w:rFonts w:hint="eastAsia" w:ascii="宋体" w:hAnsi="宋体" w:eastAsia="宋体" w:cs="宋体"/>
                <w:color w:val="auto"/>
                <w:kern w:val="0"/>
                <w:sz w:val="18"/>
                <w:szCs w:val="18"/>
                <w:highlight w:val="none"/>
              </w:rPr>
              <w:t>的场地应进行雨水控制利用专项设计。</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7CE5B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846E72">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8DFFA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规划、景观</w:t>
            </w:r>
          </w:p>
        </w:tc>
      </w:tr>
      <w:tr w14:paraId="433C7D01">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D2034C">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04D52F4A">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183D199">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0C986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3F554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建筑内外均应设置便于识别和使用的标识系统。</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B74A0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9FC216">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CE5B42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FA1CCD4">
        <w:tblPrEx>
          <w:tblCellMar>
            <w:top w:w="0" w:type="dxa"/>
            <w:left w:w="0" w:type="dxa"/>
            <w:bottom w:w="0" w:type="dxa"/>
            <w:right w:w="0" w:type="dxa"/>
          </w:tblCellMar>
        </w:tblPrEx>
        <w:trPr>
          <w:trHeight w:val="27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946490">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11E28995">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3AC4E57C">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A4940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D06D9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场地内不应有排放超标的污染源。</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08526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4D3312">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AD1F9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08F7C1D7">
        <w:tblPrEx>
          <w:tblCellMar>
            <w:top w:w="0" w:type="dxa"/>
            <w:left w:w="0" w:type="dxa"/>
            <w:bottom w:w="0" w:type="dxa"/>
            <w:right w:w="0" w:type="dxa"/>
          </w:tblCellMar>
        </w:tblPrEx>
        <w:trPr>
          <w:trHeight w:val="69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3BCD35">
            <w:pPr>
              <w:jc w:val="center"/>
              <w:rPr>
                <w:rFonts w:hint="eastAsia" w:ascii="宋体" w:hAnsi="宋体" w:eastAsia="宋体" w:cs="宋体"/>
                <w:color w:val="auto"/>
                <w:sz w:val="18"/>
                <w:szCs w:val="18"/>
                <w:highlight w:val="none"/>
              </w:rPr>
            </w:pPr>
          </w:p>
        </w:tc>
        <w:tc>
          <w:tcPr>
            <w:tcW w:w="1297" w:type="dxa"/>
            <w:vMerge w:val="continue"/>
            <w:tcBorders>
              <w:top w:val="single" w:color="000000" w:sz="8" w:space="0"/>
              <w:left w:val="single" w:color="000000" w:sz="8" w:space="0"/>
              <w:bottom w:val="single" w:color="000000" w:sz="8" w:space="0"/>
              <w:right w:val="single" w:color="000000" w:sz="4" w:space="0"/>
            </w:tcBorders>
            <w:shd w:val="clear" w:color="auto" w:fill="auto"/>
            <w:tcMar>
              <w:top w:w="15" w:type="dxa"/>
              <w:left w:w="15" w:type="dxa"/>
              <w:right w:w="15" w:type="dxa"/>
            </w:tcMar>
            <w:vAlign w:val="center"/>
          </w:tcPr>
          <w:p w14:paraId="7A3C758B">
            <w:pPr>
              <w:jc w:val="center"/>
              <w:rPr>
                <w:rFonts w:hint="eastAsia" w:ascii="宋体" w:hAnsi="宋体" w:eastAsia="宋体" w:cs="宋体"/>
                <w:color w:val="auto"/>
                <w:sz w:val="18"/>
                <w:szCs w:val="18"/>
                <w:highlight w:val="none"/>
              </w:rPr>
            </w:pPr>
          </w:p>
        </w:tc>
        <w:tc>
          <w:tcPr>
            <w:tcW w:w="798" w:type="dxa"/>
            <w:vMerge w:val="continue"/>
            <w:tcBorders>
              <w:top w:val="single" w:color="000000" w:sz="8"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C76491B">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60DF9B8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8.1.7</w:t>
            </w:r>
          </w:p>
        </w:tc>
        <w:tc>
          <w:tcPr>
            <w:tcW w:w="5766"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7D5D5FB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生活垃圾应分类收集，垃圾容器和收集点的设置应合理并应与周围景观协调。</w:t>
            </w:r>
          </w:p>
        </w:tc>
        <w:tc>
          <w:tcPr>
            <w:tcW w:w="670" w:type="dxa"/>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022E67C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1746" w:type="dxa"/>
            <w:gridSpan w:val="2"/>
            <w:tcBorders>
              <w:top w:val="single" w:color="000000" w:sz="4" w:space="0"/>
              <w:left w:val="single" w:color="000000" w:sz="4" w:space="0"/>
              <w:bottom w:val="single" w:color="000000" w:sz="8" w:space="0"/>
              <w:right w:val="single" w:color="000000" w:sz="4" w:space="0"/>
            </w:tcBorders>
            <w:shd w:val="clear" w:color="auto" w:fill="auto"/>
            <w:tcMar>
              <w:top w:w="15" w:type="dxa"/>
              <w:left w:w="15" w:type="dxa"/>
              <w:right w:w="15" w:type="dxa"/>
            </w:tcMar>
            <w:vAlign w:val="center"/>
          </w:tcPr>
          <w:p w14:paraId="4950AF16">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59BEC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w:t>
            </w:r>
          </w:p>
        </w:tc>
      </w:tr>
      <w:tr w14:paraId="591546D6">
        <w:tblPrEx>
          <w:tblCellMar>
            <w:top w:w="0" w:type="dxa"/>
            <w:left w:w="0" w:type="dxa"/>
            <w:bottom w:w="0" w:type="dxa"/>
            <w:right w:w="0" w:type="dxa"/>
          </w:tblCellMar>
        </w:tblPrEx>
        <w:trPr>
          <w:trHeight w:val="14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D412C6">
            <w:pPr>
              <w:jc w:val="center"/>
              <w:rPr>
                <w:rFonts w:hint="eastAsia" w:ascii="宋体" w:hAnsi="宋体" w:eastAsia="宋体" w:cs="宋体"/>
                <w:color w:val="auto"/>
                <w:sz w:val="18"/>
                <w:szCs w:val="18"/>
                <w:highlight w:val="none"/>
              </w:rPr>
            </w:pPr>
          </w:p>
        </w:tc>
        <w:tc>
          <w:tcPr>
            <w:tcW w:w="1297"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E0FC3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评分项</w:t>
            </w:r>
          </w:p>
        </w:tc>
        <w:tc>
          <w:tcPr>
            <w:tcW w:w="798" w:type="dxa"/>
            <w:vMerge w:val="restart"/>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388BF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场地生态与景观</w:t>
            </w:r>
          </w:p>
        </w:tc>
        <w:tc>
          <w:tcPr>
            <w:tcW w:w="1054"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5F6A1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8.2.1</w:t>
            </w:r>
          </w:p>
        </w:tc>
        <w:tc>
          <w:tcPr>
            <w:tcW w:w="5766"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A75AD8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充分保护或修复场地生态环境，合理布局建筑及景观，评价总分值为10分，并按下列规则评分：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保护场地内原有的自然水域、湿地、植被等，保持场地内的生态系统与场地外生态系统的连贯性，得10分。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采取净地表层土回收利用等生态补偿措施，得10分。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 根据场地实际状况，采取其他生态恢复或补偿措施，得10分。</w:t>
            </w:r>
          </w:p>
        </w:tc>
        <w:tc>
          <w:tcPr>
            <w:tcW w:w="670"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8EDE4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6F2E3AD">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15241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6B1B1020">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4B757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E5CAB2">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9DC330">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55EEF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BC599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规划场地地表和屋面雨水径流，对场地雨水实施外排总量控制，评价总分值为10分。场地年径流总量控制率达到55%，得5分；达到70%，得10分。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C6893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8AF12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5132E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给排水、景观</w:t>
            </w:r>
          </w:p>
        </w:tc>
      </w:tr>
      <w:tr w14:paraId="5FC3B5AE">
        <w:tblPrEx>
          <w:tblCellMar>
            <w:top w:w="0" w:type="dxa"/>
            <w:left w:w="0" w:type="dxa"/>
            <w:bottom w:w="0" w:type="dxa"/>
            <w:right w:w="0" w:type="dxa"/>
          </w:tblCellMar>
        </w:tblPrEx>
        <w:trPr>
          <w:trHeight w:val="22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84682A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0F1138">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144EF0">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250C8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5D76F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住宅建筑按下列规则分别评分并累计：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1）绿地率达到规划指标105%及以上，得10分；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2）住宅建筑所在居住街坊内人均集中绿地面积满足，6分。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公建按下列规则分别评分并累计：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1）绿地率达到规划指标105%及以上，得10分；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2）绿地向公众开放，6分。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AAEF1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16</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A28EF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532BC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w:t>
            </w:r>
          </w:p>
        </w:tc>
      </w:tr>
      <w:tr w14:paraId="7D710372">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1DB11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820D517">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E9BC3AD">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AE821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9C26A34">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室外吸烟区布置在建筑主出入口的主导风的下风向，与所有建筑出入口、新风进气口和可开启窗扇的距离不少于8m，且距离儿童和老人活动场地不少于8m；</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71144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724856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1F439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w:t>
            </w:r>
          </w:p>
        </w:tc>
      </w:tr>
      <w:tr w14:paraId="682ADE43">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39E157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2AA432F">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E02A88">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CC6FAF">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E562F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室外吸烟区与绿植结合布置，并合理配置坐椅和带烟头收集的垃圾筒，从建筑主出入口至室外吸烟区的导向标识完整、定位标识醒目，吸烟区设置吸烟有害健康的警示标识。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12882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FD312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52A257">
            <w:pPr>
              <w:jc w:val="center"/>
              <w:rPr>
                <w:rFonts w:hint="eastAsia" w:ascii="宋体" w:hAnsi="宋体" w:eastAsia="宋体" w:cs="宋体"/>
                <w:color w:val="auto"/>
                <w:sz w:val="18"/>
                <w:szCs w:val="18"/>
                <w:highlight w:val="none"/>
              </w:rPr>
            </w:pPr>
          </w:p>
        </w:tc>
      </w:tr>
      <w:tr w14:paraId="71BAE361">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9D9771">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BC7A17D">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8B37A3">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E2528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85484E">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下凹式绿地、雨水花园等有调蓄雨水功能的绿地和水体的面积之和占绿地面积的比例达到40%，得3分；达到60%，得5分；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33BFD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52627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98F34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景观</w:t>
            </w:r>
          </w:p>
        </w:tc>
      </w:tr>
      <w:tr w14:paraId="5AEAF418">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B1FD98">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5A85B7">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7C87AA0">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1507FE">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E07A2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衔接和引导不少于80%的屋面雨水进入地面生态设施；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BA428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97A052">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BEE2AC0">
            <w:pPr>
              <w:jc w:val="center"/>
              <w:rPr>
                <w:rFonts w:hint="eastAsia" w:ascii="宋体" w:hAnsi="宋体" w:eastAsia="宋体" w:cs="宋体"/>
                <w:color w:val="auto"/>
                <w:sz w:val="18"/>
                <w:szCs w:val="18"/>
                <w:highlight w:val="none"/>
              </w:rPr>
            </w:pPr>
          </w:p>
        </w:tc>
      </w:tr>
      <w:tr w14:paraId="763768D9">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A32F96">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65526D">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17FDA2">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6A1F1E">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038B7F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衔接和引导不少于80%的道路雨水进入地面生态设施；</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F7229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F64E0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1D0AE2">
            <w:pPr>
              <w:jc w:val="center"/>
              <w:rPr>
                <w:rFonts w:hint="eastAsia" w:ascii="宋体" w:hAnsi="宋体" w:eastAsia="宋体" w:cs="宋体"/>
                <w:color w:val="auto"/>
                <w:sz w:val="18"/>
                <w:szCs w:val="18"/>
                <w:highlight w:val="none"/>
              </w:rPr>
            </w:pPr>
          </w:p>
        </w:tc>
      </w:tr>
      <w:tr w14:paraId="1B4CC27B">
        <w:tblPrEx>
          <w:tblCellMar>
            <w:top w:w="0" w:type="dxa"/>
            <w:left w:w="0" w:type="dxa"/>
            <w:bottom w:w="0" w:type="dxa"/>
            <w:right w:w="0" w:type="dxa"/>
          </w:tblCellMar>
        </w:tblPrEx>
        <w:trPr>
          <w:trHeight w:val="4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6BE4AA3">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422828">
            <w:pPr>
              <w:jc w:val="center"/>
              <w:rPr>
                <w:rFonts w:hint="eastAsia" w:ascii="宋体" w:hAnsi="宋体" w:eastAsia="宋体" w:cs="宋体"/>
                <w:color w:val="auto"/>
                <w:sz w:val="18"/>
                <w:szCs w:val="18"/>
                <w:highlight w:val="none"/>
              </w:rPr>
            </w:pPr>
          </w:p>
        </w:tc>
        <w:tc>
          <w:tcPr>
            <w:tcW w:w="798"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0B514F">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33B282D">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F813671">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 硬质铺装地面中透水铺装面积的比例达到50%。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125CB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7B1C1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F168C2">
            <w:pPr>
              <w:jc w:val="center"/>
              <w:rPr>
                <w:rFonts w:hint="eastAsia" w:ascii="宋体" w:hAnsi="宋体" w:eastAsia="宋体" w:cs="宋体"/>
                <w:color w:val="auto"/>
                <w:sz w:val="18"/>
                <w:szCs w:val="18"/>
                <w:highlight w:val="none"/>
              </w:rPr>
            </w:pPr>
          </w:p>
        </w:tc>
      </w:tr>
      <w:tr w14:paraId="514BD1B3">
        <w:tblPrEx>
          <w:tblCellMar>
            <w:top w:w="0" w:type="dxa"/>
            <w:left w:w="0" w:type="dxa"/>
            <w:bottom w:w="0" w:type="dxa"/>
            <w:right w:w="0" w:type="dxa"/>
          </w:tblCellMar>
        </w:tblPrEx>
        <w:trPr>
          <w:trHeight w:val="20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CDA0A7">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991ACE">
            <w:pPr>
              <w:jc w:val="center"/>
              <w:rPr>
                <w:rFonts w:hint="eastAsia" w:ascii="宋体" w:hAnsi="宋体" w:eastAsia="宋体" w:cs="宋体"/>
                <w:color w:val="auto"/>
                <w:sz w:val="18"/>
                <w:szCs w:val="18"/>
                <w:highlight w:val="none"/>
              </w:rPr>
            </w:pP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5A63FA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室外物理环境</w:t>
            </w: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5E4DC6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E778F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场地内的环境噪声优于现行国家标准《声环境质量标准》GB 3096的要求，评价总分值为10分，并按下列规则评分：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 环境噪声值大于2类声环境功能区标准限值，且小于等于3类声环境功能区标准限值，得5分。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 环境噪声值小于等于2类声环境功能区标准限值，得10分。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185BC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86603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255C1E">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2F55CB35">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4B8A1F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2A1D5B">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B4EE5E">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42982D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8D1ACA">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玻璃幕墙的可见光反射比及反射光对周边环境的影响符合《玻璃幕墙光学性能》GB/T 18091的规定；</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49A96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F57F9B">
            <w:pPr>
              <w:widowControl/>
              <w:jc w:val="center"/>
              <w:textAlignment w:val="center"/>
              <w:rPr>
                <w:rFonts w:hint="eastAsia" w:ascii="宋体" w:hAnsi="宋体" w:eastAsia="宋体" w:cs="宋体"/>
                <w:color w:val="auto"/>
                <w:sz w:val="20"/>
                <w:szCs w:val="20"/>
                <w:highlight w:val="none"/>
              </w:rPr>
            </w:pPr>
            <w:r>
              <w:rPr>
                <w:rFonts w:hint="eastAsia" w:ascii="宋体" w:hAnsi="宋体" w:eastAsia="宋体" w:cs="宋体"/>
                <w:color w:val="auto"/>
                <w:kern w:val="0"/>
                <w:sz w:val="18"/>
                <w:szCs w:val="18"/>
                <w:highlight w:val="none"/>
              </w:rPr>
              <w:t>5</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2D425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建筑、景观</w:t>
            </w:r>
          </w:p>
        </w:tc>
      </w:tr>
      <w:tr w14:paraId="2FFAC957">
        <w:tblPrEx>
          <w:tblCellMar>
            <w:top w:w="0" w:type="dxa"/>
            <w:left w:w="0" w:type="dxa"/>
            <w:bottom w:w="0" w:type="dxa"/>
            <w:right w:w="0" w:type="dxa"/>
          </w:tblCellMar>
        </w:tblPrEx>
        <w:trPr>
          <w:trHeight w:val="112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961896C">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E1AD8D">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CBF8B3">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10DC3F">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DE21F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室外夜景照明光污染的限制符合现行国家标准《室外照明干扰光限制规范》GB/T 35626和现行行业标准《城市夜景照明设计规范》JGJ/T 163的规定。</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6CA131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14A433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00D510">
            <w:pPr>
              <w:jc w:val="center"/>
              <w:rPr>
                <w:rFonts w:hint="eastAsia" w:ascii="宋体" w:hAnsi="宋体" w:eastAsia="宋体" w:cs="宋体"/>
                <w:color w:val="auto"/>
                <w:sz w:val="18"/>
                <w:szCs w:val="18"/>
                <w:highlight w:val="none"/>
              </w:rPr>
            </w:pPr>
          </w:p>
        </w:tc>
      </w:tr>
      <w:tr w14:paraId="3E3F6FF6">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30AD244">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31555F">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A4C8BF">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8B619C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08EC8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1）冬季典型风速条件下，建筑物周围人行区距地高1.5m处风速小于5m/s，户外休息区、儿童娱乐区风速小于2m/s，且室外风速放大系数小于2；</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A67823D">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FFC2DA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8707B8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3ACA4CCF">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2B7179F">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11EDC6">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BDBBBEA">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C4EAEE">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758E18">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2）冬季典型风速条件下，除迎风第一排建筑外，建筑迎风面与背风面表面风压差不大于5Pa。</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D8FC3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4FDCF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5DC9844">
            <w:pPr>
              <w:jc w:val="center"/>
              <w:rPr>
                <w:rFonts w:hint="eastAsia" w:ascii="宋体" w:hAnsi="宋体" w:eastAsia="宋体" w:cs="宋体"/>
                <w:color w:val="auto"/>
                <w:sz w:val="18"/>
                <w:szCs w:val="18"/>
                <w:highlight w:val="none"/>
              </w:rPr>
            </w:pPr>
          </w:p>
        </w:tc>
      </w:tr>
      <w:tr w14:paraId="586927DB">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F16E72">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271608">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850C3F">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339079">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3A45A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3）过渡季、夏季典型风速和风向条件下，场地内人活动区不出现涡旋或无风区；</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8EED62">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835C10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3A6609">
            <w:pPr>
              <w:jc w:val="center"/>
              <w:rPr>
                <w:rFonts w:hint="eastAsia" w:ascii="宋体" w:hAnsi="宋体" w:eastAsia="宋体" w:cs="宋体"/>
                <w:color w:val="auto"/>
                <w:sz w:val="18"/>
                <w:szCs w:val="18"/>
                <w:highlight w:val="none"/>
              </w:rPr>
            </w:pPr>
          </w:p>
        </w:tc>
      </w:tr>
      <w:tr w14:paraId="0E4C21BF">
        <w:tblPrEx>
          <w:tblCellMar>
            <w:top w:w="0" w:type="dxa"/>
            <w:left w:w="0" w:type="dxa"/>
            <w:bottom w:w="0" w:type="dxa"/>
            <w:right w:w="0" w:type="dxa"/>
          </w:tblCellMar>
        </w:tblPrEx>
        <w:trPr>
          <w:trHeight w:val="43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52AEC6D">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ABCF2B4">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B7CCD0">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393735">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07B89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4）过渡季、夏季典型风速和风向条件下，50％以上可开启外窗室内外表面的风压差大于0.5Pa。</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41EFA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C94596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w:t>
            </w: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3675A5">
            <w:pPr>
              <w:jc w:val="center"/>
              <w:rPr>
                <w:rFonts w:hint="eastAsia" w:ascii="宋体" w:hAnsi="宋体" w:eastAsia="宋体" w:cs="宋体"/>
                <w:color w:val="auto"/>
                <w:sz w:val="18"/>
                <w:szCs w:val="18"/>
                <w:highlight w:val="none"/>
              </w:rPr>
            </w:pPr>
          </w:p>
        </w:tc>
      </w:tr>
      <w:tr w14:paraId="13BC6895">
        <w:tblPrEx>
          <w:tblCellMar>
            <w:top w:w="0" w:type="dxa"/>
            <w:left w:w="0" w:type="dxa"/>
            <w:bottom w:w="0" w:type="dxa"/>
            <w:right w:w="0" w:type="dxa"/>
          </w:tblCellMar>
        </w:tblPrEx>
        <w:trPr>
          <w:trHeight w:val="13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B757F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B614FE">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501696">
            <w:pPr>
              <w:jc w:val="center"/>
              <w:rPr>
                <w:rFonts w:hint="eastAsia" w:ascii="宋体" w:hAnsi="宋体" w:eastAsia="宋体" w:cs="宋体"/>
                <w:color w:val="auto"/>
                <w:sz w:val="18"/>
                <w:szCs w:val="18"/>
                <w:highlight w:val="none"/>
              </w:rPr>
            </w:pPr>
          </w:p>
        </w:tc>
        <w:tc>
          <w:tcPr>
            <w:tcW w:w="1054"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7F48D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E1948F9">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 场地中处于建筑阴影区外的步道、游憩场、庭院、广场等室外活动场地设有乔木、花架等遮阴措施的面积比例，住宅建筑达到30%，公共建筑达到10％，得2分；住宅建筑达到50％，公共建筑达到20％，得3分；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116A8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2F7583">
            <w:pPr>
              <w:jc w:val="center"/>
              <w:rPr>
                <w:rFonts w:hint="eastAsia" w:ascii="宋体" w:hAnsi="宋体" w:eastAsia="宋体" w:cs="宋体"/>
                <w:color w:val="auto"/>
                <w:sz w:val="18"/>
                <w:szCs w:val="18"/>
                <w:highlight w:val="none"/>
              </w:rPr>
            </w:pPr>
          </w:p>
        </w:tc>
        <w:tc>
          <w:tcPr>
            <w:tcW w:w="999"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BBE13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规划、建筑、景观</w:t>
            </w:r>
          </w:p>
        </w:tc>
      </w:tr>
      <w:tr w14:paraId="14DB08BA">
        <w:tblPrEx>
          <w:tblCellMar>
            <w:top w:w="0" w:type="dxa"/>
            <w:left w:w="0" w:type="dxa"/>
            <w:bottom w:w="0" w:type="dxa"/>
            <w:right w:w="0" w:type="dxa"/>
          </w:tblCellMar>
        </w:tblPrEx>
        <w:trPr>
          <w:trHeight w:val="9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E04CEEE">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9836025">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0C438F">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1888FCE">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F0196E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 场地中处于建筑阴影区外的机动车道，路面太阳辐射反射系数不小于0.4或设有遮荫面积较大的行道树的路段长度超过70%；</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07A15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C57CFE">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58F5D0">
            <w:pPr>
              <w:jc w:val="center"/>
              <w:rPr>
                <w:rFonts w:hint="eastAsia" w:ascii="宋体" w:hAnsi="宋体" w:eastAsia="宋体" w:cs="宋体"/>
                <w:color w:val="auto"/>
                <w:sz w:val="18"/>
                <w:szCs w:val="18"/>
                <w:highlight w:val="none"/>
              </w:rPr>
            </w:pPr>
          </w:p>
        </w:tc>
      </w:tr>
      <w:tr w14:paraId="432B3FA7">
        <w:tblPrEx>
          <w:tblCellMar>
            <w:top w:w="0" w:type="dxa"/>
            <w:left w:w="0" w:type="dxa"/>
            <w:bottom w:w="0" w:type="dxa"/>
            <w:right w:w="0" w:type="dxa"/>
          </w:tblCellMar>
        </w:tblPrEx>
        <w:trPr>
          <w:trHeight w:val="67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1EA8B15">
            <w:pPr>
              <w:jc w:val="center"/>
              <w:rPr>
                <w:rFonts w:hint="eastAsia" w:ascii="宋体" w:hAnsi="宋体" w:eastAsia="宋体" w:cs="宋体"/>
                <w:color w:val="auto"/>
                <w:sz w:val="18"/>
                <w:szCs w:val="18"/>
                <w:highlight w:val="none"/>
              </w:rPr>
            </w:pPr>
          </w:p>
        </w:tc>
        <w:tc>
          <w:tcPr>
            <w:tcW w:w="1297" w:type="dxa"/>
            <w:vMerge w:val="continue"/>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E6715C">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9789E5">
            <w:pPr>
              <w:jc w:val="center"/>
              <w:rPr>
                <w:rFonts w:hint="eastAsia" w:ascii="宋体" w:hAnsi="宋体" w:eastAsia="宋体" w:cs="宋体"/>
                <w:color w:val="auto"/>
                <w:sz w:val="18"/>
                <w:szCs w:val="18"/>
                <w:highlight w:val="none"/>
              </w:rPr>
            </w:pPr>
          </w:p>
        </w:tc>
        <w:tc>
          <w:tcPr>
            <w:tcW w:w="1054"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C920E3A">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38A076">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 屋顶的绿化面积、太阳能板水平投影面积以及太阳辐射反射系数不小于0.4的屋面面积合计达到75%。</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709D1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0476D78">
            <w:pPr>
              <w:jc w:val="center"/>
              <w:rPr>
                <w:rFonts w:hint="eastAsia" w:ascii="宋体" w:hAnsi="宋体" w:eastAsia="宋体" w:cs="宋体"/>
                <w:color w:val="auto"/>
                <w:sz w:val="18"/>
                <w:szCs w:val="18"/>
                <w:highlight w:val="none"/>
              </w:rPr>
            </w:pPr>
          </w:p>
        </w:tc>
        <w:tc>
          <w:tcPr>
            <w:tcW w:w="999"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F3F8701">
            <w:pPr>
              <w:jc w:val="center"/>
              <w:rPr>
                <w:rFonts w:hint="eastAsia" w:ascii="宋体" w:hAnsi="宋体" w:eastAsia="宋体" w:cs="宋体"/>
                <w:color w:val="auto"/>
                <w:sz w:val="18"/>
                <w:szCs w:val="18"/>
                <w:highlight w:val="none"/>
              </w:rPr>
            </w:pPr>
          </w:p>
        </w:tc>
      </w:tr>
      <w:tr w14:paraId="1A8F2FF7">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D35C11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23E2809">
            <w:pPr>
              <w:jc w:val="center"/>
              <w:rPr>
                <w:rFonts w:hint="eastAsia" w:ascii="宋体" w:hAnsi="宋体" w:eastAsia="宋体" w:cs="宋体"/>
                <w:color w:val="auto"/>
                <w:sz w:val="18"/>
                <w:szCs w:val="18"/>
                <w:highlight w:val="none"/>
              </w:rPr>
            </w:pP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92CB97">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B995664">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9421CE">
            <w:pPr>
              <w:rPr>
                <w:rFonts w:hint="eastAsia" w:ascii="宋体" w:hAnsi="宋体" w:eastAsia="宋体" w:cs="宋体"/>
                <w:color w:val="auto"/>
                <w:sz w:val="18"/>
                <w:szCs w:val="18"/>
                <w:highlight w:val="none"/>
              </w:rPr>
            </w:pP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E1AFC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2069BC">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65</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853D58">
            <w:pPr>
              <w:jc w:val="center"/>
              <w:rPr>
                <w:rFonts w:hint="eastAsia" w:ascii="宋体" w:hAnsi="宋体" w:eastAsia="宋体" w:cs="宋体"/>
                <w:color w:val="auto"/>
                <w:sz w:val="18"/>
                <w:szCs w:val="18"/>
                <w:highlight w:val="none"/>
              </w:rPr>
            </w:pPr>
          </w:p>
        </w:tc>
      </w:tr>
      <w:tr w14:paraId="44089AC2">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22FC5CA">
            <w:pPr>
              <w:jc w:val="center"/>
              <w:rPr>
                <w:rFonts w:hint="eastAsia" w:ascii="宋体" w:hAnsi="宋体" w:eastAsia="宋体" w:cs="宋体"/>
                <w:color w:val="auto"/>
                <w:sz w:val="20"/>
                <w:szCs w:val="20"/>
                <w:highlight w:val="none"/>
              </w:rPr>
            </w:pP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DC38C8D">
            <w:pPr>
              <w:jc w:val="center"/>
              <w:rPr>
                <w:rFonts w:hint="eastAsia" w:ascii="宋体" w:hAnsi="宋体" w:eastAsia="宋体" w:cs="宋体"/>
                <w:color w:val="auto"/>
                <w:sz w:val="20"/>
                <w:szCs w:val="20"/>
                <w:highlight w:val="none"/>
              </w:rPr>
            </w:pPr>
          </w:p>
        </w:tc>
        <w:tc>
          <w:tcPr>
            <w:tcW w:w="79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F409F1">
            <w:pPr>
              <w:jc w:val="center"/>
              <w:rPr>
                <w:rFonts w:hint="eastAsia" w:ascii="宋体" w:hAnsi="宋体" w:eastAsia="宋体" w:cs="宋体"/>
                <w:color w:val="auto"/>
                <w:sz w:val="20"/>
                <w:szCs w:val="20"/>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2E31C1">
            <w:pPr>
              <w:jc w:val="center"/>
              <w:rPr>
                <w:rFonts w:hint="eastAsia" w:ascii="宋体" w:hAnsi="宋体" w:eastAsia="宋体" w:cs="宋体"/>
                <w:color w:val="auto"/>
                <w:sz w:val="20"/>
                <w:szCs w:val="20"/>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376C5C">
            <w:pPr>
              <w:jc w:val="center"/>
              <w:rPr>
                <w:rFonts w:hint="eastAsia" w:ascii="宋体" w:hAnsi="宋体" w:eastAsia="宋体" w:cs="宋体"/>
                <w:color w:val="auto"/>
                <w:sz w:val="20"/>
                <w:szCs w:val="20"/>
                <w:highlight w:val="none"/>
              </w:rPr>
            </w:pP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450EEA">
            <w:pPr>
              <w:jc w:val="center"/>
              <w:rPr>
                <w:rFonts w:hint="eastAsia" w:ascii="宋体" w:hAnsi="宋体" w:eastAsia="宋体" w:cs="宋体"/>
                <w:color w:val="auto"/>
                <w:sz w:val="20"/>
                <w:szCs w:val="20"/>
                <w:highlight w:val="none"/>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5A0CD7">
            <w:pPr>
              <w:jc w:val="center"/>
              <w:rPr>
                <w:rFonts w:hint="eastAsia" w:ascii="宋体" w:hAnsi="宋体" w:eastAsia="宋体" w:cs="宋体"/>
                <w:color w:val="auto"/>
                <w:sz w:val="20"/>
                <w:szCs w:val="20"/>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BAB41D1">
            <w:pPr>
              <w:jc w:val="center"/>
              <w:rPr>
                <w:rFonts w:hint="eastAsia" w:ascii="宋体" w:hAnsi="宋体" w:eastAsia="宋体" w:cs="宋体"/>
                <w:color w:val="auto"/>
                <w:sz w:val="20"/>
                <w:szCs w:val="20"/>
                <w:highlight w:val="none"/>
              </w:rPr>
            </w:pPr>
          </w:p>
        </w:tc>
      </w:tr>
      <w:tr w14:paraId="73DC5079">
        <w:tblPrEx>
          <w:tblCellMar>
            <w:top w:w="0" w:type="dxa"/>
            <w:left w:w="0" w:type="dxa"/>
            <w:bottom w:w="0" w:type="dxa"/>
            <w:right w:w="0" w:type="dxa"/>
          </w:tblCellMar>
        </w:tblPrEx>
        <w:trPr>
          <w:trHeight w:val="480" w:hRule="atLeast"/>
          <w:jc w:val="center"/>
        </w:trPr>
        <w:tc>
          <w:tcPr>
            <w:tcW w:w="161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25E84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 提高创新</w:t>
            </w:r>
          </w:p>
        </w:tc>
        <w:tc>
          <w:tcPr>
            <w:tcW w:w="12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E4CE9E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一般规定</w:t>
            </w: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B5EAEE">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902862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9.1.1</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E149E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绿色建筑评价时，应按本章规定对提高与创新项进行评价。</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DD048D">
            <w:pPr>
              <w:jc w:val="center"/>
              <w:rPr>
                <w:rFonts w:hint="eastAsia" w:ascii="宋体" w:hAnsi="宋体" w:eastAsia="宋体" w:cs="宋体"/>
                <w:color w:val="auto"/>
                <w:sz w:val="18"/>
                <w:szCs w:val="18"/>
                <w:highlight w:val="none"/>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0462B2">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4B3FD3">
            <w:pPr>
              <w:jc w:val="center"/>
              <w:rPr>
                <w:rFonts w:hint="eastAsia" w:ascii="宋体" w:hAnsi="宋体" w:eastAsia="宋体" w:cs="宋体"/>
                <w:color w:val="auto"/>
                <w:sz w:val="18"/>
                <w:szCs w:val="18"/>
                <w:highlight w:val="none"/>
              </w:rPr>
            </w:pPr>
          </w:p>
        </w:tc>
      </w:tr>
      <w:tr w14:paraId="65CD144F">
        <w:tblPrEx>
          <w:tblCellMar>
            <w:top w:w="0" w:type="dxa"/>
            <w:left w:w="0" w:type="dxa"/>
            <w:bottom w:w="0" w:type="dxa"/>
            <w:right w:w="0" w:type="dxa"/>
          </w:tblCellMar>
        </w:tblPrEx>
        <w:trPr>
          <w:trHeight w:val="75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083574">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F79AF3">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D004720">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B5713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9.1.2</w:t>
            </w:r>
          </w:p>
        </w:tc>
        <w:tc>
          <w:tcPr>
            <w:tcW w:w="5766" w:type="dxa"/>
            <w:tcBorders>
              <w:top w:val="nil"/>
              <w:left w:val="nil"/>
              <w:bottom w:val="nil"/>
              <w:right w:val="nil"/>
            </w:tcBorders>
            <w:shd w:val="clear" w:color="auto" w:fill="auto"/>
            <w:tcMar>
              <w:top w:w="15" w:type="dxa"/>
              <w:left w:w="15" w:type="dxa"/>
              <w:right w:w="15" w:type="dxa"/>
            </w:tcMar>
            <w:vAlign w:val="center"/>
          </w:tcPr>
          <w:p w14:paraId="11C5159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提高与创新项得分为加分项得分之和，当得分大于100分时，应取为100分。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DAD837">
            <w:pPr>
              <w:jc w:val="center"/>
              <w:rPr>
                <w:rFonts w:hint="eastAsia" w:ascii="宋体" w:hAnsi="宋体" w:eastAsia="宋体" w:cs="宋体"/>
                <w:color w:val="auto"/>
                <w:sz w:val="18"/>
                <w:szCs w:val="18"/>
                <w:highlight w:val="none"/>
              </w:rPr>
            </w:pP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6A587F3">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75D6A8A">
            <w:pPr>
              <w:jc w:val="center"/>
              <w:rPr>
                <w:rFonts w:hint="eastAsia" w:ascii="宋体" w:hAnsi="宋体" w:eastAsia="宋体" w:cs="宋体"/>
                <w:color w:val="auto"/>
                <w:sz w:val="18"/>
                <w:szCs w:val="18"/>
                <w:highlight w:val="none"/>
              </w:rPr>
            </w:pPr>
          </w:p>
        </w:tc>
      </w:tr>
      <w:tr w14:paraId="4F1744DD">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911549">
            <w:pPr>
              <w:jc w:val="center"/>
              <w:rPr>
                <w:rFonts w:hint="eastAsia" w:ascii="宋体" w:hAnsi="宋体" w:eastAsia="宋体" w:cs="宋体"/>
                <w:color w:val="auto"/>
                <w:sz w:val="18"/>
                <w:szCs w:val="18"/>
                <w:highlight w:val="none"/>
              </w:rPr>
            </w:pPr>
          </w:p>
        </w:tc>
        <w:tc>
          <w:tcPr>
            <w:tcW w:w="1297"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EA4B4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加分项</w:t>
            </w:r>
          </w:p>
        </w:tc>
        <w:tc>
          <w:tcPr>
            <w:tcW w:w="798" w:type="dxa"/>
            <w:vMerge w:val="restart"/>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E573172">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210BAE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9.2.1</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DF1D9D">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采取措施进一步降低建筑供暖空调系统的能耗，评价总分值为30分。建筑供暖空调系统能耗相比国家现行有关建筑节能标准降低40%，得10分；每再降低10%，再得5分，最高得30分。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87FE6E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30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C90D38">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50D0220">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建筑、暖通</w:t>
            </w:r>
          </w:p>
        </w:tc>
      </w:tr>
      <w:tr w14:paraId="0253E0CC">
        <w:tblPrEx>
          <w:tblCellMar>
            <w:top w:w="0" w:type="dxa"/>
            <w:left w:w="0" w:type="dxa"/>
            <w:bottom w:w="0" w:type="dxa"/>
            <w:right w:w="0" w:type="dxa"/>
          </w:tblCellMar>
        </w:tblPrEx>
        <w:trPr>
          <w:trHeight w:val="735"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B9B7D0">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1CD851F">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478D8F1">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B2777D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9.2.2</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2DF262">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采用适宜地区特色的建筑风貌设计，因地制宜传承地域建筑文化，评价分值为20分。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1B8940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13EF9E">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4DC4BC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70136A08">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6E39ADE">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4B92FA9">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663E4A">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07052D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9.2.3</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02686D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合理选用废弃场地进行建设，或充分利用尚可使用的旧建筑，评价分值为8分。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0F377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8</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D10416">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096B10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建筑</w:t>
            </w:r>
          </w:p>
        </w:tc>
      </w:tr>
      <w:tr w14:paraId="14BBAC65">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3D7B017">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8B2D81">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5DB530">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7FCA7B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9.2.4</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BAD093">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场地绿容率不低于3.0，评价总分值为5分，并按下列规则评分：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1场地绿容率计算值不低于3.0，得3分。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2场地绿容率实测值不低于3.0，得5分。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E080F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6C0CE0A">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AD199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规划、景观</w:t>
            </w:r>
          </w:p>
        </w:tc>
      </w:tr>
      <w:tr w14:paraId="63D681A7">
        <w:tblPrEx>
          <w:tblCellMar>
            <w:top w:w="0" w:type="dxa"/>
            <w:left w:w="0" w:type="dxa"/>
            <w:bottom w:w="0" w:type="dxa"/>
            <w:right w:w="0" w:type="dxa"/>
          </w:tblCellMar>
        </w:tblPrEx>
        <w:trPr>
          <w:trHeight w:val="216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D15FCD">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5535C2">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CFC17BC">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E27735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9.2.5</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A80CE1B">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采用符合工业化建造要求的结构体系与建筑构件，评价分值为10分，并按下列规则评分：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1主体结构采用钢结构、木结构，得10分。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2主体结构采用装配式混凝土结构，地上部分预制构件应用混凝土体积占混凝土总体积的比例达到35%，得5分；达到50%，得10分。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A6FEB9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2AE4E48">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FE0A1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结构</w:t>
            </w:r>
          </w:p>
        </w:tc>
      </w:tr>
      <w:tr w14:paraId="26FC1212">
        <w:tblPrEx>
          <w:tblCellMar>
            <w:top w:w="0" w:type="dxa"/>
            <w:left w:w="0" w:type="dxa"/>
            <w:bottom w:w="0" w:type="dxa"/>
            <w:right w:w="0" w:type="dxa"/>
          </w:tblCellMar>
        </w:tblPrEx>
        <w:trPr>
          <w:trHeight w:val="14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38C753">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84384F6">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150819E">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88989B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9.2.6</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74893F">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应用建筑信息模型（BIM）技术，评价总分值为15分。在建筑的规划设计、施工建造和运行维护阶段中的一个阶段应用，得5分；两个阶段应用，得10分；三个阶段应用，得15分。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4C1FAF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15</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0C5E81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364A43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全专业</w:t>
            </w:r>
          </w:p>
        </w:tc>
      </w:tr>
      <w:tr w14:paraId="5135EAAC">
        <w:tblPrEx>
          <w:tblCellMar>
            <w:top w:w="0" w:type="dxa"/>
            <w:left w:w="0" w:type="dxa"/>
            <w:bottom w:w="0" w:type="dxa"/>
            <w:right w:w="0" w:type="dxa"/>
          </w:tblCellMar>
        </w:tblPrEx>
        <w:trPr>
          <w:trHeight w:val="72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F4DF257">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56B71D">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BBC6A1">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FBFC1F8">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9.2.7</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A80F26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进行建筑碳排放计算分析，采取措施降低单位建筑面积碳排放强度，评价分值为12分。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E032CF">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12</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709FD6C">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54C0A5B">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全专业</w:t>
            </w:r>
          </w:p>
        </w:tc>
      </w:tr>
      <w:tr w14:paraId="1A17F25C">
        <w:tblPrEx>
          <w:tblCellMar>
            <w:top w:w="0" w:type="dxa"/>
            <w:left w:w="0" w:type="dxa"/>
            <w:bottom w:w="0" w:type="dxa"/>
            <w:right w:w="0" w:type="dxa"/>
          </w:tblCellMar>
        </w:tblPrEx>
        <w:trPr>
          <w:trHeight w:val="26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C78A95F">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C064FAB">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92B28C3">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7C7B24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9.2.8</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30F4E4C">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按照绿色施工的要求进行施工和管理，评价总分值为20分，并按下列规则分别评分并累计：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1获得绿色施工优良等级或绿色施工示范工程认定，得8分；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2采取措施减少预拌混凝土损耗，损耗率降低至1.0%，得4分；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3采取措施减少现场加工钢筋损耗，损耗率降低至1.5%，得4分；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4现浇混凝土构件采用铝模等免墙面粉刷的模板体系，得4分。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3B80C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C8B4A6">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4C73A64">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施工</w:t>
            </w:r>
          </w:p>
        </w:tc>
      </w:tr>
      <w:tr w14:paraId="6FDEC01F">
        <w:tblPrEx>
          <w:tblCellMar>
            <w:top w:w="0" w:type="dxa"/>
            <w:left w:w="0" w:type="dxa"/>
            <w:bottom w:w="0" w:type="dxa"/>
            <w:right w:w="0" w:type="dxa"/>
          </w:tblCellMar>
        </w:tblPrEx>
        <w:trPr>
          <w:trHeight w:val="264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3B979C8">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D81B6A4">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44861E9">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7E0E131">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9.2.9</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92BDB75">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采用建设工程质量潜在缺陷保险产品，评价总分值为20分，并按下列规则分别评分并累计：</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1保险承保范围包括地基基础工程、主体结构工程、屋面防水工程和其他土建工程的质量问题，得10分；</w:t>
            </w:r>
            <w:r>
              <w:rPr>
                <w:rFonts w:hint="eastAsia" w:ascii="宋体" w:hAnsi="宋体" w:eastAsia="宋体" w:cs="宋体"/>
                <w:color w:val="auto"/>
                <w:kern w:val="0"/>
                <w:sz w:val="18"/>
                <w:szCs w:val="18"/>
                <w:highlight w:val="none"/>
              </w:rPr>
              <w:br w:type="textWrapping"/>
            </w:r>
            <w:r>
              <w:rPr>
                <w:rFonts w:hint="eastAsia" w:ascii="宋体" w:hAnsi="宋体" w:eastAsia="宋体" w:cs="宋体"/>
                <w:color w:val="auto"/>
                <w:kern w:val="0"/>
                <w:sz w:val="18"/>
                <w:szCs w:val="18"/>
                <w:highlight w:val="none"/>
              </w:rPr>
              <w:t>2保险承保范围包括装修工程、电气管线、上下水管线的安装工程，供热、供冷系统工程的质量问题，得10分。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8EFC5C">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20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2741BA1">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54D0E6">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施工</w:t>
            </w:r>
          </w:p>
        </w:tc>
      </w:tr>
      <w:tr w14:paraId="4766E946">
        <w:tblPrEx>
          <w:tblCellMar>
            <w:top w:w="0" w:type="dxa"/>
            <w:left w:w="0" w:type="dxa"/>
            <w:bottom w:w="0" w:type="dxa"/>
            <w:right w:w="0" w:type="dxa"/>
          </w:tblCellMar>
        </w:tblPrEx>
        <w:trPr>
          <w:trHeight w:val="1200" w:hRule="atLeast"/>
          <w:jc w:val="center"/>
        </w:trPr>
        <w:tc>
          <w:tcPr>
            <w:tcW w:w="161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F7D6AC9">
            <w:pPr>
              <w:jc w:val="center"/>
              <w:rPr>
                <w:rFonts w:hint="eastAsia" w:ascii="宋体" w:hAnsi="宋体" w:eastAsia="宋体" w:cs="宋体"/>
                <w:color w:val="auto"/>
                <w:sz w:val="18"/>
                <w:szCs w:val="18"/>
                <w:highlight w:val="none"/>
              </w:rPr>
            </w:pPr>
          </w:p>
        </w:tc>
        <w:tc>
          <w:tcPr>
            <w:tcW w:w="1297"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9766EDF">
            <w:pPr>
              <w:jc w:val="center"/>
              <w:rPr>
                <w:rFonts w:hint="eastAsia" w:ascii="宋体" w:hAnsi="宋体" w:eastAsia="宋体" w:cs="宋体"/>
                <w:color w:val="auto"/>
                <w:sz w:val="18"/>
                <w:szCs w:val="18"/>
                <w:highlight w:val="none"/>
              </w:rPr>
            </w:pPr>
          </w:p>
        </w:tc>
        <w:tc>
          <w:tcPr>
            <w:tcW w:w="798" w:type="dxa"/>
            <w:vMerge w:val="continue"/>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F883049">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6B1411A">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9.2.10</w:t>
            </w: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91B6187">
            <w:pPr>
              <w:widowControl/>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采取节约资源、保护生态环境、保障安全健康、智慧友好运行、传承历史文化等其他创新，并有明显效益，评价总分值为40分。每采取一项，得10分，最高得40分。</w:t>
            </w: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A796523">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40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7E29DB88">
            <w:pPr>
              <w:jc w:val="center"/>
              <w:rPr>
                <w:rFonts w:hint="eastAsia" w:ascii="宋体" w:hAnsi="宋体" w:eastAsia="宋体" w:cs="宋体"/>
                <w:color w:val="auto"/>
                <w:sz w:val="18"/>
                <w:szCs w:val="18"/>
                <w:highlight w:val="none"/>
              </w:rPr>
            </w:pP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6D7FF39">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全专业</w:t>
            </w:r>
          </w:p>
        </w:tc>
      </w:tr>
      <w:tr w14:paraId="490D73F8">
        <w:tblPrEx>
          <w:tblCellMar>
            <w:top w:w="0" w:type="dxa"/>
            <w:left w:w="0" w:type="dxa"/>
            <w:bottom w:w="0" w:type="dxa"/>
            <w:right w:w="0" w:type="dxa"/>
          </w:tblCellMar>
        </w:tblPrEx>
        <w:trPr>
          <w:trHeight w:val="270" w:hRule="atLeast"/>
          <w:jc w:val="center"/>
        </w:trPr>
        <w:tc>
          <w:tcPr>
            <w:tcW w:w="1618"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52100BC7">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小计</w:t>
            </w:r>
          </w:p>
        </w:tc>
        <w:tc>
          <w:tcPr>
            <w:tcW w:w="1297"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CA0B9F8">
            <w:pPr>
              <w:jc w:val="center"/>
              <w:rPr>
                <w:rFonts w:hint="eastAsia" w:ascii="宋体" w:hAnsi="宋体" w:eastAsia="宋体" w:cs="宋体"/>
                <w:color w:val="auto"/>
                <w:sz w:val="18"/>
                <w:szCs w:val="18"/>
                <w:highlight w:val="none"/>
              </w:rPr>
            </w:pPr>
          </w:p>
        </w:tc>
        <w:tc>
          <w:tcPr>
            <w:tcW w:w="798" w:type="dxa"/>
            <w:tcBorders>
              <w:top w:val="nil"/>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D0B2F6B">
            <w:pPr>
              <w:jc w:val="center"/>
              <w:rPr>
                <w:rFonts w:hint="eastAsia" w:ascii="宋体" w:hAnsi="宋体" w:eastAsia="宋体" w:cs="宋体"/>
                <w:color w:val="auto"/>
                <w:sz w:val="18"/>
                <w:szCs w:val="18"/>
                <w:highlight w:val="none"/>
              </w:rPr>
            </w:pPr>
          </w:p>
        </w:tc>
        <w:tc>
          <w:tcPr>
            <w:tcW w:w="1054"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4126EAEC">
            <w:pPr>
              <w:jc w:val="center"/>
              <w:rPr>
                <w:rFonts w:hint="eastAsia" w:ascii="宋体" w:hAnsi="宋体" w:eastAsia="宋体" w:cs="宋体"/>
                <w:color w:val="auto"/>
                <w:sz w:val="18"/>
                <w:szCs w:val="18"/>
                <w:highlight w:val="none"/>
              </w:rPr>
            </w:pPr>
          </w:p>
        </w:tc>
        <w:tc>
          <w:tcPr>
            <w:tcW w:w="5766"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0D0F2B6A">
            <w:pPr>
              <w:rPr>
                <w:rFonts w:hint="eastAsia" w:ascii="宋体" w:hAnsi="宋体" w:eastAsia="宋体" w:cs="宋体"/>
                <w:color w:val="auto"/>
                <w:sz w:val="18"/>
                <w:szCs w:val="18"/>
                <w:highlight w:val="none"/>
              </w:rPr>
            </w:pPr>
          </w:p>
        </w:tc>
        <w:tc>
          <w:tcPr>
            <w:tcW w:w="67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1A014685">
            <w:pPr>
              <w:widowControl/>
              <w:jc w:val="center"/>
              <w:textAlignment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100</w:t>
            </w:r>
          </w:p>
        </w:tc>
        <w:tc>
          <w:tcPr>
            <w:tcW w:w="1746"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3DFB1AF5">
            <w:pPr>
              <w:jc w:val="center"/>
              <w:rPr>
                <w:rFonts w:hint="eastAsia" w:ascii="宋体" w:hAnsi="宋体" w:eastAsia="宋体" w:cs="宋体"/>
                <w:color w:val="auto"/>
                <w:sz w:val="18"/>
                <w:szCs w:val="18"/>
                <w:highlight w:val="none"/>
              </w:rPr>
            </w:pPr>
            <w:r>
              <w:rPr>
                <w:rFonts w:hint="eastAsia" w:ascii="宋体" w:hAnsi="宋体" w:eastAsia="宋体" w:cs="宋体"/>
                <w:color w:val="auto"/>
                <w:kern w:val="0"/>
                <w:sz w:val="18"/>
                <w:szCs w:val="18"/>
                <w:highlight w:val="none"/>
              </w:rPr>
              <w:t>10</w:t>
            </w:r>
          </w:p>
        </w:tc>
        <w:tc>
          <w:tcPr>
            <w:tcW w:w="999"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6545FD25">
            <w:pPr>
              <w:rPr>
                <w:rFonts w:hint="eastAsia" w:ascii="宋体" w:hAnsi="宋体" w:eastAsia="宋体" w:cs="宋体"/>
                <w:color w:val="auto"/>
                <w:sz w:val="18"/>
                <w:szCs w:val="18"/>
                <w:highlight w:val="none"/>
              </w:rPr>
            </w:pPr>
          </w:p>
        </w:tc>
      </w:tr>
    </w:tbl>
    <w:p w14:paraId="2426D0C7">
      <w:pPr>
        <w:rPr>
          <w:rFonts w:hint="eastAsia" w:ascii="宋体" w:hAnsi="宋体" w:eastAsia="宋体" w:cs="宋体"/>
          <w:color w:val="auto"/>
          <w:highlight w:val="none"/>
        </w:rPr>
      </w:pPr>
    </w:p>
    <w:p w14:paraId="00243A6A">
      <w:pPr>
        <w:rPr>
          <w:rFonts w:hint="eastAsia" w:ascii="宋体" w:hAnsi="宋体" w:eastAsia="宋体" w:cs="宋体"/>
          <w:color w:val="auto"/>
          <w:highlight w:val="none"/>
        </w:rPr>
      </w:pPr>
    </w:p>
    <w:p w14:paraId="08E19900">
      <w:pPr>
        <w:pStyle w:val="2"/>
        <w:keepNext w:val="0"/>
        <w:keepLines w:val="0"/>
        <w:numPr>
          <w:ilvl w:val="0"/>
          <w:numId w:val="15"/>
        </w:numPr>
        <w:snapToGrid/>
        <w:spacing w:line="360" w:lineRule="auto"/>
        <w:jc w:val="center"/>
        <w:rPr>
          <w:rFonts w:hint="eastAsia" w:ascii="宋体" w:hAnsi="宋体" w:eastAsia="宋体" w:cs="宋体"/>
          <w:color w:val="auto"/>
          <w:highlight w:val="none"/>
        </w:rPr>
        <w:sectPr>
          <w:pgSz w:w="16838" w:h="11906" w:orient="landscape"/>
          <w:pgMar w:top="1803" w:right="1440" w:bottom="1803" w:left="1440" w:header="851" w:footer="992" w:gutter="0"/>
          <w:cols w:space="0" w:num="1"/>
          <w:docGrid w:type="lines" w:linePitch="319" w:charSpace="0"/>
        </w:sectPr>
      </w:pPr>
    </w:p>
    <w:p w14:paraId="51B75A16">
      <w:pPr>
        <w:pStyle w:val="5"/>
        <w:keepNext w:val="0"/>
        <w:keepLines w:val="0"/>
        <w:snapToGrid/>
        <w:spacing w:before="120" w:beforeLines="50" w:after="0"/>
        <w:rPr>
          <w:rFonts w:hint="eastAsia" w:ascii="宋体" w:hAnsi="宋体" w:eastAsia="宋体" w:cs="宋体"/>
          <w:color w:val="auto"/>
          <w:sz w:val="24"/>
          <w:szCs w:val="24"/>
          <w:highlight w:val="none"/>
        </w:rPr>
      </w:pPr>
      <w:bookmarkStart w:id="431" w:name="_Toc15443"/>
      <w:bookmarkStart w:id="432" w:name="_Toc24723"/>
      <w:bookmarkStart w:id="433" w:name="_Toc7776"/>
      <w:bookmarkStart w:id="434" w:name="_Toc15209"/>
      <w:bookmarkStart w:id="435" w:name="_Toc104581767"/>
      <w:r>
        <w:rPr>
          <w:rFonts w:hint="eastAsia" w:ascii="宋体" w:hAnsi="宋体" w:eastAsia="宋体" w:cs="宋体"/>
          <w:color w:val="auto"/>
          <w:sz w:val="24"/>
          <w:szCs w:val="24"/>
          <w:highlight w:val="none"/>
        </w:rPr>
        <w:t>9.海绵城市设计</w:t>
      </w:r>
      <w:bookmarkEnd w:id="431"/>
      <w:bookmarkEnd w:id="432"/>
      <w:bookmarkEnd w:id="433"/>
      <w:bookmarkEnd w:id="434"/>
      <w:bookmarkEnd w:id="435"/>
    </w:p>
    <w:p w14:paraId="0207D1FB">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36" w:name="_Toc26018"/>
      <w:bookmarkStart w:id="437" w:name="_Toc10422"/>
      <w:bookmarkStart w:id="438" w:name="_Toc104581768"/>
      <w:bookmarkStart w:id="439" w:name="_Toc24951"/>
      <w:r>
        <w:rPr>
          <w:rFonts w:hint="eastAsia" w:ascii="宋体" w:hAnsi="宋体" w:eastAsia="宋体" w:cs="宋体"/>
          <w:color w:val="auto"/>
          <w:sz w:val="24"/>
          <w:szCs w:val="24"/>
          <w:highlight w:val="none"/>
        </w:rPr>
        <w:t>9.1 总则</w:t>
      </w:r>
      <w:bookmarkEnd w:id="436"/>
      <w:bookmarkEnd w:id="437"/>
      <w:bookmarkEnd w:id="438"/>
      <w:bookmarkEnd w:id="439"/>
    </w:p>
    <w:p w14:paraId="010F4621">
      <w:pPr>
        <w:pStyle w:val="85"/>
        <w:spacing w:before="0" w:beforeAutospacing="0" w:after="0" w:afterAutospacing="0" w:line="360" w:lineRule="auto"/>
        <w:ind w:left="0" w:firstLine="480" w:firstLineChars="200"/>
        <w:rPr>
          <w:rStyle w:val="81"/>
          <w:rFonts w:hint="eastAsia" w:ascii="宋体" w:hAnsi="宋体" w:cs="宋体"/>
          <w:sz w:val="24"/>
          <w:szCs w:val="24"/>
          <w:highlight w:val="none"/>
        </w:rPr>
      </w:pPr>
      <w:r>
        <w:rPr>
          <w:rStyle w:val="81"/>
          <w:rFonts w:hint="eastAsia" w:ascii="宋体" w:hAnsi="宋体" w:cs="宋体"/>
          <w:sz w:val="24"/>
          <w:szCs w:val="24"/>
          <w:highlight w:val="none"/>
        </w:rPr>
        <w:t>9.1.1 在限额设计的基础上保障海绵城市专项设计满足广州市海绵城市建设要求。使设计满足安全、卫生、适用、经济等性能要求。</w:t>
      </w:r>
    </w:p>
    <w:p w14:paraId="42021F75">
      <w:pPr>
        <w:pStyle w:val="85"/>
        <w:spacing w:before="0" w:beforeAutospacing="0" w:after="0" w:afterAutospacing="0" w:line="360" w:lineRule="auto"/>
        <w:ind w:left="442" w:leftChars="201" w:firstLine="14" w:firstLineChars="6"/>
        <w:rPr>
          <w:rStyle w:val="81"/>
          <w:rFonts w:hint="eastAsia" w:ascii="宋体" w:hAnsi="宋体" w:cs="宋体"/>
          <w:sz w:val="24"/>
          <w:szCs w:val="24"/>
          <w:highlight w:val="none"/>
        </w:rPr>
      </w:pPr>
      <w:r>
        <w:rPr>
          <w:rStyle w:val="81"/>
          <w:rFonts w:hint="eastAsia" w:ascii="宋体" w:hAnsi="宋体" w:cs="宋体"/>
          <w:sz w:val="24"/>
          <w:szCs w:val="24"/>
          <w:highlight w:val="none"/>
        </w:rPr>
        <w:t>9.1.2 制定各控制指标项，实现安置区设计的标准化。</w:t>
      </w:r>
    </w:p>
    <w:p w14:paraId="667D9035">
      <w:pPr>
        <w:pStyle w:val="90"/>
        <w:ind w:firstLine="480" w:firstLineChars="200"/>
        <w:rPr>
          <w:rFonts w:hint="eastAsia"/>
          <w:color w:val="auto"/>
          <w:sz w:val="24"/>
          <w:szCs w:val="24"/>
          <w:highlight w:val="none"/>
        </w:rPr>
      </w:pPr>
      <w:r>
        <w:rPr>
          <w:rFonts w:hint="eastAsia"/>
          <w:color w:val="auto"/>
          <w:sz w:val="24"/>
          <w:szCs w:val="24"/>
          <w:highlight w:val="none"/>
        </w:rPr>
        <w:t>9.1.3 主要设计规范</w:t>
      </w:r>
    </w:p>
    <w:p w14:paraId="7A121DA3">
      <w:pPr>
        <w:pStyle w:val="63"/>
        <w:snapToGrid/>
        <w:spacing w:before="0" w:after="0" w:line="360" w:lineRule="auto"/>
        <w:ind w:left="440" w:leftChars="200" w:firstLine="0" w:firstLineChars="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9.1.3.1 《广州市建设项目雨水径流控制办法》（广州市人民政府令第107号2019年11月修订版）</w:t>
      </w:r>
    </w:p>
    <w:p w14:paraId="2407F4FF">
      <w:pPr>
        <w:pStyle w:val="63"/>
        <w:snapToGrid/>
        <w:spacing w:before="0" w:after="0" w:line="360" w:lineRule="auto"/>
        <w:ind w:left="440" w:leftChars="200" w:firstLine="0" w:firstLineChars="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9.1.3.2 《广州市海绵城市规划设计导则——低影响开发系统构建》（试行）2017.11</w:t>
      </w:r>
    </w:p>
    <w:p w14:paraId="604E9B00">
      <w:pPr>
        <w:pStyle w:val="63"/>
        <w:snapToGrid/>
        <w:spacing w:before="0" w:after="0" w:line="360" w:lineRule="auto"/>
        <w:ind w:left="440" w:leftChars="200" w:firstLine="0" w:firstLineChars="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9.1.3.3 《广州市海绵城市专项规划（2016～2030）》</w:t>
      </w:r>
    </w:p>
    <w:p w14:paraId="429D29F7">
      <w:pPr>
        <w:pStyle w:val="63"/>
        <w:snapToGrid/>
        <w:spacing w:before="0" w:after="0" w:line="360" w:lineRule="auto"/>
        <w:ind w:left="440" w:leftChars="200" w:firstLine="0" w:firstLineChars="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9.1.3.4《广州市建设项目海绵城市建设管控指标分类指引（试行）》（穗水河湖【2020】7号）</w:t>
      </w:r>
    </w:p>
    <w:p w14:paraId="225FAFD7">
      <w:pPr>
        <w:pStyle w:val="63"/>
        <w:snapToGrid/>
        <w:spacing w:before="0" w:after="0" w:line="360" w:lineRule="auto"/>
        <w:ind w:left="440" w:leftChars="200" w:firstLine="0" w:firstLineChars="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9.1.3.5 《广州市海绵城市建设专篇编制要点》（2021年5月1日执行）</w:t>
      </w:r>
    </w:p>
    <w:p w14:paraId="4BE98D0B">
      <w:pPr>
        <w:pStyle w:val="63"/>
        <w:snapToGrid/>
        <w:spacing w:before="0" w:after="0" w:line="360" w:lineRule="auto"/>
        <w:ind w:left="440" w:leftChars="200" w:firstLine="0" w:firstLineChars="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9.1.3.6 《广州市海绵城市建设实施方案（2021-2025年）》</w:t>
      </w:r>
    </w:p>
    <w:p w14:paraId="59D4B2D7">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40" w:name="_Toc22714"/>
      <w:bookmarkStart w:id="441" w:name="_Toc16242"/>
      <w:bookmarkStart w:id="442" w:name="_Toc2736"/>
      <w:bookmarkStart w:id="443" w:name="_Toc104581769"/>
      <w:r>
        <w:rPr>
          <w:rFonts w:hint="eastAsia" w:ascii="宋体" w:hAnsi="宋体" w:eastAsia="宋体" w:cs="宋体"/>
          <w:color w:val="auto"/>
          <w:sz w:val="24"/>
          <w:szCs w:val="24"/>
          <w:highlight w:val="none"/>
        </w:rPr>
        <w:t>9.2 关键指标</w:t>
      </w:r>
      <w:bookmarkEnd w:id="440"/>
      <w:bookmarkEnd w:id="441"/>
      <w:bookmarkEnd w:id="442"/>
      <w:bookmarkEnd w:id="443"/>
    </w:p>
    <w:p w14:paraId="4FDDC5C2">
      <w:pPr>
        <w:pStyle w:val="24"/>
        <w:ind w:left="440" w:leftChars="200" w:firstLine="0" w:firstLineChars="0"/>
        <w:rPr>
          <w:rFonts w:hint="eastAsia" w:hAnsi="宋体" w:cs="宋体"/>
          <w:szCs w:val="24"/>
          <w:highlight w:val="none"/>
        </w:rPr>
      </w:pPr>
      <w:r>
        <w:rPr>
          <w:rFonts w:hint="eastAsia" w:hAnsi="宋体" w:cs="宋体"/>
          <w:szCs w:val="24"/>
          <w:highlight w:val="none"/>
        </w:rPr>
        <w:t>9.2.1 总体控制指标详下表：</w:t>
      </w:r>
    </w:p>
    <w:tbl>
      <w:tblPr>
        <w:tblStyle w:val="42"/>
        <w:tblW w:w="83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1698"/>
        <w:gridCol w:w="1977"/>
        <w:gridCol w:w="1353"/>
        <w:gridCol w:w="2652"/>
      </w:tblGrid>
      <w:tr w14:paraId="19875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36" w:type="dxa"/>
            <w:vAlign w:val="center"/>
          </w:tcPr>
          <w:p w14:paraId="09F893A6">
            <w:pPr>
              <w:pStyle w:val="80"/>
              <w:adjustRightInd w:val="0"/>
              <w:snapToGrid w:val="0"/>
              <w:spacing w:line="360" w:lineRule="auto"/>
              <w:ind w:firstLine="0" w:firstLineChars="0"/>
              <w:jc w:val="center"/>
              <w:rPr>
                <w:rFonts w:hint="eastAsia" w:ascii="宋体" w:hAnsi="宋体" w:cs="宋体"/>
                <w:b/>
                <w:bCs/>
                <w:highlight w:val="none"/>
              </w:rPr>
            </w:pPr>
            <w:r>
              <w:rPr>
                <w:rFonts w:hint="eastAsia" w:ascii="宋体" w:hAnsi="宋体" w:cs="宋体"/>
                <w:b/>
                <w:bCs/>
                <w:highlight w:val="none"/>
              </w:rPr>
              <w:t>编号</w:t>
            </w:r>
          </w:p>
        </w:tc>
        <w:tc>
          <w:tcPr>
            <w:tcW w:w="1698" w:type="dxa"/>
            <w:vAlign w:val="center"/>
          </w:tcPr>
          <w:p w14:paraId="2044F790">
            <w:pPr>
              <w:pStyle w:val="80"/>
              <w:adjustRightInd w:val="0"/>
              <w:snapToGrid w:val="0"/>
              <w:spacing w:line="360" w:lineRule="auto"/>
              <w:ind w:firstLine="0" w:firstLineChars="0"/>
              <w:jc w:val="center"/>
              <w:rPr>
                <w:rFonts w:hint="eastAsia" w:ascii="宋体" w:hAnsi="宋体" w:cs="宋体"/>
                <w:b/>
                <w:bCs/>
                <w:highlight w:val="none"/>
              </w:rPr>
            </w:pPr>
            <w:r>
              <w:rPr>
                <w:rFonts w:hint="eastAsia" w:ascii="宋体" w:hAnsi="宋体" w:cs="宋体"/>
                <w:b/>
                <w:bCs/>
                <w:highlight w:val="none"/>
              </w:rPr>
              <w:t>指标</w:t>
            </w:r>
          </w:p>
        </w:tc>
        <w:tc>
          <w:tcPr>
            <w:tcW w:w="1977" w:type="dxa"/>
            <w:vAlign w:val="center"/>
          </w:tcPr>
          <w:p w14:paraId="10DA01E4">
            <w:pPr>
              <w:pStyle w:val="80"/>
              <w:adjustRightInd w:val="0"/>
              <w:snapToGrid w:val="0"/>
              <w:spacing w:line="360" w:lineRule="auto"/>
              <w:ind w:firstLine="0" w:firstLineChars="0"/>
              <w:jc w:val="center"/>
              <w:rPr>
                <w:rFonts w:hint="eastAsia" w:ascii="宋体" w:hAnsi="宋体" w:cs="宋体"/>
                <w:b/>
                <w:bCs/>
                <w:highlight w:val="none"/>
              </w:rPr>
            </w:pPr>
            <w:r>
              <w:rPr>
                <w:rFonts w:hint="eastAsia" w:ascii="宋体" w:hAnsi="宋体" w:cs="宋体"/>
                <w:b/>
                <w:bCs/>
                <w:highlight w:val="none"/>
              </w:rPr>
              <w:t>控制值</w:t>
            </w:r>
          </w:p>
        </w:tc>
        <w:tc>
          <w:tcPr>
            <w:tcW w:w="1353" w:type="dxa"/>
            <w:vAlign w:val="center"/>
          </w:tcPr>
          <w:p w14:paraId="1687529C">
            <w:pPr>
              <w:pStyle w:val="80"/>
              <w:adjustRightInd w:val="0"/>
              <w:snapToGrid w:val="0"/>
              <w:spacing w:line="360" w:lineRule="auto"/>
              <w:ind w:firstLine="0" w:firstLineChars="0"/>
              <w:jc w:val="center"/>
              <w:rPr>
                <w:rFonts w:hint="eastAsia" w:ascii="宋体" w:hAnsi="宋体" w:cs="宋体"/>
                <w:b/>
                <w:bCs/>
                <w:highlight w:val="none"/>
              </w:rPr>
            </w:pPr>
            <w:r>
              <w:rPr>
                <w:rFonts w:hint="eastAsia" w:ascii="宋体" w:hAnsi="宋体" w:cs="宋体"/>
                <w:b/>
                <w:bCs/>
                <w:highlight w:val="none"/>
              </w:rPr>
              <w:t>类型</w:t>
            </w:r>
          </w:p>
        </w:tc>
        <w:tc>
          <w:tcPr>
            <w:tcW w:w="2652" w:type="dxa"/>
            <w:vAlign w:val="center"/>
          </w:tcPr>
          <w:p w14:paraId="6078E8C9">
            <w:pPr>
              <w:pStyle w:val="80"/>
              <w:adjustRightInd w:val="0"/>
              <w:snapToGrid w:val="0"/>
              <w:spacing w:line="360" w:lineRule="auto"/>
              <w:ind w:firstLine="0" w:firstLineChars="0"/>
              <w:jc w:val="center"/>
              <w:rPr>
                <w:rFonts w:hint="eastAsia" w:ascii="宋体" w:hAnsi="宋体" w:cs="宋体"/>
                <w:b/>
                <w:bCs/>
                <w:highlight w:val="none"/>
              </w:rPr>
            </w:pPr>
            <w:r>
              <w:rPr>
                <w:rFonts w:hint="eastAsia" w:ascii="宋体" w:hAnsi="宋体" w:cs="宋体"/>
                <w:b/>
                <w:bCs/>
                <w:highlight w:val="none"/>
              </w:rPr>
              <w:t>备注</w:t>
            </w:r>
          </w:p>
        </w:tc>
      </w:tr>
      <w:tr w14:paraId="62B2A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36" w:type="dxa"/>
            <w:vAlign w:val="center"/>
          </w:tcPr>
          <w:p w14:paraId="7825C32E">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1</w:t>
            </w:r>
          </w:p>
        </w:tc>
        <w:tc>
          <w:tcPr>
            <w:tcW w:w="1698" w:type="dxa"/>
            <w:vAlign w:val="center"/>
          </w:tcPr>
          <w:p w14:paraId="5BBDBF22">
            <w:pPr>
              <w:pStyle w:val="80"/>
              <w:adjustRightInd w:val="0"/>
              <w:snapToGrid w:val="0"/>
              <w:spacing w:line="360" w:lineRule="auto"/>
              <w:ind w:firstLine="0" w:firstLineChars="0"/>
              <w:jc w:val="left"/>
              <w:rPr>
                <w:rFonts w:hint="eastAsia" w:ascii="宋体" w:hAnsi="宋体" w:cs="宋体"/>
                <w:highlight w:val="none"/>
              </w:rPr>
            </w:pPr>
            <w:r>
              <w:rPr>
                <w:rFonts w:hint="eastAsia" w:ascii="宋体" w:hAnsi="宋体" w:cs="宋体"/>
                <w:highlight w:val="none"/>
                <w:lang w:val="zh-CN"/>
              </w:rPr>
              <w:t>年径流总量控制率</w:t>
            </w:r>
          </w:p>
        </w:tc>
        <w:tc>
          <w:tcPr>
            <w:tcW w:w="1977" w:type="dxa"/>
            <w:vAlign w:val="center"/>
          </w:tcPr>
          <w:p w14:paraId="195A6C45">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按规划中管控单元取值</w:t>
            </w:r>
          </w:p>
        </w:tc>
        <w:tc>
          <w:tcPr>
            <w:tcW w:w="1353" w:type="dxa"/>
            <w:vAlign w:val="center"/>
          </w:tcPr>
          <w:p w14:paraId="3CF862A4">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强制性指标</w:t>
            </w:r>
          </w:p>
        </w:tc>
        <w:tc>
          <w:tcPr>
            <w:tcW w:w="2652" w:type="dxa"/>
            <w:vAlign w:val="center"/>
          </w:tcPr>
          <w:p w14:paraId="1FED03AC">
            <w:pPr>
              <w:pStyle w:val="80"/>
              <w:adjustRightInd w:val="0"/>
              <w:snapToGrid w:val="0"/>
              <w:spacing w:line="360" w:lineRule="auto"/>
              <w:ind w:firstLine="0" w:firstLineChars="0"/>
              <w:rPr>
                <w:rFonts w:hint="eastAsia" w:ascii="宋体" w:hAnsi="宋体" w:cs="宋体"/>
                <w:highlight w:val="none"/>
              </w:rPr>
            </w:pPr>
            <w:r>
              <w:rPr>
                <w:rFonts w:hint="eastAsia" w:ascii="宋体" w:hAnsi="宋体" w:cs="宋体"/>
                <w:highlight w:val="none"/>
              </w:rPr>
              <w:t>实际控制率以不超过规划指标2%为宜，控制工程量。</w:t>
            </w:r>
          </w:p>
        </w:tc>
      </w:tr>
      <w:tr w14:paraId="53BA6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36" w:type="dxa"/>
            <w:vAlign w:val="center"/>
          </w:tcPr>
          <w:p w14:paraId="7B7DB059">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2</w:t>
            </w:r>
          </w:p>
        </w:tc>
        <w:tc>
          <w:tcPr>
            <w:tcW w:w="1698" w:type="dxa"/>
            <w:vAlign w:val="center"/>
          </w:tcPr>
          <w:p w14:paraId="1FE34E8E">
            <w:pPr>
              <w:pStyle w:val="80"/>
              <w:adjustRightInd w:val="0"/>
              <w:snapToGrid w:val="0"/>
              <w:spacing w:line="360" w:lineRule="auto"/>
              <w:ind w:firstLine="0" w:firstLineChars="0"/>
              <w:jc w:val="left"/>
              <w:rPr>
                <w:rFonts w:hint="eastAsia" w:ascii="宋体" w:hAnsi="宋体" w:cs="宋体"/>
                <w:highlight w:val="none"/>
              </w:rPr>
            </w:pPr>
            <w:r>
              <w:rPr>
                <w:rFonts w:hint="eastAsia" w:ascii="宋体" w:hAnsi="宋体" w:cs="宋体"/>
                <w:highlight w:val="none"/>
              </w:rPr>
              <w:t>年径流污染削减率</w:t>
            </w:r>
          </w:p>
        </w:tc>
        <w:tc>
          <w:tcPr>
            <w:tcW w:w="1977" w:type="dxa"/>
            <w:vAlign w:val="center"/>
          </w:tcPr>
          <w:p w14:paraId="6E4959C0">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按规划中管控单元取值</w:t>
            </w:r>
          </w:p>
        </w:tc>
        <w:tc>
          <w:tcPr>
            <w:tcW w:w="1353" w:type="dxa"/>
            <w:vAlign w:val="center"/>
          </w:tcPr>
          <w:p w14:paraId="0F05157C">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强制性指标</w:t>
            </w:r>
          </w:p>
        </w:tc>
        <w:tc>
          <w:tcPr>
            <w:tcW w:w="2652" w:type="dxa"/>
            <w:vAlign w:val="center"/>
          </w:tcPr>
          <w:p w14:paraId="5115FDE7">
            <w:pPr>
              <w:pStyle w:val="80"/>
              <w:adjustRightInd w:val="0"/>
              <w:snapToGrid w:val="0"/>
              <w:spacing w:line="360" w:lineRule="auto"/>
              <w:ind w:firstLine="0" w:firstLineChars="0"/>
              <w:rPr>
                <w:rFonts w:hint="eastAsia" w:ascii="宋体" w:hAnsi="宋体" w:cs="宋体"/>
                <w:highlight w:val="none"/>
              </w:rPr>
            </w:pPr>
          </w:p>
        </w:tc>
      </w:tr>
      <w:tr w14:paraId="3D746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36" w:type="dxa"/>
            <w:vAlign w:val="center"/>
          </w:tcPr>
          <w:p w14:paraId="313B5759">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3</w:t>
            </w:r>
          </w:p>
        </w:tc>
        <w:tc>
          <w:tcPr>
            <w:tcW w:w="1698" w:type="dxa"/>
            <w:vAlign w:val="center"/>
          </w:tcPr>
          <w:p w14:paraId="4C92B25F">
            <w:pPr>
              <w:pStyle w:val="80"/>
              <w:adjustRightInd w:val="0"/>
              <w:snapToGrid w:val="0"/>
              <w:spacing w:line="360" w:lineRule="auto"/>
              <w:ind w:firstLine="0" w:firstLineChars="0"/>
              <w:jc w:val="left"/>
              <w:rPr>
                <w:rFonts w:hint="eastAsia" w:ascii="宋体" w:hAnsi="宋体" w:cs="宋体"/>
                <w:highlight w:val="none"/>
              </w:rPr>
            </w:pPr>
            <w:r>
              <w:rPr>
                <w:rFonts w:hint="eastAsia" w:ascii="宋体" w:hAnsi="宋体" w:cs="宋体"/>
                <w:highlight w:val="none"/>
              </w:rPr>
              <w:t>室外可渗透地面率</w:t>
            </w:r>
          </w:p>
        </w:tc>
        <w:tc>
          <w:tcPr>
            <w:tcW w:w="1977" w:type="dxa"/>
            <w:vAlign w:val="center"/>
          </w:tcPr>
          <w:p w14:paraId="32D1B377">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40%</w:t>
            </w:r>
          </w:p>
        </w:tc>
        <w:tc>
          <w:tcPr>
            <w:tcW w:w="1353" w:type="dxa"/>
            <w:vAlign w:val="center"/>
          </w:tcPr>
          <w:p w14:paraId="31DEA49D">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强制性指标</w:t>
            </w:r>
          </w:p>
        </w:tc>
        <w:tc>
          <w:tcPr>
            <w:tcW w:w="2652" w:type="dxa"/>
            <w:vAlign w:val="center"/>
          </w:tcPr>
          <w:p w14:paraId="455DE058">
            <w:pPr>
              <w:pStyle w:val="80"/>
              <w:adjustRightInd w:val="0"/>
              <w:snapToGrid w:val="0"/>
              <w:spacing w:line="360" w:lineRule="auto"/>
              <w:ind w:firstLine="0" w:firstLineChars="0"/>
              <w:rPr>
                <w:rFonts w:hint="eastAsia" w:ascii="宋体" w:hAnsi="宋体" w:cs="宋体"/>
                <w:highlight w:val="none"/>
              </w:rPr>
            </w:pPr>
          </w:p>
        </w:tc>
      </w:tr>
      <w:tr w14:paraId="026F4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36" w:type="dxa"/>
            <w:vAlign w:val="center"/>
          </w:tcPr>
          <w:p w14:paraId="3625DAB5">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4</w:t>
            </w:r>
          </w:p>
        </w:tc>
        <w:tc>
          <w:tcPr>
            <w:tcW w:w="1698" w:type="dxa"/>
            <w:vAlign w:val="center"/>
          </w:tcPr>
          <w:p w14:paraId="65442C6A">
            <w:pPr>
              <w:pStyle w:val="80"/>
              <w:adjustRightInd w:val="0"/>
              <w:snapToGrid w:val="0"/>
              <w:spacing w:line="360" w:lineRule="auto"/>
              <w:ind w:firstLine="0" w:firstLineChars="0"/>
              <w:jc w:val="left"/>
              <w:rPr>
                <w:rFonts w:hint="eastAsia" w:ascii="宋体" w:hAnsi="宋体" w:cs="宋体"/>
                <w:highlight w:val="none"/>
              </w:rPr>
            </w:pPr>
            <w:r>
              <w:rPr>
                <w:rFonts w:hint="eastAsia" w:ascii="宋体" w:hAnsi="宋体" w:cs="宋体"/>
                <w:highlight w:val="none"/>
              </w:rPr>
              <w:t>透水铺装率</w:t>
            </w:r>
          </w:p>
        </w:tc>
        <w:tc>
          <w:tcPr>
            <w:tcW w:w="1977" w:type="dxa"/>
            <w:vAlign w:val="center"/>
          </w:tcPr>
          <w:p w14:paraId="0368D679">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70%</w:t>
            </w:r>
          </w:p>
        </w:tc>
        <w:tc>
          <w:tcPr>
            <w:tcW w:w="1353" w:type="dxa"/>
            <w:vAlign w:val="center"/>
          </w:tcPr>
          <w:p w14:paraId="67F88C03">
            <w:pPr>
              <w:pStyle w:val="80"/>
              <w:adjustRightInd w:val="0"/>
              <w:snapToGrid w:val="0"/>
              <w:spacing w:line="360" w:lineRule="auto"/>
              <w:ind w:firstLine="0" w:firstLineChars="0"/>
              <w:jc w:val="center"/>
              <w:rPr>
                <w:rFonts w:hint="eastAsia" w:ascii="宋体" w:hAnsi="宋体" w:cs="宋体"/>
                <w:highlight w:val="none"/>
              </w:rPr>
            </w:pPr>
            <w:r>
              <w:rPr>
                <w:rFonts w:hint="eastAsia" w:ascii="宋体" w:hAnsi="宋体" w:cs="宋体"/>
                <w:highlight w:val="none"/>
              </w:rPr>
              <w:t>强制性指标</w:t>
            </w:r>
          </w:p>
        </w:tc>
        <w:tc>
          <w:tcPr>
            <w:tcW w:w="2652" w:type="dxa"/>
            <w:vAlign w:val="center"/>
          </w:tcPr>
          <w:p w14:paraId="452047CD">
            <w:pPr>
              <w:pStyle w:val="80"/>
              <w:adjustRightInd w:val="0"/>
              <w:snapToGrid w:val="0"/>
              <w:spacing w:line="360" w:lineRule="auto"/>
              <w:ind w:firstLine="0" w:firstLineChars="0"/>
              <w:rPr>
                <w:rFonts w:hint="eastAsia" w:ascii="宋体" w:hAnsi="宋体" w:cs="宋体"/>
                <w:highlight w:val="none"/>
              </w:rPr>
            </w:pPr>
          </w:p>
        </w:tc>
      </w:tr>
      <w:tr w14:paraId="02C30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316" w:type="dxa"/>
            <w:gridSpan w:val="5"/>
            <w:vAlign w:val="center"/>
          </w:tcPr>
          <w:p w14:paraId="0330D0B3">
            <w:pPr>
              <w:pStyle w:val="80"/>
              <w:adjustRightInd w:val="0"/>
              <w:snapToGrid w:val="0"/>
              <w:spacing w:line="360" w:lineRule="auto"/>
              <w:ind w:firstLine="0" w:firstLineChars="0"/>
              <w:rPr>
                <w:rFonts w:hint="eastAsia" w:ascii="宋体" w:hAnsi="宋体" w:cs="宋体"/>
                <w:highlight w:val="none"/>
              </w:rPr>
            </w:pPr>
            <w:r>
              <w:rPr>
                <w:rFonts w:hint="eastAsia" w:ascii="宋体" w:hAnsi="宋体" w:cs="宋体"/>
                <w:highlight w:val="none"/>
              </w:rPr>
              <w:t>注：广州新建项目1万平方米以上的项目，每万平米硬化面积应当配建不少于500立方米的雨水调蓄设施</w:t>
            </w:r>
          </w:p>
        </w:tc>
      </w:tr>
    </w:tbl>
    <w:p w14:paraId="0FA82E08">
      <w:pPr>
        <w:spacing w:line="360" w:lineRule="auto"/>
        <w:rPr>
          <w:rFonts w:hint="eastAsia" w:ascii="宋体" w:hAnsi="宋体" w:eastAsia="宋体" w:cs="宋体"/>
          <w:b/>
          <w:color w:val="auto"/>
          <w:sz w:val="24"/>
          <w:szCs w:val="24"/>
          <w:highlight w:val="none"/>
        </w:rPr>
      </w:pPr>
    </w:p>
    <w:p w14:paraId="41FA991A">
      <w:pPr>
        <w:pStyle w:val="24"/>
        <w:ind w:firstLine="480"/>
        <w:rPr>
          <w:rFonts w:hint="eastAsia" w:hAnsi="宋体" w:cs="宋体"/>
          <w:szCs w:val="24"/>
          <w:highlight w:val="none"/>
        </w:rPr>
      </w:pPr>
      <w:r>
        <w:rPr>
          <w:rFonts w:hint="eastAsia" w:hAnsi="宋体" w:cs="宋体"/>
          <w:szCs w:val="24"/>
          <w:highlight w:val="none"/>
        </w:rPr>
        <w:t>9.2.2 《广州市建设项目海绵城市建设管控指标分类指引》（穗水河湖【2020】7号）中的透水铺装率指标为鼓励项，建议将该指标修改为以规划条件为准，如规划条件为鼓励项可按鼓励项执行。</w:t>
      </w:r>
    </w:p>
    <w:p w14:paraId="45D053EE">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44" w:name="_Toc19469"/>
      <w:r>
        <w:rPr>
          <w:rFonts w:hint="eastAsia" w:ascii="宋体" w:hAnsi="宋体" w:eastAsia="宋体" w:cs="宋体"/>
          <w:color w:val="auto"/>
          <w:sz w:val="24"/>
          <w:szCs w:val="24"/>
          <w:highlight w:val="none"/>
        </w:rPr>
        <w:t>9.3 通用指标</w:t>
      </w:r>
      <w:bookmarkEnd w:id="444"/>
    </w:p>
    <w:p w14:paraId="64309EC9">
      <w:pPr>
        <w:pStyle w:val="24"/>
        <w:ind w:firstLine="480"/>
        <w:rPr>
          <w:rFonts w:hint="eastAsia" w:hAnsi="宋体" w:cs="宋体"/>
          <w:szCs w:val="24"/>
          <w:highlight w:val="none"/>
        </w:rPr>
      </w:pPr>
      <w:r>
        <w:rPr>
          <w:rFonts w:hint="eastAsia" w:hAnsi="宋体" w:cs="宋体"/>
          <w:szCs w:val="24"/>
          <w:highlight w:val="none"/>
        </w:rPr>
        <w:t>海绵城市措施设计选择时，应结合景观设计要求采用下凹绿地、雨水花园、透水铺装、绿色屋面等绿色生态形式，尽量减少雨水调蓄池等设施规模。主要措施推荐做法如下：</w:t>
      </w:r>
    </w:p>
    <w:p w14:paraId="3848703E">
      <w:pPr>
        <w:pStyle w:val="24"/>
        <w:ind w:firstLine="480"/>
        <w:rPr>
          <w:rFonts w:hint="eastAsia" w:hAnsi="宋体" w:cs="宋体"/>
          <w:szCs w:val="24"/>
          <w:highlight w:val="none"/>
        </w:rPr>
      </w:pPr>
      <w:r>
        <w:rPr>
          <w:rFonts w:hint="eastAsia" w:hAnsi="宋体" w:cs="宋体"/>
          <w:szCs w:val="24"/>
          <w:highlight w:val="none"/>
        </w:rPr>
        <w:t>9.3.1 下沉式绿地：下凹绿地标高按照比周边地坪低0.20m控制，调蓄深度按照0.15m设计。下沉式绿地内设置溢流口，超过蓄存容量的雨水通过溢流口进入到场地的雨水管网中。</w:t>
      </w:r>
    </w:p>
    <w:p w14:paraId="4E06D197">
      <w:pPr>
        <w:pStyle w:val="24"/>
        <w:ind w:firstLine="480"/>
        <w:rPr>
          <w:rFonts w:hint="eastAsia" w:hAnsi="宋体" w:cs="宋体"/>
          <w:szCs w:val="24"/>
          <w:highlight w:val="none"/>
        </w:rPr>
      </w:pPr>
      <w:r>
        <w:rPr>
          <w:rFonts w:hint="eastAsia" w:hAnsi="宋体" w:cs="宋体"/>
          <w:szCs w:val="24"/>
          <w:highlight w:val="none"/>
        </w:rPr>
        <w:t>9.3.2 雨水花园：雨水花园标高按照比周边地坪低0.30m控制，调蓄深度按照0.25m设计。花园内设置溢流口，超过蓄存容量的雨水通过溢流口进入到场地的雨水管网中。</w:t>
      </w:r>
    </w:p>
    <w:p w14:paraId="76A36A3D">
      <w:pPr>
        <w:pStyle w:val="24"/>
        <w:ind w:firstLine="480"/>
        <w:rPr>
          <w:rFonts w:hint="eastAsia" w:hAnsi="宋体" w:cs="宋体"/>
          <w:szCs w:val="24"/>
          <w:highlight w:val="none"/>
        </w:rPr>
      </w:pPr>
      <w:r>
        <w:rPr>
          <w:rFonts w:hint="eastAsia" w:hAnsi="宋体" w:cs="宋体"/>
          <w:szCs w:val="24"/>
          <w:highlight w:val="none"/>
        </w:rPr>
        <w:t>9.3.3 透水铺装：要景观园路及活动广场材料选用透水砖为主，主园路采用透水砖与透水沥青相结合的设计方式。景观地面停车位饰面为植草砖材料。</w:t>
      </w:r>
    </w:p>
    <w:p w14:paraId="762FA4F0">
      <w:pPr>
        <w:pStyle w:val="24"/>
        <w:ind w:firstLine="480"/>
        <w:rPr>
          <w:rFonts w:hint="eastAsia" w:hAnsi="宋体" w:cs="宋体"/>
          <w:szCs w:val="24"/>
          <w:highlight w:val="none"/>
        </w:rPr>
      </w:pPr>
      <w:r>
        <w:rPr>
          <w:rFonts w:hint="eastAsia" w:hAnsi="宋体" w:cs="宋体"/>
          <w:szCs w:val="24"/>
          <w:highlight w:val="none"/>
        </w:rPr>
        <w:t>9.3.4 雨水调蓄池：雨水调蓄池的形式有调蓄池结合地下室设置、室外现浇调蓄池、室外成品PPP模块调蓄池或钢筋混凝土成品罐。根据项目实际情况选择相应形式的调蓄池。</w:t>
      </w:r>
    </w:p>
    <w:p w14:paraId="1CD771EB">
      <w:pPr>
        <w:widowControl/>
        <w:spacing w:line="360" w:lineRule="auto"/>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br w:type="page"/>
      </w:r>
    </w:p>
    <w:p w14:paraId="1039F90D">
      <w:pPr>
        <w:pStyle w:val="5"/>
        <w:keepNext w:val="0"/>
        <w:keepLines w:val="0"/>
        <w:numPr>
          <w:ilvl w:val="0"/>
          <w:numId w:val="16"/>
        </w:numPr>
        <w:snapToGrid/>
        <w:spacing w:before="120" w:beforeLines="50" w:after="0"/>
        <w:rPr>
          <w:rFonts w:hint="eastAsia" w:ascii="宋体" w:hAnsi="宋体" w:eastAsia="宋体" w:cs="宋体"/>
          <w:color w:val="auto"/>
          <w:sz w:val="24"/>
          <w:szCs w:val="24"/>
          <w:highlight w:val="none"/>
        </w:rPr>
      </w:pPr>
      <w:bookmarkStart w:id="445" w:name="_Toc104581770"/>
      <w:bookmarkStart w:id="446" w:name="_Toc30418"/>
      <w:bookmarkStart w:id="447" w:name="_Toc19795"/>
      <w:bookmarkStart w:id="448" w:name="_Toc22194"/>
      <w:bookmarkStart w:id="449" w:name="_Toc5752"/>
      <w:r>
        <w:rPr>
          <w:rFonts w:hint="eastAsia" w:ascii="宋体" w:hAnsi="宋体" w:eastAsia="宋体" w:cs="宋体"/>
          <w:color w:val="auto"/>
          <w:sz w:val="24"/>
          <w:szCs w:val="24"/>
          <w:highlight w:val="none"/>
        </w:rPr>
        <w:t>基坑支护设计</w:t>
      </w:r>
      <w:bookmarkEnd w:id="445"/>
      <w:bookmarkEnd w:id="446"/>
      <w:bookmarkEnd w:id="447"/>
      <w:bookmarkEnd w:id="448"/>
      <w:bookmarkEnd w:id="449"/>
      <w:bookmarkStart w:id="450" w:name="_Toc31000"/>
      <w:bookmarkStart w:id="451" w:name="_Toc29425"/>
      <w:bookmarkStart w:id="452" w:name="_Toc3374"/>
      <w:bookmarkStart w:id="453" w:name="_Toc104581771"/>
    </w:p>
    <w:p w14:paraId="1B140F70">
      <w:pPr>
        <w:pStyle w:val="6"/>
        <w:keepNext w:val="0"/>
        <w:keepLines w:val="0"/>
        <w:numPr>
          <w:ilvl w:val="1"/>
          <w:numId w:val="17"/>
        </w:numPr>
        <w:snapToGrid/>
        <w:ind w:firstLine="482"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一般规定</w:t>
      </w:r>
    </w:p>
    <w:p w14:paraId="6BA0F980">
      <w:pPr>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1、在基坑设计前应到现场进行基坑周边的环境调查踏勘工作，以获取相关的资料作为设计的依据。环境调查的主要内容：基坑开挖影响范围内的建（构）筑物、道路、地下管线、施工场地布置、载重车辆行走路线等。 </w:t>
      </w:r>
    </w:p>
    <w:p w14:paraId="19909E16">
      <w:pPr>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2、在基坑设计前应获得本工程的岩土工程勘察报告、地形图、管线图、红线图、建筑物规划总平面图、稳定的基础和地下室结构设计图等地下室相关图纸作为设计依据。 </w:t>
      </w:r>
    </w:p>
    <w:p w14:paraId="5C0D6BC3">
      <w:pPr>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3、支护结构作为永久结构的一部分时应按相应的永久结构规范满足耐久性要求。 </w:t>
      </w:r>
    </w:p>
    <w:p w14:paraId="09EBF368">
      <w:pPr>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4、支护结构平面布置应满足地下室边墙外界尺寸要求，且支护结构受力变形、施工误差等，均在规范允许的范围内，不影响地下室的正常施工。 </w:t>
      </w:r>
    </w:p>
    <w:p w14:paraId="3BE58EE9">
      <w:pPr>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5、深度应满足地下室净空要求，应计入基坑开挖计算深度的地下室底板和基础承台下垫层或者软土换填厚度；注意电梯井、消防水池、集水井等坑中坑影响情况。 </w:t>
      </w:r>
    </w:p>
    <w:p w14:paraId="70A847F9">
      <w:pPr>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6、对基坑开挖边线处于地铁 50m控制保护范围内的需报送广州市地铁设施保护办公室进行审查，不在控制保护范围内的需到广州市地铁设施保护办公室出具该项目不在地铁控制保护区的核查意见。 </w:t>
      </w:r>
    </w:p>
    <w:p w14:paraId="02DE18AB">
      <w:pPr>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7、凡开挖深度大于等于 7m或地质条件较复杂（如开挖深度范围内软弱土层厚度大于等于 4m）的基坑工程以及采用锚杆（含预应力锚索）、土钉墙或采用人工挖孔桩支护的基坑工程，其基坑支护工程设计文件必须经专项审查。</w:t>
      </w:r>
    </w:p>
    <w:p w14:paraId="1D64F951">
      <w:pPr>
        <w:pStyle w:val="6"/>
        <w:keepNext w:val="0"/>
        <w:keepLines w:val="0"/>
        <w:numPr>
          <w:ilvl w:val="1"/>
          <w:numId w:val="17"/>
        </w:numPr>
        <w:snapToGrid/>
        <w:ind w:firstLine="482"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设计原则</w:t>
      </w:r>
      <w:bookmarkEnd w:id="450"/>
    </w:p>
    <w:p w14:paraId="45BD5DD0">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了解基坑周边的工程地质条件、地下水条件、岩土工程特征及周围环境(道路、管线、建筑物等)；</w:t>
      </w:r>
    </w:p>
    <w:p w14:paraId="0CC4C6B0">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设计方案确保支护结构的安全，保证基坑周围道路及已施工和使用的建（构）筑物的安全和正常使用要求；</w:t>
      </w:r>
    </w:p>
    <w:p w14:paraId="74070468">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支护方案在安全的前提下，经济、合理，满足国家建设工程的有关法规和规范要求；</w:t>
      </w:r>
    </w:p>
    <w:p w14:paraId="4C410C02">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设计考虑施工期间度过雨季和台风季节，其对基坑稳定性的不利影响；</w:t>
      </w:r>
    </w:p>
    <w:p w14:paraId="767676E0">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基坑支护结构能保证主体工程顺利方便施工，且不对主体结构施工造成较大影响；</w:t>
      </w:r>
    </w:p>
    <w:p w14:paraId="39BB5A86">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基坑支护结构有利于土方外运。</w:t>
      </w:r>
    </w:p>
    <w:p w14:paraId="638C96ED">
      <w:pPr>
        <w:pStyle w:val="6"/>
        <w:keepNext w:val="0"/>
        <w:keepLines w:val="0"/>
        <w:numPr>
          <w:ilvl w:val="1"/>
          <w:numId w:val="17"/>
        </w:numPr>
        <w:snapToGrid/>
        <w:ind w:firstLine="482" w:firstLineChars="200"/>
        <w:rPr>
          <w:rFonts w:hint="eastAsia" w:ascii="宋体" w:hAnsi="宋体" w:eastAsia="宋体" w:cs="宋体"/>
          <w:color w:val="auto"/>
          <w:sz w:val="24"/>
          <w:szCs w:val="24"/>
          <w:highlight w:val="none"/>
        </w:rPr>
      </w:pPr>
      <w:bookmarkStart w:id="454" w:name="_Toc28410"/>
      <w:r>
        <w:rPr>
          <w:rFonts w:hint="eastAsia" w:ascii="宋体" w:hAnsi="宋体" w:eastAsia="宋体" w:cs="宋体"/>
          <w:color w:val="auto"/>
          <w:sz w:val="24"/>
          <w:szCs w:val="24"/>
          <w:highlight w:val="none"/>
        </w:rPr>
        <w:t>设计依据</w:t>
      </w:r>
      <w:bookmarkEnd w:id="454"/>
    </w:p>
    <w:p w14:paraId="2386F08B">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基坑支护设计将按照以下,但不限于国家颁布的各种相关的法律、法规以及指导性文件作为设计依据：</w:t>
      </w:r>
    </w:p>
    <w:p w14:paraId="0AC6D44C">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《建筑基坑支护技术规程》（JGJ120-2012）；</w:t>
      </w:r>
    </w:p>
    <w:p w14:paraId="08CB2C3F">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《建筑基坑支护工程技术规程》（DBJ/T 15-20-2016）；</w:t>
      </w:r>
    </w:p>
    <w:p w14:paraId="756D2F0C">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《建筑地基基础设计规范》（GB50007-2011）；</w:t>
      </w:r>
    </w:p>
    <w:p w14:paraId="78B2C81B">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《建筑地基处理技术规范》（JGJ 79-2012）；</w:t>
      </w:r>
    </w:p>
    <w:p w14:paraId="7DB3B19C">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《锚杆喷射混凝土支护技术规范》（GB 50086—2015）；</w:t>
      </w:r>
    </w:p>
    <w:p w14:paraId="71B1ACF9">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《土钉支护技术规范》（GJB 5055-2006）；</w:t>
      </w:r>
    </w:p>
    <w:p w14:paraId="4845BDAC">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《钢结构设计规范》（GB50017-2017）；</w:t>
      </w:r>
    </w:p>
    <w:p w14:paraId="368A5B02">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《钢结构通用规范》GB55006-2021</w:t>
      </w:r>
    </w:p>
    <w:p w14:paraId="74D2284D">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《建筑基坑工程监测技术规范》（GB50497-2019）；</w:t>
      </w:r>
    </w:p>
    <w:p w14:paraId="3D61043D">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《岩土工程勘察规范》（GB50021－2001）(2009年版)；</w:t>
      </w:r>
    </w:p>
    <w:p w14:paraId="4DEC7226">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《混凝土结构设计标准》（GB50010-2010）（2024年版）</w:t>
      </w:r>
    </w:p>
    <w:p w14:paraId="02E3FB6B">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《建筑与市政地基基础通用规范》 (GB55003-2021)</w:t>
      </w:r>
    </w:p>
    <w:p w14:paraId="7F30E2A7">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《建筑桩基技术规范》（JGJ94-2008）</w:t>
      </w:r>
    </w:p>
    <w:p w14:paraId="11741603">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《混凝土结构通用规范》 (GB 55008-2021)</w:t>
      </w:r>
    </w:p>
    <w:p w14:paraId="2D7D2684">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《广东省建筑地基基础设计规范》 (DBJ 15-31-2016)</w:t>
      </w:r>
    </w:p>
    <w:p w14:paraId="353B5CFC">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其它有关国家及地方的现行规程，规范及标准；</w:t>
      </w:r>
    </w:p>
    <w:p w14:paraId="416B10E1">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各专业提供的设计资料。</w:t>
      </w:r>
    </w:p>
    <w:p w14:paraId="43735FB4">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发包人提供的项目初步设计（扩初）资料：</w:t>
      </w:r>
    </w:p>
    <w:p w14:paraId="3C2B5FAC">
      <w:pPr>
        <w:pStyle w:val="80"/>
        <w:spacing w:line="360" w:lineRule="auto"/>
        <w:ind w:firstLine="480"/>
        <w:rPr>
          <w:rFonts w:hint="eastAsia" w:ascii="宋体" w:hAnsi="宋体" w:cs="宋体"/>
          <w:sz w:val="24"/>
          <w:szCs w:val="24"/>
          <w:highlight w:val="none"/>
        </w:rPr>
      </w:pPr>
      <w:r>
        <w:rPr>
          <w:rStyle w:val="81"/>
          <w:rFonts w:hint="eastAsia" w:ascii="宋体" w:hAnsi="宋体" w:cs="宋体"/>
          <w:sz w:val="24"/>
          <w:szCs w:val="24"/>
          <w:highlight w:val="none"/>
        </w:rPr>
        <w:t>本工程项目《岩土工程勘察报告》、《管线物探报告》、总平面图、基坑开挖图、室外综合管线图等。</w:t>
      </w:r>
    </w:p>
    <w:p w14:paraId="670216CF">
      <w:pPr>
        <w:pStyle w:val="6"/>
        <w:keepNext w:val="0"/>
        <w:keepLines w:val="0"/>
        <w:numPr>
          <w:ilvl w:val="1"/>
          <w:numId w:val="17"/>
        </w:numPr>
        <w:snapToGrid/>
        <w:ind w:firstLine="482" w:firstLineChars="200"/>
        <w:rPr>
          <w:rFonts w:hint="eastAsia" w:ascii="宋体" w:hAnsi="宋体" w:eastAsia="宋体" w:cs="宋体"/>
          <w:color w:val="auto"/>
          <w:sz w:val="24"/>
          <w:szCs w:val="24"/>
          <w:highlight w:val="none"/>
        </w:rPr>
      </w:pPr>
      <w:bookmarkStart w:id="455" w:name="_Toc21221"/>
      <w:r>
        <w:rPr>
          <w:rFonts w:hint="eastAsia" w:ascii="宋体" w:hAnsi="宋体" w:eastAsia="宋体" w:cs="宋体"/>
          <w:color w:val="auto"/>
          <w:sz w:val="24"/>
          <w:szCs w:val="24"/>
          <w:highlight w:val="none"/>
        </w:rPr>
        <w:t>关键指标</w:t>
      </w:r>
      <w:bookmarkEnd w:id="451"/>
      <w:bookmarkEnd w:id="452"/>
      <w:bookmarkEnd w:id="453"/>
      <w:bookmarkEnd w:id="455"/>
    </w:p>
    <w:p w14:paraId="5631EE6C">
      <w:pPr>
        <w:spacing w:line="360" w:lineRule="auto"/>
        <w:ind w:firstLine="48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 xml:space="preserve"> 基坑支护选型</w:t>
      </w:r>
    </w:p>
    <w:tbl>
      <w:tblPr>
        <w:tblStyle w:val="42"/>
        <w:tblW w:w="9587" w:type="dxa"/>
        <w:jc w:val="center"/>
        <w:tblLayout w:type="fixed"/>
        <w:tblCellMar>
          <w:top w:w="0" w:type="dxa"/>
          <w:left w:w="108" w:type="dxa"/>
          <w:bottom w:w="0" w:type="dxa"/>
          <w:right w:w="108" w:type="dxa"/>
        </w:tblCellMar>
      </w:tblPr>
      <w:tblGrid>
        <w:gridCol w:w="918"/>
        <w:gridCol w:w="1478"/>
        <w:gridCol w:w="3223"/>
        <w:gridCol w:w="2290"/>
        <w:gridCol w:w="1678"/>
      </w:tblGrid>
      <w:tr w14:paraId="74721B62">
        <w:tblPrEx>
          <w:tblCellMar>
            <w:top w:w="0" w:type="dxa"/>
            <w:left w:w="108" w:type="dxa"/>
            <w:bottom w:w="0" w:type="dxa"/>
            <w:right w:w="108" w:type="dxa"/>
          </w:tblCellMar>
        </w:tblPrEx>
        <w:trPr>
          <w:trHeight w:val="454" w:hRule="atLeast"/>
          <w:jc w:val="center"/>
        </w:trPr>
        <w:tc>
          <w:tcPr>
            <w:tcW w:w="918" w:type="dxa"/>
            <w:tcBorders>
              <w:top w:val="single" w:color="auto" w:sz="4" w:space="0"/>
              <w:left w:val="single" w:color="auto" w:sz="4" w:space="0"/>
              <w:bottom w:val="single" w:color="auto" w:sz="4" w:space="0"/>
              <w:right w:val="single" w:color="auto" w:sz="4" w:space="0"/>
              <w:tl2br w:val="single" w:color="auto" w:sz="4" w:space="0"/>
            </w:tcBorders>
            <w:vAlign w:val="center"/>
          </w:tcPr>
          <w:p w14:paraId="54947C4D">
            <w:pPr>
              <w:pStyle w:val="80"/>
              <w:adjustRightInd w:val="0"/>
              <w:snapToGrid w:val="0"/>
              <w:spacing w:line="360" w:lineRule="auto"/>
              <w:ind w:firstLine="0" w:firstLineChars="0"/>
              <w:jc w:val="center"/>
              <w:rPr>
                <w:rStyle w:val="81"/>
                <w:rFonts w:hint="eastAsia" w:ascii="宋体" w:hAnsi="宋体" w:cs="宋体"/>
                <w:highlight w:val="none"/>
              </w:rPr>
            </w:pPr>
          </w:p>
          <w:p w14:paraId="5F71725C">
            <w:pPr>
              <w:pStyle w:val="80"/>
              <w:adjustRightInd w:val="0"/>
              <w:snapToGrid w:val="0"/>
              <w:spacing w:line="360" w:lineRule="auto"/>
              <w:ind w:firstLine="0" w:firstLineChars="0"/>
              <w:jc w:val="center"/>
              <w:rPr>
                <w:rStyle w:val="81"/>
                <w:rFonts w:hint="eastAsia" w:ascii="宋体" w:hAnsi="宋体" w:cs="宋体"/>
                <w:highlight w:val="none"/>
              </w:rPr>
            </w:pPr>
          </w:p>
        </w:tc>
        <w:tc>
          <w:tcPr>
            <w:tcW w:w="1478" w:type="dxa"/>
            <w:tcBorders>
              <w:top w:val="single" w:color="auto" w:sz="4" w:space="0"/>
              <w:left w:val="single" w:color="auto" w:sz="4" w:space="0"/>
              <w:bottom w:val="single" w:color="auto" w:sz="4" w:space="0"/>
              <w:right w:val="single" w:color="auto" w:sz="4" w:space="0"/>
            </w:tcBorders>
            <w:vAlign w:val="center"/>
          </w:tcPr>
          <w:p w14:paraId="1E3D0BD7">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支护形式</w:t>
            </w:r>
          </w:p>
        </w:tc>
        <w:tc>
          <w:tcPr>
            <w:tcW w:w="3223" w:type="dxa"/>
            <w:tcBorders>
              <w:top w:val="single" w:color="auto" w:sz="4" w:space="0"/>
              <w:left w:val="single" w:color="auto" w:sz="4" w:space="0"/>
              <w:bottom w:val="single" w:color="auto" w:sz="4" w:space="0"/>
              <w:right w:val="single" w:color="auto" w:sz="4" w:space="0"/>
            </w:tcBorders>
            <w:vAlign w:val="center"/>
          </w:tcPr>
          <w:p w14:paraId="26FBF779">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适用条件</w:t>
            </w:r>
          </w:p>
        </w:tc>
        <w:tc>
          <w:tcPr>
            <w:tcW w:w="2290" w:type="dxa"/>
            <w:tcBorders>
              <w:top w:val="single" w:color="auto" w:sz="4" w:space="0"/>
              <w:left w:val="single" w:color="auto" w:sz="4" w:space="0"/>
              <w:bottom w:val="single" w:color="auto" w:sz="4" w:space="0"/>
              <w:right w:val="single" w:color="auto" w:sz="4" w:space="0"/>
            </w:tcBorders>
            <w:vAlign w:val="center"/>
          </w:tcPr>
          <w:p w14:paraId="2B51918F">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止水帷幕</w:t>
            </w:r>
          </w:p>
        </w:tc>
        <w:tc>
          <w:tcPr>
            <w:tcW w:w="1678" w:type="dxa"/>
            <w:tcBorders>
              <w:top w:val="single" w:color="auto" w:sz="4" w:space="0"/>
              <w:left w:val="single" w:color="auto" w:sz="4" w:space="0"/>
              <w:bottom w:val="single" w:color="auto" w:sz="4" w:space="0"/>
              <w:right w:val="single" w:color="auto" w:sz="4" w:space="0"/>
            </w:tcBorders>
            <w:vAlign w:val="center"/>
          </w:tcPr>
          <w:p w14:paraId="7349E20E">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备注</w:t>
            </w:r>
          </w:p>
        </w:tc>
      </w:tr>
      <w:tr w14:paraId="52466ACD">
        <w:tblPrEx>
          <w:tblCellMar>
            <w:top w:w="0" w:type="dxa"/>
            <w:left w:w="108" w:type="dxa"/>
            <w:bottom w:w="0" w:type="dxa"/>
            <w:right w:w="108" w:type="dxa"/>
          </w:tblCellMar>
        </w:tblPrEx>
        <w:trPr>
          <w:trHeight w:val="454" w:hRule="atLeast"/>
          <w:jc w:val="center"/>
        </w:trPr>
        <w:tc>
          <w:tcPr>
            <w:tcW w:w="918" w:type="dxa"/>
            <w:vMerge w:val="restart"/>
            <w:tcBorders>
              <w:top w:val="single" w:color="auto" w:sz="4" w:space="0"/>
              <w:left w:val="single" w:color="auto" w:sz="4" w:space="0"/>
              <w:bottom w:val="single" w:color="auto" w:sz="4" w:space="0"/>
              <w:right w:val="single" w:color="auto" w:sz="4" w:space="0"/>
            </w:tcBorders>
            <w:vAlign w:val="center"/>
          </w:tcPr>
          <w:p w14:paraId="589178CF">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一层地下室</w:t>
            </w:r>
          </w:p>
        </w:tc>
        <w:tc>
          <w:tcPr>
            <w:tcW w:w="1478" w:type="dxa"/>
            <w:tcBorders>
              <w:top w:val="single" w:color="auto" w:sz="4" w:space="0"/>
              <w:left w:val="single" w:color="auto" w:sz="4" w:space="0"/>
              <w:bottom w:val="single" w:color="auto" w:sz="4" w:space="0"/>
              <w:right w:val="single" w:color="auto" w:sz="4" w:space="0"/>
            </w:tcBorders>
            <w:vAlign w:val="center"/>
          </w:tcPr>
          <w:p w14:paraId="5FD480ED">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放坡支护</w:t>
            </w:r>
          </w:p>
        </w:tc>
        <w:tc>
          <w:tcPr>
            <w:tcW w:w="3223" w:type="dxa"/>
            <w:tcBorders>
              <w:top w:val="single" w:color="auto" w:sz="4" w:space="0"/>
              <w:left w:val="single" w:color="auto" w:sz="4" w:space="0"/>
              <w:bottom w:val="single" w:color="auto" w:sz="4" w:space="0"/>
              <w:right w:val="single" w:color="auto" w:sz="4" w:space="0"/>
            </w:tcBorders>
            <w:vAlign w:val="center"/>
          </w:tcPr>
          <w:p w14:paraId="7662FB3B">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周边环境较为开阔、场地地质条件较好、基坑开挖深度较浅、变形要求不高的基坑</w:t>
            </w:r>
          </w:p>
        </w:tc>
        <w:tc>
          <w:tcPr>
            <w:tcW w:w="2290" w:type="dxa"/>
            <w:vMerge w:val="restart"/>
            <w:tcBorders>
              <w:top w:val="single" w:color="auto" w:sz="4" w:space="0"/>
              <w:left w:val="single" w:color="auto" w:sz="4" w:space="0"/>
              <w:bottom w:val="single" w:color="auto" w:sz="4" w:space="0"/>
              <w:right w:val="single" w:color="auto" w:sz="4" w:space="0"/>
            </w:tcBorders>
            <w:vAlign w:val="center"/>
          </w:tcPr>
          <w:p w14:paraId="4E4CFF4B">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可采用落底式或悬挂式止水帷幕，止水帷幕采用优选单轴搅拌桩，根据各地块各分区地质情况确定</w:t>
            </w:r>
          </w:p>
        </w:tc>
        <w:tc>
          <w:tcPr>
            <w:tcW w:w="1678" w:type="dxa"/>
            <w:vMerge w:val="restart"/>
            <w:tcBorders>
              <w:top w:val="single" w:color="auto" w:sz="4" w:space="0"/>
              <w:left w:val="single" w:color="auto" w:sz="4" w:space="0"/>
              <w:bottom w:val="single" w:color="auto" w:sz="4" w:space="0"/>
              <w:right w:val="single" w:color="auto" w:sz="4" w:space="0"/>
            </w:tcBorders>
            <w:vAlign w:val="center"/>
          </w:tcPr>
          <w:p w14:paraId="7AEAB9A2">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（1）地质资料揭露基坑开挖及坑底以下5m范围内无强透水层时，且临近基坑周边无建构筑物、市政管网，可考虑降水开挖（主要为集水明排，取消止水帷幕）</w:t>
            </w:r>
          </w:p>
          <w:p w14:paraId="19E07071">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（2）当不具备大直径搅拌桩施工条件时，可考虑采用三轴搅拌桩</w:t>
            </w:r>
          </w:p>
        </w:tc>
      </w:tr>
      <w:tr w14:paraId="157149AE">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727C2CCF">
            <w:pPr>
              <w:pStyle w:val="80"/>
              <w:adjustRightInd w:val="0"/>
              <w:snapToGrid w:val="0"/>
              <w:spacing w:line="360" w:lineRule="auto"/>
              <w:ind w:firstLine="0" w:firstLineChars="0"/>
              <w:jc w:val="center"/>
              <w:rPr>
                <w:rStyle w:val="81"/>
                <w:rFonts w:hint="eastAsia" w:ascii="宋体" w:hAnsi="宋体" w:cs="宋体"/>
                <w:highlight w:val="none"/>
              </w:rPr>
            </w:pPr>
          </w:p>
        </w:tc>
        <w:tc>
          <w:tcPr>
            <w:tcW w:w="1478" w:type="dxa"/>
            <w:tcBorders>
              <w:top w:val="single" w:color="auto" w:sz="4" w:space="0"/>
              <w:left w:val="single" w:color="auto" w:sz="4" w:space="0"/>
              <w:bottom w:val="single" w:color="auto" w:sz="4" w:space="0"/>
              <w:right w:val="single" w:color="auto" w:sz="4" w:space="0"/>
            </w:tcBorders>
            <w:vAlign w:val="center"/>
          </w:tcPr>
          <w:p w14:paraId="20D00872">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土钉墙及复合土钉墙</w:t>
            </w:r>
          </w:p>
        </w:tc>
        <w:tc>
          <w:tcPr>
            <w:tcW w:w="3223" w:type="dxa"/>
            <w:tcBorders>
              <w:top w:val="single" w:color="auto" w:sz="4" w:space="0"/>
              <w:left w:val="single" w:color="auto" w:sz="4" w:space="0"/>
              <w:bottom w:val="single" w:color="auto" w:sz="4" w:space="0"/>
              <w:right w:val="single" w:color="auto" w:sz="4" w:space="0"/>
            </w:tcBorders>
            <w:vAlign w:val="center"/>
          </w:tcPr>
          <w:p w14:paraId="67E0D202">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场地周边用地条件较为紧张的区域，无法满足放坡要求</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36E57357">
            <w:pPr>
              <w:pStyle w:val="80"/>
              <w:adjustRightInd w:val="0"/>
              <w:snapToGrid w:val="0"/>
              <w:spacing w:line="360" w:lineRule="auto"/>
              <w:ind w:firstLine="0" w:firstLineChars="0"/>
              <w:jc w:val="center"/>
              <w:rPr>
                <w:rStyle w:val="81"/>
                <w:rFonts w:hint="eastAsia" w:ascii="宋体" w:hAnsi="宋体" w:cs="宋体"/>
                <w:highlight w:val="none"/>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1B869791">
            <w:pPr>
              <w:pStyle w:val="80"/>
              <w:adjustRightInd w:val="0"/>
              <w:snapToGrid w:val="0"/>
              <w:spacing w:line="360" w:lineRule="auto"/>
              <w:ind w:firstLine="0" w:firstLineChars="0"/>
              <w:jc w:val="center"/>
              <w:rPr>
                <w:rStyle w:val="81"/>
                <w:rFonts w:hint="eastAsia" w:ascii="宋体" w:hAnsi="宋体" w:cs="宋体"/>
                <w:highlight w:val="none"/>
              </w:rPr>
            </w:pPr>
          </w:p>
        </w:tc>
      </w:tr>
      <w:tr w14:paraId="422CDDE0">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36244DEF">
            <w:pPr>
              <w:pStyle w:val="80"/>
              <w:adjustRightInd w:val="0"/>
              <w:snapToGrid w:val="0"/>
              <w:spacing w:line="360" w:lineRule="auto"/>
              <w:ind w:firstLine="0" w:firstLineChars="0"/>
              <w:jc w:val="center"/>
              <w:rPr>
                <w:rStyle w:val="81"/>
                <w:rFonts w:hint="eastAsia" w:ascii="宋体" w:hAnsi="宋体" w:cs="宋体"/>
                <w:highlight w:val="none"/>
              </w:rPr>
            </w:pPr>
          </w:p>
        </w:tc>
        <w:tc>
          <w:tcPr>
            <w:tcW w:w="1478" w:type="dxa"/>
            <w:tcBorders>
              <w:top w:val="single" w:color="auto" w:sz="4" w:space="0"/>
              <w:left w:val="single" w:color="auto" w:sz="4" w:space="0"/>
              <w:bottom w:val="single" w:color="auto" w:sz="4" w:space="0"/>
              <w:right w:val="single" w:color="auto" w:sz="4" w:space="0"/>
            </w:tcBorders>
            <w:vAlign w:val="center"/>
          </w:tcPr>
          <w:p w14:paraId="29CEACBB">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悬臂式排桩</w:t>
            </w:r>
          </w:p>
        </w:tc>
        <w:tc>
          <w:tcPr>
            <w:tcW w:w="3223" w:type="dxa"/>
            <w:tcBorders>
              <w:top w:val="single" w:color="auto" w:sz="4" w:space="0"/>
              <w:left w:val="single" w:color="auto" w:sz="4" w:space="0"/>
              <w:bottom w:val="single" w:color="auto" w:sz="4" w:space="0"/>
              <w:right w:val="single" w:color="auto" w:sz="4" w:space="0"/>
            </w:tcBorders>
            <w:vAlign w:val="center"/>
          </w:tcPr>
          <w:p w14:paraId="78C552C7">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场地周边用地条件较为紧张、不具备施工锚索（锚杆）条件</w:t>
            </w:r>
          </w:p>
        </w:tc>
        <w:tc>
          <w:tcPr>
            <w:tcW w:w="2290" w:type="dxa"/>
            <w:tcBorders>
              <w:top w:val="single" w:color="auto" w:sz="4" w:space="0"/>
              <w:left w:val="single" w:color="auto" w:sz="4" w:space="0"/>
              <w:bottom w:val="single" w:color="auto" w:sz="4" w:space="0"/>
              <w:right w:val="single" w:color="auto" w:sz="4" w:space="0"/>
            </w:tcBorders>
            <w:vAlign w:val="center"/>
          </w:tcPr>
          <w:p w14:paraId="45059C1F">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搅拌桩止水</w:t>
            </w: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0343269C">
            <w:pPr>
              <w:pStyle w:val="80"/>
              <w:adjustRightInd w:val="0"/>
              <w:snapToGrid w:val="0"/>
              <w:spacing w:line="360" w:lineRule="auto"/>
              <w:ind w:firstLine="0" w:firstLineChars="0"/>
              <w:jc w:val="center"/>
              <w:rPr>
                <w:rStyle w:val="81"/>
                <w:rFonts w:hint="eastAsia" w:ascii="宋体" w:hAnsi="宋体" w:cs="宋体"/>
                <w:highlight w:val="none"/>
              </w:rPr>
            </w:pPr>
          </w:p>
        </w:tc>
      </w:tr>
      <w:tr w14:paraId="6AF57B6F">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4E48C4DA">
            <w:pPr>
              <w:pStyle w:val="80"/>
              <w:adjustRightInd w:val="0"/>
              <w:snapToGrid w:val="0"/>
              <w:spacing w:line="360" w:lineRule="auto"/>
              <w:ind w:firstLine="0" w:firstLineChars="0"/>
              <w:jc w:val="center"/>
              <w:rPr>
                <w:rStyle w:val="81"/>
                <w:rFonts w:hint="eastAsia" w:ascii="宋体" w:hAnsi="宋体" w:cs="宋体"/>
                <w:highlight w:val="none"/>
              </w:rPr>
            </w:pPr>
          </w:p>
        </w:tc>
        <w:tc>
          <w:tcPr>
            <w:tcW w:w="1478" w:type="dxa"/>
            <w:tcBorders>
              <w:top w:val="single" w:color="auto" w:sz="4" w:space="0"/>
              <w:left w:val="single" w:color="auto" w:sz="4" w:space="0"/>
              <w:bottom w:val="single" w:color="auto" w:sz="4" w:space="0"/>
              <w:right w:val="single" w:color="auto" w:sz="4" w:space="0"/>
            </w:tcBorders>
            <w:vAlign w:val="center"/>
          </w:tcPr>
          <w:p w14:paraId="58B4ADF2">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工法桩+锚杆/内支撑</w:t>
            </w:r>
          </w:p>
        </w:tc>
        <w:tc>
          <w:tcPr>
            <w:tcW w:w="3223" w:type="dxa"/>
            <w:tcBorders>
              <w:top w:val="single" w:color="auto" w:sz="4" w:space="0"/>
              <w:left w:val="single" w:color="auto" w:sz="4" w:space="0"/>
              <w:bottom w:val="single" w:color="auto" w:sz="4" w:space="0"/>
              <w:right w:val="single" w:color="auto" w:sz="4" w:space="0"/>
            </w:tcBorders>
            <w:vAlign w:val="center"/>
          </w:tcPr>
          <w:p w14:paraId="2681F315">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场地周边用地条件较为紧张、周边环境对变形要求较高的基坑</w:t>
            </w:r>
          </w:p>
        </w:tc>
        <w:tc>
          <w:tcPr>
            <w:tcW w:w="2290" w:type="dxa"/>
            <w:tcBorders>
              <w:top w:val="single" w:color="auto" w:sz="4" w:space="0"/>
              <w:left w:val="single" w:color="auto" w:sz="4" w:space="0"/>
              <w:bottom w:val="single" w:color="auto" w:sz="4" w:space="0"/>
              <w:right w:val="single" w:color="auto" w:sz="4" w:space="0"/>
            </w:tcBorders>
            <w:vAlign w:val="center"/>
          </w:tcPr>
          <w:p w14:paraId="6257421F">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搅拌桩兼做止水帷幕</w:t>
            </w: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489082C4">
            <w:pPr>
              <w:pStyle w:val="80"/>
              <w:adjustRightInd w:val="0"/>
              <w:snapToGrid w:val="0"/>
              <w:spacing w:line="360" w:lineRule="auto"/>
              <w:ind w:firstLine="0" w:firstLineChars="0"/>
              <w:jc w:val="center"/>
              <w:rPr>
                <w:rStyle w:val="81"/>
                <w:rFonts w:hint="eastAsia" w:ascii="宋体" w:hAnsi="宋体" w:cs="宋体"/>
                <w:highlight w:val="none"/>
              </w:rPr>
            </w:pPr>
          </w:p>
        </w:tc>
      </w:tr>
      <w:tr w14:paraId="7A53D439">
        <w:tblPrEx>
          <w:tblCellMar>
            <w:top w:w="0" w:type="dxa"/>
            <w:left w:w="108" w:type="dxa"/>
            <w:bottom w:w="0" w:type="dxa"/>
            <w:right w:w="108" w:type="dxa"/>
          </w:tblCellMar>
        </w:tblPrEx>
        <w:trPr>
          <w:trHeight w:val="454" w:hRule="atLeast"/>
          <w:jc w:val="center"/>
        </w:trPr>
        <w:tc>
          <w:tcPr>
            <w:tcW w:w="918" w:type="dxa"/>
            <w:vMerge w:val="restart"/>
            <w:tcBorders>
              <w:top w:val="single" w:color="auto" w:sz="4" w:space="0"/>
              <w:left w:val="single" w:color="auto" w:sz="4" w:space="0"/>
              <w:bottom w:val="single" w:color="auto" w:sz="4" w:space="0"/>
              <w:right w:val="single" w:color="auto" w:sz="4" w:space="0"/>
            </w:tcBorders>
            <w:vAlign w:val="center"/>
          </w:tcPr>
          <w:p w14:paraId="668D302E">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两层地下室</w:t>
            </w:r>
          </w:p>
        </w:tc>
        <w:tc>
          <w:tcPr>
            <w:tcW w:w="1478" w:type="dxa"/>
            <w:tcBorders>
              <w:top w:val="single" w:color="auto" w:sz="4" w:space="0"/>
              <w:left w:val="single" w:color="auto" w:sz="4" w:space="0"/>
              <w:bottom w:val="single" w:color="auto" w:sz="4" w:space="0"/>
              <w:right w:val="single" w:color="auto" w:sz="4" w:space="0"/>
            </w:tcBorders>
            <w:vAlign w:val="center"/>
          </w:tcPr>
          <w:p w14:paraId="517E536A">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放坡支护</w:t>
            </w:r>
          </w:p>
        </w:tc>
        <w:tc>
          <w:tcPr>
            <w:tcW w:w="3223" w:type="dxa"/>
            <w:tcBorders>
              <w:top w:val="single" w:color="auto" w:sz="4" w:space="0"/>
              <w:left w:val="single" w:color="auto" w:sz="4" w:space="0"/>
              <w:bottom w:val="single" w:color="auto" w:sz="4" w:space="0"/>
              <w:right w:val="single" w:color="auto" w:sz="4" w:space="0"/>
            </w:tcBorders>
            <w:vAlign w:val="center"/>
          </w:tcPr>
          <w:p w14:paraId="7652E943">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同一层地下室</w:t>
            </w:r>
          </w:p>
        </w:tc>
        <w:tc>
          <w:tcPr>
            <w:tcW w:w="2290" w:type="dxa"/>
            <w:vMerge w:val="restart"/>
            <w:tcBorders>
              <w:top w:val="single" w:color="auto" w:sz="4" w:space="0"/>
              <w:left w:val="single" w:color="auto" w:sz="4" w:space="0"/>
              <w:bottom w:val="single" w:color="auto" w:sz="4" w:space="0"/>
              <w:right w:val="single" w:color="auto" w:sz="4" w:space="0"/>
            </w:tcBorders>
            <w:vAlign w:val="center"/>
          </w:tcPr>
          <w:p w14:paraId="65CBB4C9">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 xml:space="preserve">止水帷幕采用搅拌桩或咬合桩 </w:t>
            </w:r>
          </w:p>
        </w:tc>
        <w:tc>
          <w:tcPr>
            <w:tcW w:w="1678" w:type="dxa"/>
            <w:vMerge w:val="restart"/>
            <w:tcBorders>
              <w:top w:val="single" w:color="auto" w:sz="4" w:space="0"/>
              <w:left w:val="single" w:color="auto" w:sz="4" w:space="0"/>
              <w:bottom w:val="single" w:color="auto" w:sz="4" w:space="0"/>
              <w:right w:val="single" w:color="auto" w:sz="4" w:space="0"/>
            </w:tcBorders>
            <w:vAlign w:val="center"/>
          </w:tcPr>
          <w:p w14:paraId="52E37030">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砂岩交界面可采用双管旋喷桩加强止水效果，桩长不小于3m。</w:t>
            </w:r>
          </w:p>
        </w:tc>
      </w:tr>
      <w:tr w14:paraId="29F81D43">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7D019965">
            <w:pPr>
              <w:pStyle w:val="80"/>
              <w:adjustRightInd w:val="0"/>
              <w:snapToGrid w:val="0"/>
              <w:spacing w:line="360" w:lineRule="auto"/>
              <w:ind w:firstLine="0" w:firstLineChars="0"/>
              <w:jc w:val="center"/>
              <w:rPr>
                <w:rStyle w:val="81"/>
                <w:rFonts w:hint="eastAsia" w:ascii="宋体" w:hAnsi="宋体" w:cs="宋体"/>
                <w:highlight w:val="none"/>
              </w:rPr>
            </w:pPr>
          </w:p>
        </w:tc>
        <w:tc>
          <w:tcPr>
            <w:tcW w:w="1478" w:type="dxa"/>
            <w:tcBorders>
              <w:top w:val="single" w:color="auto" w:sz="4" w:space="0"/>
              <w:left w:val="single" w:color="auto" w:sz="4" w:space="0"/>
              <w:bottom w:val="single" w:color="auto" w:sz="4" w:space="0"/>
              <w:right w:val="single" w:color="auto" w:sz="4" w:space="0"/>
            </w:tcBorders>
            <w:vAlign w:val="center"/>
          </w:tcPr>
          <w:p w14:paraId="4166C049">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土钉墙及复合土钉墙</w:t>
            </w:r>
          </w:p>
        </w:tc>
        <w:tc>
          <w:tcPr>
            <w:tcW w:w="3223" w:type="dxa"/>
            <w:tcBorders>
              <w:top w:val="single" w:color="auto" w:sz="4" w:space="0"/>
              <w:left w:val="single" w:color="auto" w:sz="4" w:space="0"/>
              <w:bottom w:val="single" w:color="auto" w:sz="4" w:space="0"/>
              <w:right w:val="single" w:color="auto" w:sz="4" w:space="0"/>
            </w:tcBorders>
            <w:vAlign w:val="center"/>
          </w:tcPr>
          <w:p w14:paraId="1DEB8F75">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同一层地下室</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70EB344C">
            <w:pPr>
              <w:pStyle w:val="80"/>
              <w:adjustRightInd w:val="0"/>
              <w:snapToGrid w:val="0"/>
              <w:spacing w:line="360" w:lineRule="auto"/>
              <w:ind w:firstLine="0" w:firstLineChars="0"/>
              <w:jc w:val="center"/>
              <w:rPr>
                <w:rStyle w:val="81"/>
                <w:rFonts w:hint="eastAsia" w:ascii="宋体" w:hAnsi="宋体" w:cs="宋体"/>
                <w:highlight w:val="none"/>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0A423BAD">
            <w:pPr>
              <w:pStyle w:val="80"/>
              <w:adjustRightInd w:val="0"/>
              <w:snapToGrid w:val="0"/>
              <w:spacing w:line="360" w:lineRule="auto"/>
              <w:ind w:firstLine="0" w:firstLineChars="0"/>
              <w:jc w:val="center"/>
              <w:rPr>
                <w:rStyle w:val="81"/>
                <w:rFonts w:hint="eastAsia" w:ascii="宋体" w:hAnsi="宋体" w:cs="宋体"/>
                <w:highlight w:val="none"/>
              </w:rPr>
            </w:pPr>
          </w:p>
        </w:tc>
      </w:tr>
      <w:tr w14:paraId="58B29414">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2E875CC5">
            <w:pPr>
              <w:pStyle w:val="80"/>
              <w:adjustRightInd w:val="0"/>
              <w:snapToGrid w:val="0"/>
              <w:spacing w:line="360" w:lineRule="auto"/>
              <w:ind w:firstLine="0" w:firstLineChars="0"/>
              <w:jc w:val="center"/>
              <w:rPr>
                <w:rStyle w:val="81"/>
                <w:rFonts w:hint="eastAsia" w:ascii="宋体" w:hAnsi="宋体" w:cs="宋体"/>
                <w:highlight w:val="none"/>
              </w:rPr>
            </w:pPr>
          </w:p>
        </w:tc>
        <w:tc>
          <w:tcPr>
            <w:tcW w:w="1478" w:type="dxa"/>
            <w:tcBorders>
              <w:top w:val="single" w:color="auto" w:sz="4" w:space="0"/>
              <w:left w:val="single" w:color="auto" w:sz="4" w:space="0"/>
              <w:bottom w:val="single" w:color="auto" w:sz="4" w:space="0"/>
              <w:right w:val="single" w:color="auto" w:sz="4" w:space="0"/>
            </w:tcBorders>
            <w:vAlign w:val="center"/>
          </w:tcPr>
          <w:p w14:paraId="19FECBB5">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支护桩+锚杆</w:t>
            </w:r>
          </w:p>
        </w:tc>
        <w:tc>
          <w:tcPr>
            <w:tcW w:w="3223" w:type="dxa"/>
            <w:tcBorders>
              <w:top w:val="single" w:color="auto" w:sz="4" w:space="0"/>
              <w:left w:val="single" w:color="auto" w:sz="4" w:space="0"/>
              <w:bottom w:val="single" w:color="auto" w:sz="4" w:space="0"/>
              <w:right w:val="single" w:color="auto" w:sz="4" w:space="0"/>
            </w:tcBorders>
            <w:vAlign w:val="center"/>
          </w:tcPr>
          <w:p w14:paraId="5ED9A5EF">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周边环境允许施工锚杆的基坑</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5EBFB117">
            <w:pPr>
              <w:pStyle w:val="80"/>
              <w:adjustRightInd w:val="0"/>
              <w:snapToGrid w:val="0"/>
              <w:spacing w:line="360" w:lineRule="auto"/>
              <w:ind w:firstLine="0" w:firstLineChars="0"/>
              <w:jc w:val="center"/>
              <w:rPr>
                <w:rStyle w:val="81"/>
                <w:rFonts w:hint="eastAsia" w:ascii="宋体" w:hAnsi="宋体" w:cs="宋体"/>
                <w:highlight w:val="none"/>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7AF9B570">
            <w:pPr>
              <w:pStyle w:val="80"/>
              <w:adjustRightInd w:val="0"/>
              <w:snapToGrid w:val="0"/>
              <w:spacing w:line="360" w:lineRule="auto"/>
              <w:ind w:firstLine="0" w:firstLineChars="0"/>
              <w:jc w:val="center"/>
              <w:rPr>
                <w:rStyle w:val="81"/>
                <w:rFonts w:hint="eastAsia" w:ascii="宋体" w:hAnsi="宋体" w:cs="宋体"/>
                <w:highlight w:val="none"/>
              </w:rPr>
            </w:pPr>
          </w:p>
        </w:tc>
      </w:tr>
      <w:tr w14:paraId="642C177F">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55E7AFFC">
            <w:pPr>
              <w:pStyle w:val="80"/>
              <w:adjustRightInd w:val="0"/>
              <w:snapToGrid w:val="0"/>
              <w:spacing w:line="360" w:lineRule="auto"/>
              <w:ind w:firstLine="0" w:firstLineChars="0"/>
              <w:jc w:val="center"/>
              <w:rPr>
                <w:rStyle w:val="81"/>
                <w:rFonts w:hint="eastAsia" w:ascii="宋体" w:hAnsi="宋体" w:cs="宋体"/>
                <w:highlight w:val="none"/>
              </w:rPr>
            </w:pPr>
          </w:p>
        </w:tc>
        <w:tc>
          <w:tcPr>
            <w:tcW w:w="1478" w:type="dxa"/>
            <w:tcBorders>
              <w:top w:val="single" w:color="auto" w:sz="4" w:space="0"/>
              <w:left w:val="single" w:color="auto" w:sz="4" w:space="0"/>
              <w:bottom w:val="single" w:color="auto" w:sz="4" w:space="0"/>
              <w:right w:val="single" w:color="auto" w:sz="4" w:space="0"/>
            </w:tcBorders>
            <w:vAlign w:val="center"/>
          </w:tcPr>
          <w:p w14:paraId="345745E4">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放坡+悬臂桩</w:t>
            </w:r>
          </w:p>
        </w:tc>
        <w:tc>
          <w:tcPr>
            <w:tcW w:w="3223" w:type="dxa"/>
            <w:tcBorders>
              <w:top w:val="single" w:color="auto" w:sz="4" w:space="0"/>
              <w:left w:val="single" w:color="auto" w:sz="4" w:space="0"/>
              <w:bottom w:val="single" w:color="auto" w:sz="4" w:space="0"/>
              <w:right w:val="single" w:color="auto" w:sz="4" w:space="0"/>
            </w:tcBorders>
            <w:vAlign w:val="center"/>
          </w:tcPr>
          <w:p w14:paraId="13211286">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基坑周边用地紧张，不具备施工锚索条件，深度小于7m，而使用“排桩+内支撑”不经济的基坑</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76D05839">
            <w:pPr>
              <w:pStyle w:val="80"/>
              <w:adjustRightInd w:val="0"/>
              <w:snapToGrid w:val="0"/>
              <w:spacing w:line="360" w:lineRule="auto"/>
              <w:ind w:firstLine="0" w:firstLineChars="0"/>
              <w:jc w:val="center"/>
              <w:rPr>
                <w:rStyle w:val="81"/>
                <w:rFonts w:hint="eastAsia" w:ascii="宋体" w:hAnsi="宋体" w:cs="宋体"/>
                <w:highlight w:val="none"/>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31D56FBB">
            <w:pPr>
              <w:pStyle w:val="80"/>
              <w:adjustRightInd w:val="0"/>
              <w:snapToGrid w:val="0"/>
              <w:spacing w:line="360" w:lineRule="auto"/>
              <w:ind w:firstLine="0" w:firstLineChars="0"/>
              <w:jc w:val="center"/>
              <w:rPr>
                <w:rStyle w:val="81"/>
                <w:rFonts w:hint="eastAsia" w:ascii="宋体" w:hAnsi="宋体" w:cs="宋体"/>
                <w:highlight w:val="none"/>
              </w:rPr>
            </w:pPr>
          </w:p>
        </w:tc>
      </w:tr>
      <w:tr w14:paraId="04C1A55D">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0A8E56AE">
            <w:pPr>
              <w:pStyle w:val="80"/>
              <w:adjustRightInd w:val="0"/>
              <w:snapToGrid w:val="0"/>
              <w:spacing w:line="360" w:lineRule="auto"/>
              <w:ind w:firstLine="0" w:firstLineChars="0"/>
              <w:jc w:val="center"/>
              <w:rPr>
                <w:rStyle w:val="81"/>
                <w:rFonts w:hint="eastAsia" w:ascii="宋体" w:hAnsi="宋体" w:cs="宋体"/>
                <w:highlight w:val="none"/>
              </w:rPr>
            </w:pPr>
          </w:p>
        </w:tc>
        <w:tc>
          <w:tcPr>
            <w:tcW w:w="1478" w:type="dxa"/>
            <w:tcBorders>
              <w:top w:val="single" w:color="auto" w:sz="4" w:space="0"/>
              <w:left w:val="single" w:color="auto" w:sz="4" w:space="0"/>
              <w:bottom w:val="single" w:color="auto" w:sz="4" w:space="0"/>
              <w:right w:val="single" w:color="auto" w:sz="4" w:space="0"/>
            </w:tcBorders>
            <w:vAlign w:val="center"/>
          </w:tcPr>
          <w:p w14:paraId="11A00823">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支护桩+内支撑/斜抛撑</w:t>
            </w:r>
          </w:p>
        </w:tc>
        <w:tc>
          <w:tcPr>
            <w:tcW w:w="3223" w:type="dxa"/>
            <w:tcBorders>
              <w:top w:val="single" w:color="auto" w:sz="4" w:space="0"/>
              <w:left w:val="single" w:color="auto" w:sz="4" w:space="0"/>
              <w:bottom w:val="single" w:color="auto" w:sz="4" w:space="0"/>
              <w:right w:val="single" w:color="auto" w:sz="4" w:space="0"/>
            </w:tcBorders>
            <w:vAlign w:val="center"/>
          </w:tcPr>
          <w:p w14:paraId="4364DFA9">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周边有重要建筑、管线，且无法施工锚杆的基坑</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0FE53209">
            <w:pPr>
              <w:pStyle w:val="80"/>
              <w:adjustRightInd w:val="0"/>
              <w:snapToGrid w:val="0"/>
              <w:spacing w:line="360" w:lineRule="auto"/>
              <w:ind w:firstLine="0" w:firstLineChars="0"/>
              <w:jc w:val="center"/>
              <w:rPr>
                <w:rStyle w:val="81"/>
                <w:rFonts w:hint="eastAsia" w:ascii="宋体" w:hAnsi="宋体" w:cs="宋体"/>
                <w:highlight w:val="none"/>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66BD3C5D">
            <w:pPr>
              <w:pStyle w:val="80"/>
              <w:adjustRightInd w:val="0"/>
              <w:snapToGrid w:val="0"/>
              <w:spacing w:line="360" w:lineRule="auto"/>
              <w:ind w:firstLine="0" w:firstLineChars="0"/>
              <w:jc w:val="center"/>
              <w:rPr>
                <w:rStyle w:val="81"/>
                <w:rFonts w:hint="eastAsia" w:ascii="宋体" w:hAnsi="宋体" w:cs="宋体"/>
                <w:highlight w:val="none"/>
              </w:rPr>
            </w:pPr>
          </w:p>
        </w:tc>
      </w:tr>
      <w:tr w14:paraId="1F72454F">
        <w:tblPrEx>
          <w:tblCellMar>
            <w:top w:w="0" w:type="dxa"/>
            <w:left w:w="108" w:type="dxa"/>
            <w:bottom w:w="0" w:type="dxa"/>
            <w:right w:w="108" w:type="dxa"/>
          </w:tblCellMar>
        </w:tblPrEx>
        <w:trPr>
          <w:trHeight w:val="454" w:hRule="atLeast"/>
          <w:jc w:val="center"/>
        </w:trPr>
        <w:tc>
          <w:tcPr>
            <w:tcW w:w="918" w:type="dxa"/>
            <w:vMerge w:val="continue"/>
            <w:tcBorders>
              <w:top w:val="single" w:color="auto" w:sz="4" w:space="0"/>
              <w:left w:val="single" w:color="auto" w:sz="4" w:space="0"/>
              <w:bottom w:val="single" w:color="auto" w:sz="4" w:space="0"/>
              <w:right w:val="single" w:color="auto" w:sz="4" w:space="0"/>
            </w:tcBorders>
            <w:vAlign w:val="center"/>
          </w:tcPr>
          <w:p w14:paraId="13F191A4">
            <w:pPr>
              <w:pStyle w:val="80"/>
              <w:adjustRightInd w:val="0"/>
              <w:snapToGrid w:val="0"/>
              <w:spacing w:line="360" w:lineRule="auto"/>
              <w:ind w:firstLine="0" w:firstLineChars="0"/>
              <w:jc w:val="center"/>
              <w:rPr>
                <w:rStyle w:val="81"/>
                <w:rFonts w:hint="eastAsia" w:ascii="宋体" w:hAnsi="宋体" w:cs="宋体"/>
                <w:highlight w:val="none"/>
              </w:rPr>
            </w:pPr>
          </w:p>
        </w:tc>
        <w:tc>
          <w:tcPr>
            <w:tcW w:w="1478" w:type="dxa"/>
            <w:tcBorders>
              <w:top w:val="single" w:color="auto" w:sz="4" w:space="0"/>
              <w:left w:val="single" w:color="auto" w:sz="4" w:space="0"/>
              <w:bottom w:val="single" w:color="auto" w:sz="4" w:space="0"/>
              <w:right w:val="single" w:color="auto" w:sz="4" w:space="0"/>
            </w:tcBorders>
            <w:vAlign w:val="center"/>
          </w:tcPr>
          <w:p w14:paraId="356D048A">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双排桩</w:t>
            </w:r>
          </w:p>
        </w:tc>
        <w:tc>
          <w:tcPr>
            <w:tcW w:w="3223" w:type="dxa"/>
            <w:tcBorders>
              <w:top w:val="single" w:color="auto" w:sz="4" w:space="0"/>
              <w:left w:val="single" w:color="auto" w:sz="4" w:space="0"/>
              <w:bottom w:val="single" w:color="auto" w:sz="4" w:space="0"/>
              <w:right w:val="single" w:color="auto" w:sz="4" w:space="0"/>
            </w:tcBorders>
            <w:vAlign w:val="center"/>
          </w:tcPr>
          <w:p w14:paraId="3253F24F">
            <w:pPr>
              <w:pStyle w:val="80"/>
              <w:adjustRightInd w:val="0"/>
              <w:snapToGrid w:val="0"/>
              <w:spacing w:line="360" w:lineRule="auto"/>
              <w:ind w:firstLine="0" w:firstLineChars="0"/>
              <w:jc w:val="center"/>
              <w:rPr>
                <w:rStyle w:val="81"/>
                <w:rFonts w:hint="eastAsia" w:ascii="宋体" w:hAnsi="宋体" w:cs="宋体"/>
                <w:highlight w:val="none"/>
              </w:rPr>
            </w:pPr>
            <w:r>
              <w:rPr>
                <w:rStyle w:val="81"/>
                <w:rFonts w:hint="eastAsia" w:ascii="宋体" w:hAnsi="宋体" w:cs="宋体"/>
                <w:highlight w:val="none"/>
              </w:rPr>
              <w:t>当周边有重要建筑、管线等，不具备锚索施工条件，且内支撑经济性较低，对地下室施工影响较大时，可考虑采用双排桩。</w:t>
            </w:r>
          </w:p>
        </w:tc>
        <w:tc>
          <w:tcPr>
            <w:tcW w:w="2290" w:type="dxa"/>
            <w:vMerge w:val="continue"/>
            <w:tcBorders>
              <w:top w:val="single" w:color="auto" w:sz="4" w:space="0"/>
              <w:left w:val="single" w:color="auto" w:sz="4" w:space="0"/>
              <w:bottom w:val="single" w:color="auto" w:sz="4" w:space="0"/>
              <w:right w:val="single" w:color="auto" w:sz="4" w:space="0"/>
            </w:tcBorders>
            <w:vAlign w:val="center"/>
          </w:tcPr>
          <w:p w14:paraId="598381D0">
            <w:pPr>
              <w:pStyle w:val="80"/>
              <w:adjustRightInd w:val="0"/>
              <w:snapToGrid w:val="0"/>
              <w:spacing w:line="360" w:lineRule="auto"/>
              <w:ind w:firstLine="0" w:firstLineChars="0"/>
              <w:jc w:val="center"/>
              <w:rPr>
                <w:rStyle w:val="81"/>
                <w:rFonts w:hint="eastAsia" w:ascii="宋体" w:hAnsi="宋体" w:cs="宋体"/>
                <w:highlight w:val="none"/>
              </w:rPr>
            </w:pPr>
          </w:p>
        </w:tc>
        <w:tc>
          <w:tcPr>
            <w:tcW w:w="1678" w:type="dxa"/>
            <w:vMerge w:val="continue"/>
            <w:tcBorders>
              <w:top w:val="single" w:color="auto" w:sz="4" w:space="0"/>
              <w:left w:val="single" w:color="auto" w:sz="4" w:space="0"/>
              <w:bottom w:val="single" w:color="auto" w:sz="4" w:space="0"/>
              <w:right w:val="single" w:color="auto" w:sz="4" w:space="0"/>
            </w:tcBorders>
            <w:vAlign w:val="center"/>
          </w:tcPr>
          <w:p w14:paraId="2517DC7C">
            <w:pPr>
              <w:pStyle w:val="80"/>
              <w:adjustRightInd w:val="0"/>
              <w:snapToGrid w:val="0"/>
              <w:spacing w:line="360" w:lineRule="auto"/>
              <w:ind w:firstLine="0" w:firstLineChars="0"/>
              <w:jc w:val="center"/>
              <w:rPr>
                <w:rStyle w:val="81"/>
                <w:rFonts w:hint="eastAsia" w:ascii="宋体" w:hAnsi="宋体" w:cs="宋体"/>
                <w:highlight w:val="none"/>
              </w:rPr>
            </w:pPr>
          </w:p>
        </w:tc>
      </w:tr>
    </w:tbl>
    <w:p w14:paraId="7DD9AD61">
      <w:pPr>
        <w:spacing w:line="360" w:lineRule="auto"/>
        <w:rPr>
          <w:rFonts w:hint="eastAsia" w:ascii="宋体" w:hAnsi="宋体" w:eastAsia="宋体" w:cs="宋体"/>
          <w:color w:val="auto"/>
          <w:sz w:val="24"/>
          <w:szCs w:val="24"/>
          <w:highlight w:val="none"/>
        </w:rPr>
      </w:pPr>
    </w:p>
    <w:p w14:paraId="22DD5F98">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放坡：</w:t>
      </w:r>
    </w:p>
    <w:p w14:paraId="21A91FB7">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对于周边环境较为开阔、场地地质条件较好、基坑开挖深度较浅、变形要求不高的基坑，优先考虑采用放坡支护。放坡坡率宜为1.0～2.0，坑底位于软弱土层时适当放缓坡率。</w:t>
      </w:r>
    </w:p>
    <w:p w14:paraId="70326C9F">
      <w:pPr>
        <w:pStyle w:val="80"/>
        <w:spacing w:line="360" w:lineRule="auto"/>
        <w:rPr>
          <w:rStyle w:val="81"/>
          <w:rFonts w:hint="eastAsia" w:ascii="宋体" w:hAnsi="宋体" w:cs="宋体"/>
          <w:sz w:val="24"/>
          <w:szCs w:val="24"/>
          <w:highlight w:val="none"/>
        </w:rPr>
      </w:pPr>
      <w:r>
        <w:rPr>
          <w:highlight w:val="none"/>
        </w:rPr>
        <w:fldChar w:fldCharType="begin"/>
      </w:r>
      <w:r>
        <w:rPr>
          <w:highlight w:val="none"/>
        </w:rPr>
        <w:instrText xml:space="preserve"> HYPERLINK "mailto:放坡坡面挂Φ8@200×200钢筋网，坡面插筋采用1C16@1200x1200，长度为1500。坡面喷射80厚C20细石混凝土进行防护。坡体中下部设置Φ50泄水孔，水平间距2.0m。" </w:instrText>
      </w:r>
      <w:r>
        <w:rPr>
          <w:highlight w:val="none"/>
        </w:rPr>
        <w:fldChar w:fldCharType="separate"/>
      </w:r>
      <w:r>
        <w:rPr>
          <w:rStyle w:val="81"/>
          <w:rFonts w:hint="eastAsia" w:ascii="宋体" w:hAnsi="宋体" w:cs="宋体"/>
          <w:sz w:val="24"/>
          <w:szCs w:val="24"/>
          <w:highlight w:val="none"/>
        </w:rPr>
        <w:t>放坡坡面可挂Φ6.5@200×200钢筋网，坡面插筋可采用1Φ16@1500x1500（三级钢），长度可为1500mm。坡面可喷射80厚C20细石混凝土进行防护。坡体中下部设置Φ50泄水孔，双向间距2.0m。</w:t>
      </w:r>
      <w:r>
        <w:rPr>
          <w:rStyle w:val="81"/>
          <w:rFonts w:hint="eastAsia" w:ascii="宋体" w:hAnsi="宋体" w:cs="宋体"/>
          <w:sz w:val="24"/>
          <w:szCs w:val="24"/>
          <w:highlight w:val="none"/>
        </w:rPr>
        <w:fldChar w:fldCharType="end"/>
      </w:r>
      <w:r>
        <w:rPr>
          <w:rStyle w:val="81"/>
          <w:rFonts w:hint="eastAsia" w:ascii="宋体" w:hAnsi="宋体" w:cs="宋体"/>
          <w:sz w:val="24"/>
          <w:szCs w:val="24"/>
          <w:highlight w:val="none"/>
        </w:rPr>
        <w:t>坡脚根据地质条件、施工条件等进行适当加固，应优先考虑采用尾径80~120的松木桩（间距500）、钢管、钢板桩等；当基坑底位于砂层或其他软弱土层中，且上述加固措施不能满足支护安全时，宜考虑采用搅拌桩加固坡脚。</w:t>
      </w:r>
    </w:p>
    <w:p w14:paraId="597DF1FE">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水泥土复合土钉墙：</w:t>
      </w:r>
    </w:p>
    <w:p w14:paraId="4FB97C35">
      <w:pPr>
        <w:pStyle w:val="80"/>
        <w:spacing w:line="360" w:lineRule="auto"/>
        <w:ind w:firstLine="480"/>
        <w:rPr>
          <w:rStyle w:val="81"/>
          <w:rFonts w:hint="eastAsia" w:ascii="宋体" w:hAnsi="宋体" w:cs="宋体"/>
          <w:sz w:val="24"/>
          <w:szCs w:val="24"/>
          <w:highlight w:val="none"/>
        </w:rPr>
      </w:pPr>
      <w:r>
        <w:rPr>
          <w:rStyle w:val="81"/>
          <w:rFonts w:hint="eastAsia" w:ascii="宋体" w:hAnsi="宋体" w:cs="宋体"/>
          <w:sz w:val="24"/>
          <w:szCs w:val="24"/>
          <w:highlight w:val="none"/>
        </w:rPr>
        <w:t>应优先采用大直径水泥土搅拌桩止水兼支护；土钉水平间距和竖向间距宜为1.5～2.5m，倾角宜为10⁰～25⁰，对于易塌孔的松散或稍密的粉土、填土或软土宜采用打入式钢花管土钉，其余宜采用机械成孔的钢筋土钉。材料选用42.5R水泥制作的净浆，水灰比为0.5~0.6，径体直径不小于110mm。面层可采用100mm厚C20喷射砼，可内配Φ8@150~200钢筋网。土钉端头加强筋规格可采用2Φ16；根据地质条件等因素，可在搅拌桩中加入超前钢管或H型钢。</w:t>
      </w:r>
      <w:r>
        <w:rPr>
          <w:rFonts w:hint="eastAsia" w:ascii="宋体" w:hAnsi="宋体" w:cs="宋体"/>
          <w:sz w:val="24"/>
          <w:szCs w:val="24"/>
          <w:highlight w:val="none"/>
        </w:rPr>
        <w:t xml:space="preserve"> </w:t>
      </w:r>
    </w:p>
    <w:p w14:paraId="19DEDC6A">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工法桩+锚杆：</w:t>
      </w:r>
    </w:p>
    <w:p w14:paraId="15BA9C36">
      <w:pPr>
        <w:pStyle w:val="80"/>
        <w:spacing w:line="360" w:lineRule="auto"/>
        <w:ind w:firstLine="480"/>
        <w:rPr>
          <w:rFonts w:hint="eastAsia" w:ascii="宋体" w:hAnsi="宋体" w:cs="宋体"/>
          <w:sz w:val="24"/>
          <w:szCs w:val="24"/>
          <w:highlight w:val="none"/>
        </w:rPr>
      </w:pPr>
      <w:r>
        <w:rPr>
          <w:rStyle w:val="81"/>
          <w:rFonts w:hint="eastAsia" w:ascii="宋体" w:hAnsi="宋体" w:cs="宋体"/>
          <w:sz w:val="24"/>
          <w:szCs w:val="24"/>
          <w:highlight w:val="none"/>
        </w:rPr>
        <w:t>场地周边用地条件较为紧张、周边环境对变形要求较高的基坑，可</w:t>
      </w:r>
      <w:r>
        <w:rPr>
          <w:rFonts w:hint="eastAsia" w:ascii="宋体" w:hAnsi="宋体" w:cs="宋体"/>
          <w:sz w:val="24"/>
          <w:szCs w:val="24"/>
          <w:highlight w:val="none"/>
        </w:rPr>
        <w:t>采用工法桩+锚杆的支护形式。搅拌桩止水兼支护，内插钢管或H型钢。</w:t>
      </w:r>
    </w:p>
    <w:p w14:paraId="330784F5">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悬臂式排桩：</w:t>
      </w:r>
    </w:p>
    <w:p w14:paraId="42846D77">
      <w:pPr>
        <w:pStyle w:val="80"/>
        <w:spacing w:line="360" w:lineRule="auto"/>
        <w:ind w:firstLine="480"/>
        <w:jc w:val="left"/>
        <w:rPr>
          <w:rFonts w:hint="eastAsia" w:ascii="宋体" w:hAnsi="宋体" w:cs="宋体"/>
          <w:sz w:val="24"/>
          <w:szCs w:val="24"/>
          <w:highlight w:val="none"/>
        </w:rPr>
      </w:pPr>
      <w:r>
        <w:rPr>
          <w:rStyle w:val="81"/>
          <w:rFonts w:hint="eastAsia" w:ascii="宋体" w:hAnsi="宋体" w:cs="宋体"/>
          <w:sz w:val="24"/>
          <w:szCs w:val="24"/>
          <w:highlight w:val="none"/>
        </w:rPr>
        <w:t>场地周边用地条件较为紧张，无法满足放坡要求，且不具备施工锚索（锚杆）条件时，可</w:t>
      </w:r>
      <w:r>
        <w:rPr>
          <w:rFonts w:hint="eastAsia" w:ascii="宋体" w:hAnsi="宋体" w:cs="宋体"/>
          <w:sz w:val="24"/>
          <w:szCs w:val="24"/>
          <w:highlight w:val="none"/>
        </w:rPr>
        <w:t>采用</w:t>
      </w:r>
      <w:r>
        <w:rPr>
          <w:rStyle w:val="49"/>
          <w:rFonts w:hint="eastAsia" w:ascii="宋体" w:hAnsi="宋体" w:cs="宋体"/>
          <w:color w:val="auto"/>
          <w:sz w:val="24"/>
          <w:szCs w:val="24"/>
          <w:highlight w:val="none"/>
        </w:rPr>
        <w:t>灌注桩，灌注桩采用C30水下混凝土。</w:t>
      </w:r>
    </w:p>
    <w:p w14:paraId="6D684C7D">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灌注桩+预应力锚索：</w:t>
      </w:r>
    </w:p>
    <w:p w14:paraId="554B4494">
      <w:pPr>
        <w:pStyle w:val="80"/>
        <w:spacing w:line="360" w:lineRule="auto"/>
        <w:ind w:firstLine="480"/>
        <w:jc w:val="left"/>
        <w:rPr>
          <w:rStyle w:val="49"/>
          <w:rFonts w:hint="eastAsia" w:ascii="宋体" w:hAnsi="宋体" w:cs="宋体"/>
          <w:color w:val="auto"/>
          <w:sz w:val="24"/>
          <w:szCs w:val="24"/>
          <w:highlight w:val="none"/>
        </w:rPr>
      </w:pPr>
      <w:r>
        <w:rPr>
          <w:rFonts w:hint="eastAsia" w:ascii="宋体" w:hAnsi="宋体" w:cs="宋体"/>
          <w:sz w:val="24"/>
          <w:szCs w:val="24"/>
          <w:highlight w:val="none"/>
        </w:rPr>
        <w:t>优先选用灌注桩</w:t>
      </w:r>
      <w:r>
        <w:rPr>
          <w:rStyle w:val="49"/>
          <w:rFonts w:hint="eastAsia" w:ascii="宋体" w:hAnsi="宋体" w:cs="宋体"/>
          <w:color w:val="auto"/>
          <w:sz w:val="24"/>
          <w:szCs w:val="24"/>
          <w:highlight w:val="none"/>
        </w:rPr>
        <w:t>Φ800，另根据实际计算结果可选用Φ1000或Φ1200，采用C30水下混凝土；同时可根据实际需求选用1-2道预应力锚索；两道锚索时，采用混凝土腰梁。</w:t>
      </w:r>
    </w:p>
    <w:p w14:paraId="4392D4A1">
      <w:pPr>
        <w:pStyle w:val="80"/>
        <w:spacing w:line="360" w:lineRule="auto"/>
        <w:ind w:firstLine="480"/>
        <w:jc w:val="left"/>
        <w:rPr>
          <w:rFonts w:hint="eastAsia" w:ascii="宋体" w:hAnsi="宋体" w:cs="宋体"/>
          <w:sz w:val="24"/>
          <w:szCs w:val="24"/>
          <w:highlight w:val="none"/>
        </w:rPr>
      </w:pPr>
      <w:r>
        <w:rPr>
          <w:rStyle w:val="49"/>
          <w:rFonts w:hint="eastAsia" w:ascii="宋体" w:hAnsi="宋体" w:cs="宋体"/>
          <w:color w:val="auto"/>
          <w:sz w:val="24"/>
          <w:szCs w:val="24"/>
          <w:highlight w:val="none"/>
        </w:rPr>
        <w:t>预应力锚索采用钢绞线，成孔直径不小于150mm，采用二次注浆法施工。锚索采用7Φ5钢绞线，钢绞线强度标准值为1860MPa。注浆材料选用0.50~0.80纯水泥浆（水泥标号为42.5R），并加入适量的早强剂。</w:t>
      </w:r>
    </w:p>
    <w:p w14:paraId="72F40FC8">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放坡+悬臂桩：</w:t>
      </w:r>
    </w:p>
    <w:p w14:paraId="180E700F">
      <w:pPr>
        <w:pStyle w:val="80"/>
        <w:spacing w:line="360" w:lineRule="auto"/>
        <w:ind w:firstLine="480"/>
        <w:jc w:val="left"/>
        <w:rPr>
          <w:rStyle w:val="49"/>
          <w:rFonts w:hint="eastAsia" w:ascii="宋体" w:hAnsi="宋体" w:cs="宋体"/>
          <w:color w:val="auto"/>
          <w:sz w:val="24"/>
          <w:szCs w:val="24"/>
          <w:highlight w:val="none"/>
        </w:rPr>
      </w:pPr>
      <w:r>
        <w:rPr>
          <w:rStyle w:val="81"/>
          <w:rFonts w:hint="eastAsia" w:ascii="宋体" w:hAnsi="宋体" w:cs="宋体"/>
          <w:sz w:val="24"/>
          <w:szCs w:val="24"/>
          <w:highlight w:val="none"/>
        </w:rPr>
        <w:t>基坑周边用地紧张，不具备施工锚索条件，深度小于7m，而使用“排桩+内支撑”不经济的基坑，桩径可</w:t>
      </w:r>
      <w:r>
        <w:rPr>
          <w:rStyle w:val="49"/>
          <w:rFonts w:hint="eastAsia" w:ascii="宋体" w:hAnsi="宋体" w:cs="宋体"/>
          <w:color w:val="auto"/>
          <w:sz w:val="24"/>
          <w:szCs w:val="24"/>
          <w:highlight w:val="none"/>
        </w:rPr>
        <w:t xml:space="preserve">根据计算选用Φ1000~1200，采用C30水下混凝土。 </w:t>
      </w:r>
    </w:p>
    <w:p w14:paraId="7CEDA16C">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灌注桩+内支撑：</w:t>
      </w:r>
    </w:p>
    <w:p w14:paraId="4356B25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可选用灌注桩</w:t>
      </w:r>
      <w:r>
        <w:rPr>
          <w:rStyle w:val="49"/>
          <w:rFonts w:hint="eastAsia" w:ascii="宋体" w:hAnsi="宋体" w:cs="宋体"/>
          <w:color w:val="auto"/>
          <w:sz w:val="24"/>
          <w:szCs w:val="24"/>
          <w:highlight w:val="none"/>
        </w:rPr>
        <w:t>Φ800~Φ1200，采用C30水下混凝土；同时可根据实际需求选用钢筋砼内支撑，</w:t>
      </w:r>
      <w:r>
        <w:rPr>
          <w:rFonts w:hint="eastAsia" w:ascii="宋体" w:hAnsi="宋体" w:eastAsia="宋体" w:cs="宋体"/>
          <w:color w:val="auto"/>
          <w:sz w:val="24"/>
          <w:szCs w:val="24"/>
          <w:highlight w:val="none"/>
        </w:rPr>
        <w:t>立柱基础优先选用Φ1000灌注桩。</w:t>
      </w:r>
    </w:p>
    <w:p w14:paraId="70052C4A">
      <w:pPr>
        <w:pStyle w:val="7"/>
        <w:numPr>
          <w:ilvl w:val="2"/>
          <w:numId w:val="17"/>
        </w:numPr>
        <w:ind w:left="0" w:firstLine="480" w:firstLineChars="200"/>
        <w:rPr>
          <w:rFonts w:hint="eastAsia" w:ascii="宋体" w:hAnsi="宋体" w:cs="宋体"/>
          <w:b w:val="0"/>
          <w:bCs/>
          <w:szCs w:val="24"/>
          <w:highlight w:val="none"/>
        </w:rPr>
      </w:pPr>
      <w:r>
        <w:rPr>
          <w:rFonts w:hint="eastAsia" w:ascii="宋体" w:hAnsi="宋体" w:cs="宋体"/>
          <w:b w:val="0"/>
          <w:bCs/>
          <w:szCs w:val="24"/>
          <w:highlight w:val="none"/>
        </w:rPr>
        <w:t>双排灌注桩：</w:t>
      </w:r>
    </w:p>
    <w:p w14:paraId="11810DEB">
      <w:pPr>
        <w:pStyle w:val="80"/>
        <w:spacing w:line="360" w:lineRule="auto"/>
        <w:ind w:firstLine="480"/>
        <w:jc w:val="left"/>
        <w:rPr>
          <w:rFonts w:hint="eastAsia" w:ascii="宋体" w:hAnsi="宋体" w:cs="宋体"/>
          <w:sz w:val="24"/>
          <w:szCs w:val="24"/>
          <w:highlight w:val="none"/>
        </w:rPr>
      </w:pPr>
      <w:r>
        <w:rPr>
          <w:rStyle w:val="81"/>
          <w:rFonts w:hint="eastAsia" w:ascii="宋体" w:hAnsi="宋体" w:cs="宋体"/>
          <w:sz w:val="24"/>
          <w:szCs w:val="24"/>
          <w:highlight w:val="none"/>
        </w:rPr>
        <w:t>当周边有重要建筑、管线等，不具备锚索施工条件，且内支撑经济性较低时，可考虑采用双排桩，</w:t>
      </w:r>
      <w:r>
        <w:rPr>
          <w:rFonts w:hint="eastAsia" w:ascii="宋体" w:hAnsi="宋体" w:cs="宋体"/>
          <w:sz w:val="24"/>
          <w:szCs w:val="24"/>
          <w:highlight w:val="none"/>
        </w:rPr>
        <w:t>选用灌注桩</w:t>
      </w:r>
      <w:r>
        <w:rPr>
          <w:rStyle w:val="49"/>
          <w:rFonts w:hint="eastAsia" w:ascii="宋体" w:hAnsi="宋体" w:cs="宋体"/>
          <w:color w:val="auto"/>
          <w:sz w:val="24"/>
          <w:szCs w:val="24"/>
          <w:highlight w:val="none"/>
        </w:rPr>
        <w:t>Φ800~Φ1200，采用C30水下混凝土。</w:t>
      </w:r>
    </w:p>
    <w:p w14:paraId="1EFFADBD">
      <w:pPr>
        <w:pStyle w:val="6"/>
        <w:keepNext w:val="0"/>
        <w:keepLines w:val="0"/>
        <w:numPr>
          <w:ilvl w:val="1"/>
          <w:numId w:val="17"/>
        </w:numPr>
        <w:snapToGrid/>
        <w:ind w:firstLine="482" w:firstLineChars="200"/>
        <w:rPr>
          <w:rFonts w:hint="eastAsia" w:ascii="宋体" w:hAnsi="宋体" w:eastAsia="宋体" w:cs="宋体"/>
          <w:color w:val="auto"/>
          <w:sz w:val="24"/>
          <w:szCs w:val="24"/>
          <w:highlight w:val="none"/>
        </w:rPr>
      </w:pPr>
      <w:bookmarkStart w:id="456" w:name="_Toc19477"/>
      <w:bookmarkStart w:id="457" w:name="_Toc8401"/>
      <w:bookmarkStart w:id="458" w:name="_Toc18181"/>
      <w:bookmarkStart w:id="459" w:name="_Toc104581772"/>
      <w:r>
        <w:rPr>
          <w:rFonts w:hint="eastAsia" w:ascii="宋体" w:hAnsi="宋体" w:eastAsia="宋体" w:cs="宋体"/>
          <w:color w:val="auto"/>
          <w:sz w:val="24"/>
          <w:szCs w:val="24"/>
          <w:highlight w:val="none"/>
        </w:rPr>
        <w:t>通用指标</w:t>
      </w:r>
      <w:bookmarkEnd w:id="456"/>
      <w:bookmarkEnd w:id="457"/>
      <w:bookmarkEnd w:id="458"/>
      <w:bookmarkEnd w:id="459"/>
    </w:p>
    <w:p w14:paraId="51B8FC6F">
      <w:pPr>
        <w:pStyle w:val="24"/>
        <w:ind w:left="440" w:leftChars="200" w:firstLine="0" w:firstLineChars="0"/>
        <w:rPr>
          <w:rFonts w:hint="eastAsia" w:hAnsi="宋体" w:cs="宋体"/>
          <w:b/>
          <w:bCs/>
          <w:szCs w:val="24"/>
          <w:highlight w:val="none"/>
        </w:rPr>
      </w:pPr>
      <w:r>
        <w:rPr>
          <w:rFonts w:hint="eastAsia" w:hAnsi="宋体" w:cs="宋体"/>
          <w:b/>
          <w:bCs/>
          <w:szCs w:val="24"/>
          <w:highlight w:val="none"/>
        </w:rPr>
        <w:t>10.5.1 地下水控制</w:t>
      </w:r>
    </w:p>
    <w:p w14:paraId="40B900D2">
      <w:pPr>
        <w:pStyle w:val="24"/>
        <w:ind w:firstLine="480"/>
        <w:rPr>
          <w:rFonts w:hint="eastAsia" w:hAnsi="宋体" w:cs="宋体"/>
          <w:szCs w:val="24"/>
          <w:highlight w:val="none"/>
        </w:rPr>
      </w:pPr>
      <w:r>
        <w:rPr>
          <w:rFonts w:hint="eastAsia" w:hAnsi="宋体" w:cs="宋体"/>
          <w:szCs w:val="24"/>
          <w:highlight w:val="none"/>
        </w:rPr>
        <w:t>10.5.1.1 基坑内周边应设排水沟及集水井，排水沟和集水井距离基坑侧壁边不小于0.3m，集水井宜在基坑四角和坑边每隔30~40m布设；基坑外设截流沟。坡顶排水沟（截流沟）截面尺寸宜为400x400mm，坡脚排水沟（截流沟）截面尺寸宜为300x400mm。集水井截面尺寸宜为800x800x1000mm。排水沟和集水井宜采用灰砂砖砌筑。基坑内地下水水位宜降至土方开挖面下1.0~2.0m。基坑内降水可采用坑内降水井。</w:t>
      </w:r>
    </w:p>
    <w:p w14:paraId="1461519B">
      <w:pPr>
        <w:pStyle w:val="24"/>
        <w:ind w:firstLine="480"/>
        <w:rPr>
          <w:rFonts w:hint="eastAsia" w:hAnsi="宋体" w:cs="宋体"/>
          <w:szCs w:val="24"/>
          <w:highlight w:val="none"/>
        </w:rPr>
      </w:pPr>
      <w:r>
        <w:rPr>
          <w:rFonts w:hint="eastAsia" w:hAnsi="宋体" w:cs="宋体"/>
          <w:szCs w:val="24"/>
          <w:highlight w:val="none"/>
        </w:rPr>
        <w:t>10.5.1.2 对于一层地下室的基坑，当地质资料揭露场地开挖深度及坑底以下5m范围内无强透水层，且临近基坑周边无建构筑物、市政管网时，可考虑不设止水帷幕，采用集水明排。</w:t>
      </w:r>
    </w:p>
    <w:p w14:paraId="74846E90">
      <w:pPr>
        <w:pStyle w:val="24"/>
        <w:ind w:firstLine="480"/>
        <w:rPr>
          <w:rFonts w:hint="eastAsia" w:hAnsi="宋体" w:cs="宋体"/>
          <w:szCs w:val="24"/>
          <w:highlight w:val="none"/>
        </w:rPr>
      </w:pPr>
      <w:r>
        <w:rPr>
          <w:rFonts w:hint="eastAsia" w:hAnsi="宋体" w:cs="宋体"/>
          <w:szCs w:val="24"/>
          <w:highlight w:val="none"/>
        </w:rPr>
        <w:t>10.5.1.3 对于一层地下室的基坑，当存在渗透性较好的含水层时，应在基坑周边做止水帷幕，止水帷幕采用大直径搅拌桩。止水搅拌桩应进入坑底不透水层不少于2m（坑边有局部挖深时应适当加大），或搅至基岩面，或桩长不大于18m。</w:t>
      </w:r>
    </w:p>
    <w:p w14:paraId="1792808D">
      <w:pPr>
        <w:pStyle w:val="24"/>
        <w:ind w:firstLine="480"/>
        <w:rPr>
          <w:rFonts w:hint="eastAsia" w:hAnsi="宋体" w:cs="宋体"/>
          <w:szCs w:val="24"/>
          <w:highlight w:val="none"/>
        </w:rPr>
      </w:pPr>
      <w:r>
        <w:rPr>
          <w:rFonts w:hint="eastAsia" w:hAnsi="宋体" w:cs="宋体"/>
          <w:szCs w:val="24"/>
          <w:highlight w:val="none"/>
        </w:rPr>
        <w:t>10.5.1.4 对于两层地下室的基坑，当存在渗透性较好的含水层或富水的基岩和断层破碎带时，应考虑在基坑周边做止水帷幕，止水帷幕宜采用大直径单轴或三轴搅拌桩或咬合桩。止水搅拌桩应进入坑底不透水层不少于2m（坑边有局部挖深时应适当加大），或搅至基岩面。砂岩交界面可采用双管旋喷桩加强止水效果或咬合桩素桩穿透砂岩交界面进入岩面以下不少于2m。</w:t>
      </w:r>
    </w:p>
    <w:p w14:paraId="6A5A6CF9">
      <w:pPr>
        <w:pStyle w:val="24"/>
        <w:ind w:firstLine="480"/>
        <w:rPr>
          <w:rFonts w:hint="eastAsia" w:hAnsi="宋体" w:cs="宋体"/>
          <w:szCs w:val="24"/>
          <w:highlight w:val="none"/>
        </w:rPr>
      </w:pPr>
      <w:r>
        <w:rPr>
          <w:rFonts w:hint="eastAsia" w:hAnsi="宋体" w:cs="宋体"/>
          <w:szCs w:val="24"/>
          <w:highlight w:val="none"/>
        </w:rPr>
        <w:t>10.5.1.5 根据现场实际施工情况，为保证土方开挖及坑底作业时处于干燥环境，必要时可在基坑内适当位置设置降水井，降水井间距按30m×30m网格布置布置，从现地面开始施工，要求进入坑底以下不少于6m；为了防止对周边环境及管线产生不利影响，必要时经建设、设计、监理等相关单位确认后可在坑外5.0m按20m间距设置回灌井。</w:t>
      </w:r>
    </w:p>
    <w:p w14:paraId="2A137ECD">
      <w:pPr>
        <w:pStyle w:val="24"/>
        <w:ind w:left="440" w:leftChars="200" w:firstLine="0" w:firstLineChars="0"/>
        <w:rPr>
          <w:rFonts w:hint="eastAsia" w:hAnsi="宋体" w:cs="宋体"/>
          <w:b/>
          <w:bCs/>
          <w:szCs w:val="24"/>
          <w:highlight w:val="none"/>
        </w:rPr>
      </w:pPr>
      <w:r>
        <w:rPr>
          <w:rFonts w:hint="eastAsia" w:hAnsi="宋体" w:cs="宋体"/>
          <w:b/>
          <w:bCs/>
          <w:szCs w:val="24"/>
          <w:highlight w:val="none"/>
        </w:rPr>
        <w:t>10.5.2 溶洞处理（如有）</w:t>
      </w:r>
    </w:p>
    <w:p w14:paraId="48F438FE">
      <w:pPr>
        <w:pStyle w:val="24"/>
        <w:ind w:firstLine="480"/>
        <w:rPr>
          <w:rFonts w:hint="eastAsia" w:hAnsi="宋体" w:cs="宋体"/>
          <w:szCs w:val="24"/>
          <w:highlight w:val="none"/>
        </w:rPr>
      </w:pPr>
      <w:r>
        <w:rPr>
          <w:rFonts w:hint="eastAsia" w:hAnsi="宋体" w:cs="宋体"/>
          <w:szCs w:val="24"/>
          <w:highlight w:val="none"/>
        </w:rPr>
        <w:t>10.5.2.1岩溶发育地区的基坑支护工程宜进行超前钻探，采用排桩支护时，沿支护边线超前钻间距可按五桩一孔布置，其它类型支护时，间距可选8～10m。发现溶洞时应扩大钻探范围，确定溶洞分布边界。</w:t>
      </w:r>
    </w:p>
    <w:p w14:paraId="5C3B3CCB">
      <w:pPr>
        <w:pStyle w:val="24"/>
        <w:ind w:left="440" w:leftChars="200" w:firstLine="0" w:firstLineChars="0"/>
        <w:rPr>
          <w:rFonts w:hint="eastAsia" w:hAnsi="宋体" w:cs="宋体"/>
          <w:szCs w:val="24"/>
          <w:highlight w:val="none"/>
        </w:rPr>
      </w:pPr>
      <w:r>
        <w:rPr>
          <w:rFonts w:hint="eastAsia" w:hAnsi="宋体" w:cs="宋体"/>
          <w:szCs w:val="24"/>
          <w:highlight w:val="none"/>
        </w:rPr>
        <w:t>10.5.2.2 依据溶洞的类型采取相应的处理措施：</w:t>
      </w:r>
    </w:p>
    <w:p w14:paraId="67980D63">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小型溶洞（洞高小于5m）或全填充的溶洞：根据对基坑支护的影响程度判断是否需要处理。</w:t>
      </w:r>
    </w:p>
    <w:p w14:paraId="4F468068">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中型溶洞（高度5m~10m或预估连通体积50m</w:t>
      </w:r>
      <w:r>
        <w:rPr>
          <w:rFonts w:hint="eastAsia" w:ascii="宋体" w:hAnsi="宋体" w:cs="宋体"/>
          <w:sz w:val="24"/>
          <w:szCs w:val="24"/>
          <w:highlight w:val="none"/>
          <w:vertAlign w:val="superscript"/>
        </w:rPr>
        <w:t>3</w:t>
      </w:r>
      <w:r>
        <w:rPr>
          <w:rFonts w:hint="eastAsia" w:ascii="宋体" w:hAnsi="宋体" w:cs="宋体"/>
          <w:sz w:val="24"/>
          <w:szCs w:val="24"/>
          <w:highlight w:val="none"/>
        </w:rPr>
        <w:t>~100m</w:t>
      </w:r>
      <w:r>
        <w:rPr>
          <w:rFonts w:hint="eastAsia" w:ascii="宋体" w:hAnsi="宋体" w:cs="宋体"/>
          <w:sz w:val="24"/>
          <w:szCs w:val="24"/>
          <w:highlight w:val="none"/>
          <w:vertAlign w:val="superscript"/>
        </w:rPr>
        <w:t>3</w:t>
      </w:r>
      <w:r>
        <w:rPr>
          <w:rFonts w:hint="eastAsia" w:ascii="宋体" w:hAnsi="宋体" w:cs="宋体"/>
          <w:sz w:val="24"/>
          <w:szCs w:val="24"/>
          <w:highlight w:val="none"/>
        </w:rPr>
        <w:t>）：宜采用先灌砂，后泵送低标号素混凝土处理。</w:t>
      </w:r>
    </w:p>
    <w:p w14:paraId="5EB8EFC5">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大型溶洞（高度大于10m或预估连通体积大于100m</w:t>
      </w:r>
      <w:r>
        <w:rPr>
          <w:rFonts w:hint="eastAsia" w:ascii="宋体" w:hAnsi="宋体" w:cs="宋体"/>
          <w:sz w:val="24"/>
          <w:szCs w:val="24"/>
          <w:highlight w:val="none"/>
          <w:vertAlign w:val="superscript"/>
        </w:rPr>
        <w:t>3</w:t>
      </w:r>
      <w:r>
        <w:rPr>
          <w:rFonts w:hint="eastAsia" w:ascii="宋体" w:hAnsi="宋体" w:cs="宋体"/>
          <w:sz w:val="24"/>
          <w:szCs w:val="24"/>
          <w:highlight w:val="none"/>
        </w:rPr>
        <w:t>）：宜采用先填砂或填碎石+静压水泥灌浆法处理的措施。</w:t>
      </w:r>
    </w:p>
    <w:p w14:paraId="77D3382C">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连通性的溶洞：可通过试验采用双液浆或泵送素混凝土方法进行封边处理。</w:t>
      </w:r>
    </w:p>
    <w:p w14:paraId="7D1EE77E">
      <w:pPr>
        <w:pStyle w:val="24"/>
        <w:ind w:left="440" w:leftChars="200" w:firstLine="0" w:firstLineChars="0"/>
        <w:rPr>
          <w:rFonts w:hint="eastAsia" w:hAnsi="宋体" w:cs="宋体"/>
          <w:szCs w:val="24"/>
          <w:highlight w:val="none"/>
        </w:rPr>
      </w:pPr>
      <w:r>
        <w:rPr>
          <w:rFonts w:hint="eastAsia" w:hAnsi="宋体" w:cs="宋体"/>
          <w:szCs w:val="24"/>
          <w:highlight w:val="none"/>
        </w:rPr>
        <w:t>10.5.2.3填充（注浆）材料</w:t>
      </w:r>
    </w:p>
    <w:p w14:paraId="25A3C230">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可采用砂、碎石、M7.5水泥砂浆、纯水泥浆、C15素混凝土、双液浆（水玻璃+水泥浆）等。</w:t>
      </w:r>
    </w:p>
    <w:p w14:paraId="165D7731">
      <w:pPr>
        <w:pStyle w:val="24"/>
        <w:ind w:left="440" w:leftChars="200" w:firstLine="0" w:firstLineChars="0"/>
        <w:rPr>
          <w:rFonts w:hint="eastAsia" w:hAnsi="宋体" w:cs="宋体"/>
          <w:szCs w:val="24"/>
          <w:highlight w:val="none"/>
        </w:rPr>
      </w:pPr>
      <w:r>
        <w:rPr>
          <w:rFonts w:hint="eastAsia" w:hAnsi="宋体" w:cs="宋体"/>
          <w:szCs w:val="24"/>
          <w:highlight w:val="none"/>
        </w:rPr>
        <w:t>10.5.2.4注浆孔布置</w:t>
      </w:r>
    </w:p>
    <w:p w14:paraId="1AB25EC8">
      <w:pPr>
        <w:pStyle w:val="80"/>
        <w:spacing w:line="360" w:lineRule="auto"/>
        <w:ind w:firstLine="480"/>
        <w:rPr>
          <w:rFonts w:hint="eastAsia" w:ascii="宋体" w:hAnsi="宋体" w:cs="宋体"/>
          <w:sz w:val="24"/>
          <w:szCs w:val="24"/>
          <w:highlight w:val="none"/>
        </w:rPr>
      </w:pPr>
      <w:r>
        <w:rPr>
          <w:rFonts w:hint="eastAsia" w:ascii="宋体" w:hAnsi="宋体" w:cs="宋体"/>
          <w:sz w:val="24"/>
          <w:szCs w:val="24"/>
          <w:highlight w:val="none"/>
        </w:rPr>
        <w:t>注浆管布置宜进入溶洞顶板以下0.3~0.5m。灌注水泥浆时，注浆管应达到溶洞或土洞底部。水泥砂浆或纯水泥浆的注浆孔孔径110~130mm，排气孔孔径不小于90mm。袖阀管所需的管径为Φ50，吹砂所需的管径为Φ300，灌素混凝土所需孔径为Φ300。灌注砂浆的注浆孔附近布置1~3个排气孔，排气孔距离注浆孔2m左右，终孔孔径不小于90mm，呈“品”字型布置。</w:t>
      </w:r>
    </w:p>
    <w:p w14:paraId="47EAD92D">
      <w:pPr>
        <w:pStyle w:val="24"/>
        <w:ind w:left="440" w:leftChars="200" w:firstLine="0" w:firstLineChars="0"/>
        <w:rPr>
          <w:rFonts w:hint="eastAsia" w:hAnsi="宋体" w:cs="宋体"/>
          <w:szCs w:val="24"/>
          <w:highlight w:val="none"/>
        </w:rPr>
      </w:pPr>
      <w:r>
        <w:rPr>
          <w:rFonts w:hint="eastAsia" w:hAnsi="宋体" w:cs="宋体"/>
          <w:szCs w:val="24"/>
          <w:highlight w:val="none"/>
        </w:rPr>
        <w:t>10.5.2.5注浆顺序及注浆控制</w:t>
      </w:r>
    </w:p>
    <w:p w14:paraId="179A67DF">
      <w:pPr>
        <w:spacing w:line="360" w:lineRule="auto"/>
        <w:ind w:firstLine="480" w:firstLineChars="200"/>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先周边孔，再中央孔的顺序进行，采用间歇式注浆，每次注浆量不超过50m</w:t>
      </w:r>
      <w:r>
        <w:rPr>
          <w:rFonts w:hint="eastAsia" w:ascii="宋体" w:hAnsi="宋体" w:eastAsia="宋体" w:cs="宋体"/>
          <w:color w:val="auto"/>
          <w:sz w:val="24"/>
          <w:szCs w:val="24"/>
          <w:highlight w:val="none"/>
          <w:vertAlign w:val="superscript"/>
        </w:rPr>
        <w:t>3</w:t>
      </w:r>
      <w:r>
        <w:rPr>
          <w:rFonts w:hint="eastAsia" w:ascii="宋体" w:hAnsi="宋体" w:eastAsia="宋体" w:cs="宋体"/>
          <w:color w:val="auto"/>
          <w:sz w:val="24"/>
          <w:szCs w:val="24"/>
          <w:highlight w:val="none"/>
        </w:rPr>
        <w:t>,待固结后再进行下一次注浆。若两次注浆未满的孔，考虑使用双液浆或扩孔后灌注素混凝土。注浆速度宜为30～70L/min。</w:t>
      </w:r>
    </w:p>
    <w:p w14:paraId="198F854B">
      <w:pPr>
        <w:pStyle w:val="24"/>
        <w:ind w:left="440" w:leftChars="200" w:firstLine="0" w:firstLineChars="0"/>
        <w:rPr>
          <w:rFonts w:hint="eastAsia" w:hAnsi="宋体" w:cs="宋体"/>
          <w:b/>
          <w:bCs/>
          <w:szCs w:val="24"/>
          <w:highlight w:val="none"/>
        </w:rPr>
      </w:pPr>
      <w:r>
        <w:rPr>
          <w:rFonts w:hint="eastAsia" w:hAnsi="宋体" w:cs="宋体"/>
          <w:b/>
          <w:bCs/>
          <w:szCs w:val="24"/>
          <w:highlight w:val="none"/>
        </w:rPr>
        <w:t>10.5.3土洞处理</w:t>
      </w:r>
    </w:p>
    <w:p w14:paraId="31F95953">
      <w:pPr>
        <w:pStyle w:val="24"/>
        <w:ind w:firstLine="480"/>
        <w:rPr>
          <w:rFonts w:hint="eastAsia" w:hAnsi="宋体" w:cs="宋体"/>
          <w:szCs w:val="24"/>
          <w:highlight w:val="none"/>
        </w:rPr>
      </w:pPr>
      <w:r>
        <w:rPr>
          <w:rFonts w:hint="eastAsia" w:hAnsi="宋体" w:cs="宋体"/>
          <w:szCs w:val="24"/>
          <w:highlight w:val="none"/>
        </w:rPr>
        <w:t>10.5.3.1 基坑支护结构影响范围内（包含对施工机械的施工安全）存在土洞时，应对土洞进行填充处理。</w:t>
      </w:r>
    </w:p>
    <w:p w14:paraId="45E49F24">
      <w:pPr>
        <w:pStyle w:val="24"/>
        <w:ind w:left="440" w:leftChars="200" w:firstLine="0" w:firstLineChars="0"/>
        <w:rPr>
          <w:rFonts w:hint="eastAsia" w:hAnsi="宋体" w:cs="宋体"/>
          <w:szCs w:val="24"/>
          <w:highlight w:val="none"/>
        </w:rPr>
      </w:pPr>
      <w:r>
        <w:rPr>
          <w:rFonts w:hint="eastAsia" w:hAnsi="宋体" w:cs="宋体"/>
          <w:szCs w:val="24"/>
          <w:highlight w:val="none"/>
        </w:rPr>
        <w:t>10.5.3.1 位于支护结构范围的土洞，采取穿越+填充方式。</w:t>
      </w:r>
    </w:p>
    <w:p w14:paraId="6EBA07AF">
      <w:pPr>
        <w:pStyle w:val="24"/>
        <w:ind w:left="440" w:leftChars="200" w:firstLine="0" w:firstLineChars="0"/>
        <w:rPr>
          <w:rFonts w:hint="eastAsia" w:hAnsi="宋体" w:cs="宋体"/>
          <w:szCs w:val="24"/>
          <w:highlight w:val="none"/>
        </w:rPr>
      </w:pPr>
      <w:r>
        <w:rPr>
          <w:rFonts w:hint="eastAsia" w:hAnsi="宋体" w:cs="宋体"/>
          <w:szCs w:val="24"/>
          <w:highlight w:val="none"/>
        </w:rPr>
        <w:t>10.5.3.2 位于支护结构范围外、影响范围内的土洞，采取填充方式。</w:t>
      </w:r>
    </w:p>
    <w:p w14:paraId="71C5BC15">
      <w:pPr>
        <w:pStyle w:val="24"/>
        <w:ind w:left="440" w:leftChars="200" w:firstLine="0" w:firstLineChars="0"/>
        <w:rPr>
          <w:rFonts w:hint="eastAsia" w:hAnsi="宋体" w:cs="宋体"/>
          <w:szCs w:val="24"/>
          <w:highlight w:val="none"/>
        </w:rPr>
      </w:pPr>
      <w:r>
        <w:rPr>
          <w:rFonts w:hint="eastAsia" w:hAnsi="宋体" w:cs="宋体"/>
          <w:szCs w:val="24"/>
          <w:highlight w:val="none"/>
        </w:rPr>
        <w:t>10.5.3.3 填充材料宜采用M7.5的水泥砂浆，注浆孔布置、注浆顺序及控制同溶洞处理方式。</w:t>
      </w:r>
    </w:p>
    <w:p w14:paraId="49CD670B">
      <w:pPr>
        <w:pStyle w:val="24"/>
        <w:ind w:left="440" w:leftChars="200" w:firstLine="0" w:firstLineChars="0"/>
        <w:rPr>
          <w:rFonts w:hint="eastAsia" w:hAnsi="宋体" w:cs="宋体"/>
          <w:b/>
          <w:bCs/>
          <w:szCs w:val="24"/>
          <w:highlight w:val="none"/>
        </w:rPr>
      </w:pPr>
      <w:r>
        <w:rPr>
          <w:rFonts w:hint="eastAsia" w:hAnsi="宋体" w:cs="宋体"/>
          <w:b/>
          <w:bCs/>
          <w:szCs w:val="24"/>
          <w:highlight w:val="none"/>
        </w:rPr>
        <w:t>10.5.4 坑中坑支护</w:t>
      </w:r>
    </w:p>
    <w:p w14:paraId="67F6DCBF">
      <w:pPr>
        <w:pStyle w:val="24"/>
        <w:ind w:left="440" w:leftChars="200" w:firstLine="0" w:firstLineChars="0"/>
        <w:rPr>
          <w:rFonts w:hint="eastAsia" w:hAnsi="宋体" w:cs="宋体"/>
          <w:szCs w:val="24"/>
          <w:highlight w:val="none"/>
        </w:rPr>
      </w:pPr>
      <w:r>
        <w:rPr>
          <w:rFonts w:hint="eastAsia" w:hAnsi="宋体" w:cs="宋体"/>
          <w:szCs w:val="24"/>
          <w:highlight w:val="none"/>
        </w:rPr>
        <w:t>10.5.4.1 当坑中坑h≤2m时,宜采用放坡支护。</w:t>
      </w:r>
    </w:p>
    <w:p w14:paraId="047F7DBB">
      <w:pPr>
        <w:pStyle w:val="24"/>
        <w:ind w:left="440" w:leftChars="200" w:firstLine="0" w:firstLineChars="0"/>
        <w:rPr>
          <w:rFonts w:hint="eastAsia" w:hAnsi="宋体" w:cs="宋体"/>
          <w:szCs w:val="24"/>
          <w:highlight w:val="none"/>
        </w:rPr>
      </w:pPr>
      <w:r>
        <w:rPr>
          <w:rFonts w:hint="eastAsia" w:hAnsi="宋体" w:cs="宋体"/>
          <w:szCs w:val="24"/>
          <w:highlight w:val="none"/>
        </w:rPr>
        <w:t>10.5.4.2 当坑中坑2＜h≤3m时，宜采用钢板桩支护。</w:t>
      </w:r>
    </w:p>
    <w:p w14:paraId="2A072974">
      <w:pPr>
        <w:pStyle w:val="24"/>
        <w:ind w:left="440" w:leftChars="200" w:firstLine="0" w:firstLineChars="0"/>
        <w:rPr>
          <w:rFonts w:hint="eastAsia" w:hAnsi="宋体" w:cs="宋体"/>
          <w:szCs w:val="24"/>
          <w:highlight w:val="none"/>
        </w:rPr>
      </w:pPr>
      <w:r>
        <w:rPr>
          <w:rFonts w:hint="eastAsia" w:hAnsi="宋体" w:cs="宋体"/>
          <w:szCs w:val="24"/>
          <w:highlight w:val="none"/>
        </w:rPr>
        <w:t>10.5.4.3 当坑中坑h＞3m时，宜采用钢板桩+钢支撑支护。</w:t>
      </w:r>
    </w:p>
    <w:p w14:paraId="6FCE1BA8">
      <w:pPr>
        <w:pStyle w:val="24"/>
        <w:ind w:firstLine="482"/>
        <w:rPr>
          <w:rFonts w:hint="eastAsia" w:hAnsi="宋体" w:cs="宋体"/>
          <w:b/>
          <w:bCs/>
          <w:szCs w:val="24"/>
          <w:highlight w:val="none"/>
        </w:rPr>
      </w:pPr>
      <w:r>
        <w:rPr>
          <w:rFonts w:hint="eastAsia" w:hAnsi="宋体" w:cs="宋体"/>
          <w:b/>
          <w:bCs/>
          <w:szCs w:val="24"/>
          <w:highlight w:val="none"/>
        </w:rPr>
        <w:t>10.5特别说明</w:t>
      </w:r>
    </w:p>
    <w:p w14:paraId="5107F809">
      <w:pPr>
        <w:spacing w:line="360" w:lineRule="auto"/>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具体项目应综合考虑场地地质、周边环境、开挖深度等条件进行设计，设计文件编制还应满足现行国家、省、市、行业规范（标准）要求。</w:t>
      </w:r>
    </w:p>
    <w:p w14:paraId="39C362C9">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17B199FB">
      <w:pPr>
        <w:pStyle w:val="5"/>
        <w:keepNext w:val="0"/>
        <w:keepLines w:val="0"/>
        <w:snapToGrid/>
        <w:spacing w:before="120" w:beforeLines="50" w:after="0"/>
        <w:rPr>
          <w:rFonts w:hint="eastAsia" w:ascii="宋体" w:hAnsi="宋体" w:eastAsia="宋体" w:cs="宋体"/>
          <w:color w:val="auto"/>
          <w:sz w:val="24"/>
          <w:szCs w:val="24"/>
          <w:highlight w:val="none"/>
        </w:rPr>
      </w:pPr>
      <w:bookmarkStart w:id="460" w:name="_Toc31599"/>
      <w:bookmarkStart w:id="461" w:name="_Toc3189"/>
      <w:bookmarkStart w:id="462" w:name="_Toc15150"/>
      <w:bookmarkStart w:id="463" w:name="_Toc104581773"/>
      <w:bookmarkStart w:id="464" w:name="_Toc18557"/>
      <w:r>
        <w:rPr>
          <w:rFonts w:hint="eastAsia" w:ascii="宋体" w:hAnsi="宋体" w:eastAsia="宋体" w:cs="宋体"/>
          <w:color w:val="auto"/>
          <w:sz w:val="24"/>
          <w:szCs w:val="24"/>
          <w:highlight w:val="none"/>
        </w:rPr>
        <w:t>11.大市政设计</w:t>
      </w:r>
      <w:bookmarkEnd w:id="460"/>
      <w:bookmarkEnd w:id="461"/>
      <w:bookmarkEnd w:id="462"/>
      <w:bookmarkEnd w:id="463"/>
      <w:bookmarkEnd w:id="464"/>
    </w:p>
    <w:p w14:paraId="136CE750">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65" w:name="_Toc28760"/>
      <w:bookmarkStart w:id="466" w:name="_Toc188935731"/>
      <w:bookmarkStart w:id="467" w:name="_Toc96547180"/>
      <w:bookmarkStart w:id="468" w:name="_Toc104581774"/>
      <w:bookmarkStart w:id="469" w:name="_Toc27078"/>
      <w:bookmarkStart w:id="470" w:name="_Toc16901"/>
      <w:bookmarkStart w:id="471" w:name="_Hlk104475784"/>
      <w:r>
        <w:rPr>
          <w:rFonts w:hint="eastAsia" w:ascii="宋体" w:hAnsi="宋体" w:eastAsia="宋体" w:cs="宋体"/>
          <w:color w:val="auto"/>
          <w:sz w:val="24"/>
          <w:szCs w:val="24"/>
          <w:highlight w:val="none"/>
        </w:rPr>
        <w:t>11.1道路工程</w:t>
      </w:r>
      <w:bookmarkEnd w:id="465"/>
      <w:bookmarkEnd w:id="466"/>
      <w:bookmarkEnd w:id="467"/>
      <w:bookmarkEnd w:id="468"/>
      <w:bookmarkEnd w:id="469"/>
      <w:bookmarkEnd w:id="470"/>
    </w:p>
    <w:p w14:paraId="53F29338">
      <w:pPr>
        <w:pStyle w:val="24"/>
        <w:ind w:left="440" w:leftChars="200" w:firstLine="0" w:firstLineChars="0"/>
        <w:rPr>
          <w:rFonts w:hint="eastAsia" w:hAnsi="宋体" w:cs="宋体"/>
          <w:b/>
          <w:bCs/>
          <w:szCs w:val="24"/>
          <w:highlight w:val="none"/>
        </w:rPr>
      </w:pPr>
      <w:bookmarkStart w:id="472" w:name="_Toc96633171"/>
      <w:r>
        <w:rPr>
          <w:rFonts w:hint="eastAsia" w:hAnsi="宋体" w:cs="宋体"/>
          <w:b/>
          <w:bCs/>
          <w:szCs w:val="24"/>
          <w:highlight w:val="none"/>
        </w:rPr>
        <w:t>11.1.1道路主要依据</w:t>
      </w:r>
      <w:bookmarkEnd w:id="472"/>
    </w:p>
    <w:p w14:paraId="1C06BD2A">
      <w:pPr>
        <w:tabs>
          <w:tab w:val="left" w:pos="851"/>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《广州市道路工程路面结构设计指引》（广州市交通运输局 2020年6月）；</w:t>
      </w:r>
    </w:p>
    <w:p w14:paraId="4993A45D">
      <w:pPr>
        <w:tabs>
          <w:tab w:val="left" w:pos="851"/>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《广州市城市道路标准横断面设计指引（试行）》（广州市交通运输局 2021年4月）；</w:t>
      </w:r>
    </w:p>
    <w:p w14:paraId="40154ECA">
      <w:pPr>
        <w:tabs>
          <w:tab w:val="left" w:pos="851"/>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《广州市市政道路精细化、品质化设计与施工技术指引（终期成果）》（广州市住房和城乡建设委员会 2018年9月）；</w:t>
      </w:r>
    </w:p>
    <w:p w14:paraId="0C7C6E68">
      <w:pPr>
        <w:tabs>
          <w:tab w:val="left" w:pos="851"/>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《广州市城市家具建设指引》（广州市规划和自然资源局 2020年12月）；</w:t>
      </w:r>
    </w:p>
    <w:p w14:paraId="1CA44926">
      <w:pPr>
        <w:tabs>
          <w:tab w:val="left" w:pos="851"/>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《广州市政府投资项目天然石材应用指引》 （2016年4月）；</w:t>
      </w:r>
    </w:p>
    <w:p w14:paraId="65970793">
      <w:pPr>
        <w:tabs>
          <w:tab w:val="left" w:pos="851"/>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设计规范优先依据城市道路相关规范，如城市道路未有明确的可参照公路相关规范。</w:t>
      </w:r>
    </w:p>
    <w:p w14:paraId="6E0A8B42">
      <w:pPr>
        <w:pStyle w:val="24"/>
        <w:ind w:left="440" w:leftChars="200" w:firstLine="0" w:firstLineChars="0"/>
        <w:rPr>
          <w:rFonts w:hint="eastAsia" w:hAnsi="宋体" w:cs="宋体"/>
          <w:b/>
          <w:bCs/>
          <w:szCs w:val="24"/>
          <w:highlight w:val="none"/>
        </w:rPr>
      </w:pPr>
      <w:bookmarkStart w:id="473" w:name="_Toc96633172"/>
      <w:r>
        <w:rPr>
          <w:rFonts w:hint="eastAsia" w:hAnsi="宋体" w:cs="宋体"/>
          <w:b/>
          <w:bCs/>
          <w:szCs w:val="24"/>
          <w:highlight w:val="none"/>
        </w:rPr>
        <w:t>11.1.2 道路分级</w:t>
      </w:r>
      <w:bookmarkEnd w:id="473"/>
    </w:p>
    <w:p w14:paraId="258D62A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按照规划设计条件的要求、结合道路在区域中的作用、交通量预测，拟定道路等级、红线宽度、设计速度等指标。</w:t>
      </w:r>
    </w:p>
    <w:p w14:paraId="3C0E8E4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用地红线范围内道路等级分别有城市主干路、城市次干路、城市支路三个等级。设计速度有条件时取上限值，条件困难时采用下限值；</w:t>
      </w:r>
    </w:p>
    <w:p w14:paraId="15757CC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 xml:space="preserve">1.1.2.1 </w:t>
      </w:r>
      <w:r>
        <w:rPr>
          <w:rFonts w:hint="eastAsia" w:ascii="宋体" w:hAnsi="宋体" w:eastAsia="宋体" w:cs="宋体"/>
          <w:color w:val="auto"/>
          <w:sz w:val="24"/>
          <w:szCs w:val="24"/>
          <w:highlight w:val="none"/>
        </w:rPr>
        <w:t>城市主干路对应的道路红线一般不小于40米，双向车道数不小于6车道，设计速度40~60km/h；</w:t>
      </w:r>
    </w:p>
    <w:p w14:paraId="573FEA1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1.1.2.2</w:t>
      </w:r>
      <w:r>
        <w:rPr>
          <w:rFonts w:hint="eastAsia" w:ascii="宋体" w:hAnsi="宋体" w:eastAsia="宋体" w:cs="宋体"/>
          <w:color w:val="auto"/>
          <w:sz w:val="24"/>
          <w:szCs w:val="24"/>
          <w:highlight w:val="none"/>
        </w:rPr>
        <w:t xml:space="preserve"> 城市次干路对应的道路红线26~30米，双向车道数4~6车道，设计速度30~50km/h，；</w:t>
      </w:r>
    </w:p>
    <w:p w14:paraId="4A03E5A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1.1.2.3</w:t>
      </w:r>
      <w:r>
        <w:rPr>
          <w:rFonts w:hint="eastAsia" w:ascii="宋体" w:hAnsi="宋体" w:eastAsia="宋体" w:cs="宋体"/>
          <w:color w:val="auto"/>
          <w:sz w:val="24"/>
          <w:szCs w:val="24"/>
          <w:highlight w:val="none"/>
        </w:rPr>
        <w:t xml:space="preserve"> 城市支路对应的道路红线15~20米，双向车道数2~4道，设计速度20~40km/h。</w:t>
      </w:r>
    </w:p>
    <w:p w14:paraId="128EBA40">
      <w:pPr>
        <w:pStyle w:val="24"/>
        <w:ind w:left="440" w:leftChars="200" w:firstLine="0" w:firstLineChars="0"/>
        <w:rPr>
          <w:rFonts w:hint="eastAsia" w:hAnsi="宋体" w:cs="宋体"/>
          <w:b/>
          <w:bCs/>
          <w:szCs w:val="24"/>
          <w:highlight w:val="none"/>
        </w:rPr>
      </w:pPr>
      <w:bookmarkStart w:id="474" w:name="_Toc96633173"/>
      <w:r>
        <w:rPr>
          <w:rFonts w:hint="eastAsia" w:hAnsi="宋体" w:cs="宋体"/>
          <w:b/>
          <w:bCs/>
          <w:szCs w:val="24"/>
          <w:highlight w:val="none"/>
        </w:rPr>
        <w:t>11.1.3道路平面</w:t>
      </w:r>
      <w:bookmarkEnd w:id="474"/>
    </w:p>
    <w:p w14:paraId="088BD6A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平面线位</w:t>
      </w:r>
    </w:p>
    <w:p w14:paraId="77B6C7B7">
      <w:pPr>
        <w:pStyle w:val="98"/>
        <w:ind w:firstLine="480"/>
        <w:rPr>
          <w:rStyle w:val="81"/>
          <w:rFonts w:hint="eastAsia" w:ascii="宋体" w:hAnsi="宋体" w:cs="宋体"/>
          <w:bCs/>
          <w:color w:val="auto"/>
          <w:sz w:val="24"/>
          <w:szCs w:val="24"/>
          <w:highlight w:val="none"/>
        </w:rPr>
      </w:pPr>
      <w:r>
        <w:rPr>
          <w:rStyle w:val="81"/>
          <w:rFonts w:hint="eastAsia" w:ascii="宋体" w:hAnsi="宋体" w:cs="宋体"/>
          <w:bCs/>
          <w:color w:val="auto"/>
          <w:sz w:val="24"/>
          <w:szCs w:val="24"/>
          <w:highlight w:val="none"/>
        </w:rPr>
        <w:t>设计线位按控规线位，对平曲线指标不满足规范要求的应适当微调。平面调整应优先在道路规划红线内进行，确需调整红线的应进行必要说明。</w:t>
      </w:r>
    </w:p>
    <w:p w14:paraId="3A18ABC5">
      <w:pPr>
        <w:pStyle w:val="24"/>
        <w:ind w:left="440" w:leftChars="200"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1.1.3.1 </w:t>
      </w:r>
      <w:r>
        <w:rPr>
          <w:rFonts w:hint="eastAsia" w:hAnsi="宋体" w:cs="宋体"/>
          <w:szCs w:val="24"/>
          <w:highlight w:val="none"/>
        </w:rPr>
        <w:t>交叉口展宽宽度及长度</w:t>
      </w:r>
    </w:p>
    <w:p w14:paraId="5F827ACF">
      <w:pPr>
        <w:pStyle w:val="98"/>
        <w:ind w:firstLine="480"/>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主干路与主、次干路相交，设置信号渠化进口道展宽交叉口。平面交叉口进出口道展宽设计方法为：</w:t>
      </w:r>
    </w:p>
    <w:p w14:paraId="2BAE33AA">
      <w:pPr>
        <w:pStyle w:val="24"/>
        <w:ind w:firstLine="480"/>
        <w:rPr>
          <w:rFonts w:hint="eastAsia" w:hAnsi="宋体" w:cs="宋体"/>
          <w:szCs w:val="24"/>
          <w:highlight w:val="none"/>
        </w:rPr>
      </w:pPr>
      <w:r>
        <w:rPr>
          <w:rFonts w:hint="eastAsia" w:hAnsi="宋体" w:cs="宋体"/>
          <w:szCs w:val="24"/>
          <w:highlight w:val="none"/>
        </w:rPr>
        <w:t>1</w:t>
      </w:r>
      <w:r>
        <w:rPr>
          <w:rFonts w:hAnsi="宋体" w:cs="宋体"/>
          <w:szCs w:val="24"/>
          <w:highlight w:val="none"/>
        </w:rPr>
        <w:t>1.1.3.2</w:t>
      </w:r>
      <w:r>
        <w:rPr>
          <w:rFonts w:hint="eastAsia" w:hAnsi="宋体" w:cs="宋体"/>
          <w:szCs w:val="24"/>
          <w:highlight w:val="none"/>
        </w:rPr>
        <w:t xml:space="preserve"> 对于规划上未预留道路展宽用地的路段，建议优先利用建筑绿化退缩带向右展宽，进口道宽度宜为3.25m或3.5m（建议按交叉口设计规范取值），出口道宽度宜为3.5m，路侧绿化带、非机动车道、人行道宽度依次右推；或通过压缩路侧绿化带、非机动车道及人行道的方式展宽。</w:t>
      </w:r>
    </w:p>
    <w:p w14:paraId="5500B9C7">
      <w:pPr>
        <w:pStyle w:val="24"/>
        <w:ind w:firstLine="480"/>
        <w:rPr>
          <w:rFonts w:hint="eastAsia" w:hAnsi="宋体" w:cs="宋体"/>
          <w:szCs w:val="24"/>
          <w:highlight w:val="none"/>
        </w:rPr>
      </w:pPr>
      <w:r>
        <w:rPr>
          <w:rFonts w:hint="eastAsia" w:hAnsi="宋体" w:cs="宋体"/>
          <w:szCs w:val="24"/>
          <w:highlight w:val="none"/>
        </w:rPr>
        <w:t>1</w:t>
      </w:r>
      <w:r>
        <w:rPr>
          <w:rFonts w:hAnsi="宋体" w:cs="宋体"/>
          <w:szCs w:val="24"/>
          <w:highlight w:val="none"/>
        </w:rPr>
        <w:t>1.1.3.3</w:t>
      </w:r>
      <w:r>
        <w:rPr>
          <w:rFonts w:hint="eastAsia" w:hAnsi="宋体" w:cs="宋体"/>
          <w:szCs w:val="24"/>
          <w:highlight w:val="none"/>
        </w:rPr>
        <w:t xml:space="preserve"> 向左压缩中央绿化带。充分利用主线隧道上方、桥梁下方空间，尽可能增多进口车道数。</w:t>
      </w:r>
    </w:p>
    <w:p w14:paraId="17E3E9E7">
      <w:pPr>
        <w:pStyle w:val="24"/>
        <w:ind w:firstLine="480"/>
        <w:rPr>
          <w:rFonts w:hint="eastAsia" w:hAnsi="宋体" w:cs="宋体"/>
          <w:szCs w:val="24"/>
          <w:highlight w:val="none"/>
        </w:rPr>
      </w:pPr>
      <w:r>
        <w:rPr>
          <w:rFonts w:hint="eastAsia" w:hAnsi="宋体" w:cs="宋体"/>
          <w:szCs w:val="24"/>
          <w:highlight w:val="none"/>
        </w:rPr>
        <w:t>1</w:t>
      </w:r>
      <w:r>
        <w:rPr>
          <w:rFonts w:hAnsi="宋体" w:cs="宋体"/>
          <w:szCs w:val="24"/>
          <w:highlight w:val="none"/>
        </w:rPr>
        <w:t>1.1.3.4</w:t>
      </w:r>
      <w:r>
        <w:rPr>
          <w:rFonts w:hint="eastAsia" w:hAnsi="宋体" w:cs="宋体"/>
          <w:szCs w:val="24"/>
          <w:highlight w:val="none"/>
        </w:rPr>
        <w:t xml:space="preserve"> 压缩进口车道宽度。进口车道宽度3.25m、3.5m，条件受限时直行车道可采用3m。</w:t>
      </w:r>
    </w:p>
    <w:p w14:paraId="1D90F7E5">
      <w:pPr>
        <w:pStyle w:val="24"/>
        <w:ind w:firstLine="480"/>
        <w:rPr>
          <w:rStyle w:val="81"/>
          <w:rFonts w:hint="eastAsia" w:hAnsi="宋体" w:cs="宋体"/>
          <w:szCs w:val="24"/>
          <w:highlight w:val="none"/>
        </w:rPr>
      </w:pPr>
      <w:r>
        <w:rPr>
          <w:rFonts w:hint="eastAsia" w:hAnsi="宋体" w:cs="宋体"/>
          <w:szCs w:val="24"/>
          <w:highlight w:val="none"/>
        </w:rPr>
        <w:t>1</w:t>
      </w:r>
      <w:r>
        <w:rPr>
          <w:rFonts w:hAnsi="宋体" w:cs="宋体"/>
          <w:szCs w:val="24"/>
          <w:highlight w:val="none"/>
        </w:rPr>
        <w:t>1.1.3.5</w:t>
      </w:r>
      <w:r>
        <w:rPr>
          <w:rStyle w:val="81"/>
          <w:rFonts w:hint="eastAsia" w:hAnsi="宋体" w:cs="宋体"/>
          <w:szCs w:val="24"/>
          <w:highlight w:val="none"/>
        </w:rPr>
        <w:t xml:space="preserve"> 外围道路受安置区红线限制不能向外展宽及无建筑退缩带，而规范要求须展宽的路段，建议通过取消侧绿化带或树池或适当压缩非机动车道及人行道的方式。同时分别保证人行道、非机动车道最小宽度2.0m、1.5m。</w:t>
      </w:r>
    </w:p>
    <w:p w14:paraId="5D82CFC6">
      <w:pPr>
        <w:pStyle w:val="24"/>
        <w:ind w:firstLine="480"/>
        <w:rPr>
          <w:rStyle w:val="81"/>
          <w:rFonts w:hint="eastAsia" w:hAnsi="宋体" w:cs="宋体"/>
          <w:szCs w:val="24"/>
          <w:highlight w:val="none"/>
        </w:rPr>
      </w:pPr>
      <w:r>
        <w:rPr>
          <w:rFonts w:hint="eastAsia" w:hAnsi="宋体" w:cs="宋体"/>
          <w:szCs w:val="24"/>
          <w:highlight w:val="none"/>
        </w:rPr>
        <w:t>1</w:t>
      </w:r>
      <w:r>
        <w:rPr>
          <w:rFonts w:hAnsi="宋体" w:cs="宋体"/>
          <w:szCs w:val="24"/>
          <w:highlight w:val="none"/>
        </w:rPr>
        <w:t>1.1.3.6</w:t>
      </w:r>
      <w:r>
        <w:rPr>
          <w:rFonts w:hint="eastAsia" w:hAnsi="宋体" w:cs="宋体"/>
          <w:szCs w:val="24"/>
          <w:highlight w:val="none"/>
        </w:rPr>
        <w:t xml:space="preserve"> 渐变</w:t>
      </w:r>
      <w:r>
        <w:rPr>
          <w:rStyle w:val="81"/>
          <w:rFonts w:hint="eastAsia" w:hAnsi="宋体" w:cs="宋体"/>
          <w:szCs w:val="24"/>
          <w:highlight w:val="none"/>
        </w:rPr>
        <w:t>段、展宽段长度按《城市道路交叉口设计规程》（CJJ 152-2010）设计。</w:t>
      </w:r>
    </w:p>
    <w:p w14:paraId="7E69D8FC">
      <w:pPr>
        <w:pStyle w:val="24"/>
        <w:ind w:firstLine="482"/>
        <w:rPr>
          <w:rFonts w:hint="eastAsia" w:hAnsi="宋体" w:cs="宋体"/>
          <w:b/>
          <w:bCs/>
          <w:szCs w:val="24"/>
          <w:highlight w:val="none"/>
        </w:rPr>
      </w:pPr>
      <w:bookmarkStart w:id="475" w:name="_Toc96633174"/>
      <w:r>
        <w:rPr>
          <w:rFonts w:hint="eastAsia" w:hAnsi="宋体" w:cs="宋体"/>
          <w:b/>
          <w:bCs/>
          <w:szCs w:val="24"/>
          <w:highlight w:val="none"/>
        </w:rPr>
        <w:t>11.1.4道路纵断面</w:t>
      </w:r>
      <w:bookmarkEnd w:id="475"/>
    </w:p>
    <w:p w14:paraId="3DB637A1">
      <w:pPr>
        <w:pStyle w:val="24"/>
        <w:ind w:firstLine="48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1.1.4.1 </w:t>
      </w:r>
      <w:r>
        <w:rPr>
          <w:rFonts w:hint="eastAsia" w:hAnsi="宋体" w:cs="宋体"/>
          <w:szCs w:val="24"/>
          <w:highlight w:val="none"/>
        </w:rPr>
        <w:t>路线纵断面设计以尽量降低填挖高度、减少土石方数量、缩短桥隧长度、利于软基和高边坡处理、合理控制工程造价为原则。</w:t>
      </w:r>
    </w:p>
    <w:p w14:paraId="1280ED8A">
      <w:pPr>
        <w:pStyle w:val="24"/>
        <w:ind w:firstLine="480"/>
        <w:rPr>
          <w:rFonts w:hint="eastAsia" w:hAnsi="宋体" w:cs="宋体"/>
          <w:szCs w:val="24"/>
          <w:highlight w:val="none"/>
        </w:rPr>
      </w:pPr>
      <w:r>
        <w:rPr>
          <w:rFonts w:hint="eastAsia" w:hAnsi="宋体" w:cs="宋体"/>
          <w:szCs w:val="24"/>
          <w:highlight w:val="none"/>
        </w:rPr>
        <w:t>1</w:t>
      </w:r>
      <w:r>
        <w:rPr>
          <w:rFonts w:hAnsi="宋体" w:cs="宋体"/>
          <w:szCs w:val="24"/>
          <w:highlight w:val="none"/>
        </w:rPr>
        <w:t>1.1.4.2</w:t>
      </w:r>
      <w:r>
        <w:rPr>
          <w:rFonts w:hint="eastAsia" w:hAnsi="宋体" w:cs="宋体"/>
          <w:szCs w:val="24"/>
          <w:highlight w:val="none"/>
        </w:rPr>
        <w:t xml:space="preserve"> 以提高挖方利用率为原则，综合考虑片区防洪要求及地下室开挖土方量，拟定地块地坪标高，道路纵断面设计应注意与地块建筑地坪标高的合理衔接，并接顺现状道路标高。</w:t>
      </w:r>
    </w:p>
    <w:p w14:paraId="772576A2">
      <w:pPr>
        <w:pStyle w:val="24"/>
        <w:ind w:firstLine="480"/>
        <w:rPr>
          <w:rFonts w:hint="eastAsia" w:hAnsi="宋体" w:cs="宋体"/>
          <w:szCs w:val="24"/>
          <w:highlight w:val="none"/>
        </w:rPr>
      </w:pPr>
      <w:r>
        <w:rPr>
          <w:rFonts w:hint="eastAsia" w:hAnsi="宋体" w:cs="宋体"/>
          <w:szCs w:val="24"/>
          <w:highlight w:val="none"/>
        </w:rPr>
        <w:t>1</w:t>
      </w:r>
      <w:r>
        <w:rPr>
          <w:rFonts w:hAnsi="宋体" w:cs="宋体"/>
          <w:szCs w:val="24"/>
          <w:highlight w:val="none"/>
        </w:rPr>
        <w:t>1.1.4.3</w:t>
      </w:r>
      <w:r>
        <w:rPr>
          <w:rFonts w:hint="eastAsia" w:hAnsi="宋体" w:cs="宋体"/>
          <w:szCs w:val="24"/>
          <w:highlight w:val="none"/>
        </w:rPr>
        <w:t xml:space="preserve"> 纵断面应设计成平顺的纵断面线型，纵断面线形应力求指标均衡、视觉顺适并满足排水要求。</w:t>
      </w:r>
    </w:p>
    <w:p w14:paraId="73452B32">
      <w:pPr>
        <w:pStyle w:val="24"/>
        <w:ind w:firstLine="480"/>
        <w:rPr>
          <w:rFonts w:hint="eastAsia" w:hAnsi="宋体" w:cs="宋体"/>
          <w:szCs w:val="24"/>
          <w:highlight w:val="none"/>
        </w:rPr>
      </w:pPr>
      <w:r>
        <w:rPr>
          <w:rFonts w:hint="eastAsia" w:hAnsi="宋体" w:cs="宋体"/>
          <w:szCs w:val="24"/>
          <w:highlight w:val="none"/>
        </w:rPr>
        <w:t>1</w:t>
      </w:r>
      <w:r>
        <w:rPr>
          <w:rFonts w:hAnsi="宋体" w:cs="宋体"/>
          <w:szCs w:val="24"/>
          <w:highlight w:val="none"/>
        </w:rPr>
        <w:t>1.1.4.4</w:t>
      </w:r>
      <w:r>
        <w:rPr>
          <w:rFonts w:hint="eastAsia" w:hAnsi="宋体" w:cs="宋体"/>
          <w:szCs w:val="24"/>
          <w:highlight w:val="none"/>
        </w:rPr>
        <w:t xml:space="preserve"> 路线纵断面的控制高程应满足下列要求：</w:t>
      </w:r>
    </w:p>
    <w:p w14:paraId="3F97113A">
      <w:pPr>
        <w:pStyle w:val="98"/>
        <w:ind w:firstLine="0" w:firstLineChars="0"/>
        <w:jc w:val="both"/>
        <w:rPr>
          <w:rStyle w:val="81"/>
          <w:rFonts w:hint="eastAsia" w:ascii="宋体" w:hAnsi="宋体" w:cs="宋体"/>
          <w:color w:val="auto"/>
          <w:sz w:val="24"/>
          <w:szCs w:val="24"/>
          <w:highlight w:val="none"/>
        </w:rPr>
      </w:pPr>
      <w:r>
        <w:rPr>
          <w:rStyle w:val="81"/>
          <w:rFonts w:ascii="宋体" w:hAnsi="宋体" w:cs="宋体"/>
          <w:color w:val="auto"/>
          <w:sz w:val="24"/>
          <w:szCs w:val="24"/>
          <w:highlight w:val="none"/>
        </w:rPr>
        <w:t xml:space="preserve">11.1.4.4.1 </w:t>
      </w:r>
      <w:r>
        <w:rPr>
          <w:rStyle w:val="81"/>
          <w:rFonts w:hint="eastAsia" w:ascii="宋体" w:hAnsi="宋体" w:cs="宋体"/>
          <w:color w:val="auto"/>
          <w:sz w:val="24"/>
          <w:szCs w:val="24"/>
          <w:highlight w:val="none"/>
        </w:rPr>
        <w:t>有关部门提供的相交叉通航河流、等级公路、规划铁路、管线的净空要求。</w:t>
      </w:r>
    </w:p>
    <w:p w14:paraId="217CC5D9">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1.1.4.4.2 </w:t>
      </w:r>
      <w:r>
        <w:rPr>
          <w:rStyle w:val="81"/>
          <w:rFonts w:hint="eastAsia" w:ascii="宋体" w:hAnsi="宋体" w:cs="宋体"/>
          <w:color w:val="auto"/>
          <w:sz w:val="24"/>
          <w:szCs w:val="24"/>
          <w:highlight w:val="none"/>
        </w:rPr>
        <w:t>与沿线政府(乡、镇以上政府)和主管部门签定的横穿构造物净空协议。</w:t>
      </w:r>
    </w:p>
    <w:p w14:paraId="4ABEDF43">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1.1.4.4.3 </w:t>
      </w:r>
      <w:r>
        <w:rPr>
          <w:rStyle w:val="81"/>
          <w:rFonts w:hint="eastAsia" w:ascii="宋体" w:hAnsi="宋体" w:cs="宋体"/>
          <w:color w:val="auto"/>
          <w:sz w:val="24"/>
          <w:szCs w:val="24"/>
          <w:highlight w:val="none"/>
        </w:rPr>
        <w:t>本项目沿线水文分析和调查的设计水位资料及相关要求。</w:t>
      </w:r>
    </w:p>
    <w:p w14:paraId="1787E77B">
      <w:pPr>
        <w:pStyle w:val="24"/>
        <w:ind w:firstLine="480"/>
        <w:rPr>
          <w:rFonts w:hint="eastAsia" w:hAnsi="宋体" w:cs="宋体"/>
          <w:szCs w:val="24"/>
          <w:highlight w:val="none"/>
        </w:rPr>
      </w:pPr>
      <w:r>
        <w:rPr>
          <w:rFonts w:hint="eastAsia" w:hAnsi="宋体" w:cs="宋体"/>
          <w:szCs w:val="24"/>
          <w:highlight w:val="none"/>
        </w:rPr>
        <w:t>1</w:t>
      </w:r>
      <w:r>
        <w:rPr>
          <w:rFonts w:hAnsi="宋体" w:cs="宋体"/>
          <w:szCs w:val="24"/>
          <w:highlight w:val="none"/>
        </w:rPr>
        <w:t>1.1.4.5</w:t>
      </w:r>
      <w:r>
        <w:rPr>
          <w:rFonts w:hint="eastAsia" w:hAnsi="宋体" w:cs="宋体"/>
          <w:szCs w:val="24"/>
          <w:highlight w:val="none"/>
        </w:rPr>
        <w:t xml:space="preserve"> 本项目纵坡建议控制在3％以内。考虑项目所在地区降雨量大，纵断面设计应避免采用平坡，挖方路段最小纵坡不小于0.3％，尽量少用纵坡极限值。对长路堑路段宜采用不小于0.5%的纵坡。当超高附加纵坡与路线纵坡一致对排水有利时，纵坡不宜小于0.4%，当超高附加纵坡与路线纵坡相反对排水不利时，纵坡不宜小于0.6%。</w:t>
      </w:r>
    </w:p>
    <w:p w14:paraId="53C820DD">
      <w:pPr>
        <w:pStyle w:val="24"/>
        <w:ind w:firstLine="480"/>
        <w:rPr>
          <w:rFonts w:hint="eastAsia" w:hAnsi="宋体" w:cs="宋体"/>
          <w:szCs w:val="24"/>
          <w:highlight w:val="none"/>
        </w:rPr>
      </w:pPr>
      <w:r>
        <w:rPr>
          <w:rFonts w:hint="eastAsia" w:hAnsi="宋体" w:cs="宋体"/>
          <w:szCs w:val="24"/>
          <w:highlight w:val="none"/>
        </w:rPr>
        <w:t>1</w:t>
      </w:r>
      <w:r>
        <w:rPr>
          <w:rFonts w:hAnsi="宋体" w:cs="宋体"/>
          <w:szCs w:val="24"/>
          <w:highlight w:val="none"/>
        </w:rPr>
        <w:t>1.1.4.6</w:t>
      </w:r>
      <w:r>
        <w:rPr>
          <w:rFonts w:hint="eastAsia" w:hAnsi="宋体" w:cs="宋体"/>
          <w:szCs w:val="24"/>
          <w:highlight w:val="none"/>
        </w:rPr>
        <w:t xml:space="preserve"> 竖曲线半径从有利于视觉和路容美观出发，为获得平顺而连续的线形，其曲线半径宜尽量加大且不应小于一般最小值。</w:t>
      </w:r>
    </w:p>
    <w:p w14:paraId="3FA1AD8E">
      <w:pPr>
        <w:pStyle w:val="98"/>
        <w:ind w:firstLine="0" w:firstLineChars="0"/>
        <w:jc w:val="both"/>
        <w:rPr>
          <w:rStyle w:val="81"/>
          <w:rFonts w:hint="eastAsia" w:ascii="宋体" w:hAnsi="宋体" w:cs="宋体"/>
          <w:color w:val="auto"/>
          <w:sz w:val="24"/>
          <w:szCs w:val="24"/>
          <w:highlight w:val="none"/>
        </w:rPr>
      </w:pPr>
      <w:r>
        <w:rPr>
          <w:rStyle w:val="81"/>
          <w:rFonts w:ascii="宋体" w:hAnsi="宋体" w:cs="宋体"/>
          <w:color w:val="auto"/>
          <w:sz w:val="24"/>
          <w:szCs w:val="24"/>
          <w:highlight w:val="none"/>
        </w:rPr>
        <w:t>11.1.4.6</w:t>
      </w: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 </w:t>
      </w:r>
      <w:r>
        <w:rPr>
          <w:rStyle w:val="81"/>
          <w:rFonts w:hint="eastAsia" w:ascii="宋体" w:hAnsi="宋体" w:cs="宋体"/>
          <w:color w:val="auto"/>
          <w:sz w:val="24"/>
          <w:szCs w:val="24"/>
          <w:highlight w:val="none"/>
        </w:rPr>
        <w:t>竖曲线长度不小于现行规范规定要求。</w:t>
      </w:r>
    </w:p>
    <w:p w14:paraId="388BF04F">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1.1.4.6</w:t>
      </w:r>
      <w:r>
        <w:rPr>
          <w:rStyle w:val="81"/>
          <w:rFonts w:hint="eastAsia" w:ascii="宋体" w:hAnsi="宋体" w:cs="宋体"/>
          <w:color w:val="auto"/>
          <w:sz w:val="24"/>
          <w:szCs w:val="24"/>
          <w:highlight w:val="none"/>
        </w:rPr>
        <w:t>.</w:t>
      </w:r>
      <w:r>
        <w:rPr>
          <w:rStyle w:val="81"/>
          <w:rFonts w:ascii="宋体" w:hAnsi="宋体" w:cs="宋体"/>
          <w:color w:val="auto"/>
          <w:sz w:val="24"/>
          <w:szCs w:val="24"/>
          <w:highlight w:val="none"/>
        </w:rPr>
        <w:t xml:space="preserve">2 </w:t>
      </w:r>
      <w:r>
        <w:rPr>
          <w:rStyle w:val="81"/>
          <w:rFonts w:hint="eastAsia" w:ascii="宋体" w:hAnsi="宋体" w:cs="宋体"/>
          <w:color w:val="auto"/>
          <w:sz w:val="24"/>
          <w:szCs w:val="24"/>
          <w:highlight w:val="none"/>
        </w:rPr>
        <w:t>凹型竖曲线的底部尽量避免设在桥上。</w:t>
      </w:r>
    </w:p>
    <w:p w14:paraId="6B8EEABA">
      <w:pPr>
        <w:pStyle w:val="24"/>
        <w:ind w:firstLine="482"/>
        <w:rPr>
          <w:rFonts w:hint="eastAsia" w:hAnsi="宋体" w:cs="宋体"/>
          <w:b/>
          <w:bCs/>
          <w:szCs w:val="24"/>
          <w:highlight w:val="none"/>
        </w:rPr>
      </w:pPr>
      <w:bookmarkStart w:id="476" w:name="_Toc96633175"/>
      <w:r>
        <w:rPr>
          <w:rFonts w:hint="eastAsia" w:hAnsi="宋体" w:cs="宋体"/>
          <w:b/>
          <w:bCs/>
          <w:szCs w:val="24"/>
          <w:highlight w:val="none"/>
        </w:rPr>
        <w:t>11.1.5道路横断面</w:t>
      </w:r>
      <w:bookmarkEnd w:id="476"/>
    </w:p>
    <w:p w14:paraId="64CFCE37">
      <w:pPr>
        <w:pStyle w:val="98"/>
        <w:ind w:firstLine="480"/>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为规范道路横断面设计、推行绿色交通的理念、强化非机动车道、人行道等慢行系统建设要求，构建“安全、连续、方便、舒适”的出行环境，红线内的道路横断面布置原则上按《广州市城市道路标准横断面设计指引（试行）》执行。若新建道路存在拟建或已建道路，经相关部门批准后可按周边衔接道路断面实施。各种典型断面布置如下所示。</w:t>
      </w:r>
    </w:p>
    <w:p w14:paraId="1326FC82">
      <w:pPr>
        <w:pStyle w:val="24"/>
        <w:ind w:left="440" w:leftChars="200" w:firstLine="0" w:firstLineChars="0"/>
        <w:rPr>
          <w:rFonts w:hint="eastAsia" w:hAnsi="宋体" w:cs="宋体"/>
          <w:b/>
          <w:bCs/>
          <w:szCs w:val="24"/>
          <w:highlight w:val="none"/>
        </w:rPr>
      </w:pPr>
      <w:bookmarkStart w:id="477" w:name="_Toc96633176"/>
      <w:r>
        <w:rPr>
          <w:rFonts w:hint="eastAsia" w:hAnsi="宋体" w:cs="宋体"/>
          <w:b/>
          <w:bCs/>
          <w:szCs w:val="24"/>
          <w:highlight w:val="none"/>
        </w:rPr>
        <w:t>11.1.6道路路基</w:t>
      </w:r>
      <w:bookmarkEnd w:id="477"/>
    </w:p>
    <w:p w14:paraId="59B1C99D">
      <w:pPr>
        <w:pStyle w:val="24"/>
        <w:ind w:left="440" w:leftChars="200" w:firstLine="0" w:firstLineChars="0"/>
        <w:rPr>
          <w:rFonts w:hint="eastAsia" w:hAnsi="宋体" w:cs="宋体"/>
          <w:szCs w:val="24"/>
          <w:highlight w:val="none"/>
        </w:rPr>
      </w:pPr>
      <w:r>
        <w:rPr>
          <w:rFonts w:hAnsi="宋体" w:cs="宋体"/>
          <w:szCs w:val="24"/>
          <w:highlight w:val="none"/>
        </w:rPr>
        <w:t xml:space="preserve">11.1.6.1 </w:t>
      </w:r>
      <w:r>
        <w:rPr>
          <w:rFonts w:hint="eastAsia" w:hAnsi="宋体" w:cs="宋体"/>
          <w:szCs w:val="24"/>
          <w:highlight w:val="none"/>
        </w:rPr>
        <w:t>路基边坡坡率</w:t>
      </w:r>
    </w:p>
    <w:p w14:paraId="14906354">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本项目以填方路堤为主，局部路段存在挖方，填、挖方高度均＜8m，边坡坡率分别按1:1.5、1:1设计。</w:t>
      </w:r>
    </w:p>
    <w:p w14:paraId="023F5873">
      <w:pPr>
        <w:pStyle w:val="24"/>
        <w:ind w:left="440" w:leftChars="200" w:firstLine="0" w:firstLineChars="0"/>
        <w:rPr>
          <w:rFonts w:hint="eastAsia" w:hAnsi="宋体" w:cs="宋体"/>
          <w:szCs w:val="24"/>
          <w:highlight w:val="none"/>
        </w:rPr>
      </w:pPr>
      <w:r>
        <w:rPr>
          <w:rFonts w:hAnsi="宋体" w:cs="宋体"/>
          <w:szCs w:val="24"/>
          <w:highlight w:val="none"/>
        </w:rPr>
        <w:t>11.1.6.2</w:t>
      </w:r>
      <w:r>
        <w:rPr>
          <w:rFonts w:hint="eastAsia" w:hAnsi="宋体" w:cs="宋体"/>
          <w:szCs w:val="24"/>
          <w:highlight w:val="none"/>
        </w:rPr>
        <w:t xml:space="preserve"> 路基填料要求</w:t>
      </w:r>
    </w:p>
    <w:p w14:paraId="5330D977">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路基填料采用级配较好的砾类土、砂类土等粗粒土，填料最大直径应小于150mm。</w:t>
      </w:r>
    </w:p>
    <w:p w14:paraId="14139216">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挖方路段的变质岩风化土、花岗岩风化土、砂岩风化土性质一般都比较良好，可用作路基填料，但同样需进行相关填料试验。</w:t>
      </w:r>
    </w:p>
    <w:p w14:paraId="4DD81708">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挡土墙墙后填料为中粗砂；涵洞台后、桥台台后填料为石屑。</w:t>
      </w:r>
    </w:p>
    <w:p w14:paraId="75F85ADB">
      <w:pPr>
        <w:pStyle w:val="24"/>
        <w:ind w:left="440" w:leftChars="200" w:firstLine="0" w:firstLineChars="0"/>
        <w:rPr>
          <w:rFonts w:hint="eastAsia" w:hAnsi="宋体" w:cs="宋体"/>
          <w:szCs w:val="24"/>
          <w:highlight w:val="none"/>
        </w:rPr>
      </w:pPr>
      <w:r>
        <w:rPr>
          <w:rFonts w:hAnsi="宋体" w:cs="宋体"/>
          <w:szCs w:val="24"/>
          <w:highlight w:val="none"/>
        </w:rPr>
        <w:t>11.1.6.3</w:t>
      </w:r>
      <w:r>
        <w:rPr>
          <w:rFonts w:hint="eastAsia" w:hAnsi="宋体" w:cs="宋体"/>
          <w:szCs w:val="24"/>
          <w:highlight w:val="none"/>
        </w:rPr>
        <w:t xml:space="preserve"> 地下水位较高路段</w:t>
      </w:r>
    </w:p>
    <w:p w14:paraId="53C2724D">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先抛填块石或回填石屑，厚度根据土质及水位情况而定，再回填路基土。</w:t>
      </w:r>
    </w:p>
    <w:p w14:paraId="65A7DFCB">
      <w:pPr>
        <w:pStyle w:val="24"/>
        <w:ind w:left="440" w:leftChars="200" w:firstLine="0" w:firstLineChars="0"/>
        <w:rPr>
          <w:rFonts w:hint="eastAsia" w:hAnsi="宋体" w:cs="宋体"/>
          <w:szCs w:val="24"/>
          <w:highlight w:val="none"/>
        </w:rPr>
      </w:pPr>
      <w:r>
        <w:rPr>
          <w:rFonts w:hAnsi="宋体" w:cs="宋体"/>
          <w:szCs w:val="24"/>
          <w:highlight w:val="none"/>
        </w:rPr>
        <w:t>11.1.6.4</w:t>
      </w:r>
      <w:r>
        <w:rPr>
          <w:rFonts w:hint="eastAsia" w:hAnsi="宋体" w:cs="宋体"/>
          <w:szCs w:val="24"/>
          <w:highlight w:val="none"/>
        </w:rPr>
        <w:t xml:space="preserve"> 不良地质及特殊路基设计</w:t>
      </w:r>
    </w:p>
    <w:p w14:paraId="74415731">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软基处理一般方法主要有：浅层换填、塑料排水板堆载预压排水固结法、水泥搅拌桩复合地基法，根据勘察报告按以下原则选取相应的工法。</w:t>
      </w:r>
    </w:p>
    <w:p w14:paraId="09BAFAF3">
      <w:pPr>
        <w:pStyle w:val="24"/>
        <w:ind w:firstLine="480"/>
        <w:rPr>
          <w:rFonts w:hint="eastAsia" w:hAnsi="宋体" w:cs="宋体"/>
          <w:szCs w:val="24"/>
          <w:highlight w:val="none"/>
        </w:rPr>
      </w:pPr>
      <w:r>
        <w:rPr>
          <w:rFonts w:hAnsi="宋体" w:cs="宋体"/>
          <w:szCs w:val="24"/>
          <w:highlight w:val="none"/>
        </w:rPr>
        <w:t>11.1.6.5</w:t>
      </w:r>
      <w:r>
        <w:rPr>
          <w:rFonts w:hint="eastAsia" w:hAnsi="宋体" w:cs="宋体"/>
          <w:szCs w:val="24"/>
          <w:highlight w:val="none"/>
        </w:rPr>
        <w:t xml:space="preserve"> 浅层软弱土厚度小于3m路段，采用浅层换填法，换填材料同路堤填土，换填深度至杂填土底面，最大换填深度按3m控制。</w:t>
      </w:r>
    </w:p>
    <w:p w14:paraId="6539F166">
      <w:pPr>
        <w:pStyle w:val="24"/>
        <w:ind w:firstLine="480"/>
        <w:rPr>
          <w:rFonts w:hint="eastAsia" w:hAnsi="宋体" w:cs="宋体"/>
          <w:szCs w:val="24"/>
          <w:highlight w:val="none"/>
        </w:rPr>
      </w:pPr>
      <w:r>
        <w:rPr>
          <w:rFonts w:hAnsi="宋体" w:cs="宋体"/>
          <w:szCs w:val="24"/>
          <w:highlight w:val="none"/>
        </w:rPr>
        <w:t>11.1.6.6</w:t>
      </w:r>
      <w:r>
        <w:rPr>
          <w:rFonts w:hint="eastAsia" w:hAnsi="宋体" w:cs="宋体"/>
          <w:szCs w:val="24"/>
          <w:highlight w:val="none"/>
        </w:rPr>
        <w:t xml:space="preserve"> 软弱土厚度大于3m路段，建议采用水泥搅拌桩复合地基，搅拌桩直径50cm，水泥掺量60～65kg/m，28d桩身无侧限抗压强度达到0.8MPa以上,90d桩身无侧限抗压强度达到1.2MPa以上，搅拌桩要求进入粘土层或中粗砂层至少0.5m，最大桩长按15.0m控制。一般路桩间距建议按1.3~1.5m，桥头段桩间距建议按1.1~1.3m，三角形布置。搅拌桩顶设置30cm厚的碎石垫层及TGSG80双向土工格栅。</w:t>
      </w:r>
    </w:p>
    <w:p w14:paraId="7AEECDF0">
      <w:pPr>
        <w:pStyle w:val="24"/>
        <w:ind w:firstLine="480"/>
        <w:rPr>
          <w:rFonts w:hint="eastAsia" w:hAnsi="宋体" w:cs="宋体"/>
          <w:szCs w:val="24"/>
          <w:highlight w:val="none"/>
        </w:rPr>
      </w:pPr>
      <w:r>
        <w:rPr>
          <w:rFonts w:hAnsi="宋体" w:cs="宋体"/>
          <w:szCs w:val="24"/>
          <w:highlight w:val="none"/>
        </w:rPr>
        <w:t>11.1.6.7</w:t>
      </w:r>
      <w:r>
        <w:rPr>
          <w:rFonts w:hint="eastAsia" w:hAnsi="宋体" w:cs="宋体"/>
          <w:szCs w:val="24"/>
          <w:highlight w:val="none"/>
        </w:rPr>
        <w:t xml:space="preserve"> 对于挡墙及桥头段等特殊构筑物位置，如采用水泥搅拌桩复合地基仍无法满足沉降及承载力要求的，应根据地质资料，通过计算选取管桩、CFG桩等刚性桩进行处理。</w:t>
      </w:r>
    </w:p>
    <w:p w14:paraId="365F6201">
      <w:pPr>
        <w:pStyle w:val="24"/>
        <w:ind w:left="440" w:leftChars="200" w:firstLine="0" w:firstLineChars="0"/>
        <w:rPr>
          <w:rFonts w:hint="eastAsia" w:hAnsi="宋体" w:cs="宋体"/>
          <w:b/>
          <w:bCs/>
          <w:szCs w:val="24"/>
          <w:highlight w:val="none"/>
        </w:rPr>
      </w:pPr>
      <w:r>
        <w:rPr>
          <w:rFonts w:hint="eastAsia" w:hAnsi="宋体" w:cs="宋体"/>
          <w:b/>
          <w:bCs/>
          <w:szCs w:val="24"/>
          <w:highlight w:val="none"/>
        </w:rPr>
        <w:t>11.1.7 路基边坡防护</w:t>
      </w:r>
    </w:p>
    <w:p w14:paraId="043F96E9">
      <w:pPr>
        <w:wordWrap w:val="0"/>
        <w:snapToGrid/>
        <w:spacing w:before="0" w:after="0" w:line="360" w:lineRule="auto"/>
        <w:ind w:firstLine="480" w:firstLineChars="200"/>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11.1.7.1 道路沿线均为安置区建筑用地，一般路段路堤高度较小，仅采用植草或草皮（当地草籽或草皮）防护；桥头或箱涵段，若边坡填土高度超过3米，采用三维网植草防护。</w:t>
      </w:r>
    </w:p>
    <w:p w14:paraId="168D1441">
      <w:pPr>
        <w:wordWrap w:val="0"/>
        <w:snapToGrid/>
        <w:spacing w:before="0" w:after="0" w:line="360" w:lineRule="auto"/>
        <w:ind w:firstLine="480" w:firstLineChars="200"/>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11.1.7.2 外围道路受安置区红线限制无放坡条件的，应设置垂直挡墙，根据路基高度可采用悬臂式挡土墙、扶壁式挡土墙、浆砌片石重力式挡土墙或片石砼衡重式挡土墙。</w:t>
      </w:r>
    </w:p>
    <w:p w14:paraId="3D4ED083">
      <w:pPr>
        <w:wordWrap w:val="0"/>
        <w:snapToGrid/>
        <w:spacing w:before="0" w:after="0" w:line="360" w:lineRule="auto"/>
        <w:ind w:firstLine="480" w:firstLineChars="200"/>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11.1.7.3 桥头锥坡无冲刷时采用六棱块植草防护，有冲刷时应加强排水设计并采用浆砌片石防护。</w:t>
      </w:r>
    </w:p>
    <w:p w14:paraId="13A215B2">
      <w:pPr>
        <w:pStyle w:val="24"/>
        <w:ind w:left="440" w:leftChars="200" w:firstLine="0" w:firstLineChars="0"/>
        <w:rPr>
          <w:rFonts w:hint="eastAsia" w:hAnsi="宋体" w:cs="宋体"/>
          <w:b/>
          <w:bCs/>
          <w:szCs w:val="24"/>
          <w:highlight w:val="none"/>
        </w:rPr>
      </w:pPr>
      <w:bookmarkStart w:id="478" w:name="_Toc96633177"/>
      <w:r>
        <w:rPr>
          <w:rFonts w:hint="eastAsia" w:hAnsi="宋体" w:cs="宋体"/>
          <w:b/>
          <w:bCs/>
          <w:szCs w:val="24"/>
          <w:highlight w:val="none"/>
        </w:rPr>
        <w:t>11.8 道路路面</w:t>
      </w:r>
      <w:bookmarkEnd w:id="478"/>
    </w:p>
    <w:p w14:paraId="4C271AEA">
      <w:pPr>
        <w:pStyle w:val="24"/>
        <w:tabs>
          <w:tab w:val="left" w:pos="420"/>
        </w:tabs>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1.8.1 </w:t>
      </w:r>
      <w:r>
        <w:rPr>
          <w:rFonts w:hint="eastAsia" w:hAnsi="宋体" w:cs="宋体"/>
          <w:szCs w:val="24"/>
          <w:highlight w:val="none"/>
        </w:rPr>
        <w:t>路面结构</w:t>
      </w:r>
    </w:p>
    <w:p w14:paraId="13406744">
      <w:pPr>
        <w:pStyle w:val="98"/>
        <w:ind w:firstLine="480"/>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按市交通运输局颁布的《广州市道路工程路面结构设计指引》进行设计，推荐路面结构方案如下。</w:t>
      </w:r>
    </w:p>
    <w:p w14:paraId="28C65088">
      <w:pPr>
        <w:wordWrap w:val="0"/>
        <w:snapToGrid/>
        <w:spacing w:before="0" w:after="0" w:line="360" w:lineRule="auto"/>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 xml:space="preserve">1.8.1.1 </w:t>
      </w:r>
      <w:r>
        <w:rPr>
          <w:rFonts w:hint="eastAsia" w:ascii="宋体" w:hAnsi="宋体" w:eastAsia="宋体" w:cs="宋体"/>
          <w:color w:val="auto"/>
          <w:sz w:val="24"/>
          <w:szCs w:val="24"/>
          <w:highlight w:val="none"/>
        </w:rPr>
        <w:t>新建主干路路面结构</w:t>
      </w:r>
    </w:p>
    <w:p w14:paraId="5B0C270E">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 xml:space="preserve">1. </w:t>
      </w:r>
      <w:r>
        <w:rPr>
          <w:rFonts w:hint="eastAsia" w:ascii="宋体" w:hAnsi="宋体" w:eastAsia="宋体" w:cs="宋体"/>
          <w:color w:val="auto"/>
          <w:sz w:val="24"/>
          <w:szCs w:val="24"/>
          <w:highlight w:val="none"/>
        </w:rPr>
        <w:t>重交通等级（E。≥50）</w:t>
      </w:r>
    </w:p>
    <w:p w14:paraId="7C432005">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上面层：4cm细粒式改性沥青混凝土AC-13C</w:t>
      </w:r>
    </w:p>
    <w:p w14:paraId="36305B26">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粘  层：机械喷洒道路用乳化沥青（PC-3）粘层油0.55L/m2</w:t>
      </w:r>
    </w:p>
    <w:p w14:paraId="78259A0B">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中面层：6cm中粒式改性沥青混凝土AC-20C</w:t>
      </w:r>
    </w:p>
    <w:p w14:paraId="55937EA6">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粘  层：机械喷洒道路用乳化沥青（PC-3）粘层油0.55L/m2</w:t>
      </w:r>
    </w:p>
    <w:p w14:paraId="166E7A74">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下面层：8cm粗粒式沥青混凝土AC-25C</w:t>
      </w:r>
    </w:p>
    <w:p w14:paraId="275C66F2">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下封层：SBS改性热沥青+撒布瓜米石</w:t>
      </w:r>
    </w:p>
    <w:p w14:paraId="1EE60B3D">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透  层：机械喷洒道路用乳化沥青（PC-2）透层油1.2L/m2</w:t>
      </w:r>
    </w:p>
    <w:p w14:paraId="7A49D4E9">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基  层：36cm5%水泥稳定级配碎石</w:t>
      </w:r>
    </w:p>
    <w:p w14:paraId="7D79DFDC">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下基层：18cm4%水泥稳定级配碎石</w:t>
      </w:r>
    </w:p>
    <w:p w14:paraId="478DE672">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垫  层：15cm级配碎石</w:t>
      </w:r>
    </w:p>
    <w:p w14:paraId="29CE7011">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 xml:space="preserve">2. </w:t>
      </w:r>
      <w:r>
        <w:rPr>
          <w:rFonts w:hint="eastAsia" w:ascii="宋体" w:hAnsi="宋体" w:eastAsia="宋体" w:cs="宋体"/>
          <w:color w:val="auto"/>
          <w:sz w:val="24"/>
          <w:szCs w:val="24"/>
          <w:highlight w:val="none"/>
        </w:rPr>
        <w:t>中等交通等级（E。≥40）</w:t>
      </w:r>
    </w:p>
    <w:p w14:paraId="6FAE0F0B">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上面层：4cm细粒式改性沥青混凝土AC-13C</w:t>
      </w:r>
    </w:p>
    <w:p w14:paraId="03841528">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粘  层：机械喷洒道路用乳化沥青（PC-3）粘层油0.55L/m2</w:t>
      </w:r>
    </w:p>
    <w:p w14:paraId="7D2C5241">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中面层：6cm中粒式改性沥青混凝土AC-20C</w:t>
      </w:r>
    </w:p>
    <w:p w14:paraId="285C86B2">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粘  层：机械喷洒道路用乳化沥青（PC-3）粘层油0.55L/m2</w:t>
      </w:r>
    </w:p>
    <w:p w14:paraId="00A8108B">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下面层：8cm粗粒式沥青混凝土AC-25C</w:t>
      </w:r>
    </w:p>
    <w:p w14:paraId="4A8F489C">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下封层：70#热沥青+撒布瓜米石</w:t>
      </w:r>
    </w:p>
    <w:p w14:paraId="75E177A4">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透  层：机械喷洒道路用乳化沥青（PC-2）透层油1.2L/m2</w:t>
      </w:r>
    </w:p>
    <w:p w14:paraId="65B7B441">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基  层：34cm5%水泥稳定级配碎石</w:t>
      </w:r>
    </w:p>
    <w:p w14:paraId="538B0E2F">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下基层：18cm4%水泥稳定碎石</w:t>
      </w:r>
    </w:p>
    <w:p w14:paraId="18AC027C">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垫  层：15cm级配碎石</w:t>
      </w:r>
    </w:p>
    <w:p w14:paraId="19E8079F">
      <w:pPr>
        <w:wordWrap w:val="0"/>
        <w:snapToGrid/>
        <w:spacing w:before="0" w:after="0" w:line="360" w:lineRule="auto"/>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 xml:space="preserve">1.8.1.2 </w:t>
      </w:r>
      <w:r>
        <w:rPr>
          <w:rFonts w:hint="eastAsia" w:ascii="宋体" w:hAnsi="宋体" w:eastAsia="宋体" w:cs="宋体"/>
          <w:color w:val="auto"/>
          <w:sz w:val="24"/>
          <w:szCs w:val="24"/>
          <w:highlight w:val="none"/>
        </w:rPr>
        <w:t>新建次干路路面结构（E。≥40）</w:t>
      </w:r>
    </w:p>
    <w:p w14:paraId="7579178E">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上面层：4cm细粒式改性沥青混凝土AC-13C</w:t>
      </w:r>
    </w:p>
    <w:p w14:paraId="418996A6">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粘  层：机械喷洒道路用乳化沥青（PC-3）粘层油0.55L/m2</w:t>
      </w:r>
    </w:p>
    <w:p w14:paraId="56654614">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下面层：8cm中粒式改性沥青混凝土AC-20C</w:t>
      </w:r>
    </w:p>
    <w:p w14:paraId="063E5D10">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下封层：70#热沥青+撒布瓜米石</w:t>
      </w:r>
    </w:p>
    <w:p w14:paraId="2184E297">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透  层：机械喷洒道路用乳化沥青（PC-2）透层油1.2L/m2</w:t>
      </w:r>
    </w:p>
    <w:p w14:paraId="01F5820B">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基  层：34cm5%水泥稳定级配碎石</w:t>
      </w:r>
    </w:p>
    <w:p w14:paraId="428A828A">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底基层：18cm4%水泥稳定碎石</w:t>
      </w:r>
    </w:p>
    <w:p w14:paraId="56BEB7DC">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垫  层：15cm未筛分碎石</w:t>
      </w:r>
    </w:p>
    <w:p w14:paraId="6DA04797">
      <w:pPr>
        <w:wordWrap w:val="0"/>
        <w:snapToGrid/>
        <w:spacing w:before="0" w:after="0" w:line="360" w:lineRule="auto"/>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 xml:space="preserve">1.8.1.3 </w:t>
      </w:r>
      <w:r>
        <w:rPr>
          <w:rFonts w:hint="eastAsia" w:ascii="宋体" w:hAnsi="宋体" w:eastAsia="宋体" w:cs="宋体"/>
          <w:color w:val="auto"/>
          <w:sz w:val="24"/>
          <w:szCs w:val="24"/>
          <w:highlight w:val="none"/>
        </w:rPr>
        <w:t>新建支路路面结构（E。≥40）</w:t>
      </w:r>
    </w:p>
    <w:p w14:paraId="38E74F70">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上面层：4cm细粒式改性沥青混凝土AC-13C</w:t>
      </w:r>
    </w:p>
    <w:p w14:paraId="1CDF3E9A">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粘  层：机械喷洒道路用乳化沥青（PC-3）粘层油0.55L/m2</w:t>
      </w:r>
    </w:p>
    <w:p w14:paraId="3B71554A">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下面层：6cm中粒式改性沥青混凝土AC-20C</w:t>
      </w:r>
    </w:p>
    <w:p w14:paraId="05E1CC55">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下封层：70#热沥青+撒布瓜米石</w:t>
      </w:r>
    </w:p>
    <w:p w14:paraId="42688131">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透  层：机械喷洒道路用乳化沥青（PC-2）透层油1.2L/m2</w:t>
      </w:r>
    </w:p>
    <w:p w14:paraId="3E310400">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基  层：32cm4%水泥稳定级配碎石</w:t>
      </w:r>
    </w:p>
    <w:p w14:paraId="79734D9C">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底基层：18cm4%水泥稳定碎石</w:t>
      </w:r>
    </w:p>
    <w:p w14:paraId="5775632A">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垫  层：15cm未筛分碎石</w:t>
      </w:r>
    </w:p>
    <w:p w14:paraId="4D6A2816">
      <w:pPr>
        <w:wordWrap w:val="0"/>
        <w:snapToGrid/>
        <w:spacing w:before="0" w:after="0" w:line="360" w:lineRule="auto"/>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 xml:space="preserve">1.8.1.4 </w:t>
      </w:r>
      <w:r>
        <w:rPr>
          <w:rFonts w:hint="eastAsia" w:ascii="宋体" w:hAnsi="宋体" w:eastAsia="宋体" w:cs="宋体"/>
          <w:color w:val="auto"/>
          <w:sz w:val="24"/>
          <w:szCs w:val="24"/>
          <w:highlight w:val="none"/>
        </w:rPr>
        <w:t>桥涵路面铺装：</w:t>
      </w:r>
    </w:p>
    <w:p w14:paraId="7C90A80F">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上  面  层：4cm细粒式改性沥青混凝土AC-13C</w:t>
      </w:r>
    </w:p>
    <w:p w14:paraId="548C4002">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粘      层：机械喷洒道路用乳化沥青（PC-3）粘层油0.55L/m2</w:t>
      </w:r>
    </w:p>
    <w:p w14:paraId="2380709C">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  面  层：6cm中粒式改性沥青混凝土AC-20C</w:t>
      </w:r>
    </w:p>
    <w:p w14:paraId="116CC905">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防水粘结层：SBS改性沥青+撒布瓜米石</w:t>
      </w:r>
    </w:p>
    <w:p w14:paraId="15688F13">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桥面板</w:t>
      </w:r>
    </w:p>
    <w:p w14:paraId="67457F9A">
      <w:pPr>
        <w:wordWrap w:val="0"/>
        <w:snapToGrid/>
        <w:spacing w:before="0" w:after="0" w:line="360" w:lineRule="auto"/>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 xml:space="preserve">1.8.1.5 </w:t>
      </w:r>
      <w:r>
        <w:rPr>
          <w:rFonts w:hint="eastAsia" w:ascii="宋体" w:hAnsi="宋体" w:eastAsia="宋体" w:cs="宋体"/>
          <w:color w:val="auto"/>
          <w:sz w:val="24"/>
          <w:szCs w:val="24"/>
          <w:highlight w:val="none"/>
        </w:rPr>
        <w:t>非机动车道（单独下沉，并与机动车道设有绿化分隔，采用不透水型）</w:t>
      </w:r>
    </w:p>
    <w:p w14:paraId="703D1D85">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上 面 层：4cm细粒式沥青混凝土AC-13C</w:t>
      </w:r>
    </w:p>
    <w:p w14:paraId="73A26AB4">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粘    层：机械喷洒道路用乳化沥青（PC-3）粘层油0.55L/m2</w:t>
      </w:r>
    </w:p>
    <w:p w14:paraId="38E4711B">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下 面 层：6cm中粒式沥青混凝土AC-20C</w:t>
      </w:r>
    </w:p>
    <w:p w14:paraId="2ED3DA13">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基    层：15cmC20水泥混凝土</w:t>
      </w:r>
    </w:p>
    <w:p w14:paraId="1061C666">
      <w:pPr>
        <w:wordWrap w:val="0"/>
        <w:snapToGrid/>
        <w:spacing w:before="0" w:after="0" w:line="360" w:lineRule="auto"/>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 xml:space="preserve">1.8.1.6 </w:t>
      </w:r>
      <w:r>
        <w:rPr>
          <w:rFonts w:hint="eastAsia" w:ascii="宋体" w:hAnsi="宋体" w:eastAsia="宋体" w:cs="宋体"/>
          <w:color w:val="auto"/>
          <w:sz w:val="24"/>
          <w:szCs w:val="24"/>
          <w:highlight w:val="none"/>
        </w:rPr>
        <w:t>人行道（透水）</w:t>
      </w:r>
    </w:p>
    <w:p w14:paraId="1204F313">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面  层：30×60×8cm混凝土透水砖</w:t>
      </w:r>
    </w:p>
    <w:p w14:paraId="62EDE655">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调平层：2cm干硬性透水水泥砂浆</w:t>
      </w:r>
    </w:p>
    <w:p w14:paraId="5BAA4130">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基  层：15cmC20透水水泥混凝土</w:t>
      </w:r>
    </w:p>
    <w:p w14:paraId="2D93C760">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.8.2 </w:t>
      </w:r>
      <w:r>
        <w:rPr>
          <w:rFonts w:hint="eastAsia" w:hAnsi="宋体" w:cs="宋体"/>
          <w:szCs w:val="24"/>
          <w:highlight w:val="none"/>
        </w:rPr>
        <w:t>道路侧石及压条</w:t>
      </w:r>
    </w:p>
    <w:p w14:paraId="195467CC">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道路侧平石及压条设计按照广州市城乡建设委员会2015年9月颁发的《广州市政府投资项目天然石材应用指引》执行。（材料均采用天然花岗岩材料，色调为灰麻色调。）</w:t>
      </w:r>
    </w:p>
    <w:p w14:paraId="561EC03E">
      <w:pPr>
        <w:wordWrap w:val="0"/>
        <w:snapToGrid/>
        <w:spacing w:before="0" w:after="0" w:line="360" w:lineRule="auto"/>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 xml:space="preserve">8.2.1 </w:t>
      </w:r>
      <w:r>
        <w:rPr>
          <w:rFonts w:hint="eastAsia" w:ascii="宋体" w:hAnsi="宋体" w:eastAsia="宋体" w:cs="宋体"/>
          <w:color w:val="auto"/>
          <w:sz w:val="24"/>
          <w:szCs w:val="24"/>
          <w:highlight w:val="none"/>
        </w:rPr>
        <w:t>侧石</w:t>
      </w:r>
    </w:p>
    <w:p w14:paraId="74C20122">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 xml:space="preserve">1. </w:t>
      </w:r>
      <w:r>
        <w:rPr>
          <w:rFonts w:hint="eastAsia" w:ascii="宋体" w:hAnsi="宋体" w:eastAsia="宋体" w:cs="宋体"/>
          <w:color w:val="auto"/>
          <w:sz w:val="24"/>
          <w:szCs w:val="24"/>
          <w:highlight w:val="none"/>
        </w:rPr>
        <w:t>侧石分为高侧石及低侧石两种，高侧石用于中央分隔带、侧分带处，低侧石用于机动车道与人行道分隔处、人行道与外侧绿化分隔处。</w:t>
      </w:r>
    </w:p>
    <w:p w14:paraId="51B263CC">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 xml:space="preserve">2. </w:t>
      </w:r>
      <w:r>
        <w:rPr>
          <w:rFonts w:hint="eastAsia" w:ascii="宋体" w:hAnsi="宋体" w:eastAsia="宋体" w:cs="宋体"/>
          <w:color w:val="auto"/>
          <w:sz w:val="24"/>
          <w:szCs w:val="24"/>
          <w:highlight w:val="none"/>
        </w:rPr>
        <w:t>标准段侧石长度推荐采用100cm，高侧石尺寸采用100×20×60cm，低侧石尺寸采用100×15×30cm，侧石顶倒角采用R=5cm。</w:t>
      </w:r>
    </w:p>
    <w:p w14:paraId="43AB590F">
      <w:pPr>
        <w:wordWrap w:val="0"/>
        <w:snapToGrid/>
        <w:spacing w:before="0" w:after="0" w:line="360" w:lineRule="auto"/>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 xml:space="preserve">8.2.2 </w:t>
      </w:r>
      <w:r>
        <w:rPr>
          <w:rFonts w:hint="eastAsia" w:ascii="宋体" w:hAnsi="宋体" w:eastAsia="宋体" w:cs="宋体"/>
          <w:color w:val="auto"/>
          <w:sz w:val="24"/>
          <w:szCs w:val="24"/>
          <w:highlight w:val="none"/>
        </w:rPr>
        <w:t>平石</w:t>
      </w:r>
    </w:p>
    <w:p w14:paraId="1F846706">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车行道边应设置平石，平石至路面基层之间需设置底座进行调平；当调平层厚度不大于5cm时，采用M10水泥砂浆调平；调平层厚度超过5cm时，采用C20现浇混凝土调平。</w:t>
      </w:r>
    </w:p>
    <w:p w14:paraId="35710B1A">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8.2.3 </w:t>
      </w:r>
      <w:r>
        <w:rPr>
          <w:rFonts w:hint="eastAsia" w:hAnsi="宋体" w:cs="宋体"/>
          <w:szCs w:val="24"/>
          <w:highlight w:val="none"/>
        </w:rPr>
        <w:t>压条</w:t>
      </w:r>
    </w:p>
    <w:p w14:paraId="4CC3A795">
      <w:pPr>
        <w:pStyle w:val="98"/>
        <w:ind w:firstLine="480"/>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人行道中各结构的分隔需采用压条。标准段压条尺寸采用100×15×16cm。</w:t>
      </w:r>
    </w:p>
    <w:p w14:paraId="0900CF61">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8.3 </w:t>
      </w:r>
      <w:r>
        <w:rPr>
          <w:rFonts w:hint="eastAsia" w:hAnsi="宋体" w:cs="宋体"/>
          <w:szCs w:val="24"/>
          <w:highlight w:val="none"/>
        </w:rPr>
        <w:t>装饰井盖质量要求</w:t>
      </w:r>
    </w:p>
    <w:p w14:paraId="7F208451">
      <w:pPr>
        <w:pStyle w:val="98"/>
        <w:ind w:firstLine="480"/>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所有位于人行及非机动车道范围内的各类市政管线井盖，均需采用不锈钢材质装饰井盖，材质厚度采用4mm。井盖内填充材料与人行及非机动车道材料一致。</w:t>
      </w:r>
    </w:p>
    <w:p w14:paraId="1D810D97">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8.4 </w:t>
      </w:r>
      <w:r>
        <w:rPr>
          <w:rFonts w:hint="eastAsia" w:hAnsi="宋体" w:cs="宋体"/>
          <w:szCs w:val="24"/>
          <w:highlight w:val="none"/>
        </w:rPr>
        <w:t>车止石、护栏、树池等</w:t>
      </w:r>
    </w:p>
    <w:p w14:paraId="7AF31E90">
      <w:pPr>
        <w:wordWrap w:val="0"/>
        <w:snapToGrid/>
        <w:spacing w:before="0" w:after="0" w:line="360" w:lineRule="auto"/>
        <w:jc w:val="both"/>
        <w:textAlignment w:val="center"/>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 xml:space="preserve">1.8.4.1 </w:t>
      </w:r>
      <w:r>
        <w:rPr>
          <w:rFonts w:hint="eastAsia" w:ascii="宋体" w:hAnsi="宋体" w:eastAsia="宋体" w:cs="宋体"/>
          <w:color w:val="auto"/>
          <w:sz w:val="24"/>
          <w:szCs w:val="24"/>
          <w:highlight w:val="none"/>
        </w:rPr>
        <w:t>车止石、人行道护栏等按《广州市城市家具建设指引》进行设计，建议优先采用黑色铸铁材质，推荐样式如下。（机非分隔护栏按交通专业设计标准）</w:t>
      </w:r>
    </w:p>
    <w:p w14:paraId="5BE869CE">
      <w:pPr>
        <w:wordWrap w:val="0"/>
        <w:snapToGrid/>
        <w:spacing w:before="0" w:after="0" w:line="360" w:lineRule="auto"/>
        <w:jc w:val="both"/>
        <w:textAlignment w:val="center"/>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 xml:space="preserve">1.8.4.2 </w:t>
      </w:r>
      <w:r>
        <w:rPr>
          <w:rFonts w:hint="eastAsia" w:ascii="宋体" w:hAnsi="宋体" w:eastAsia="宋体" w:cs="宋体"/>
          <w:color w:val="auto"/>
          <w:sz w:val="24"/>
          <w:szCs w:val="24"/>
          <w:highlight w:val="none"/>
        </w:rPr>
        <w:t>考虑海绵城市要求，树池采用生态树池（详下图），树池顶面铺设5cm厚植草砖，颜色、样式与周边环境相协调，树池大小按道路横断面。</w:t>
      </w:r>
    </w:p>
    <w:p w14:paraId="7E2FE876">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79" w:name="_Toc104581775"/>
      <w:bookmarkStart w:id="480" w:name="_Toc30679"/>
      <w:bookmarkStart w:id="481" w:name="_Toc96633178"/>
      <w:bookmarkStart w:id="482" w:name="_Toc3534"/>
      <w:bookmarkStart w:id="483" w:name="_Toc25470"/>
      <w:bookmarkStart w:id="484" w:name="_Hlk104475637"/>
      <w:r>
        <w:rPr>
          <w:rFonts w:hint="eastAsia" w:ascii="宋体" w:hAnsi="宋体" w:eastAsia="宋体" w:cs="宋体"/>
          <w:color w:val="auto"/>
          <w:sz w:val="24"/>
          <w:szCs w:val="24"/>
          <w:highlight w:val="none"/>
        </w:rPr>
        <w:t>11.2 交通工程</w:t>
      </w:r>
      <w:bookmarkEnd w:id="479"/>
      <w:bookmarkEnd w:id="480"/>
      <w:bookmarkEnd w:id="481"/>
      <w:bookmarkEnd w:id="482"/>
      <w:bookmarkEnd w:id="483"/>
    </w:p>
    <w:p w14:paraId="0EF5F4E6">
      <w:pPr>
        <w:pStyle w:val="24"/>
        <w:ind w:left="440" w:leftChars="200" w:firstLine="0" w:firstLineChars="0"/>
        <w:rPr>
          <w:rFonts w:hint="eastAsia" w:hAnsi="宋体" w:cs="宋体"/>
          <w:szCs w:val="24"/>
          <w:highlight w:val="none"/>
        </w:rPr>
      </w:pPr>
      <w:bookmarkStart w:id="485" w:name="_Toc96519632"/>
      <w:bookmarkStart w:id="486" w:name="_Toc96633179"/>
      <w:r>
        <w:rPr>
          <w:rFonts w:hint="eastAsia" w:hAnsi="宋体" w:cs="宋体"/>
          <w:szCs w:val="24"/>
          <w:highlight w:val="none"/>
        </w:rPr>
        <w:t>11.2.1 交通工程设计主要依据</w:t>
      </w:r>
      <w:bookmarkEnd w:id="485"/>
      <w:bookmarkEnd w:id="486"/>
    </w:p>
    <w:p w14:paraId="0CC0E31D">
      <w:pPr>
        <w:numPr>
          <w:ilvl w:val="255"/>
          <w:numId w:val="0"/>
        </w:numPr>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《广州市城市道路交通管理设施设计技术指引 第一分册 非电类交通管理设施部分》（广州市公安局交警支队 2014年12月）</w:t>
      </w:r>
    </w:p>
    <w:p w14:paraId="5ED594EB">
      <w:pPr>
        <w:numPr>
          <w:ilvl w:val="255"/>
          <w:numId w:val="0"/>
        </w:numPr>
        <w:wordWrap w:val="0"/>
        <w:spacing w:line="360" w:lineRule="auto"/>
        <w:ind w:firstLine="480" w:firstLineChars="200"/>
        <w:textAlignment w:val="center"/>
        <w:rPr>
          <w:rFonts w:hint="eastAsia" w:ascii="宋体" w:hAnsi="宋体" w:eastAsia="宋体" w:cs="宋体"/>
          <w:color w:val="auto"/>
          <w:sz w:val="24"/>
          <w:szCs w:val="24"/>
          <w:highlight w:val="none"/>
        </w:rPr>
      </w:pPr>
      <w:bookmarkStart w:id="487" w:name="_Hlk96509142"/>
      <w:r>
        <w:rPr>
          <w:rFonts w:hint="eastAsia" w:ascii="宋体" w:hAnsi="宋体" w:eastAsia="宋体" w:cs="宋体"/>
          <w:color w:val="auto"/>
          <w:sz w:val="24"/>
          <w:szCs w:val="24"/>
          <w:highlight w:val="none"/>
        </w:rPr>
        <w:t>《广州市城市道路交通管理设施设计技术指引 第二分册 电子类交通管理设施部分》（广州市公安局交警支队 2014年12月）</w:t>
      </w:r>
      <w:bookmarkEnd w:id="487"/>
    </w:p>
    <w:p w14:paraId="42BEDCDA">
      <w:pPr>
        <w:numPr>
          <w:ilvl w:val="255"/>
          <w:numId w:val="0"/>
        </w:numPr>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《广州市重点区域道路交通标识系统（完善）设计指引》（广州市住房和城乡建设委员会 2017年8月）</w:t>
      </w:r>
    </w:p>
    <w:p w14:paraId="2F2B7D19">
      <w:pPr>
        <w:numPr>
          <w:ilvl w:val="255"/>
          <w:numId w:val="0"/>
        </w:numPr>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其他参照道路工程相关依据。</w:t>
      </w:r>
    </w:p>
    <w:p w14:paraId="326B031F">
      <w:pPr>
        <w:pStyle w:val="24"/>
        <w:ind w:left="440" w:leftChars="200" w:firstLine="0" w:firstLineChars="0"/>
        <w:rPr>
          <w:rFonts w:hint="eastAsia" w:hAnsi="宋体" w:cs="宋体"/>
          <w:szCs w:val="24"/>
          <w:highlight w:val="none"/>
        </w:rPr>
      </w:pPr>
      <w:bookmarkStart w:id="488" w:name="_Toc96633180"/>
      <w:bookmarkStart w:id="489" w:name="_Toc96519633"/>
      <w:r>
        <w:rPr>
          <w:rFonts w:hint="eastAsia" w:hAnsi="宋体" w:cs="宋体"/>
          <w:szCs w:val="24"/>
          <w:highlight w:val="none"/>
        </w:rPr>
        <w:t>11.2.2 交通标志</w:t>
      </w:r>
      <w:bookmarkEnd w:id="488"/>
      <w:bookmarkEnd w:id="489"/>
    </w:p>
    <w:p w14:paraId="4E638A56">
      <w:pPr>
        <w:wordWrap w:val="0"/>
        <w:snapToGrid/>
        <w:spacing w:before="0" w:after="0" w:line="360" w:lineRule="auto"/>
        <w:ind w:firstLine="480" w:firstLineChars="200"/>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11.2.2.1 多杆合一：在满足交通指示功能的情况下，标志牌采用多杆合一与路灯杆合杆，路口小型标志牌充分利用照明路灯灯杆、信号灯灯杆进行合杆使用，采用万能抱箍将标志牌安装在相关杆件上。</w:t>
      </w:r>
    </w:p>
    <w:p w14:paraId="5BBEE96C">
      <w:pPr>
        <w:wordWrap w:val="0"/>
        <w:snapToGrid/>
        <w:spacing w:before="0" w:after="0" w:line="360" w:lineRule="auto"/>
        <w:ind w:firstLine="480" w:firstLineChars="200"/>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11.2.2.2 指路标志</w:t>
      </w:r>
    </w:p>
    <w:p w14:paraId="460DA874">
      <w:pPr>
        <w:tabs>
          <w:tab w:val="left" w:pos="426"/>
          <w:tab w:val="left" w:pos="993"/>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指路标志样式采用《广州市重点区域道路交通标识系统（完善）设计指引》中推荐样式，主干路、次干路、支路上设置的指路标志根据道路等级、交通组织等条件选择标志版面。不同类型常用标志版面尺寸、中英文字高要求见下表。</w:t>
      </w:r>
    </w:p>
    <w:p w14:paraId="15044A47">
      <w:pPr>
        <w:spacing w:line="360" w:lineRule="auto"/>
        <w:ind w:firstLine="48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 xml:space="preserve"> 一般城市道路交通常用标志版面</w:t>
      </w:r>
    </w:p>
    <w:tbl>
      <w:tblPr>
        <w:tblStyle w:val="42"/>
        <w:tblW w:w="833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909"/>
        <w:gridCol w:w="2910"/>
        <w:gridCol w:w="1257"/>
        <w:gridCol w:w="1257"/>
      </w:tblGrid>
      <w:tr w14:paraId="25632C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909" w:type="dxa"/>
            <w:vAlign w:val="center"/>
          </w:tcPr>
          <w:p w14:paraId="60A23AFE">
            <w:pPr>
              <w:pStyle w:val="98"/>
              <w:snapToGrid w:val="0"/>
              <w:ind w:firstLine="0" w:firstLineChars="0"/>
              <w:jc w:val="center"/>
              <w:rPr>
                <w:rStyle w:val="81"/>
                <w:rFonts w:hint="eastAsia" w:ascii="宋体" w:hAnsi="宋体" w:cs="宋体"/>
                <w:b/>
                <w:bCs/>
                <w:color w:val="auto"/>
                <w:highlight w:val="none"/>
              </w:rPr>
            </w:pPr>
            <w:r>
              <w:rPr>
                <w:rStyle w:val="81"/>
                <w:rFonts w:hint="eastAsia" w:ascii="宋体" w:hAnsi="宋体" w:cs="宋体"/>
                <w:b/>
                <w:bCs/>
                <w:color w:val="auto"/>
                <w:highlight w:val="none"/>
              </w:rPr>
              <w:t>标志类型</w:t>
            </w:r>
          </w:p>
        </w:tc>
        <w:tc>
          <w:tcPr>
            <w:tcW w:w="2910" w:type="dxa"/>
            <w:vAlign w:val="center"/>
          </w:tcPr>
          <w:p w14:paraId="4ABDFAC3">
            <w:pPr>
              <w:pStyle w:val="98"/>
              <w:snapToGrid w:val="0"/>
              <w:ind w:firstLine="0" w:firstLineChars="0"/>
              <w:jc w:val="center"/>
              <w:rPr>
                <w:rStyle w:val="81"/>
                <w:rFonts w:hint="eastAsia" w:ascii="宋体" w:hAnsi="宋体" w:cs="宋体"/>
                <w:b/>
                <w:bCs/>
                <w:color w:val="auto"/>
                <w:highlight w:val="none"/>
              </w:rPr>
            </w:pPr>
            <w:r>
              <w:rPr>
                <w:rStyle w:val="81"/>
                <w:rFonts w:hint="eastAsia" w:ascii="宋体" w:hAnsi="宋体" w:cs="宋体"/>
                <w:b/>
                <w:bCs/>
                <w:color w:val="auto"/>
                <w:highlight w:val="none"/>
              </w:rPr>
              <w:t>版面尺寸</w:t>
            </w:r>
          </w:p>
        </w:tc>
        <w:tc>
          <w:tcPr>
            <w:tcW w:w="1257" w:type="dxa"/>
            <w:vAlign w:val="center"/>
          </w:tcPr>
          <w:p w14:paraId="7549F888">
            <w:pPr>
              <w:pStyle w:val="98"/>
              <w:snapToGrid w:val="0"/>
              <w:ind w:firstLine="0" w:firstLineChars="0"/>
              <w:jc w:val="center"/>
              <w:rPr>
                <w:rStyle w:val="81"/>
                <w:rFonts w:hint="eastAsia" w:ascii="宋体" w:hAnsi="宋体" w:cs="宋体"/>
                <w:b/>
                <w:bCs/>
                <w:color w:val="auto"/>
                <w:highlight w:val="none"/>
              </w:rPr>
            </w:pPr>
            <w:r>
              <w:rPr>
                <w:rStyle w:val="81"/>
                <w:rFonts w:hint="eastAsia" w:ascii="宋体" w:hAnsi="宋体" w:cs="宋体"/>
                <w:b/>
                <w:bCs/>
                <w:color w:val="auto"/>
                <w:highlight w:val="none"/>
              </w:rPr>
              <w:t>汉字字高</w:t>
            </w:r>
          </w:p>
        </w:tc>
        <w:tc>
          <w:tcPr>
            <w:tcW w:w="1257" w:type="dxa"/>
            <w:vAlign w:val="center"/>
          </w:tcPr>
          <w:p w14:paraId="31D0769D">
            <w:pPr>
              <w:pStyle w:val="98"/>
              <w:snapToGrid w:val="0"/>
              <w:ind w:firstLine="0" w:firstLineChars="0"/>
              <w:jc w:val="center"/>
              <w:rPr>
                <w:rStyle w:val="81"/>
                <w:rFonts w:hint="eastAsia" w:ascii="宋体" w:hAnsi="宋体" w:cs="宋体"/>
                <w:b/>
                <w:bCs/>
                <w:color w:val="auto"/>
                <w:highlight w:val="none"/>
              </w:rPr>
            </w:pPr>
            <w:r>
              <w:rPr>
                <w:rStyle w:val="81"/>
                <w:rFonts w:hint="eastAsia" w:ascii="宋体" w:hAnsi="宋体" w:cs="宋体"/>
                <w:b/>
                <w:bCs/>
                <w:color w:val="auto"/>
                <w:highlight w:val="none"/>
              </w:rPr>
              <w:t>英语字高</w:t>
            </w:r>
          </w:p>
        </w:tc>
      </w:tr>
      <w:tr w14:paraId="7731E5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909" w:type="dxa"/>
            <w:vAlign w:val="center"/>
          </w:tcPr>
          <w:p w14:paraId="68B2889A">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指路标志（主干路、次干路）</w:t>
            </w:r>
          </w:p>
        </w:tc>
        <w:tc>
          <w:tcPr>
            <w:tcW w:w="2910" w:type="dxa"/>
            <w:vAlign w:val="center"/>
          </w:tcPr>
          <w:p w14:paraId="242F5D6E">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500cm*240cm</w:t>
            </w:r>
          </w:p>
        </w:tc>
        <w:tc>
          <w:tcPr>
            <w:tcW w:w="1257" w:type="dxa"/>
            <w:vAlign w:val="center"/>
          </w:tcPr>
          <w:p w14:paraId="48200480">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35cm</w:t>
            </w:r>
          </w:p>
        </w:tc>
        <w:tc>
          <w:tcPr>
            <w:tcW w:w="1257" w:type="dxa"/>
            <w:vAlign w:val="center"/>
          </w:tcPr>
          <w:p w14:paraId="0F597D8B">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18cm</w:t>
            </w:r>
          </w:p>
        </w:tc>
      </w:tr>
      <w:tr w14:paraId="02622F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909" w:type="dxa"/>
            <w:vAlign w:val="center"/>
          </w:tcPr>
          <w:p w14:paraId="5033066F">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指路标志（支路）</w:t>
            </w:r>
          </w:p>
        </w:tc>
        <w:tc>
          <w:tcPr>
            <w:tcW w:w="2910" w:type="dxa"/>
            <w:vAlign w:val="center"/>
          </w:tcPr>
          <w:p w14:paraId="508AA49E">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120cm*200cm或100cm*200cm</w:t>
            </w:r>
          </w:p>
        </w:tc>
        <w:tc>
          <w:tcPr>
            <w:tcW w:w="1257" w:type="dxa"/>
            <w:vAlign w:val="center"/>
          </w:tcPr>
          <w:p w14:paraId="71DA287F">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25cm</w:t>
            </w:r>
          </w:p>
        </w:tc>
        <w:tc>
          <w:tcPr>
            <w:tcW w:w="1257" w:type="dxa"/>
            <w:vAlign w:val="center"/>
          </w:tcPr>
          <w:p w14:paraId="59508DF1">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13cm</w:t>
            </w:r>
          </w:p>
        </w:tc>
      </w:tr>
      <w:tr w14:paraId="41A199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2909" w:type="dxa"/>
            <w:vAlign w:val="center"/>
          </w:tcPr>
          <w:p w14:paraId="0BC4BF8E">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路径指引标志</w:t>
            </w:r>
          </w:p>
        </w:tc>
        <w:tc>
          <w:tcPr>
            <w:tcW w:w="2910" w:type="dxa"/>
            <w:vAlign w:val="center"/>
          </w:tcPr>
          <w:p w14:paraId="15F568B5">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500cm*240cm</w:t>
            </w:r>
          </w:p>
        </w:tc>
        <w:tc>
          <w:tcPr>
            <w:tcW w:w="1257" w:type="dxa"/>
            <w:vAlign w:val="center"/>
          </w:tcPr>
          <w:p w14:paraId="02BEA21E">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40cm</w:t>
            </w:r>
          </w:p>
        </w:tc>
        <w:tc>
          <w:tcPr>
            <w:tcW w:w="1257" w:type="dxa"/>
            <w:vAlign w:val="center"/>
          </w:tcPr>
          <w:p w14:paraId="665E103B">
            <w:pPr>
              <w:pStyle w:val="98"/>
              <w:snapToGrid w:val="0"/>
              <w:ind w:firstLine="0" w:firstLineChars="0"/>
              <w:jc w:val="center"/>
              <w:rPr>
                <w:rStyle w:val="81"/>
                <w:rFonts w:hint="eastAsia" w:ascii="宋体" w:hAnsi="宋体" w:cs="宋体"/>
                <w:color w:val="auto"/>
                <w:highlight w:val="none"/>
              </w:rPr>
            </w:pPr>
            <w:r>
              <w:rPr>
                <w:rStyle w:val="81"/>
                <w:rFonts w:hint="eastAsia" w:ascii="宋体" w:hAnsi="宋体" w:cs="宋体"/>
                <w:color w:val="auto"/>
                <w:highlight w:val="none"/>
              </w:rPr>
              <w:t>20cm</w:t>
            </w:r>
          </w:p>
        </w:tc>
      </w:tr>
    </w:tbl>
    <w:p w14:paraId="6F998895">
      <w:pPr>
        <w:pStyle w:val="98"/>
        <w:ind w:firstLine="0" w:firstLineChars="0"/>
        <w:jc w:val="center"/>
        <w:rPr>
          <w:rStyle w:val="81"/>
          <w:rFonts w:hint="eastAsia" w:ascii="宋体" w:hAnsi="宋体" w:cs="宋体"/>
          <w:color w:val="auto"/>
          <w:sz w:val="24"/>
          <w:szCs w:val="24"/>
          <w:highlight w:val="none"/>
        </w:rPr>
      </w:pPr>
    </w:p>
    <w:p w14:paraId="7019A447">
      <w:pPr>
        <w:pStyle w:val="24"/>
        <w:numPr>
          <w:ilvl w:val="0"/>
          <w:numId w:val="18"/>
        </w:numPr>
        <w:ind w:firstLine="480"/>
        <w:rPr>
          <w:rFonts w:hint="eastAsia" w:hAnsi="宋体" w:cs="宋体"/>
          <w:szCs w:val="24"/>
          <w:highlight w:val="none"/>
        </w:rPr>
      </w:pPr>
      <w:bookmarkStart w:id="490" w:name="_Toc96519634"/>
      <w:bookmarkStart w:id="491" w:name="_Toc96633181"/>
      <w:r>
        <w:rPr>
          <w:rFonts w:hint="eastAsia" w:hAnsi="宋体" w:cs="宋体"/>
          <w:szCs w:val="24"/>
          <w:highlight w:val="none"/>
        </w:rPr>
        <w:t>通标线</w:t>
      </w:r>
      <w:bookmarkEnd w:id="490"/>
      <w:r>
        <w:rPr>
          <w:rFonts w:hint="eastAsia" w:hAnsi="宋体" w:cs="宋体"/>
          <w:szCs w:val="24"/>
          <w:highlight w:val="none"/>
        </w:rPr>
        <w:t>材料</w:t>
      </w:r>
      <w:bookmarkEnd w:id="491"/>
    </w:p>
    <w:p w14:paraId="22C02437">
      <w:pPr>
        <w:numPr>
          <w:ilvl w:val="0"/>
          <w:numId w:val="19"/>
        </w:numPr>
        <w:wordWrap w:val="0"/>
        <w:snapToGrid/>
        <w:spacing w:before="0" w:after="0" w:line="360" w:lineRule="auto"/>
        <w:ind w:left="0" w:firstLine="480" w:firstLineChars="200"/>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道路标线优先采用环保MMA液态双组份反光涂料涂划。</w:t>
      </w:r>
    </w:p>
    <w:p w14:paraId="403A2587">
      <w:pPr>
        <w:numPr>
          <w:ilvl w:val="0"/>
          <w:numId w:val="19"/>
        </w:numPr>
        <w:wordWrap w:val="0"/>
        <w:snapToGrid/>
        <w:spacing w:before="0" w:after="0" w:line="360" w:lineRule="auto"/>
        <w:ind w:left="0" w:firstLine="480" w:firstLineChars="200"/>
        <w:jc w:val="both"/>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液态双组份反光涂料标线厚度为1.8±0.2mm，减速标线厚度为4.0±0.2mm，涂料中应混合占总重18～25％的玻璃微珠，在喷涂时标线表面还应均布0.3～0.4kg/m2的玻璃微珠。</w:t>
      </w:r>
    </w:p>
    <w:p w14:paraId="11BE73D4">
      <w:pPr>
        <w:pStyle w:val="24"/>
        <w:numPr>
          <w:ilvl w:val="0"/>
          <w:numId w:val="18"/>
        </w:numPr>
        <w:ind w:firstLine="480"/>
        <w:rPr>
          <w:rFonts w:hint="eastAsia" w:hAnsi="宋体" w:cs="宋体"/>
          <w:szCs w:val="24"/>
          <w:highlight w:val="none"/>
        </w:rPr>
      </w:pPr>
      <w:bookmarkStart w:id="492" w:name="_Toc96633182"/>
      <w:bookmarkStart w:id="493" w:name="_Toc96519635"/>
      <w:r>
        <w:rPr>
          <w:rFonts w:hint="eastAsia" w:hAnsi="宋体" w:cs="宋体"/>
          <w:szCs w:val="24"/>
          <w:highlight w:val="none"/>
        </w:rPr>
        <w:t>交通隔离设施</w:t>
      </w:r>
      <w:bookmarkEnd w:id="492"/>
      <w:bookmarkEnd w:id="493"/>
    </w:p>
    <w:p w14:paraId="526E3FF1">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机非分隔护栏片采用圆钢、扁钢与槽钢焊接成型，底座采用铸铁单独制作成型，安装时立柱插入底座。每片护栏安装一片反光片，采用V类膜。护栏每10排设置一个分离式铸铁底座。护栏采用热渗镀锌处理。</w:t>
      </w:r>
    </w:p>
    <w:p w14:paraId="6A97D5AB">
      <w:pPr>
        <w:pStyle w:val="24"/>
        <w:numPr>
          <w:ilvl w:val="0"/>
          <w:numId w:val="18"/>
        </w:numPr>
        <w:ind w:firstLine="480"/>
        <w:rPr>
          <w:rFonts w:hint="eastAsia" w:hAnsi="宋体" w:cs="宋体"/>
          <w:szCs w:val="24"/>
          <w:highlight w:val="none"/>
        </w:rPr>
      </w:pPr>
      <w:bookmarkStart w:id="494" w:name="_Toc96633183"/>
      <w:bookmarkStart w:id="495" w:name="_Toc96519636"/>
      <w:r>
        <w:rPr>
          <w:rFonts w:hint="eastAsia" w:hAnsi="宋体" w:cs="宋体"/>
          <w:szCs w:val="24"/>
          <w:highlight w:val="none"/>
        </w:rPr>
        <w:t>交通信号控制</w:t>
      </w:r>
      <w:bookmarkEnd w:id="494"/>
      <w:bookmarkEnd w:id="495"/>
    </w:p>
    <w:p w14:paraId="5DECE825">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项目采用智能信号控制机，实施干线协调控制。区域控制系统由智能信号机、检测线圈、信号灯、某些路口或路段设置的行人过街按钮等外场设备以及通信网络、大队的区域控制机以及智能交通管理指挥中心的中心控制机组成。</w:t>
      </w:r>
    </w:p>
    <w:p w14:paraId="6492CA47">
      <w:pPr>
        <w:pStyle w:val="24"/>
        <w:numPr>
          <w:ilvl w:val="0"/>
          <w:numId w:val="18"/>
        </w:numPr>
        <w:ind w:firstLine="480"/>
        <w:rPr>
          <w:rFonts w:hint="eastAsia" w:hAnsi="宋体" w:cs="宋体"/>
          <w:szCs w:val="24"/>
          <w:highlight w:val="none"/>
        </w:rPr>
      </w:pPr>
      <w:bookmarkStart w:id="496" w:name="_Toc96519637"/>
      <w:bookmarkStart w:id="497" w:name="_Toc96633184"/>
      <w:r>
        <w:rPr>
          <w:rFonts w:hint="eastAsia" w:hAnsi="宋体" w:cs="宋体"/>
          <w:szCs w:val="24"/>
          <w:highlight w:val="none"/>
        </w:rPr>
        <w:t>交通监控</w:t>
      </w:r>
      <w:bookmarkEnd w:id="496"/>
      <w:bookmarkEnd w:id="497"/>
    </w:p>
    <w:p w14:paraId="6E66E2C7">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信号控制交叉口设置闯红灯电子警察、交通视频监控设施。</w:t>
      </w:r>
    </w:p>
    <w:p w14:paraId="7C16D617">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498" w:name="_Toc14922"/>
      <w:bookmarkStart w:id="499" w:name="_Toc96633185"/>
      <w:bookmarkStart w:id="500" w:name="_Toc104581776"/>
      <w:bookmarkStart w:id="501" w:name="_Toc9014"/>
      <w:bookmarkStart w:id="502" w:name="_Toc6291"/>
      <w:r>
        <w:rPr>
          <w:rFonts w:hint="eastAsia" w:ascii="宋体" w:hAnsi="宋体" w:eastAsia="宋体" w:cs="宋体"/>
          <w:color w:val="auto"/>
          <w:sz w:val="24"/>
          <w:szCs w:val="24"/>
          <w:highlight w:val="none"/>
        </w:rPr>
        <w:t>11.3</w:t>
      </w:r>
      <w:r>
        <w:rPr>
          <w:rFonts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rPr>
        <w:t>桥梁工程</w:t>
      </w:r>
      <w:bookmarkEnd w:id="498"/>
      <w:bookmarkEnd w:id="499"/>
      <w:bookmarkEnd w:id="500"/>
      <w:bookmarkEnd w:id="501"/>
      <w:bookmarkEnd w:id="502"/>
    </w:p>
    <w:p w14:paraId="13201C7B">
      <w:pPr>
        <w:pStyle w:val="24"/>
        <w:ind w:firstLine="0" w:firstLineChars="0"/>
        <w:rPr>
          <w:rFonts w:hint="eastAsia" w:hAnsi="宋体" w:cs="宋体"/>
          <w:szCs w:val="24"/>
          <w:highlight w:val="none"/>
        </w:rPr>
      </w:pPr>
      <w:bookmarkStart w:id="503" w:name="_Toc96633186"/>
      <w:r>
        <w:rPr>
          <w:rFonts w:hint="eastAsia" w:hAnsi="宋体" w:cs="宋体"/>
          <w:szCs w:val="24"/>
          <w:highlight w:val="none"/>
        </w:rPr>
        <w:t>1</w:t>
      </w:r>
      <w:r>
        <w:rPr>
          <w:rFonts w:hAnsi="宋体" w:cs="宋体"/>
          <w:szCs w:val="24"/>
          <w:highlight w:val="none"/>
        </w:rPr>
        <w:t xml:space="preserve">1.3.1 </w:t>
      </w:r>
      <w:r>
        <w:rPr>
          <w:rFonts w:hint="eastAsia" w:hAnsi="宋体" w:cs="宋体"/>
          <w:szCs w:val="24"/>
          <w:highlight w:val="none"/>
        </w:rPr>
        <w:t>桥梁设计原则</w:t>
      </w:r>
      <w:bookmarkEnd w:id="503"/>
    </w:p>
    <w:p w14:paraId="51F1525B">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在满足桥梁使用功能的前提下，力求造型简洁新颖美观，布局合理，并使桥梁与周边环境相协调，充分体现“安全、环保、经济、适用、美观”的原则。</w:t>
      </w:r>
    </w:p>
    <w:p w14:paraId="31F14553">
      <w:pPr>
        <w:pStyle w:val="24"/>
        <w:ind w:firstLine="0" w:firstLineChars="0"/>
        <w:rPr>
          <w:rFonts w:hint="eastAsia" w:hAnsi="宋体" w:cs="宋体"/>
          <w:szCs w:val="24"/>
          <w:highlight w:val="none"/>
        </w:rPr>
      </w:pPr>
      <w:bookmarkStart w:id="504" w:name="_Toc96633187"/>
      <w:r>
        <w:rPr>
          <w:rFonts w:hint="eastAsia" w:hAnsi="宋体" w:cs="宋体"/>
          <w:szCs w:val="24"/>
          <w:highlight w:val="none"/>
        </w:rPr>
        <w:t>1</w:t>
      </w:r>
      <w:r>
        <w:rPr>
          <w:rFonts w:hAnsi="宋体" w:cs="宋体"/>
          <w:szCs w:val="24"/>
          <w:highlight w:val="none"/>
        </w:rPr>
        <w:t xml:space="preserve">1.3.2 </w:t>
      </w:r>
      <w:r>
        <w:rPr>
          <w:rFonts w:hint="eastAsia" w:hAnsi="宋体" w:cs="宋体"/>
          <w:szCs w:val="24"/>
          <w:highlight w:val="none"/>
        </w:rPr>
        <w:t>跨河涌桥梁标准结构类型及标准跨度</w:t>
      </w:r>
      <w:bookmarkEnd w:id="504"/>
    </w:p>
    <w:p w14:paraId="0FFD59F2">
      <w:pPr>
        <w:pStyle w:val="98"/>
        <w:numPr>
          <w:ilvl w:val="0"/>
          <w:numId w:val="20"/>
        </w:numPr>
        <w:ind w:left="0"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跨河涌桥优先采用预制结构，跨径小于等于16m采用预制空心板结构，16m以上采用预制小箱梁结构。</w:t>
      </w:r>
    </w:p>
    <w:p w14:paraId="057055C2">
      <w:pPr>
        <w:pStyle w:val="98"/>
        <w:numPr>
          <w:ilvl w:val="0"/>
          <w:numId w:val="20"/>
        </w:numPr>
        <w:ind w:left="0"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从节约桥梁下部结构投资角度，在标高能满足要求的情况下，30m宽度以内河涌，建议采用一跨跨越河涌；如标高有限制可采用小跨径以降低梁高，墩台位置应结合防洪论证意见布置。</w:t>
      </w:r>
    </w:p>
    <w:p w14:paraId="4196B9D6">
      <w:pPr>
        <w:pStyle w:val="98"/>
        <w:numPr>
          <w:ilvl w:val="0"/>
          <w:numId w:val="20"/>
        </w:numPr>
        <w:ind w:left="0"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下部结构桥墩采用柱接盖梁桥墩，柱子采用圆柱，盖梁采用矩形截面，基础采用桩基础。</w:t>
      </w:r>
    </w:p>
    <w:p w14:paraId="4E640FB9">
      <w:pPr>
        <w:pStyle w:val="24"/>
        <w:ind w:firstLine="0" w:firstLineChars="0"/>
        <w:rPr>
          <w:rFonts w:hint="eastAsia" w:hAnsi="宋体" w:cs="宋体"/>
          <w:szCs w:val="24"/>
          <w:highlight w:val="none"/>
        </w:rPr>
      </w:pPr>
      <w:bookmarkStart w:id="505" w:name="_Toc96633188"/>
      <w:r>
        <w:rPr>
          <w:rFonts w:hint="eastAsia" w:hAnsi="宋体" w:cs="宋体"/>
          <w:szCs w:val="24"/>
          <w:highlight w:val="none"/>
        </w:rPr>
        <w:t>1</w:t>
      </w:r>
      <w:r>
        <w:rPr>
          <w:rFonts w:hAnsi="宋体" w:cs="宋体"/>
          <w:szCs w:val="24"/>
          <w:highlight w:val="none"/>
        </w:rPr>
        <w:t xml:space="preserve">1.3.3 </w:t>
      </w:r>
      <w:r>
        <w:rPr>
          <w:rFonts w:hint="eastAsia" w:hAnsi="宋体" w:cs="宋体"/>
          <w:szCs w:val="24"/>
          <w:highlight w:val="none"/>
        </w:rPr>
        <w:t>各部位混凝土标号</w:t>
      </w:r>
      <w:bookmarkEnd w:id="505"/>
    </w:p>
    <w:p w14:paraId="6FBC02E5">
      <w:pPr>
        <w:pStyle w:val="98"/>
        <w:ind w:firstLine="0" w:firstLineChars="0"/>
        <w:jc w:val="both"/>
        <w:rPr>
          <w:rStyle w:val="81"/>
          <w:rFonts w:hint="eastAsia" w:ascii="宋体" w:hAnsi="宋体" w:cs="宋体"/>
          <w:color w:val="auto"/>
          <w:sz w:val="24"/>
          <w:szCs w:val="24"/>
          <w:highlight w:val="none"/>
        </w:rPr>
      </w:pPr>
      <w:r>
        <w:rPr>
          <w:rStyle w:val="81"/>
          <w:rFonts w:ascii="宋体" w:hAnsi="宋体" w:cs="宋体"/>
          <w:color w:val="auto"/>
          <w:sz w:val="24"/>
          <w:szCs w:val="24"/>
          <w:highlight w:val="none"/>
        </w:rPr>
        <w:t xml:space="preserve">11.3.3.1 </w:t>
      </w:r>
      <w:r>
        <w:rPr>
          <w:rStyle w:val="81"/>
          <w:rFonts w:hint="eastAsia" w:ascii="宋体" w:hAnsi="宋体" w:cs="宋体"/>
          <w:color w:val="auto"/>
          <w:sz w:val="24"/>
          <w:szCs w:val="24"/>
          <w:highlight w:val="none"/>
        </w:rPr>
        <w:t>预应力混凝土现浇箱梁、预应力预制梁、预应力盖梁：C50。</w:t>
      </w:r>
    </w:p>
    <w:p w14:paraId="1AC81177">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1.3.3</w:t>
      </w:r>
      <w:r>
        <w:rPr>
          <w:rStyle w:val="81"/>
          <w:rFonts w:hint="eastAsia" w:ascii="宋体" w:hAnsi="宋体" w:cs="宋体"/>
          <w:color w:val="auto"/>
          <w:sz w:val="24"/>
          <w:szCs w:val="24"/>
          <w:highlight w:val="none"/>
        </w:rPr>
        <w:t>.</w:t>
      </w:r>
      <w:r>
        <w:rPr>
          <w:rStyle w:val="81"/>
          <w:rFonts w:ascii="宋体" w:hAnsi="宋体" w:cs="宋体"/>
          <w:color w:val="auto"/>
          <w:sz w:val="24"/>
          <w:szCs w:val="24"/>
          <w:highlight w:val="none"/>
        </w:rPr>
        <w:t xml:space="preserve">2 </w:t>
      </w:r>
      <w:r>
        <w:rPr>
          <w:rStyle w:val="81"/>
          <w:rFonts w:hint="eastAsia" w:ascii="宋体" w:hAnsi="宋体" w:cs="宋体"/>
          <w:color w:val="auto"/>
          <w:sz w:val="24"/>
          <w:szCs w:val="24"/>
          <w:highlight w:val="none"/>
        </w:rPr>
        <w:t>普通钢筋混凝土箱梁、盖梁：C40。</w:t>
      </w:r>
    </w:p>
    <w:p w14:paraId="0852C8E4">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1.3.3</w:t>
      </w:r>
      <w:r>
        <w:rPr>
          <w:rStyle w:val="81"/>
          <w:rFonts w:hint="eastAsia" w:ascii="宋体" w:hAnsi="宋体" w:cs="宋体"/>
          <w:color w:val="auto"/>
          <w:sz w:val="24"/>
          <w:szCs w:val="24"/>
          <w:highlight w:val="none"/>
        </w:rPr>
        <w:t>.</w:t>
      </w:r>
      <w:r>
        <w:rPr>
          <w:rStyle w:val="81"/>
          <w:rFonts w:ascii="宋体" w:hAnsi="宋体" w:cs="宋体"/>
          <w:color w:val="auto"/>
          <w:sz w:val="24"/>
          <w:szCs w:val="24"/>
          <w:highlight w:val="none"/>
        </w:rPr>
        <w:t xml:space="preserve">3 </w:t>
      </w:r>
      <w:r>
        <w:rPr>
          <w:rStyle w:val="81"/>
          <w:rFonts w:hint="eastAsia" w:ascii="宋体" w:hAnsi="宋体" w:cs="宋体"/>
          <w:color w:val="auto"/>
          <w:sz w:val="24"/>
          <w:szCs w:val="24"/>
          <w:highlight w:val="none"/>
        </w:rPr>
        <w:t>支座垫石：C50细石混凝土。</w:t>
      </w:r>
    </w:p>
    <w:p w14:paraId="6AF19151">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1.3.3</w:t>
      </w:r>
      <w:r>
        <w:rPr>
          <w:rStyle w:val="81"/>
          <w:rFonts w:hint="eastAsia" w:ascii="宋体" w:hAnsi="宋体" w:cs="宋体"/>
          <w:color w:val="auto"/>
          <w:sz w:val="24"/>
          <w:szCs w:val="24"/>
          <w:highlight w:val="none"/>
        </w:rPr>
        <w:t>.</w:t>
      </w:r>
      <w:r>
        <w:rPr>
          <w:rStyle w:val="81"/>
          <w:rFonts w:ascii="宋体" w:hAnsi="宋体" w:cs="宋体"/>
          <w:color w:val="auto"/>
          <w:sz w:val="24"/>
          <w:szCs w:val="24"/>
          <w:highlight w:val="none"/>
        </w:rPr>
        <w:t xml:space="preserve">4 </w:t>
      </w:r>
      <w:r>
        <w:rPr>
          <w:rStyle w:val="81"/>
          <w:rFonts w:hint="eastAsia" w:ascii="宋体" w:hAnsi="宋体" w:cs="宋体"/>
          <w:color w:val="auto"/>
          <w:sz w:val="24"/>
          <w:szCs w:val="24"/>
          <w:highlight w:val="none"/>
        </w:rPr>
        <w:t>桥墩、墩顶系梁、桥台台帽、台侧墙顶、防震挡块、台身等构件：C40。</w:t>
      </w:r>
    </w:p>
    <w:p w14:paraId="5060BCFF">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1.3.3</w:t>
      </w:r>
      <w:r>
        <w:rPr>
          <w:rStyle w:val="81"/>
          <w:rFonts w:hint="eastAsia" w:ascii="宋体" w:hAnsi="宋体" w:cs="宋体"/>
          <w:color w:val="auto"/>
          <w:sz w:val="24"/>
          <w:szCs w:val="24"/>
          <w:highlight w:val="none"/>
        </w:rPr>
        <w:t>.</w:t>
      </w:r>
      <w:r>
        <w:rPr>
          <w:rStyle w:val="81"/>
          <w:rFonts w:ascii="宋体" w:hAnsi="宋体" w:cs="宋体"/>
          <w:color w:val="auto"/>
          <w:sz w:val="24"/>
          <w:szCs w:val="24"/>
          <w:highlight w:val="none"/>
        </w:rPr>
        <w:t xml:space="preserve">5 </w:t>
      </w:r>
      <w:r>
        <w:rPr>
          <w:rStyle w:val="81"/>
          <w:rFonts w:hint="eastAsia" w:ascii="宋体" w:hAnsi="宋体" w:cs="宋体"/>
          <w:color w:val="auto"/>
          <w:sz w:val="24"/>
          <w:szCs w:val="24"/>
          <w:highlight w:val="none"/>
        </w:rPr>
        <w:t>承台：C35。</w:t>
      </w:r>
    </w:p>
    <w:p w14:paraId="2A3F641F">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1.3.3</w:t>
      </w:r>
      <w:r>
        <w:rPr>
          <w:rStyle w:val="81"/>
          <w:rFonts w:hint="eastAsia" w:ascii="宋体" w:hAnsi="宋体" w:cs="宋体"/>
          <w:color w:val="auto"/>
          <w:sz w:val="24"/>
          <w:szCs w:val="24"/>
          <w:highlight w:val="none"/>
        </w:rPr>
        <w:t>.</w:t>
      </w:r>
      <w:r>
        <w:rPr>
          <w:rStyle w:val="81"/>
          <w:rFonts w:ascii="宋体" w:hAnsi="宋体" w:cs="宋体"/>
          <w:color w:val="auto"/>
          <w:sz w:val="24"/>
          <w:szCs w:val="24"/>
          <w:highlight w:val="none"/>
        </w:rPr>
        <w:t xml:space="preserve">6 </w:t>
      </w:r>
      <w:r>
        <w:rPr>
          <w:rStyle w:val="81"/>
          <w:rFonts w:hint="eastAsia" w:ascii="宋体" w:hAnsi="宋体" w:cs="宋体"/>
          <w:color w:val="auto"/>
          <w:sz w:val="24"/>
          <w:szCs w:val="24"/>
          <w:highlight w:val="none"/>
        </w:rPr>
        <w:t>桩基础：C35水下砼。</w:t>
      </w:r>
    </w:p>
    <w:p w14:paraId="5CF0B8CD">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1.3.3</w:t>
      </w:r>
      <w:r>
        <w:rPr>
          <w:rStyle w:val="81"/>
          <w:rFonts w:hint="eastAsia" w:ascii="宋体" w:hAnsi="宋体" w:cs="宋体"/>
          <w:color w:val="auto"/>
          <w:sz w:val="24"/>
          <w:szCs w:val="24"/>
          <w:highlight w:val="none"/>
        </w:rPr>
        <w:t>.</w:t>
      </w:r>
      <w:r>
        <w:rPr>
          <w:rStyle w:val="81"/>
          <w:rFonts w:ascii="宋体" w:hAnsi="宋体" w:cs="宋体"/>
          <w:color w:val="auto"/>
          <w:sz w:val="24"/>
          <w:szCs w:val="24"/>
          <w:highlight w:val="none"/>
        </w:rPr>
        <w:t xml:space="preserve">7 </w:t>
      </w:r>
      <w:r>
        <w:rPr>
          <w:rStyle w:val="81"/>
          <w:rFonts w:hint="eastAsia" w:ascii="宋体" w:hAnsi="宋体" w:cs="宋体"/>
          <w:color w:val="auto"/>
          <w:sz w:val="24"/>
          <w:szCs w:val="24"/>
          <w:highlight w:val="none"/>
        </w:rPr>
        <w:t>防撞墙：C40。</w:t>
      </w:r>
    </w:p>
    <w:p w14:paraId="19EE6B83">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1.3.3</w:t>
      </w:r>
      <w:r>
        <w:rPr>
          <w:rStyle w:val="81"/>
          <w:rFonts w:hint="eastAsia" w:ascii="宋体" w:hAnsi="宋体" w:cs="宋体"/>
          <w:color w:val="auto"/>
          <w:sz w:val="24"/>
          <w:szCs w:val="24"/>
          <w:highlight w:val="none"/>
        </w:rPr>
        <w:t>.</w:t>
      </w:r>
      <w:r>
        <w:rPr>
          <w:rStyle w:val="81"/>
          <w:rFonts w:ascii="宋体" w:hAnsi="宋体" w:cs="宋体"/>
          <w:color w:val="auto"/>
          <w:sz w:val="24"/>
          <w:szCs w:val="24"/>
          <w:highlight w:val="none"/>
        </w:rPr>
        <w:t xml:space="preserve">8 </w:t>
      </w:r>
      <w:r>
        <w:rPr>
          <w:rStyle w:val="81"/>
          <w:rFonts w:hint="eastAsia" w:ascii="宋体" w:hAnsi="宋体" w:cs="宋体"/>
          <w:color w:val="auto"/>
          <w:sz w:val="24"/>
          <w:szCs w:val="24"/>
          <w:highlight w:val="none"/>
        </w:rPr>
        <w:t>搭板、人行道：C30。</w:t>
      </w:r>
    </w:p>
    <w:p w14:paraId="6A9F4EAA">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1.3.3</w:t>
      </w:r>
      <w:r>
        <w:rPr>
          <w:rStyle w:val="81"/>
          <w:rFonts w:hint="eastAsia" w:ascii="宋体" w:hAnsi="宋体" w:cs="宋体"/>
          <w:color w:val="auto"/>
          <w:sz w:val="24"/>
          <w:szCs w:val="24"/>
          <w:highlight w:val="none"/>
        </w:rPr>
        <w:t>.</w:t>
      </w:r>
      <w:r>
        <w:rPr>
          <w:rStyle w:val="81"/>
          <w:rFonts w:ascii="宋体" w:hAnsi="宋体" w:cs="宋体"/>
          <w:color w:val="auto"/>
          <w:sz w:val="24"/>
          <w:szCs w:val="24"/>
          <w:highlight w:val="none"/>
        </w:rPr>
        <w:t xml:space="preserve">9 </w:t>
      </w:r>
      <w:r>
        <w:rPr>
          <w:rStyle w:val="81"/>
          <w:rFonts w:hint="eastAsia" w:ascii="宋体" w:hAnsi="宋体" w:cs="宋体"/>
          <w:color w:val="auto"/>
          <w:sz w:val="24"/>
          <w:szCs w:val="24"/>
          <w:highlight w:val="none"/>
        </w:rPr>
        <w:t>伸缩缝槽口：C50钢纤维混凝土。</w:t>
      </w:r>
    </w:p>
    <w:p w14:paraId="7C99B3EF">
      <w:pPr>
        <w:pStyle w:val="24"/>
        <w:ind w:firstLine="0" w:firstLineChars="0"/>
        <w:rPr>
          <w:rFonts w:hint="eastAsia" w:hAnsi="宋体" w:cs="宋体"/>
          <w:szCs w:val="24"/>
          <w:highlight w:val="none"/>
        </w:rPr>
      </w:pPr>
      <w:bookmarkStart w:id="506" w:name="_Toc96633189"/>
      <w:r>
        <w:rPr>
          <w:rFonts w:hint="eastAsia" w:hAnsi="宋体" w:cs="宋体"/>
          <w:szCs w:val="24"/>
          <w:highlight w:val="none"/>
        </w:rPr>
        <w:t>1</w:t>
      </w:r>
      <w:r>
        <w:rPr>
          <w:rFonts w:hAnsi="宋体" w:cs="宋体"/>
          <w:szCs w:val="24"/>
          <w:highlight w:val="none"/>
        </w:rPr>
        <w:t xml:space="preserve">1.3.4 </w:t>
      </w:r>
      <w:r>
        <w:rPr>
          <w:rFonts w:hint="eastAsia" w:hAnsi="宋体" w:cs="宋体"/>
          <w:szCs w:val="24"/>
          <w:highlight w:val="none"/>
        </w:rPr>
        <w:t>桥面排水</w:t>
      </w:r>
      <w:bookmarkEnd w:id="506"/>
    </w:p>
    <w:p w14:paraId="2F98D269">
      <w:pPr>
        <w:pStyle w:val="98"/>
        <w:ind w:firstLineChars="0"/>
        <w:jc w:val="both"/>
        <w:rPr>
          <w:rStyle w:val="81"/>
          <w:rFonts w:hint="eastAsia" w:ascii="宋体" w:hAnsi="宋体" w:cs="宋体"/>
          <w:color w:val="auto"/>
          <w:sz w:val="24"/>
          <w:szCs w:val="24"/>
          <w:highlight w:val="none"/>
        </w:rPr>
      </w:pPr>
      <w:r>
        <w:rPr>
          <w:rStyle w:val="81"/>
          <w:rFonts w:ascii="宋体" w:hAnsi="宋体" w:cs="宋体"/>
          <w:color w:val="auto"/>
          <w:sz w:val="24"/>
          <w:szCs w:val="24"/>
          <w:highlight w:val="none"/>
        </w:rPr>
        <w:t xml:space="preserve">11.3.4.1 </w:t>
      </w:r>
      <w:r>
        <w:rPr>
          <w:rStyle w:val="81"/>
          <w:rFonts w:hint="eastAsia" w:ascii="宋体" w:hAnsi="宋体" w:cs="宋体"/>
          <w:color w:val="auto"/>
          <w:sz w:val="24"/>
          <w:szCs w:val="24"/>
          <w:highlight w:val="none"/>
        </w:rPr>
        <w:t>桥面雨水通过桥面横纵坡收入桥墩处桥面雨水篦子，再由横、竖向排水管引入桥下，并就近接入地面雨水系统。</w:t>
      </w:r>
    </w:p>
    <w:p w14:paraId="14CCBFEB">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1.3.4.2 </w:t>
      </w:r>
      <w:r>
        <w:rPr>
          <w:rStyle w:val="81"/>
          <w:rFonts w:hint="eastAsia" w:ascii="宋体" w:hAnsi="宋体" w:cs="宋体"/>
          <w:color w:val="auto"/>
          <w:sz w:val="24"/>
          <w:szCs w:val="24"/>
          <w:highlight w:val="none"/>
        </w:rPr>
        <w:t>桥梁长度较长梁应适当增加泄水孔。凹曲线路段及超高渐变段路段泄水孔适当加密。</w:t>
      </w:r>
    </w:p>
    <w:p w14:paraId="0DEB4F93">
      <w:pPr>
        <w:pStyle w:val="24"/>
        <w:ind w:firstLine="0" w:firstLineChars="0"/>
        <w:rPr>
          <w:rFonts w:hint="eastAsia" w:hAnsi="宋体" w:cs="宋体"/>
          <w:szCs w:val="24"/>
          <w:highlight w:val="none"/>
        </w:rPr>
      </w:pPr>
      <w:bookmarkStart w:id="507" w:name="_Toc96633190"/>
      <w:r>
        <w:rPr>
          <w:rFonts w:hint="eastAsia" w:hAnsi="宋体" w:cs="宋体"/>
          <w:szCs w:val="24"/>
          <w:highlight w:val="none"/>
        </w:rPr>
        <w:t>1</w:t>
      </w:r>
      <w:r>
        <w:rPr>
          <w:rFonts w:hAnsi="宋体" w:cs="宋体"/>
          <w:szCs w:val="24"/>
          <w:highlight w:val="none"/>
        </w:rPr>
        <w:t xml:space="preserve">1.3.5 </w:t>
      </w:r>
      <w:r>
        <w:rPr>
          <w:rFonts w:hint="eastAsia" w:hAnsi="宋体" w:cs="宋体"/>
          <w:szCs w:val="24"/>
          <w:highlight w:val="none"/>
        </w:rPr>
        <w:t>桥梁支座</w:t>
      </w:r>
      <w:bookmarkEnd w:id="507"/>
    </w:p>
    <w:p w14:paraId="17586C88">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1.3.5.1 </w:t>
      </w:r>
      <w:r>
        <w:rPr>
          <w:rStyle w:val="81"/>
          <w:rFonts w:hint="eastAsia" w:ascii="宋体" w:hAnsi="宋体" w:cs="宋体"/>
          <w:color w:val="auto"/>
          <w:sz w:val="24"/>
          <w:szCs w:val="24"/>
          <w:highlight w:val="none"/>
        </w:rPr>
        <w:t>河涌桥预制梁采用圆板式橡胶支座。</w:t>
      </w:r>
    </w:p>
    <w:p w14:paraId="364864BD">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1.3.5.2 </w:t>
      </w:r>
      <w:r>
        <w:rPr>
          <w:rStyle w:val="81"/>
          <w:rFonts w:hint="eastAsia" w:ascii="宋体" w:hAnsi="宋体" w:cs="宋体"/>
          <w:color w:val="auto"/>
          <w:sz w:val="24"/>
          <w:szCs w:val="24"/>
          <w:highlight w:val="none"/>
        </w:rPr>
        <w:t>为保证支座受力，要求预制梁梁底进行调平设计。</w:t>
      </w:r>
    </w:p>
    <w:p w14:paraId="124D7D81">
      <w:pPr>
        <w:pStyle w:val="24"/>
        <w:ind w:firstLine="0" w:firstLineChars="0"/>
        <w:rPr>
          <w:rFonts w:hint="eastAsia" w:hAnsi="宋体" w:cs="宋体"/>
          <w:szCs w:val="24"/>
          <w:highlight w:val="none"/>
        </w:rPr>
      </w:pPr>
      <w:bookmarkStart w:id="508" w:name="_Toc96633191"/>
      <w:r>
        <w:rPr>
          <w:rFonts w:hint="eastAsia" w:hAnsi="宋体" w:cs="宋体"/>
          <w:szCs w:val="24"/>
          <w:highlight w:val="none"/>
        </w:rPr>
        <w:t>1</w:t>
      </w:r>
      <w:r>
        <w:rPr>
          <w:rFonts w:hAnsi="宋体" w:cs="宋体"/>
          <w:szCs w:val="24"/>
          <w:highlight w:val="none"/>
        </w:rPr>
        <w:t xml:space="preserve">1.3.6 </w:t>
      </w:r>
      <w:r>
        <w:rPr>
          <w:rFonts w:hint="eastAsia" w:hAnsi="宋体" w:cs="宋体"/>
          <w:szCs w:val="24"/>
          <w:highlight w:val="none"/>
        </w:rPr>
        <w:t>桥梁伸缩缝</w:t>
      </w:r>
      <w:bookmarkEnd w:id="508"/>
    </w:p>
    <w:p w14:paraId="41D48558">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河涌桥采用成品伸缩缝装置，规格根据桥长伸缩量选取。</w:t>
      </w:r>
    </w:p>
    <w:p w14:paraId="110C65C0">
      <w:pPr>
        <w:pStyle w:val="24"/>
        <w:ind w:firstLine="0" w:firstLineChars="0"/>
        <w:rPr>
          <w:rFonts w:hint="eastAsia" w:hAnsi="宋体" w:cs="宋体"/>
          <w:szCs w:val="24"/>
          <w:highlight w:val="none"/>
        </w:rPr>
      </w:pPr>
      <w:bookmarkStart w:id="509" w:name="_Toc96633192"/>
      <w:r>
        <w:rPr>
          <w:rFonts w:hint="eastAsia" w:hAnsi="宋体" w:cs="宋体"/>
          <w:szCs w:val="24"/>
          <w:highlight w:val="none"/>
        </w:rPr>
        <w:t>1</w:t>
      </w:r>
      <w:r>
        <w:rPr>
          <w:rFonts w:hAnsi="宋体" w:cs="宋体"/>
          <w:szCs w:val="24"/>
          <w:highlight w:val="none"/>
        </w:rPr>
        <w:t xml:space="preserve">1.3.7 </w:t>
      </w:r>
      <w:r>
        <w:rPr>
          <w:rFonts w:hint="eastAsia" w:hAnsi="宋体" w:cs="宋体"/>
          <w:szCs w:val="24"/>
          <w:highlight w:val="none"/>
        </w:rPr>
        <w:t>桥梁人行道栏杆</w:t>
      </w:r>
      <w:bookmarkEnd w:id="509"/>
    </w:p>
    <w:p w14:paraId="23A835FE">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桥梁人行道护栏同人行道护栏，按《广州市城市家具建设指引》进行设计，建议统一采用黑色铸铁材质，桥梁人行道或安全带临空侧的栏杆高度为1.1m，非机动车道临空侧栏杆高度为1.4m。栏杆竖直构件间的最大净间距为110mm。</w:t>
      </w:r>
    </w:p>
    <w:p w14:paraId="072C1071">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510" w:name="_Toc96633197"/>
      <w:bookmarkStart w:id="511" w:name="_Toc19344"/>
      <w:bookmarkStart w:id="512" w:name="_Toc32194"/>
      <w:bookmarkStart w:id="513" w:name="_Toc13017"/>
      <w:bookmarkStart w:id="514" w:name="_Toc104581778"/>
      <w:r>
        <w:rPr>
          <w:rFonts w:hint="eastAsia" w:ascii="宋体" w:hAnsi="宋体" w:eastAsia="宋体" w:cs="宋体"/>
          <w:color w:val="auto"/>
          <w:sz w:val="24"/>
          <w:szCs w:val="24"/>
          <w:highlight w:val="none"/>
        </w:rPr>
        <w:t>11.4 排水工程</w:t>
      </w:r>
      <w:bookmarkEnd w:id="510"/>
      <w:bookmarkEnd w:id="511"/>
      <w:bookmarkEnd w:id="512"/>
      <w:bookmarkEnd w:id="513"/>
      <w:bookmarkEnd w:id="514"/>
    </w:p>
    <w:p w14:paraId="407F773F">
      <w:pPr>
        <w:pStyle w:val="24"/>
        <w:ind w:firstLine="0" w:firstLineChars="0"/>
        <w:rPr>
          <w:rFonts w:hint="eastAsia" w:hAnsi="宋体" w:cs="宋体"/>
          <w:szCs w:val="24"/>
          <w:highlight w:val="none"/>
        </w:rPr>
      </w:pPr>
      <w:bookmarkStart w:id="515" w:name="_Toc96633198"/>
      <w:r>
        <w:rPr>
          <w:rFonts w:hint="eastAsia" w:hAnsi="宋体" w:cs="宋体"/>
          <w:szCs w:val="24"/>
          <w:highlight w:val="none"/>
        </w:rPr>
        <w:t>11</w:t>
      </w:r>
      <w:r>
        <w:rPr>
          <w:rFonts w:hAnsi="宋体" w:cs="宋体"/>
          <w:szCs w:val="24"/>
          <w:highlight w:val="none"/>
        </w:rPr>
        <w:t xml:space="preserve">.4.1 </w:t>
      </w:r>
      <w:r>
        <w:rPr>
          <w:rFonts w:hint="eastAsia" w:hAnsi="宋体" w:cs="宋体"/>
          <w:szCs w:val="24"/>
          <w:highlight w:val="none"/>
        </w:rPr>
        <w:t>排水管材</w:t>
      </w:r>
      <w:bookmarkEnd w:id="515"/>
    </w:p>
    <w:p w14:paraId="750E8E90">
      <w:pPr>
        <w:pStyle w:val="98"/>
        <w:numPr>
          <w:ilvl w:val="0"/>
          <w:numId w:val="21"/>
        </w:numPr>
        <w:ind w:left="0"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雨水管管材</w:t>
      </w:r>
    </w:p>
    <w:p w14:paraId="4A8032FB">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明挖段采用国标II级机制钢筋混凝土管（带芯片），橡胶圈承插连接；管径d≤1200时采用承插式接头，d≥1350时采用企口式接头。</w:t>
      </w:r>
    </w:p>
    <w:p w14:paraId="3330AD03">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机械顶管采用国标III级钢筋混凝土F管，钢承口F型式接口，密封胶圈采用滑动橡胶圈。压力管和过河管道采用Q235-B级焊接钢管。</w:t>
      </w:r>
    </w:p>
    <w:p w14:paraId="6D6A2028">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雨水口连接管采用d300国标Ⅱ级钢筋混凝土管，坡度1%，橡胶圈承插接口。</w:t>
      </w:r>
    </w:p>
    <w:p w14:paraId="1B609718">
      <w:pPr>
        <w:pStyle w:val="98"/>
        <w:numPr>
          <w:ilvl w:val="0"/>
          <w:numId w:val="21"/>
        </w:numPr>
        <w:ind w:left="0"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污水管管材</w:t>
      </w:r>
    </w:p>
    <w:p w14:paraId="6391313C">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污水管道采用球墨铸铁管，管道覆土＞6m时，管材采用C40等级，其余采用C30等级。压力管和过河管道采用Q235-B级直缝卷焊钢管，PN10。</w:t>
      </w:r>
    </w:p>
    <w:p w14:paraId="541AA981">
      <w:pPr>
        <w:pStyle w:val="24"/>
        <w:ind w:firstLine="0" w:firstLineChars="0"/>
        <w:rPr>
          <w:rFonts w:hint="eastAsia" w:hAnsi="宋体" w:cs="宋体"/>
          <w:szCs w:val="24"/>
          <w:highlight w:val="none"/>
        </w:rPr>
      </w:pPr>
      <w:bookmarkStart w:id="516" w:name="_Toc96633199"/>
      <w:r>
        <w:rPr>
          <w:rFonts w:hint="eastAsia" w:hAnsi="宋体" w:cs="宋体"/>
          <w:szCs w:val="24"/>
          <w:highlight w:val="none"/>
        </w:rPr>
        <w:t>11</w:t>
      </w:r>
      <w:r>
        <w:rPr>
          <w:rFonts w:hAnsi="宋体" w:cs="宋体"/>
          <w:szCs w:val="24"/>
          <w:highlight w:val="none"/>
        </w:rPr>
        <w:t xml:space="preserve">.4.2 </w:t>
      </w:r>
      <w:r>
        <w:rPr>
          <w:rFonts w:hint="eastAsia" w:hAnsi="宋体" w:cs="宋体"/>
          <w:szCs w:val="24"/>
          <w:highlight w:val="none"/>
        </w:rPr>
        <w:t>排水附属设施</w:t>
      </w:r>
      <w:bookmarkEnd w:id="516"/>
    </w:p>
    <w:p w14:paraId="1DE5AA7C">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11</w:t>
      </w:r>
      <w:r>
        <w:rPr>
          <w:rStyle w:val="81"/>
          <w:rFonts w:ascii="宋体" w:hAnsi="宋体" w:cs="宋体"/>
          <w:color w:val="auto"/>
          <w:sz w:val="24"/>
          <w:szCs w:val="24"/>
          <w:highlight w:val="none"/>
        </w:rPr>
        <w:t xml:space="preserve">.4.2.1 </w:t>
      </w:r>
      <w:r>
        <w:rPr>
          <w:rStyle w:val="81"/>
          <w:rFonts w:hint="eastAsia" w:ascii="宋体" w:hAnsi="宋体" w:cs="宋体"/>
          <w:color w:val="auto"/>
          <w:sz w:val="24"/>
          <w:szCs w:val="24"/>
          <w:highlight w:val="none"/>
        </w:rPr>
        <w:t>管道基础</w:t>
      </w:r>
    </w:p>
    <w:p w14:paraId="0ECA0AC0">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钢筋混凝土雨水管道基础：采用带状钢筋混凝土基础。</w:t>
      </w:r>
    </w:p>
    <w:p w14:paraId="780B27F6">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II级钢筋混凝土管，当覆土≤5m时，采用120度混凝土基础；覆土大于5m小于等于7.5m时，采用180度混凝土基础。</w:t>
      </w:r>
    </w:p>
    <w:p w14:paraId="5F08FBC1">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III级钢筋混凝土管，当覆土≤6.5m时，采用120度混凝土基础；覆土大于6.5m小于等于9.0m时，采用180度混凝土基础。</w:t>
      </w:r>
    </w:p>
    <w:p w14:paraId="76AF10D3">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球墨铸铁污水管道基础：采用带状中粗砂垫层基础，厚度200mm，管槽回填石屑至管顶以上500mm。</w:t>
      </w:r>
    </w:p>
    <w:p w14:paraId="35255634">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11</w:t>
      </w:r>
      <w:r>
        <w:rPr>
          <w:rStyle w:val="81"/>
          <w:rFonts w:ascii="宋体" w:hAnsi="宋体" w:cs="宋体"/>
          <w:color w:val="auto"/>
          <w:sz w:val="24"/>
          <w:szCs w:val="24"/>
          <w:highlight w:val="none"/>
        </w:rPr>
        <w:t xml:space="preserve">.4.2.2 </w:t>
      </w:r>
      <w:r>
        <w:rPr>
          <w:rStyle w:val="81"/>
          <w:rFonts w:hint="eastAsia" w:ascii="宋体" w:hAnsi="宋体" w:cs="宋体"/>
          <w:color w:val="auto"/>
          <w:sz w:val="24"/>
          <w:szCs w:val="24"/>
          <w:highlight w:val="none"/>
        </w:rPr>
        <w:t>检查井</w:t>
      </w:r>
    </w:p>
    <w:p w14:paraId="7468E3ED">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 </w:t>
      </w:r>
      <w:r>
        <w:rPr>
          <w:rStyle w:val="81"/>
          <w:rFonts w:hint="eastAsia" w:ascii="宋体" w:hAnsi="宋体" w:cs="宋体"/>
          <w:color w:val="auto"/>
          <w:sz w:val="24"/>
          <w:szCs w:val="24"/>
          <w:highlight w:val="none"/>
        </w:rPr>
        <w:t>管径≤1200时，检查井采用：预制式检查井，做法按《预制装配式钢筋混凝土排水检查井标准图集（试行）》（广州市水务局）。</w:t>
      </w:r>
    </w:p>
    <w:p w14:paraId="76FCEF89">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2</w:t>
      </w:r>
      <w:r>
        <w:rPr>
          <w:rStyle w:val="81"/>
          <w:rFonts w:ascii="宋体" w:hAnsi="宋体" w:cs="宋体"/>
          <w:color w:val="auto"/>
          <w:sz w:val="24"/>
          <w:szCs w:val="24"/>
          <w:highlight w:val="none"/>
        </w:rPr>
        <w:t xml:space="preserve">. </w:t>
      </w:r>
      <w:r>
        <w:rPr>
          <w:rStyle w:val="81"/>
          <w:rFonts w:hint="eastAsia" w:ascii="宋体" w:hAnsi="宋体" w:cs="宋体"/>
          <w:color w:val="auto"/>
          <w:sz w:val="24"/>
          <w:szCs w:val="24"/>
          <w:highlight w:val="none"/>
        </w:rPr>
        <w:t>管径＞d1200时，检查井采用：现浇矩形混凝土检查井，参照《06MS201-3》。</w:t>
      </w:r>
    </w:p>
    <w:p w14:paraId="607E3F19">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3.</w:t>
      </w:r>
      <w:r>
        <w:rPr>
          <w:rStyle w:val="81"/>
          <w:rFonts w:ascii="宋体" w:hAnsi="宋体" w:cs="宋体"/>
          <w:color w:val="auto"/>
          <w:sz w:val="24"/>
          <w:szCs w:val="24"/>
          <w:highlight w:val="none"/>
        </w:rPr>
        <w:t xml:space="preserve"> </w:t>
      </w:r>
      <w:r>
        <w:rPr>
          <w:rStyle w:val="81"/>
          <w:rFonts w:hint="eastAsia" w:ascii="宋体" w:hAnsi="宋体" w:cs="宋体"/>
          <w:color w:val="auto"/>
          <w:sz w:val="24"/>
          <w:szCs w:val="24"/>
          <w:highlight w:val="none"/>
        </w:rPr>
        <w:t>市政道路排水管道每隔90~120m设置沉砂井，预留接户井均设为沉砂井，排出口前一检查井设为沉砂。沉砂井井底比相应的管底标高低500mm。</w:t>
      </w:r>
    </w:p>
    <w:p w14:paraId="66478450">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4</w:t>
      </w:r>
      <w:r>
        <w:rPr>
          <w:rStyle w:val="81"/>
          <w:rFonts w:ascii="宋体" w:hAnsi="宋体" w:cs="宋体"/>
          <w:color w:val="auto"/>
          <w:sz w:val="24"/>
          <w:szCs w:val="24"/>
          <w:highlight w:val="none"/>
        </w:rPr>
        <w:t xml:space="preserve">. </w:t>
      </w:r>
      <w:r>
        <w:rPr>
          <w:rStyle w:val="81"/>
          <w:rFonts w:hint="eastAsia" w:ascii="宋体" w:hAnsi="宋体" w:cs="宋体"/>
          <w:color w:val="auto"/>
          <w:sz w:val="24"/>
          <w:szCs w:val="24"/>
          <w:highlight w:val="none"/>
        </w:rPr>
        <w:t>检查井应根据06MS201-3第8页进行流槽设计。</w:t>
      </w:r>
    </w:p>
    <w:p w14:paraId="60ABCFEC">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5</w:t>
      </w:r>
      <w:r>
        <w:rPr>
          <w:rStyle w:val="81"/>
          <w:rFonts w:ascii="宋体" w:hAnsi="宋体" w:cs="宋体"/>
          <w:color w:val="auto"/>
          <w:sz w:val="24"/>
          <w:szCs w:val="24"/>
          <w:highlight w:val="none"/>
        </w:rPr>
        <w:t xml:space="preserve">. </w:t>
      </w:r>
      <w:r>
        <w:rPr>
          <w:rStyle w:val="81"/>
          <w:rFonts w:hint="eastAsia" w:ascii="宋体" w:hAnsi="宋体" w:cs="宋体"/>
          <w:color w:val="auto"/>
          <w:sz w:val="24"/>
          <w:szCs w:val="24"/>
          <w:highlight w:val="none"/>
        </w:rPr>
        <w:t>在井壁设置不锈钢标识铭牌，铭牌尺寸不小于15cmx10cm，其内容包括井盖设施权属部门名称、24小时报修电话、检查井编号。</w:t>
      </w:r>
    </w:p>
    <w:p w14:paraId="3A5468ED">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11</w:t>
      </w:r>
      <w:r>
        <w:rPr>
          <w:rStyle w:val="81"/>
          <w:rFonts w:ascii="宋体" w:hAnsi="宋体" w:cs="宋体"/>
          <w:color w:val="auto"/>
          <w:sz w:val="24"/>
          <w:szCs w:val="24"/>
          <w:highlight w:val="none"/>
        </w:rPr>
        <w:t xml:space="preserve">.4.2.3 </w:t>
      </w:r>
      <w:r>
        <w:rPr>
          <w:rStyle w:val="81"/>
          <w:rFonts w:hint="eastAsia" w:ascii="宋体" w:hAnsi="宋体" w:cs="宋体"/>
          <w:color w:val="auto"/>
          <w:sz w:val="24"/>
          <w:szCs w:val="24"/>
          <w:highlight w:val="none"/>
        </w:rPr>
        <w:t>井盖</w:t>
      </w:r>
    </w:p>
    <w:p w14:paraId="534A1DEB">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车道的井盖承载力按D400级；绿化带、人行道的井盖承载力不低于C250级，并设置不锈钢装饰型井盖；井盖上应分别加“雨水”、“污水”二字，采用球墨铸铁防盗减震重型井盖。</w:t>
      </w:r>
    </w:p>
    <w:p w14:paraId="5D6AA7B2">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11</w:t>
      </w:r>
      <w:r>
        <w:rPr>
          <w:rStyle w:val="81"/>
          <w:rFonts w:ascii="宋体" w:hAnsi="宋体" w:cs="宋体"/>
          <w:color w:val="auto"/>
          <w:sz w:val="24"/>
          <w:szCs w:val="24"/>
          <w:highlight w:val="none"/>
        </w:rPr>
        <w:t xml:space="preserve">.4.2.4 </w:t>
      </w:r>
      <w:r>
        <w:rPr>
          <w:rStyle w:val="81"/>
          <w:rFonts w:hint="eastAsia" w:ascii="宋体" w:hAnsi="宋体" w:cs="宋体"/>
          <w:color w:val="auto"/>
          <w:sz w:val="24"/>
          <w:szCs w:val="24"/>
          <w:highlight w:val="none"/>
        </w:rPr>
        <w:t>雨水口</w:t>
      </w:r>
    </w:p>
    <w:p w14:paraId="5FB04402">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采用预制装配式钢筋混凝土雨水口，带不锈钢截污挂篮，做法参照《预制装配式钢筋混凝土雨水口标准图集》（广州市水务局），均采用双篦平入式。</w:t>
      </w:r>
    </w:p>
    <w:p w14:paraId="082DF398">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材质采用球墨铸铁，并经过喷涂防锈环氧树脂或沥青漆等防锈处理，承载力C250级；侧入式雨水收集口篦子与道路侧石一体式预制。</w:t>
      </w:r>
    </w:p>
    <w:p w14:paraId="65E6D327">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11</w:t>
      </w:r>
      <w:r>
        <w:rPr>
          <w:rStyle w:val="81"/>
          <w:rFonts w:ascii="宋体" w:hAnsi="宋体" w:cs="宋体"/>
          <w:color w:val="auto"/>
          <w:sz w:val="24"/>
          <w:szCs w:val="24"/>
          <w:highlight w:val="none"/>
        </w:rPr>
        <w:t xml:space="preserve">.4.2.5 </w:t>
      </w:r>
      <w:r>
        <w:rPr>
          <w:rStyle w:val="81"/>
          <w:rFonts w:hint="eastAsia" w:ascii="宋体" w:hAnsi="宋体" w:cs="宋体"/>
          <w:color w:val="auto"/>
          <w:sz w:val="24"/>
          <w:szCs w:val="24"/>
          <w:highlight w:val="none"/>
        </w:rPr>
        <w:t>防坠网</w:t>
      </w:r>
    </w:p>
    <w:p w14:paraId="633F5D33">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所有排水检查井均加装防坠网，防坠网材质采用球墨铸铁。</w:t>
      </w:r>
    </w:p>
    <w:p w14:paraId="10E76C29">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11</w:t>
      </w:r>
      <w:r>
        <w:rPr>
          <w:rStyle w:val="81"/>
          <w:rFonts w:ascii="宋体" w:hAnsi="宋体" w:cs="宋体"/>
          <w:color w:val="auto"/>
          <w:sz w:val="24"/>
          <w:szCs w:val="24"/>
          <w:highlight w:val="none"/>
        </w:rPr>
        <w:t xml:space="preserve">.4.2.6 </w:t>
      </w:r>
      <w:r>
        <w:rPr>
          <w:rStyle w:val="81"/>
          <w:rFonts w:hint="eastAsia" w:ascii="宋体" w:hAnsi="宋体" w:cs="宋体"/>
          <w:color w:val="auto"/>
          <w:sz w:val="24"/>
          <w:szCs w:val="24"/>
          <w:highlight w:val="none"/>
        </w:rPr>
        <w:t>接户井</w:t>
      </w:r>
    </w:p>
    <w:p w14:paraId="192D1353">
      <w:pPr>
        <w:pStyle w:val="98"/>
        <w:ind w:firstLine="48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每间隔120~150米设置排水接户井，雨水接户管管径d600，污水接户管管径DN400。</w:t>
      </w:r>
    </w:p>
    <w:p w14:paraId="714B13FE">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517" w:name="_Toc2268"/>
      <w:bookmarkStart w:id="518" w:name="_Toc96633200"/>
      <w:bookmarkStart w:id="519" w:name="_Toc104581779"/>
      <w:bookmarkStart w:id="520" w:name="_Toc31129"/>
      <w:bookmarkStart w:id="521" w:name="_Toc6872"/>
      <w:r>
        <w:rPr>
          <w:rFonts w:hint="eastAsia" w:ascii="宋体" w:hAnsi="宋体" w:eastAsia="宋体" w:cs="宋体"/>
          <w:color w:val="auto"/>
          <w:sz w:val="24"/>
          <w:szCs w:val="24"/>
          <w:highlight w:val="none"/>
        </w:rPr>
        <w:t>11.5 照明工程</w:t>
      </w:r>
      <w:bookmarkEnd w:id="517"/>
      <w:bookmarkEnd w:id="518"/>
      <w:bookmarkEnd w:id="519"/>
      <w:bookmarkEnd w:id="520"/>
      <w:bookmarkEnd w:id="521"/>
    </w:p>
    <w:p w14:paraId="684AE3FE">
      <w:pPr>
        <w:pStyle w:val="24"/>
        <w:ind w:firstLine="0" w:firstLineChars="0"/>
        <w:rPr>
          <w:rFonts w:hint="eastAsia" w:hAnsi="宋体" w:cs="宋体"/>
          <w:szCs w:val="24"/>
          <w:highlight w:val="none"/>
        </w:rPr>
      </w:pPr>
      <w:bookmarkStart w:id="522" w:name="_Toc96633201"/>
      <w:r>
        <w:rPr>
          <w:rFonts w:hint="eastAsia" w:hAnsi="宋体" w:cs="宋体"/>
          <w:szCs w:val="24"/>
          <w:highlight w:val="none"/>
        </w:rPr>
        <w:t>1</w:t>
      </w:r>
      <w:r>
        <w:rPr>
          <w:rFonts w:hAnsi="宋体" w:cs="宋体"/>
          <w:szCs w:val="24"/>
          <w:highlight w:val="none"/>
        </w:rPr>
        <w:t xml:space="preserve">1.5.1 </w:t>
      </w:r>
      <w:r>
        <w:rPr>
          <w:rFonts w:hint="eastAsia" w:hAnsi="宋体" w:cs="宋体"/>
          <w:szCs w:val="24"/>
          <w:highlight w:val="none"/>
        </w:rPr>
        <w:t>道路照明设计</w:t>
      </w:r>
      <w:bookmarkEnd w:id="522"/>
    </w:p>
    <w:p w14:paraId="1C1976B2">
      <w:pPr>
        <w:pStyle w:val="98"/>
        <w:ind w:firstLine="0" w:firstLineChars="0"/>
        <w:jc w:val="both"/>
        <w:rPr>
          <w:rStyle w:val="81"/>
          <w:rFonts w:hint="eastAsia" w:ascii="宋体" w:hAnsi="宋体" w:cs="宋体"/>
          <w:color w:val="auto"/>
          <w:sz w:val="24"/>
          <w:szCs w:val="24"/>
          <w:highlight w:val="none"/>
        </w:rPr>
      </w:pPr>
      <w:r>
        <w:rPr>
          <w:rStyle w:val="81"/>
          <w:rFonts w:ascii="宋体" w:hAnsi="宋体" w:cs="宋体"/>
          <w:color w:val="auto"/>
          <w:sz w:val="24"/>
          <w:szCs w:val="24"/>
          <w:highlight w:val="none"/>
        </w:rPr>
        <w:t xml:space="preserve">11.5.1.1 </w:t>
      </w:r>
      <w:r>
        <w:rPr>
          <w:rStyle w:val="81"/>
          <w:rFonts w:hint="eastAsia" w:ascii="宋体" w:hAnsi="宋体" w:cs="宋体"/>
          <w:color w:val="auto"/>
          <w:sz w:val="24"/>
          <w:szCs w:val="24"/>
          <w:highlight w:val="none"/>
        </w:rPr>
        <w:t>道路照明设计应包括机动车道、交会区、人行及非机动车道的照明设计。</w:t>
      </w:r>
    </w:p>
    <w:p w14:paraId="17EB41F7">
      <w:pPr>
        <w:pStyle w:val="98"/>
        <w:ind w:firstLine="0"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1.5.1.2 </w:t>
      </w:r>
      <w:r>
        <w:rPr>
          <w:rStyle w:val="81"/>
          <w:rFonts w:hint="eastAsia" w:ascii="宋体" w:hAnsi="宋体" w:cs="宋体"/>
          <w:color w:val="auto"/>
          <w:sz w:val="24"/>
          <w:szCs w:val="24"/>
          <w:highlight w:val="none"/>
        </w:rPr>
        <w:t>机动车道、交会区、人行及非机动车道的照明标准值见下表：</w:t>
      </w:r>
    </w:p>
    <w:p w14:paraId="374E5628">
      <w:pPr>
        <w:spacing w:line="360" w:lineRule="auto"/>
        <w:ind w:firstLine="48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 xml:space="preserve"> 机动车交通道路照明标准值</w:t>
      </w:r>
    </w:p>
    <w:tbl>
      <w:tblPr>
        <w:tblStyle w:val="42"/>
        <w:tblW w:w="85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278"/>
        <w:gridCol w:w="1061"/>
        <w:gridCol w:w="930"/>
        <w:gridCol w:w="1098"/>
        <w:gridCol w:w="1067"/>
        <w:gridCol w:w="1117"/>
        <w:gridCol w:w="885"/>
      </w:tblGrid>
      <w:tr w14:paraId="3288D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080" w:type="dxa"/>
            <w:vMerge w:val="restart"/>
            <w:vAlign w:val="center"/>
          </w:tcPr>
          <w:p w14:paraId="534C0390">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道路类别</w:t>
            </w:r>
          </w:p>
        </w:tc>
        <w:tc>
          <w:tcPr>
            <w:tcW w:w="3269" w:type="dxa"/>
            <w:gridSpan w:val="3"/>
            <w:vAlign w:val="center"/>
          </w:tcPr>
          <w:p w14:paraId="26318CA5">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路面亮度</w:t>
            </w:r>
          </w:p>
        </w:tc>
        <w:tc>
          <w:tcPr>
            <w:tcW w:w="2165" w:type="dxa"/>
            <w:gridSpan w:val="2"/>
            <w:vAlign w:val="center"/>
          </w:tcPr>
          <w:p w14:paraId="55ED6DE8">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照   度</w:t>
            </w:r>
          </w:p>
        </w:tc>
        <w:tc>
          <w:tcPr>
            <w:tcW w:w="1117" w:type="dxa"/>
            <w:vMerge w:val="restart"/>
            <w:vAlign w:val="center"/>
          </w:tcPr>
          <w:p w14:paraId="109E4091">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眩光限制域值增量TI（％）最大初始值</w:t>
            </w:r>
          </w:p>
        </w:tc>
        <w:tc>
          <w:tcPr>
            <w:tcW w:w="885" w:type="dxa"/>
            <w:vMerge w:val="restart"/>
            <w:vAlign w:val="center"/>
          </w:tcPr>
          <w:p w14:paraId="221FA1A4">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环境比SR最小值</w:t>
            </w:r>
          </w:p>
        </w:tc>
      </w:tr>
      <w:tr w14:paraId="270C2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080" w:type="dxa"/>
            <w:vMerge w:val="continue"/>
            <w:vAlign w:val="center"/>
          </w:tcPr>
          <w:p w14:paraId="467100C1">
            <w:pPr>
              <w:pStyle w:val="99"/>
              <w:adjustRightInd w:val="0"/>
              <w:snapToGrid w:val="0"/>
              <w:spacing w:line="360" w:lineRule="auto"/>
              <w:rPr>
                <w:rFonts w:hint="eastAsia" w:ascii="宋体" w:hAnsi="宋体" w:cs="宋体"/>
                <w:bCs/>
                <w:color w:val="auto"/>
                <w:szCs w:val="21"/>
                <w:highlight w:val="none"/>
              </w:rPr>
            </w:pPr>
          </w:p>
        </w:tc>
        <w:tc>
          <w:tcPr>
            <w:tcW w:w="1278" w:type="dxa"/>
            <w:vAlign w:val="center"/>
          </w:tcPr>
          <w:p w14:paraId="7836C87F">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平均亮度Lav(cd/m</w:t>
            </w:r>
            <w:r>
              <w:rPr>
                <w:rFonts w:hint="eastAsia" w:ascii="宋体" w:hAnsi="宋体" w:cs="宋体"/>
                <w:b/>
                <w:color w:val="auto"/>
                <w:szCs w:val="21"/>
                <w:highlight w:val="none"/>
                <w:vertAlign w:val="superscript"/>
              </w:rPr>
              <w:t>2</w:t>
            </w:r>
            <w:r>
              <w:rPr>
                <w:rFonts w:hint="eastAsia" w:ascii="宋体" w:hAnsi="宋体" w:cs="宋体"/>
                <w:b/>
                <w:color w:val="auto"/>
                <w:szCs w:val="21"/>
                <w:highlight w:val="none"/>
              </w:rPr>
              <w:t>)维持值</w:t>
            </w:r>
          </w:p>
        </w:tc>
        <w:tc>
          <w:tcPr>
            <w:tcW w:w="1061" w:type="dxa"/>
            <w:vAlign w:val="center"/>
          </w:tcPr>
          <w:p w14:paraId="68B6AEEA">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总均匀度U0最小值</w:t>
            </w:r>
          </w:p>
        </w:tc>
        <w:tc>
          <w:tcPr>
            <w:tcW w:w="930" w:type="dxa"/>
            <w:vAlign w:val="center"/>
          </w:tcPr>
          <w:p w14:paraId="43612DBC">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纵向均匀度UL最小值</w:t>
            </w:r>
          </w:p>
        </w:tc>
        <w:tc>
          <w:tcPr>
            <w:tcW w:w="1098" w:type="dxa"/>
            <w:vAlign w:val="center"/>
          </w:tcPr>
          <w:p w14:paraId="02246044">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平均照度Eav(Lx)维持值</w:t>
            </w:r>
          </w:p>
        </w:tc>
        <w:tc>
          <w:tcPr>
            <w:tcW w:w="1067" w:type="dxa"/>
            <w:vAlign w:val="center"/>
          </w:tcPr>
          <w:p w14:paraId="488DB172">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均匀度UE</w:t>
            </w:r>
          </w:p>
        </w:tc>
        <w:tc>
          <w:tcPr>
            <w:tcW w:w="1117" w:type="dxa"/>
            <w:vMerge w:val="continue"/>
            <w:vAlign w:val="center"/>
          </w:tcPr>
          <w:p w14:paraId="7EDD4AB7">
            <w:pPr>
              <w:pStyle w:val="99"/>
              <w:adjustRightInd w:val="0"/>
              <w:snapToGrid w:val="0"/>
              <w:spacing w:line="360" w:lineRule="auto"/>
              <w:rPr>
                <w:rFonts w:hint="eastAsia" w:ascii="宋体" w:hAnsi="宋体" w:cs="宋体"/>
                <w:bCs/>
                <w:color w:val="auto"/>
                <w:szCs w:val="21"/>
                <w:highlight w:val="none"/>
              </w:rPr>
            </w:pPr>
          </w:p>
        </w:tc>
        <w:tc>
          <w:tcPr>
            <w:tcW w:w="885" w:type="dxa"/>
            <w:vMerge w:val="continue"/>
            <w:vAlign w:val="center"/>
          </w:tcPr>
          <w:p w14:paraId="0A883955">
            <w:pPr>
              <w:pStyle w:val="99"/>
              <w:adjustRightInd w:val="0"/>
              <w:snapToGrid w:val="0"/>
              <w:spacing w:line="360" w:lineRule="auto"/>
              <w:rPr>
                <w:rFonts w:hint="eastAsia" w:ascii="宋体" w:hAnsi="宋体" w:cs="宋体"/>
                <w:bCs/>
                <w:color w:val="auto"/>
                <w:szCs w:val="21"/>
                <w:highlight w:val="none"/>
              </w:rPr>
            </w:pPr>
          </w:p>
        </w:tc>
      </w:tr>
      <w:tr w14:paraId="05B12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080" w:type="dxa"/>
            <w:vAlign w:val="center"/>
          </w:tcPr>
          <w:p w14:paraId="1824642E">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主干路</w:t>
            </w:r>
          </w:p>
        </w:tc>
        <w:tc>
          <w:tcPr>
            <w:tcW w:w="1278" w:type="dxa"/>
            <w:vAlign w:val="center"/>
          </w:tcPr>
          <w:p w14:paraId="47240703">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2.0</w:t>
            </w:r>
          </w:p>
        </w:tc>
        <w:tc>
          <w:tcPr>
            <w:tcW w:w="1061" w:type="dxa"/>
            <w:vAlign w:val="center"/>
          </w:tcPr>
          <w:p w14:paraId="4C2DD0CF">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0.4</w:t>
            </w:r>
          </w:p>
        </w:tc>
        <w:tc>
          <w:tcPr>
            <w:tcW w:w="930" w:type="dxa"/>
            <w:vAlign w:val="center"/>
          </w:tcPr>
          <w:p w14:paraId="14B0836C">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0.7</w:t>
            </w:r>
          </w:p>
        </w:tc>
        <w:tc>
          <w:tcPr>
            <w:tcW w:w="1098" w:type="dxa"/>
            <w:vAlign w:val="center"/>
          </w:tcPr>
          <w:p w14:paraId="52AE8121">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30</w:t>
            </w:r>
          </w:p>
        </w:tc>
        <w:tc>
          <w:tcPr>
            <w:tcW w:w="1067" w:type="dxa"/>
            <w:vAlign w:val="center"/>
          </w:tcPr>
          <w:p w14:paraId="0B9C9FFD">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0.4</w:t>
            </w:r>
          </w:p>
        </w:tc>
        <w:tc>
          <w:tcPr>
            <w:tcW w:w="1117" w:type="dxa"/>
            <w:vAlign w:val="center"/>
          </w:tcPr>
          <w:p w14:paraId="12B26DF3">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10</w:t>
            </w:r>
          </w:p>
        </w:tc>
        <w:tc>
          <w:tcPr>
            <w:tcW w:w="885" w:type="dxa"/>
            <w:vAlign w:val="center"/>
          </w:tcPr>
          <w:p w14:paraId="6230D03A">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0.5</w:t>
            </w:r>
          </w:p>
        </w:tc>
      </w:tr>
      <w:tr w14:paraId="5E65D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080" w:type="dxa"/>
            <w:vAlign w:val="center"/>
          </w:tcPr>
          <w:p w14:paraId="79842A3B">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次干路</w:t>
            </w:r>
          </w:p>
        </w:tc>
        <w:tc>
          <w:tcPr>
            <w:tcW w:w="1278" w:type="dxa"/>
            <w:vAlign w:val="center"/>
          </w:tcPr>
          <w:p w14:paraId="5E551A4F">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1.5</w:t>
            </w:r>
          </w:p>
        </w:tc>
        <w:tc>
          <w:tcPr>
            <w:tcW w:w="1061" w:type="dxa"/>
            <w:vAlign w:val="center"/>
          </w:tcPr>
          <w:p w14:paraId="01DF32BA">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0.4</w:t>
            </w:r>
          </w:p>
        </w:tc>
        <w:tc>
          <w:tcPr>
            <w:tcW w:w="930" w:type="dxa"/>
            <w:vAlign w:val="center"/>
          </w:tcPr>
          <w:p w14:paraId="6AA9BDDE">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0.5</w:t>
            </w:r>
          </w:p>
        </w:tc>
        <w:tc>
          <w:tcPr>
            <w:tcW w:w="1098" w:type="dxa"/>
            <w:vAlign w:val="center"/>
          </w:tcPr>
          <w:p w14:paraId="0CE5E59D">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20</w:t>
            </w:r>
          </w:p>
        </w:tc>
        <w:tc>
          <w:tcPr>
            <w:tcW w:w="1067" w:type="dxa"/>
            <w:vAlign w:val="center"/>
          </w:tcPr>
          <w:p w14:paraId="6AA67B18">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0.4</w:t>
            </w:r>
          </w:p>
        </w:tc>
        <w:tc>
          <w:tcPr>
            <w:tcW w:w="1117" w:type="dxa"/>
            <w:vAlign w:val="center"/>
          </w:tcPr>
          <w:p w14:paraId="0FCD375D">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10</w:t>
            </w:r>
          </w:p>
        </w:tc>
        <w:tc>
          <w:tcPr>
            <w:tcW w:w="885" w:type="dxa"/>
            <w:vAlign w:val="center"/>
          </w:tcPr>
          <w:p w14:paraId="4ED1B6FD">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0.5</w:t>
            </w:r>
          </w:p>
        </w:tc>
      </w:tr>
      <w:tr w14:paraId="457C3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1080" w:type="dxa"/>
            <w:vAlign w:val="center"/>
          </w:tcPr>
          <w:p w14:paraId="0402C667">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支路</w:t>
            </w:r>
          </w:p>
        </w:tc>
        <w:tc>
          <w:tcPr>
            <w:tcW w:w="1278" w:type="dxa"/>
            <w:vAlign w:val="center"/>
          </w:tcPr>
          <w:p w14:paraId="79820DD2">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0.75</w:t>
            </w:r>
          </w:p>
        </w:tc>
        <w:tc>
          <w:tcPr>
            <w:tcW w:w="1061" w:type="dxa"/>
            <w:vAlign w:val="center"/>
          </w:tcPr>
          <w:p w14:paraId="0D59182B">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0.4</w:t>
            </w:r>
          </w:p>
        </w:tc>
        <w:tc>
          <w:tcPr>
            <w:tcW w:w="930" w:type="dxa"/>
            <w:vAlign w:val="center"/>
          </w:tcPr>
          <w:p w14:paraId="2E00EC3C">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w:t>
            </w:r>
          </w:p>
        </w:tc>
        <w:tc>
          <w:tcPr>
            <w:tcW w:w="1098" w:type="dxa"/>
            <w:vAlign w:val="center"/>
          </w:tcPr>
          <w:p w14:paraId="74737FA1">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10</w:t>
            </w:r>
          </w:p>
        </w:tc>
        <w:tc>
          <w:tcPr>
            <w:tcW w:w="1067" w:type="dxa"/>
            <w:vAlign w:val="center"/>
          </w:tcPr>
          <w:p w14:paraId="0DF4286C">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0.3</w:t>
            </w:r>
          </w:p>
        </w:tc>
        <w:tc>
          <w:tcPr>
            <w:tcW w:w="1117" w:type="dxa"/>
            <w:vAlign w:val="center"/>
          </w:tcPr>
          <w:p w14:paraId="6ABF5E1F">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15</w:t>
            </w:r>
          </w:p>
        </w:tc>
        <w:tc>
          <w:tcPr>
            <w:tcW w:w="885" w:type="dxa"/>
            <w:vAlign w:val="center"/>
          </w:tcPr>
          <w:p w14:paraId="4A8AAF84">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w:t>
            </w:r>
          </w:p>
        </w:tc>
      </w:tr>
    </w:tbl>
    <w:p w14:paraId="4935DF17">
      <w:pPr>
        <w:pStyle w:val="15"/>
        <w:spacing w:line="360" w:lineRule="auto"/>
        <w:ind w:firstLine="482"/>
        <w:jc w:val="both"/>
        <w:rPr>
          <w:rFonts w:hint="eastAsia" w:ascii="宋体" w:hAnsi="宋体" w:cs="宋体"/>
          <w:b w:val="0"/>
          <w:bCs/>
          <w:color w:val="auto"/>
          <w:szCs w:val="21"/>
          <w:highlight w:val="none"/>
        </w:rPr>
      </w:pPr>
    </w:p>
    <w:p w14:paraId="32BC514B">
      <w:pPr>
        <w:spacing w:line="360" w:lineRule="auto"/>
        <w:ind w:firstLine="480"/>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 xml:space="preserve"> 交会区照明标准值</w:t>
      </w:r>
    </w:p>
    <w:tbl>
      <w:tblPr>
        <w:tblStyle w:val="42"/>
        <w:tblW w:w="84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2598"/>
        <w:gridCol w:w="1627"/>
        <w:gridCol w:w="1251"/>
        <w:gridCol w:w="2969"/>
      </w:tblGrid>
      <w:tr w14:paraId="7F4BB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2598" w:type="dxa"/>
            <w:vAlign w:val="center"/>
          </w:tcPr>
          <w:p w14:paraId="7D877F36">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交会区类别</w:t>
            </w:r>
          </w:p>
        </w:tc>
        <w:tc>
          <w:tcPr>
            <w:tcW w:w="1627" w:type="dxa"/>
            <w:vAlign w:val="center"/>
          </w:tcPr>
          <w:p w14:paraId="52283A12">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路面平均照度Eav(Lx)，维持值</w:t>
            </w:r>
          </w:p>
        </w:tc>
        <w:tc>
          <w:tcPr>
            <w:tcW w:w="1251" w:type="dxa"/>
            <w:vAlign w:val="center"/>
          </w:tcPr>
          <w:p w14:paraId="6C489D54">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照度均匀度UE</w:t>
            </w:r>
          </w:p>
        </w:tc>
        <w:tc>
          <w:tcPr>
            <w:tcW w:w="2969" w:type="dxa"/>
            <w:vAlign w:val="center"/>
          </w:tcPr>
          <w:p w14:paraId="38C882B9">
            <w:pPr>
              <w:pStyle w:val="99"/>
              <w:adjustRightInd w:val="0"/>
              <w:snapToGrid w:val="0"/>
              <w:spacing w:line="360" w:lineRule="auto"/>
              <w:rPr>
                <w:rFonts w:hint="eastAsia" w:ascii="宋体" w:hAnsi="宋体" w:cs="宋体"/>
                <w:b/>
                <w:color w:val="auto"/>
                <w:szCs w:val="21"/>
                <w:highlight w:val="none"/>
              </w:rPr>
            </w:pPr>
            <w:r>
              <w:rPr>
                <w:rFonts w:hint="eastAsia" w:ascii="宋体" w:hAnsi="宋体" w:cs="宋体"/>
                <w:b/>
                <w:color w:val="auto"/>
                <w:szCs w:val="21"/>
                <w:highlight w:val="none"/>
              </w:rPr>
              <w:t>眩光限制</w:t>
            </w:r>
          </w:p>
        </w:tc>
      </w:tr>
      <w:tr w14:paraId="7CEDF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2598" w:type="dxa"/>
            <w:vAlign w:val="center"/>
          </w:tcPr>
          <w:p w14:paraId="171AB8A9">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主干路与主干路交会</w:t>
            </w:r>
          </w:p>
          <w:p w14:paraId="772ADBDF">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主干路与次干路交会</w:t>
            </w:r>
          </w:p>
          <w:p w14:paraId="4241E7DB">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主干路与支路交会</w:t>
            </w:r>
          </w:p>
        </w:tc>
        <w:tc>
          <w:tcPr>
            <w:tcW w:w="1627" w:type="dxa"/>
            <w:vAlign w:val="center"/>
          </w:tcPr>
          <w:p w14:paraId="7568A17C">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50</w:t>
            </w:r>
          </w:p>
        </w:tc>
        <w:tc>
          <w:tcPr>
            <w:tcW w:w="1251" w:type="dxa"/>
            <w:vAlign w:val="center"/>
          </w:tcPr>
          <w:p w14:paraId="4A080596">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0.4</w:t>
            </w:r>
          </w:p>
        </w:tc>
        <w:tc>
          <w:tcPr>
            <w:tcW w:w="2969" w:type="dxa"/>
            <w:vAlign w:val="center"/>
          </w:tcPr>
          <w:p w14:paraId="30CB28EE">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在驾驶员观看灯具的方位角上，灯具在90°和80°高度角方向上的光强分别不得超过10cd/1000lm和30cd/1000lm</w:t>
            </w:r>
          </w:p>
        </w:tc>
      </w:tr>
      <w:tr w14:paraId="6C30B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2598" w:type="dxa"/>
            <w:vAlign w:val="center"/>
          </w:tcPr>
          <w:p w14:paraId="5083785D">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次干路与次干路交会</w:t>
            </w:r>
          </w:p>
          <w:p w14:paraId="5EAD6811">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次干路与支路交会</w:t>
            </w:r>
          </w:p>
        </w:tc>
        <w:tc>
          <w:tcPr>
            <w:tcW w:w="1627" w:type="dxa"/>
            <w:vAlign w:val="center"/>
          </w:tcPr>
          <w:p w14:paraId="3D7E3DAD">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30</w:t>
            </w:r>
          </w:p>
        </w:tc>
        <w:tc>
          <w:tcPr>
            <w:tcW w:w="1251" w:type="dxa"/>
            <w:vAlign w:val="center"/>
          </w:tcPr>
          <w:p w14:paraId="2F10E619">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0.4</w:t>
            </w:r>
          </w:p>
        </w:tc>
        <w:tc>
          <w:tcPr>
            <w:tcW w:w="2969" w:type="dxa"/>
            <w:vAlign w:val="center"/>
          </w:tcPr>
          <w:p w14:paraId="3658152A">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在驾驶员观看灯具的方位角上，灯具在90°和80°高度角方向上的光强分别不得超过10cd/1000lm和30cd/1000lm</w:t>
            </w:r>
          </w:p>
        </w:tc>
      </w:tr>
      <w:tr w14:paraId="7074B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17" w:hRule="atLeast"/>
          <w:jc w:val="center"/>
        </w:trPr>
        <w:tc>
          <w:tcPr>
            <w:tcW w:w="2598" w:type="dxa"/>
            <w:vAlign w:val="center"/>
          </w:tcPr>
          <w:p w14:paraId="24AB5016">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支路与支路交会</w:t>
            </w:r>
          </w:p>
        </w:tc>
        <w:tc>
          <w:tcPr>
            <w:tcW w:w="1627" w:type="dxa"/>
            <w:vAlign w:val="center"/>
          </w:tcPr>
          <w:p w14:paraId="5B2C1E27">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20</w:t>
            </w:r>
          </w:p>
        </w:tc>
        <w:tc>
          <w:tcPr>
            <w:tcW w:w="1251" w:type="dxa"/>
            <w:vAlign w:val="center"/>
          </w:tcPr>
          <w:p w14:paraId="468DA6EB">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0.4</w:t>
            </w:r>
          </w:p>
        </w:tc>
        <w:tc>
          <w:tcPr>
            <w:tcW w:w="2969" w:type="dxa"/>
            <w:vAlign w:val="center"/>
          </w:tcPr>
          <w:p w14:paraId="43495CAA">
            <w:pPr>
              <w:pStyle w:val="99"/>
              <w:adjustRightInd w:val="0"/>
              <w:snapToGrid w:val="0"/>
              <w:spacing w:line="360" w:lineRule="auto"/>
              <w:rPr>
                <w:rFonts w:hint="eastAsia" w:ascii="宋体" w:hAnsi="宋体" w:cs="宋体"/>
                <w:bCs/>
                <w:color w:val="auto"/>
                <w:szCs w:val="21"/>
                <w:highlight w:val="none"/>
              </w:rPr>
            </w:pPr>
            <w:r>
              <w:rPr>
                <w:rFonts w:hint="eastAsia" w:ascii="宋体" w:hAnsi="宋体" w:cs="宋体"/>
                <w:bCs/>
                <w:color w:val="auto"/>
                <w:szCs w:val="21"/>
                <w:highlight w:val="none"/>
              </w:rPr>
              <w:t>在驾驶员观看灯具的方位角上，灯具在90°和80°高度角方向上的光强分别不得超过10cd/1000lm和30cd/1000lm</w:t>
            </w:r>
          </w:p>
        </w:tc>
      </w:tr>
    </w:tbl>
    <w:p w14:paraId="47AB1BFD">
      <w:pPr>
        <w:pStyle w:val="15"/>
        <w:spacing w:line="360" w:lineRule="auto"/>
        <w:ind w:firstLine="482"/>
        <w:rPr>
          <w:rFonts w:hint="eastAsia" w:ascii="宋体" w:hAnsi="宋体" w:cs="宋体"/>
          <w:b w:val="0"/>
          <w:bCs/>
          <w:color w:val="auto"/>
          <w:sz w:val="24"/>
          <w:szCs w:val="24"/>
          <w:highlight w:val="none"/>
        </w:rPr>
      </w:pPr>
    </w:p>
    <w:p w14:paraId="0A5DA0D7">
      <w:pPr>
        <w:spacing w:line="360" w:lineRule="auto"/>
        <w:ind w:firstLine="48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 xml:space="preserve"> 人行道路照明标准值</w:t>
      </w:r>
    </w:p>
    <w:tbl>
      <w:tblPr>
        <w:tblStyle w:val="42"/>
        <w:tblW w:w="83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1832"/>
        <w:gridCol w:w="1116"/>
        <w:gridCol w:w="1861"/>
        <w:gridCol w:w="1861"/>
        <w:gridCol w:w="1704"/>
      </w:tblGrid>
      <w:tr w14:paraId="572F7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93" w:hRule="atLeast"/>
          <w:jc w:val="center"/>
        </w:trPr>
        <w:tc>
          <w:tcPr>
            <w:tcW w:w="1832" w:type="dxa"/>
            <w:vAlign w:val="center"/>
          </w:tcPr>
          <w:p w14:paraId="44F0091C">
            <w:pPr>
              <w:pStyle w:val="99"/>
              <w:adjustRightInd w:val="0"/>
              <w:snapToGrid w:val="0"/>
              <w:spacing w:line="360" w:lineRule="auto"/>
              <w:rPr>
                <w:rFonts w:hint="eastAsia" w:ascii="宋体" w:hAnsi="宋体" w:cs="宋体"/>
                <w:b/>
                <w:bCs/>
                <w:color w:val="auto"/>
                <w:szCs w:val="21"/>
                <w:highlight w:val="none"/>
              </w:rPr>
            </w:pPr>
            <w:r>
              <w:rPr>
                <w:rFonts w:hint="eastAsia" w:ascii="宋体" w:hAnsi="宋体" w:cs="宋体"/>
                <w:b/>
                <w:bCs/>
                <w:color w:val="auto"/>
                <w:szCs w:val="21"/>
                <w:highlight w:val="none"/>
              </w:rPr>
              <w:t>夜间行人流量</w:t>
            </w:r>
          </w:p>
        </w:tc>
        <w:tc>
          <w:tcPr>
            <w:tcW w:w="1116" w:type="dxa"/>
            <w:vAlign w:val="center"/>
          </w:tcPr>
          <w:p w14:paraId="479A4912">
            <w:pPr>
              <w:pStyle w:val="99"/>
              <w:adjustRightInd w:val="0"/>
              <w:snapToGrid w:val="0"/>
              <w:spacing w:line="360" w:lineRule="auto"/>
              <w:rPr>
                <w:rFonts w:hint="eastAsia" w:ascii="宋体" w:hAnsi="宋体" w:cs="宋体"/>
                <w:b/>
                <w:bCs/>
                <w:color w:val="auto"/>
                <w:szCs w:val="21"/>
                <w:highlight w:val="none"/>
              </w:rPr>
            </w:pPr>
            <w:r>
              <w:rPr>
                <w:rFonts w:hint="eastAsia" w:ascii="宋体" w:hAnsi="宋体" w:cs="宋体"/>
                <w:b/>
                <w:bCs/>
                <w:color w:val="auto"/>
                <w:szCs w:val="21"/>
                <w:highlight w:val="none"/>
              </w:rPr>
              <w:t>区域</w:t>
            </w:r>
          </w:p>
        </w:tc>
        <w:tc>
          <w:tcPr>
            <w:tcW w:w="1861" w:type="dxa"/>
            <w:vAlign w:val="center"/>
          </w:tcPr>
          <w:p w14:paraId="04F1FF79">
            <w:pPr>
              <w:pStyle w:val="99"/>
              <w:adjustRightInd w:val="0"/>
              <w:snapToGrid w:val="0"/>
              <w:spacing w:line="360" w:lineRule="auto"/>
              <w:rPr>
                <w:rFonts w:hint="eastAsia" w:ascii="宋体" w:hAnsi="宋体" w:cs="宋体"/>
                <w:b/>
                <w:bCs/>
                <w:color w:val="auto"/>
                <w:szCs w:val="21"/>
                <w:highlight w:val="none"/>
              </w:rPr>
            </w:pPr>
            <w:r>
              <w:rPr>
                <w:rFonts w:hint="eastAsia" w:ascii="宋体" w:hAnsi="宋体" w:cs="宋体"/>
                <w:b/>
                <w:bCs/>
                <w:color w:val="auto"/>
                <w:szCs w:val="21"/>
                <w:highlight w:val="none"/>
              </w:rPr>
              <w:t>路面平均照度Eav(Lx)，维持值</w:t>
            </w:r>
          </w:p>
        </w:tc>
        <w:tc>
          <w:tcPr>
            <w:tcW w:w="1861" w:type="dxa"/>
            <w:vAlign w:val="center"/>
          </w:tcPr>
          <w:p w14:paraId="52E286D1">
            <w:pPr>
              <w:pStyle w:val="99"/>
              <w:adjustRightInd w:val="0"/>
              <w:snapToGrid w:val="0"/>
              <w:spacing w:line="360" w:lineRule="auto"/>
              <w:rPr>
                <w:rFonts w:hint="eastAsia" w:ascii="宋体" w:hAnsi="宋体" w:cs="宋体"/>
                <w:b/>
                <w:bCs/>
                <w:color w:val="auto"/>
                <w:szCs w:val="21"/>
                <w:highlight w:val="none"/>
              </w:rPr>
            </w:pPr>
            <w:r>
              <w:rPr>
                <w:rFonts w:hint="eastAsia" w:ascii="宋体" w:hAnsi="宋体" w:cs="宋体"/>
                <w:b/>
                <w:bCs/>
                <w:color w:val="auto"/>
                <w:szCs w:val="21"/>
                <w:highlight w:val="none"/>
              </w:rPr>
              <w:t>路面最小照度Emin(Lx)，维持值</w:t>
            </w:r>
          </w:p>
        </w:tc>
        <w:tc>
          <w:tcPr>
            <w:tcW w:w="1704" w:type="dxa"/>
            <w:vAlign w:val="center"/>
          </w:tcPr>
          <w:p w14:paraId="575AF32A">
            <w:pPr>
              <w:pStyle w:val="99"/>
              <w:adjustRightInd w:val="0"/>
              <w:snapToGrid w:val="0"/>
              <w:spacing w:line="360" w:lineRule="auto"/>
              <w:rPr>
                <w:rFonts w:hint="eastAsia" w:ascii="宋体" w:hAnsi="宋体" w:cs="宋体"/>
                <w:b/>
                <w:bCs/>
                <w:color w:val="auto"/>
                <w:szCs w:val="21"/>
                <w:highlight w:val="none"/>
              </w:rPr>
            </w:pPr>
            <w:r>
              <w:rPr>
                <w:rFonts w:hint="eastAsia" w:ascii="宋体" w:hAnsi="宋体" w:cs="宋体"/>
                <w:b/>
                <w:bCs/>
                <w:color w:val="auto"/>
                <w:szCs w:val="21"/>
                <w:highlight w:val="none"/>
              </w:rPr>
              <w:t>路面垂直照度Emin(Lx)，维持值</w:t>
            </w:r>
          </w:p>
        </w:tc>
      </w:tr>
      <w:tr w14:paraId="39598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93" w:hRule="atLeast"/>
          <w:jc w:val="center"/>
        </w:trPr>
        <w:tc>
          <w:tcPr>
            <w:tcW w:w="1832" w:type="dxa"/>
            <w:vAlign w:val="center"/>
          </w:tcPr>
          <w:p w14:paraId="536974B3">
            <w:pPr>
              <w:pStyle w:val="99"/>
              <w:adjustRightInd w:val="0"/>
              <w:snapToGrid w:val="0"/>
              <w:spacing w:line="360" w:lineRule="auto"/>
              <w:rPr>
                <w:rFonts w:hint="eastAsia" w:ascii="宋体" w:hAnsi="宋体" w:cs="宋体"/>
                <w:color w:val="auto"/>
                <w:szCs w:val="21"/>
                <w:highlight w:val="none"/>
              </w:rPr>
            </w:pPr>
            <w:r>
              <w:rPr>
                <w:rFonts w:hint="eastAsia" w:ascii="宋体" w:hAnsi="宋体" w:cs="宋体"/>
                <w:color w:val="auto"/>
                <w:szCs w:val="21"/>
                <w:highlight w:val="none"/>
              </w:rPr>
              <w:t>流量高的道路</w:t>
            </w:r>
          </w:p>
        </w:tc>
        <w:tc>
          <w:tcPr>
            <w:tcW w:w="1116" w:type="dxa"/>
            <w:vAlign w:val="center"/>
          </w:tcPr>
          <w:p w14:paraId="0FAED12B">
            <w:pPr>
              <w:pStyle w:val="99"/>
              <w:adjustRightInd w:val="0"/>
              <w:snapToGrid w:val="0"/>
              <w:spacing w:line="360" w:lineRule="auto"/>
              <w:rPr>
                <w:rFonts w:hint="eastAsia" w:ascii="宋体" w:hAnsi="宋体" w:cs="宋体"/>
                <w:color w:val="auto"/>
                <w:szCs w:val="21"/>
                <w:highlight w:val="none"/>
              </w:rPr>
            </w:pPr>
            <w:r>
              <w:rPr>
                <w:rFonts w:hint="eastAsia" w:ascii="宋体" w:hAnsi="宋体" w:cs="宋体"/>
                <w:color w:val="auto"/>
                <w:szCs w:val="21"/>
                <w:highlight w:val="none"/>
              </w:rPr>
              <w:t>商业区</w:t>
            </w:r>
          </w:p>
        </w:tc>
        <w:tc>
          <w:tcPr>
            <w:tcW w:w="1861" w:type="dxa"/>
            <w:vAlign w:val="center"/>
          </w:tcPr>
          <w:p w14:paraId="409B25CE">
            <w:pPr>
              <w:pStyle w:val="99"/>
              <w:adjustRightInd w:val="0"/>
              <w:snapToGrid w:val="0"/>
              <w:spacing w:line="360" w:lineRule="auto"/>
              <w:rPr>
                <w:rFonts w:hint="eastAsia" w:ascii="宋体" w:hAnsi="宋体" w:cs="宋体"/>
                <w:color w:val="auto"/>
                <w:szCs w:val="21"/>
                <w:highlight w:val="none"/>
              </w:rPr>
            </w:pPr>
            <w:r>
              <w:rPr>
                <w:rFonts w:hint="eastAsia" w:ascii="宋体" w:hAnsi="宋体" w:cs="宋体"/>
                <w:color w:val="auto"/>
                <w:szCs w:val="21"/>
                <w:highlight w:val="none"/>
              </w:rPr>
              <w:t>10</w:t>
            </w:r>
          </w:p>
        </w:tc>
        <w:tc>
          <w:tcPr>
            <w:tcW w:w="1861" w:type="dxa"/>
            <w:vAlign w:val="center"/>
          </w:tcPr>
          <w:p w14:paraId="1B0618BE">
            <w:pPr>
              <w:pStyle w:val="99"/>
              <w:adjustRightInd w:val="0"/>
              <w:snapToGrid w:val="0"/>
              <w:spacing w:line="360" w:lineRule="auto"/>
              <w:rPr>
                <w:rFonts w:hint="eastAsia" w:ascii="宋体" w:hAnsi="宋体" w:cs="宋体"/>
                <w:color w:val="auto"/>
                <w:szCs w:val="21"/>
                <w:highlight w:val="none"/>
              </w:rPr>
            </w:pPr>
            <w:r>
              <w:rPr>
                <w:rFonts w:hint="eastAsia" w:ascii="宋体" w:hAnsi="宋体" w:cs="宋体"/>
                <w:color w:val="auto"/>
                <w:szCs w:val="21"/>
                <w:highlight w:val="none"/>
              </w:rPr>
              <w:t>2</w:t>
            </w:r>
          </w:p>
        </w:tc>
        <w:tc>
          <w:tcPr>
            <w:tcW w:w="1704" w:type="dxa"/>
            <w:vAlign w:val="center"/>
          </w:tcPr>
          <w:p w14:paraId="53F000BF">
            <w:pPr>
              <w:pStyle w:val="99"/>
              <w:adjustRightInd w:val="0"/>
              <w:snapToGrid w:val="0"/>
              <w:spacing w:line="360" w:lineRule="auto"/>
              <w:rPr>
                <w:rFonts w:hint="eastAsia" w:ascii="宋体" w:hAnsi="宋体" w:cs="宋体"/>
                <w:color w:val="auto"/>
                <w:szCs w:val="21"/>
                <w:highlight w:val="none"/>
              </w:rPr>
            </w:pPr>
            <w:r>
              <w:rPr>
                <w:rFonts w:hint="eastAsia" w:ascii="宋体" w:hAnsi="宋体" w:cs="宋体"/>
                <w:color w:val="auto"/>
                <w:szCs w:val="21"/>
                <w:highlight w:val="none"/>
              </w:rPr>
              <w:t>3</w:t>
            </w:r>
          </w:p>
        </w:tc>
      </w:tr>
      <w:tr w14:paraId="0E371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93" w:hRule="atLeast"/>
          <w:jc w:val="center"/>
        </w:trPr>
        <w:tc>
          <w:tcPr>
            <w:tcW w:w="1832" w:type="dxa"/>
            <w:vAlign w:val="center"/>
          </w:tcPr>
          <w:p w14:paraId="3A136628">
            <w:pPr>
              <w:pStyle w:val="99"/>
              <w:adjustRightInd w:val="0"/>
              <w:snapToGrid w:val="0"/>
              <w:spacing w:line="360" w:lineRule="auto"/>
              <w:rPr>
                <w:rFonts w:hint="eastAsia" w:ascii="宋体" w:hAnsi="宋体" w:cs="宋体"/>
                <w:color w:val="auto"/>
                <w:szCs w:val="21"/>
                <w:highlight w:val="none"/>
              </w:rPr>
            </w:pPr>
            <w:r>
              <w:rPr>
                <w:rFonts w:hint="eastAsia" w:ascii="宋体" w:hAnsi="宋体" w:cs="宋体"/>
                <w:color w:val="auto"/>
                <w:szCs w:val="21"/>
                <w:highlight w:val="none"/>
              </w:rPr>
              <w:t>流量中的道路</w:t>
            </w:r>
          </w:p>
        </w:tc>
        <w:tc>
          <w:tcPr>
            <w:tcW w:w="1116" w:type="dxa"/>
            <w:vAlign w:val="center"/>
          </w:tcPr>
          <w:p w14:paraId="1542CE8C">
            <w:pPr>
              <w:pStyle w:val="99"/>
              <w:adjustRightInd w:val="0"/>
              <w:snapToGrid w:val="0"/>
              <w:spacing w:line="360" w:lineRule="auto"/>
              <w:rPr>
                <w:rFonts w:hint="eastAsia" w:ascii="宋体" w:hAnsi="宋体" w:cs="宋体"/>
                <w:color w:val="auto"/>
                <w:szCs w:val="21"/>
                <w:highlight w:val="none"/>
              </w:rPr>
            </w:pPr>
            <w:r>
              <w:rPr>
                <w:rFonts w:hint="eastAsia" w:ascii="宋体" w:hAnsi="宋体" w:cs="宋体"/>
                <w:color w:val="auto"/>
                <w:szCs w:val="21"/>
                <w:highlight w:val="none"/>
              </w:rPr>
              <w:t>居住区</w:t>
            </w:r>
          </w:p>
        </w:tc>
        <w:tc>
          <w:tcPr>
            <w:tcW w:w="1861" w:type="dxa"/>
            <w:vAlign w:val="center"/>
          </w:tcPr>
          <w:p w14:paraId="3EFA854F">
            <w:pPr>
              <w:pStyle w:val="99"/>
              <w:adjustRightInd w:val="0"/>
              <w:snapToGrid w:val="0"/>
              <w:spacing w:line="360" w:lineRule="auto"/>
              <w:rPr>
                <w:rFonts w:hint="eastAsia" w:ascii="宋体" w:hAnsi="宋体" w:cs="宋体"/>
                <w:color w:val="auto"/>
                <w:szCs w:val="21"/>
                <w:highlight w:val="none"/>
              </w:rPr>
            </w:pPr>
            <w:r>
              <w:rPr>
                <w:rFonts w:hint="eastAsia" w:ascii="宋体" w:hAnsi="宋体" w:cs="宋体"/>
                <w:color w:val="auto"/>
                <w:szCs w:val="21"/>
                <w:highlight w:val="none"/>
              </w:rPr>
              <w:t>7.5</w:t>
            </w:r>
          </w:p>
        </w:tc>
        <w:tc>
          <w:tcPr>
            <w:tcW w:w="1861" w:type="dxa"/>
            <w:vAlign w:val="center"/>
          </w:tcPr>
          <w:p w14:paraId="2BD9073C">
            <w:pPr>
              <w:pStyle w:val="99"/>
              <w:adjustRightInd w:val="0"/>
              <w:snapToGrid w:val="0"/>
              <w:spacing w:line="360" w:lineRule="auto"/>
              <w:rPr>
                <w:rFonts w:hint="eastAsia" w:ascii="宋体" w:hAnsi="宋体" w:cs="宋体"/>
                <w:color w:val="auto"/>
                <w:szCs w:val="21"/>
                <w:highlight w:val="none"/>
              </w:rPr>
            </w:pPr>
            <w:r>
              <w:rPr>
                <w:rFonts w:hint="eastAsia" w:ascii="宋体" w:hAnsi="宋体" w:cs="宋体"/>
                <w:color w:val="auto"/>
                <w:szCs w:val="21"/>
                <w:highlight w:val="none"/>
              </w:rPr>
              <w:t>1.5</w:t>
            </w:r>
          </w:p>
        </w:tc>
        <w:tc>
          <w:tcPr>
            <w:tcW w:w="1704" w:type="dxa"/>
            <w:vAlign w:val="center"/>
          </w:tcPr>
          <w:p w14:paraId="3FF752FA">
            <w:pPr>
              <w:pStyle w:val="99"/>
              <w:adjustRightInd w:val="0"/>
              <w:snapToGrid w:val="0"/>
              <w:spacing w:line="360" w:lineRule="auto"/>
              <w:rPr>
                <w:rFonts w:hint="eastAsia" w:ascii="宋体" w:hAnsi="宋体" w:cs="宋体"/>
                <w:color w:val="auto"/>
                <w:szCs w:val="21"/>
                <w:highlight w:val="none"/>
              </w:rPr>
            </w:pPr>
            <w:r>
              <w:rPr>
                <w:rFonts w:hint="eastAsia" w:ascii="宋体" w:hAnsi="宋体" w:cs="宋体"/>
                <w:color w:val="auto"/>
                <w:szCs w:val="21"/>
                <w:highlight w:val="none"/>
              </w:rPr>
              <w:t>2.5</w:t>
            </w:r>
          </w:p>
        </w:tc>
      </w:tr>
    </w:tbl>
    <w:p w14:paraId="7203E2B4">
      <w:pPr>
        <w:pStyle w:val="98"/>
        <w:numPr>
          <w:ilvl w:val="255"/>
          <w:numId w:val="0"/>
        </w:numPr>
        <w:ind w:left="440" w:leftChars="200"/>
        <w:jc w:val="both"/>
        <w:rPr>
          <w:rStyle w:val="81"/>
          <w:rFonts w:hint="eastAsia" w:ascii="宋体" w:hAnsi="宋体" w:cs="宋体"/>
          <w:color w:val="auto"/>
          <w:sz w:val="24"/>
          <w:szCs w:val="24"/>
          <w:highlight w:val="none"/>
        </w:rPr>
      </w:pPr>
    </w:p>
    <w:p w14:paraId="1A1D0668">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1.5.1.3 </w:t>
      </w:r>
      <w:r>
        <w:rPr>
          <w:rStyle w:val="81"/>
          <w:rFonts w:hint="eastAsia" w:ascii="宋体" w:hAnsi="宋体" w:cs="宋体"/>
          <w:color w:val="auto"/>
          <w:sz w:val="24"/>
          <w:szCs w:val="24"/>
          <w:highlight w:val="none"/>
        </w:rPr>
        <w:t>城市桥梁（包括水桥与旱桥）照明标准，应不低于两端连接道路照明标准。</w:t>
      </w:r>
    </w:p>
    <w:p w14:paraId="668B96BA">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1.5.1.4 </w:t>
      </w:r>
      <w:r>
        <w:rPr>
          <w:rStyle w:val="81"/>
          <w:rFonts w:hint="eastAsia" w:ascii="宋体" w:hAnsi="宋体" w:cs="宋体"/>
          <w:color w:val="auto"/>
          <w:sz w:val="24"/>
          <w:szCs w:val="24"/>
          <w:highlight w:val="none"/>
        </w:rPr>
        <w:t>机动车道一侧或两侧设置的、与机动车道无实体分隔的非机动车道的照明执行机动车道的照明标准；与机动车道有实体分隔的非机动车道的平均照度为相邻机动车道的照度值的1/2，且不宜小于相邻的人行道照度。</w:t>
      </w:r>
    </w:p>
    <w:p w14:paraId="14223A56">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1.5.1.5 </w:t>
      </w:r>
      <w:r>
        <w:rPr>
          <w:rStyle w:val="81"/>
          <w:rFonts w:hint="eastAsia" w:ascii="宋体" w:hAnsi="宋体" w:cs="宋体"/>
          <w:color w:val="auto"/>
          <w:sz w:val="24"/>
          <w:szCs w:val="24"/>
          <w:highlight w:val="none"/>
        </w:rPr>
        <w:t>机动车道一侧或两侧设置的人行道照明，当人行道与非机动车道混用时，采用人行道道路照明标准，并满足机动车道路照明的环境比要求。当人行道与非机动车道分设时，人行道的平均照度为相邻非机动车道的1/2。当按两种要求分别确定的标准值不一致时，应选择高标准值。</w:t>
      </w:r>
    </w:p>
    <w:p w14:paraId="0024A3C7">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1.5.1.6 </w:t>
      </w:r>
      <w:r>
        <w:rPr>
          <w:rStyle w:val="81"/>
          <w:rFonts w:hint="eastAsia" w:ascii="宋体" w:hAnsi="宋体" w:cs="宋体"/>
          <w:color w:val="auto"/>
          <w:sz w:val="24"/>
          <w:szCs w:val="24"/>
          <w:highlight w:val="none"/>
        </w:rPr>
        <w:t>人行横道的照明平均水平照度不得低于人行横道所在道路的1.5倍。</w:t>
      </w:r>
    </w:p>
    <w:p w14:paraId="18ABB50E">
      <w:pPr>
        <w:pStyle w:val="98"/>
        <w:ind w:firstLineChars="0"/>
        <w:jc w:val="both"/>
        <w:rPr>
          <w:rStyle w:val="81"/>
          <w:rFonts w:hint="eastAsia" w:ascii="宋体" w:hAnsi="宋体" w:cs="宋体"/>
          <w:color w:val="auto"/>
          <w:sz w:val="24"/>
          <w:szCs w:val="24"/>
          <w:highlight w:val="none"/>
        </w:rPr>
      </w:pPr>
      <w:r>
        <w:rPr>
          <w:rStyle w:val="81"/>
          <w:rFonts w:hint="eastAsia" w:ascii="宋体" w:hAnsi="宋体" w:cs="宋体"/>
          <w:color w:val="auto"/>
          <w:sz w:val="24"/>
          <w:szCs w:val="24"/>
          <w:highlight w:val="none"/>
        </w:rPr>
        <w:t>1</w:t>
      </w:r>
      <w:r>
        <w:rPr>
          <w:rStyle w:val="81"/>
          <w:rFonts w:ascii="宋体" w:hAnsi="宋体" w:cs="宋体"/>
          <w:color w:val="auto"/>
          <w:sz w:val="24"/>
          <w:szCs w:val="24"/>
          <w:highlight w:val="none"/>
        </w:rPr>
        <w:t xml:space="preserve">1.5.1.7 </w:t>
      </w:r>
      <w:r>
        <w:rPr>
          <w:rStyle w:val="81"/>
          <w:rFonts w:hint="eastAsia" w:ascii="宋体" w:hAnsi="宋体" w:cs="宋体"/>
          <w:color w:val="auto"/>
          <w:sz w:val="24"/>
          <w:szCs w:val="24"/>
          <w:highlight w:val="none"/>
        </w:rPr>
        <w:t>道路照明的维护系数为0.7。</w:t>
      </w:r>
    </w:p>
    <w:p w14:paraId="0E4D9090">
      <w:pPr>
        <w:pStyle w:val="24"/>
        <w:ind w:firstLine="0" w:firstLineChars="0"/>
        <w:rPr>
          <w:rFonts w:hint="eastAsia" w:hAnsi="宋体" w:cs="宋体"/>
          <w:szCs w:val="24"/>
          <w:highlight w:val="none"/>
        </w:rPr>
      </w:pPr>
      <w:bookmarkStart w:id="523" w:name="_Toc460317582"/>
      <w:bookmarkStart w:id="524" w:name="_Toc96633202"/>
      <w:r>
        <w:rPr>
          <w:rStyle w:val="81"/>
          <w:rFonts w:hint="eastAsia" w:ascii="宋体" w:hAnsi="宋体" w:cs="宋体"/>
          <w:sz w:val="24"/>
          <w:szCs w:val="24"/>
          <w:highlight w:val="none"/>
        </w:rPr>
        <w:t>1</w:t>
      </w:r>
      <w:r>
        <w:rPr>
          <w:rStyle w:val="81"/>
          <w:rFonts w:ascii="宋体" w:hAnsi="宋体" w:cs="宋体"/>
          <w:sz w:val="24"/>
          <w:szCs w:val="24"/>
          <w:highlight w:val="none"/>
        </w:rPr>
        <w:t xml:space="preserve">1.5.2 </w:t>
      </w:r>
      <w:r>
        <w:rPr>
          <w:rFonts w:hint="eastAsia" w:hAnsi="宋体" w:cs="宋体"/>
          <w:szCs w:val="24"/>
          <w:highlight w:val="none"/>
        </w:rPr>
        <w:t>光源、灯具选择</w:t>
      </w:r>
      <w:bookmarkEnd w:id="523"/>
      <w:bookmarkEnd w:id="524"/>
    </w:p>
    <w:p w14:paraId="50AFA82E">
      <w:pPr>
        <w:pStyle w:val="24"/>
        <w:ind w:firstLine="0" w:firstLineChars="0"/>
        <w:rPr>
          <w:rFonts w:hint="eastAsia" w:hAnsi="宋体" w:cs="宋体"/>
          <w:szCs w:val="24"/>
          <w:highlight w:val="none"/>
        </w:rPr>
      </w:pPr>
      <w:r>
        <w:rPr>
          <w:rStyle w:val="81"/>
          <w:rFonts w:hint="eastAsia" w:ascii="宋体" w:hAnsi="宋体" w:cs="宋体"/>
          <w:sz w:val="24"/>
          <w:szCs w:val="24"/>
          <w:highlight w:val="none"/>
        </w:rPr>
        <w:t>1</w:t>
      </w:r>
      <w:r>
        <w:rPr>
          <w:rStyle w:val="81"/>
          <w:rFonts w:ascii="宋体" w:hAnsi="宋体" w:cs="宋体"/>
          <w:sz w:val="24"/>
          <w:szCs w:val="24"/>
          <w:highlight w:val="none"/>
        </w:rPr>
        <w:t xml:space="preserve">1.5.2.1 </w:t>
      </w:r>
      <w:r>
        <w:rPr>
          <w:rFonts w:hint="eastAsia" w:hAnsi="宋体" w:cs="宋体"/>
          <w:szCs w:val="24"/>
          <w:highlight w:val="none"/>
        </w:rPr>
        <w:t>光源选择</w:t>
      </w:r>
    </w:p>
    <w:p w14:paraId="7DD3BDC3">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城市道路路灯采用LED光源，色温宜在3000K～4000K间，平均显色指数Ra≥75。</w:t>
      </w:r>
    </w:p>
    <w:p w14:paraId="3F23D814">
      <w:pPr>
        <w:pStyle w:val="24"/>
        <w:ind w:firstLine="0" w:firstLineChars="0"/>
        <w:rPr>
          <w:rFonts w:hint="eastAsia" w:hAnsi="宋体" w:cs="宋体"/>
          <w:szCs w:val="24"/>
          <w:highlight w:val="none"/>
        </w:rPr>
      </w:pPr>
      <w:r>
        <w:rPr>
          <w:rStyle w:val="81"/>
          <w:rFonts w:hint="eastAsia" w:ascii="宋体" w:hAnsi="宋体" w:cs="宋体"/>
          <w:sz w:val="24"/>
          <w:szCs w:val="24"/>
          <w:highlight w:val="none"/>
        </w:rPr>
        <w:t>1</w:t>
      </w:r>
      <w:r>
        <w:rPr>
          <w:rStyle w:val="81"/>
          <w:rFonts w:ascii="宋体" w:hAnsi="宋体" w:cs="宋体"/>
          <w:sz w:val="24"/>
          <w:szCs w:val="24"/>
          <w:highlight w:val="none"/>
        </w:rPr>
        <w:t xml:space="preserve">1.5.2.2 </w:t>
      </w:r>
      <w:r>
        <w:rPr>
          <w:rFonts w:hint="eastAsia" w:hAnsi="宋体" w:cs="宋体"/>
          <w:szCs w:val="24"/>
          <w:highlight w:val="none"/>
        </w:rPr>
        <w:t>灯具选择</w:t>
      </w:r>
    </w:p>
    <w:p w14:paraId="5D254304">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LED路灯灯具平均寿命不低于30000h，灯具防护等级不低于IP65。灯具功率因素不小于0.90。灯具在点燃3000h时，其光通维持率不低于96%；在点燃6000h时，其光通维持率不低于92%。</w:t>
      </w:r>
    </w:p>
    <w:p w14:paraId="7988E2CA">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LED路灯选用分体式道路照明用LED灯具，可替换LED部件或模块光源。</w:t>
      </w:r>
    </w:p>
    <w:p w14:paraId="137166A2">
      <w:pPr>
        <w:pStyle w:val="24"/>
        <w:ind w:firstLine="0" w:firstLineChars="0"/>
        <w:rPr>
          <w:rFonts w:hint="eastAsia" w:hAnsi="宋体" w:cs="宋体"/>
          <w:szCs w:val="24"/>
          <w:highlight w:val="none"/>
        </w:rPr>
      </w:pPr>
      <w:r>
        <w:rPr>
          <w:rStyle w:val="81"/>
          <w:rFonts w:hint="eastAsia" w:ascii="宋体" w:hAnsi="宋体" w:cs="宋体"/>
          <w:sz w:val="24"/>
          <w:szCs w:val="24"/>
          <w:highlight w:val="none"/>
        </w:rPr>
        <w:t>1</w:t>
      </w:r>
      <w:r>
        <w:rPr>
          <w:rStyle w:val="81"/>
          <w:rFonts w:ascii="宋体" w:hAnsi="宋体" w:cs="宋体"/>
          <w:sz w:val="24"/>
          <w:szCs w:val="24"/>
          <w:highlight w:val="none"/>
        </w:rPr>
        <w:t xml:space="preserve">1.5.2.3 </w:t>
      </w:r>
      <w:r>
        <w:rPr>
          <w:rFonts w:hint="eastAsia" w:hAnsi="宋体" w:cs="宋体"/>
          <w:szCs w:val="24"/>
          <w:highlight w:val="none"/>
        </w:rPr>
        <w:t>灯杆选择</w:t>
      </w:r>
    </w:p>
    <w:p w14:paraId="007B0316">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灯杆材料选用优质高强度热扎卷板结钢材，材质为Q235低碳钢及同等级以上。</w:t>
      </w:r>
    </w:p>
    <w:p w14:paraId="0A32193E">
      <w:pPr>
        <w:pStyle w:val="24"/>
        <w:ind w:firstLine="0" w:firstLineChars="0"/>
        <w:rPr>
          <w:rFonts w:hint="eastAsia" w:hAnsi="宋体" w:cs="宋体"/>
          <w:szCs w:val="24"/>
          <w:highlight w:val="none"/>
        </w:rPr>
      </w:pPr>
      <w:bookmarkStart w:id="525" w:name="_Toc23346179"/>
      <w:r>
        <w:rPr>
          <w:rStyle w:val="81"/>
          <w:rFonts w:hint="eastAsia" w:ascii="宋体" w:hAnsi="宋体" w:cs="宋体"/>
          <w:sz w:val="24"/>
          <w:szCs w:val="24"/>
          <w:highlight w:val="none"/>
        </w:rPr>
        <w:t>1</w:t>
      </w:r>
      <w:r>
        <w:rPr>
          <w:rStyle w:val="81"/>
          <w:rFonts w:ascii="宋体" w:hAnsi="宋体" w:cs="宋体"/>
          <w:sz w:val="24"/>
          <w:szCs w:val="24"/>
          <w:highlight w:val="none"/>
        </w:rPr>
        <w:t xml:space="preserve">1.5.2.4 </w:t>
      </w:r>
      <w:r>
        <w:rPr>
          <w:rFonts w:hint="eastAsia" w:hAnsi="宋体" w:cs="宋体"/>
          <w:szCs w:val="24"/>
          <w:highlight w:val="none"/>
        </w:rPr>
        <w:t>照明方案</w:t>
      </w:r>
    </w:p>
    <w:bookmarkEnd w:id="525"/>
    <w:p w14:paraId="3EFF267B">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结合道路和场所的特点及照明要求，选择合适的照明方式。</w:t>
      </w:r>
    </w:p>
    <w:p w14:paraId="5D74228C">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为方便管理，路灯高度建议采用8m、10m、12m、13m、14m（路口灯不超过15m）。大型道路交叉口可采用投光灯照明形式。</w:t>
      </w:r>
    </w:p>
    <w:p w14:paraId="4B5E3F8F">
      <w:pPr>
        <w:pStyle w:val="24"/>
        <w:ind w:firstLine="0" w:firstLineChars="0"/>
        <w:rPr>
          <w:rFonts w:hint="eastAsia" w:hAnsi="宋体" w:cs="宋体"/>
          <w:szCs w:val="24"/>
          <w:highlight w:val="none"/>
        </w:rPr>
      </w:pPr>
      <w:bookmarkStart w:id="526" w:name="_Toc96633203"/>
      <w:r>
        <w:rPr>
          <w:rStyle w:val="81"/>
          <w:rFonts w:hint="eastAsia" w:ascii="宋体" w:hAnsi="宋体" w:cs="宋体"/>
          <w:sz w:val="24"/>
          <w:szCs w:val="24"/>
          <w:highlight w:val="none"/>
        </w:rPr>
        <w:t>1</w:t>
      </w:r>
      <w:r>
        <w:rPr>
          <w:rStyle w:val="81"/>
          <w:rFonts w:ascii="宋体" w:hAnsi="宋体" w:cs="宋体"/>
          <w:sz w:val="24"/>
          <w:szCs w:val="24"/>
          <w:highlight w:val="none"/>
        </w:rPr>
        <w:t xml:space="preserve">1.5.3 </w:t>
      </w:r>
      <w:r>
        <w:rPr>
          <w:rFonts w:hint="eastAsia" w:hAnsi="宋体" w:cs="宋体"/>
          <w:szCs w:val="24"/>
          <w:highlight w:val="none"/>
        </w:rPr>
        <w:t>照明供电</w:t>
      </w:r>
      <w:bookmarkEnd w:id="526"/>
      <w:r>
        <w:rPr>
          <w:rStyle w:val="81"/>
          <w:rFonts w:hint="eastAsia" w:ascii="宋体" w:hAnsi="宋体" w:cs="宋体"/>
          <w:sz w:val="24"/>
          <w:szCs w:val="24"/>
          <w:highlight w:val="none"/>
        </w:rPr>
        <w:t>1</w:t>
      </w:r>
      <w:r>
        <w:rPr>
          <w:rStyle w:val="81"/>
          <w:rFonts w:ascii="宋体" w:hAnsi="宋体" w:cs="宋体"/>
          <w:sz w:val="24"/>
          <w:szCs w:val="24"/>
          <w:highlight w:val="none"/>
        </w:rPr>
        <w:t xml:space="preserve">1.5.3.1 </w:t>
      </w:r>
      <w:r>
        <w:rPr>
          <w:rFonts w:hint="eastAsia" w:hAnsi="宋体" w:cs="宋体"/>
          <w:szCs w:val="24"/>
          <w:highlight w:val="none"/>
        </w:rPr>
        <w:t>道路照明设置路灯箱变供电，电源从就近的10kV开关房或公变环网点引来，变压器的负荷率不宜大于75%。</w:t>
      </w:r>
    </w:p>
    <w:p w14:paraId="79B91D99">
      <w:pPr>
        <w:pStyle w:val="24"/>
        <w:ind w:firstLine="0" w:firstLineChars="0"/>
        <w:rPr>
          <w:rFonts w:hint="eastAsia" w:hAnsi="宋体" w:cs="宋体"/>
          <w:szCs w:val="24"/>
          <w:highlight w:val="none"/>
        </w:rPr>
      </w:pPr>
      <w:r>
        <w:rPr>
          <w:rStyle w:val="81"/>
          <w:rFonts w:hint="eastAsia" w:ascii="宋体" w:hAnsi="宋体" w:cs="宋体"/>
          <w:sz w:val="24"/>
          <w:szCs w:val="24"/>
          <w:highlight w:val="none"/>
        </w:rPr>
        <w:t>1</w:t>
      </w:r>
      <w:r>
        <w:rPr>
          <w:rStyle w:val="81"/>
          <w:rFonts w:ascii="宋体" w:hAnsi="宋体" w:cs="宋体"/>
          <w:sz w:val="24"/>
          <w:szCs w:val="24"/>
          <w:highlight w:val="none"/>
        </w:rPr>
        <w:t xml:space="preserve">1.5.3.2 </w:t>
      </w:r>
      <w:r>
        <w:rPr>
          <w:rFonts w:hint="eastAsia" w:hAnsi="宋体" w:cs="宋体"/>
          <w:szCs w:val="24"/>
          <w:highlight w:val="none"/>
        </w:rPr>
        <w:t>变压器应预留交通及监控信号（5kW），公交站广告（5kW/个），厕所（3kW/个）园林等用电负荷。</w:t>
      </w:r>
    </w:p>
    <w:p w14:paraId="4DB16FD1">
      <w:pPr>
        <w:pStyle w:val="24"/>
        <w:ind w:firstLine="0" w:firstLineChars="0"/>
        <w:rPr>
          <w:rFonts w:hint="eastAsia" w:hAnsi="宋体" w:cs="宋体"/>
          <w:szCs w:val="24"/>
          <w:highlight w:val="none"/>
        </w:rPr>
      </w:pPr>
      <w:r>
        <w:rPr>
          <w:rStyle w:val="81"/>
          <w:rFonts w:hint="eastAsia" w:ascii="宋体" w:hAnsi="宋体" w:cs="宋体"/>
          <w:sz w:val="24"/>
          <w:szCs w:val="24"/>
          <w:highlight w:val="none"/>
        </w:rPr>
        <w:t>1</w:t>
      </w:r>
      <w:r>
        <w:rPr>
          <w:rStyle w:val="81"/>
          <w:rFonts w:ascii="宋体" w:hAnsi="宋体" w:cs="宋体"/>
          <w:sz w:val="24"/>
          <w:szCs w:val="24"/>
          <w:highlight w:val="none"/>
        </w:rPr>
        <w:t xml:space="preserve">1.5.3.3 </w:t>
      </w:r>
      <w:r>
        <w:rPr>
          <w:rFonts w:hint="eastAsia" w:hAnsi="宋体" w:cs="宋体"/>
          <w:szCs w:val="24"/>
          <w:highlight w:val="none"/>
        </w:rPr>
        <w:t>低压供电半径不宜大于1000m，正常运行情况下，照明灯具端电压应为额定电压的90%～105%。</w:t>
      </w:r>
    </w:p>
    <w:p w14:paraId="2B1B7ADF">
      <w:pPr>
        <w:pStyle w:val="24"/>
        <w:ind w:firstLine="0" w:firstLineChars="0"/>
        <w:rPr>
          <w:rFonts w:hint="eastAsia" w:hAnsi="宋体" w:cs="宋体"/>
          <w:szCs w:val="24"/>
          <w:highlight w:val="none"/>
        </w:rPr>
      </w:pPr>
      <w:bookmarkStart w:id="527" w:name="_Toc96633204"/>
      <w:r>
        <w:rPr>
          <w:rStyle w:val="81"/>
          <w:rFonts w:hint="eastAsia" w:ascii="宋体" w:hAnsi="宋体" w:cs="宋体"/>
          <w:sz w:val="24"/>
          <w:szCs w:val="24"/>
          <w:highlight w:val="none"/>
        </w:rPr>
        <w:t>1</w:t>
      </w:r>
      <w:r>
        <w:rPr>
          <w:rStyle w:val="81"/>
          <w:rFonts w:ascii="宋体" w:hAnsi="宋体" w:cs="宋体"/>
          <w:sz w:val="24"/>
          <w:szCs w:val="24"/>
          <w:highlight w:val="none"/>
        </w:rPr>
        <w:t xml:space="preserve">1.5.4 </w:t>
      </w:r>
      <w:r>
        <w:rPr>
          <w:rFonts w:hint="eastAsia" w:hAnsi="宋体" w:cs="宋体"/>
          <w:szCs w:val="24"/>
          <w:highlight w:val="none"/>
        </w:rPr>
        <w:t>照明保护及控制</w:t>
      </w:r>
      <w:bookmarkEnd w:id="527"/>
    </w:p>
    <w:p w14:paraId="58457D99">
      <w:pPr>
        <w:pStyle w:val="24"/>
        <w:ind w:firstLine="0" w:firstLineChars="0"/>
        <w:rPr>
          <w:rFonts w:hint="eastAsia" w:hAnsi="宋体" w:cs="宋体"/>
          <w:szCs w:val="24"/>
          <w:highlight w:val="none"/>
        </w:rPr>
      </w:pPr>
      <w:r>
        <w:rPr>
          <w:rStyle w:val="81"/>
          <w:rFonts w:hint="eastAsia" w:ascii="宋体" w:hAnsi="宋体" w:cs="宋体"/>
          <w:sz w:val="24"/>
          <w:szCs w:val="24"/>
          <w:highlight w:val="none"/>
        </w:rPr>
        <w:t>1</w:t>
      </w:r>
      <w:r>
        <w:rPr>
          <w:rStyle w:val="81"/>
          <w:rFonts w:ascii="宋体" w:hAnsi="宋体" w:cs="宋体"/>
          <w:sz w:val="24"/>
          <w:szCs w:val="24"/>
          <w:highlight w:val="none"/>
        </w:rPr>
        <w:t xml:space="preserve">1.5.4.1 </w:t>
      </w:r>
      <w:r>
        <w:rPr>
          <w:rFonts w:hint="eastAsia" w:hAnsi="宋体" w:cs="宋体"/>
          <w:szCs w:val="24"/>
          <w:highlight w:val="none"/>
        </w:rPr>
        <w:t>采用30mA的漏电微断开关，对路灯进行单灯保护。</w:t>
      </w:r>
    </w:p>
    <w:p w14:paraId="7CF04672">
      <w:pPr>
        <w:pStyle w:val="24"/>
        <w:ind w:firstLine="0" w:firstLineChars="0"/>
        <w:rPr>
          <w:rFonts w:hint="eastAsia" w:hAnsi="宋体" w:cs="宋体"/>
          <w:szCs w:val="24"/>
          <w:highlight w:val="none"/>
        </w:rPr>
      </w:pPr>
      <w:r>
        <w:rPr>
          <w:rStyle w:val="81"/>
          <w:rFonts w:hint="eastAsia" w:ascii="宋体" w:hAnsi="宋体" w:cs="宋体"/>
          <w:sz w:val="24"/>
          <w:szCs w:val="24"/>
          <w:highlight w:val="none"/>
        </w:rPr>
        <w:t>1</w:t>
      </w:r>
      <w:r>
        <w:rPr>
          <w:rStyle w:val="81"/>
          <w:rFonts w:ascii="宋体" w:hAnsi="宋体" w:cs="宋体"/>
          <w:sz w:val="24"/>
          <w:szCs w:val="24"/>
          <w:highlight w:val="none"/>
        </w:rPr>
        <w:t xml:space="preserve">1.5.4.2 </w:t>
      </w:r>
      <w:r>
        <w:rPr>
          <w:rFonts w:hint="eastAsia" w:hAnsi="宋体" w:cs="宋体"/>
          <w:szCs w:val="24"/>
          <w:highlight w:val="none"/>
        </w:rPr>
        <w:t>LED路灯灯具应自带芯片控制器，可关闭部分或全部LED模块，灯具加装单灯控制器。</w:t>
      </w:r>
    </w:p>
    <w:p w14:paraId="28CB8AE3">
      <w:pPr>
        <w:pStyle w:val="24"/>
        <w:ind w:firstLine="0" w:firstLineChars="0"/>
        <w:rPr>
          <w:rFonts w:hint="eastAsia" w:hAnsi="宋体" w:cs="宋体"/>
          <w:szCs w:val="24"/>
          <w:highlight w:val="none"/>
        </w:rPr>
      </w:pPr>
      <w:bookmarkStart w:id="528" w:name="_Toc96633205"/>
      <w:r>
        <w:rPr>
          <w:rStyle w:val="81"/>
          <w:rFonts w:hint="eastAsia" w:ascii="宋体" w:hAnsi="宋体" w:cs="宋体"/>
          <w:sz w:val="24"/>
          <w:szCs w:val="24"/>
          <w:highlight w:val="none"/>
        </w:rPr>
        <w:t>1</w:t>
      </w:r>
      <w:r>
        <w:rPr>
          <w:rStyle w:val="81"/>
          <w:rFonts w:ascii="宋体" w:hAnsi="宋体" w:cs="宋体"/>
          <w:sz w:val="24"/>
          <w:szCs w:val="24"/>
          <w:highlight w:val="none"/>
        </w:rPr>
        <w:t xml:space="preserve">1.5.5 </w:t>
      </w:r>
      <w:r>
        <w:rPr>
          <w:rFonts w:hint="eastAsia" w:hAnsi="宋体" w:cs="宋体"/>
          <w:szCs w:val="24"/>
          <w:highlight w:val="none"/>
        </w:rPr>
        <w:t>线路敷设</w:t>
      </w:r>
      <w:bookmarkEnd w:id="528"/>
    </w:p>
    <w:p w14:paraId="239BE987">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路灯供电线路穿HDPE-R90管保护，壁厚5mm，直埋敷设于人行道下，埋深H≥0.5m。绿化带下或过马路采用缠绕型玻璃钢管，埋深H≥0.7m，并在两端设置拉线手井。</w:t>
      </w:r>
    </w:p>
    <w:p w14:paraId="2F5AA953">
      <w:pPr>
        <w:pStyle w:val="24"/>
        <w:ind w:firstLine="0" w:firstLineChars="0"/>
        <w:rPr>
          <w:rFonts w:hint="eastAsia" w:hAnsi="宋体" w:cs="宋体"/>
          <w:szCs w:val="24"/>
          <w:highlight w:val="none"/>
        </w:rPr>
      </w:pPr>
      <w:bookmarkStart w:id="529" w:name="_Toc96633206"/>
      <w:r>
        <w:rPr>
          <w:rStyle w:val="81"/>
          <w:rFonts w:hint="eastAsia" w:ascii="宋体" w:hAnsi="宋体" w:cs="宋体"/>
          <w:sz w:val="24"/>
          <w:szCs w:val="24"/>
          <w:highlight w:val="none"/>
        </w:rPr>
        <w:t>1</w:t>
      </w:r>
      <w:r>
        <w:rPr>
          <w:rStyle w:val="81"/>
          <w:rFonts w:ascii="宋体" w:hAnsi="宋体" w:cs="宋体"/>
          <w:sz w:val="24"/>
          <w:szCs w:val="24"/>
          <w:highlight w:val="none"/>
        </w:rPr>
        <w:t xml:space="preserve">1.5.6 </w:t>
      </w:r>
      <w:r>
        <w:rPr>
          <w:rFonts w:hint="eastAsia" w:hAnsi="宋体" w:cs="宋体"/>
          <w:szCs w:val="24"/>
          <w:highlight w:val="none"/>
        </w:rPr>
        <w:t>防雷与接地</w:t>
      </w:r>
      <w:bookmarkEnd w:id="529"/>
    </w:p>
    <w:p w14:paraId="441EA15B">
      <w:pPr>
        <w:pStyle w:val="24"/>
        <w:ind w:firstLine="0" w:firstLineChars="0"/>
        <w:rPr>
          <w:rFonts w:hint="eastAsia" w:hAnsi="宋体" w:cs="宋体"/>
          <w:szCs w:val="24"/>
          <w:highlight w:val="none"/>
        </w:rPr>
      </w:pPr>
      <w:r>
        <w:rPr>
          <w:highlight w:val="none"/>
        </w:rPr>
        <w:t xml:space="preserve">11.5.6.1 </w:t>
      </w:r>
      <w:r>
        <w:rPr>
          <w:rFonts w:hint="eastAsia" w:hAnsi="宋体" w:cs="宋体"/>
          <w:szCs w:val="24"/>
          <w:highlight w:val="none"/>
        </w:rPr>
        <w:t>道路照明配电系统的变压器中性点工作接地接地电阻不应大于4欧姆。</w:t>
      </w:r>
    </w:p>
    <w:p w14:paraId="6620EF7B">
      <w:pPr>
        <w:pStyle w:val="24"/>
        <w:ind w:firstLine="0" w:firstLineChars="0"/>
        <w:rPr>
          <w:rFonts w:hint="eastAsia" w:hAnsi="宋体" w:cs="宋体"/>
          <w:szCs w:val="24"/>
          <w:highlight w:val="none"/>
        </w:rPr>
      </w:pPr>
      <w:r>
        <w:rPr>
          <w:rFonts w:hint="eastAsia"/>
          <w:highlight w:val="none"/>
        </w:rPr>
        <w:t>1</w:t>
      </w:r>
      <w:r>
        <w:rPr>
          <w:highlight w:val="none"/>
        </w:rPr>
        <w:t xml:space="preserve">1.5.6.2 </w:t>
      </w:r>
      <w:r>
        <w:rPr>
          <w:rFonts w:hint="eastAsia" w:hAnsi="宋体" w:cs="宋体"/>
          <w:szCs w:val="24"/>
          <w:highlight w:val="none"/>
        </w:rPr>
        <w:t>道路照明配电系统的接地形式宜选用TT接地系统，沿灯杆配电电缆通长敷设φ12的热镀锌圆钢作为道路照明接地干线,并与灯杆基础主钢筋及灯杆地脚螺栓等金属构件焊接连通,保护接地与电源工作接地分隔。</w:t>
      </w:r>
    </w:p>
    <w:p w14:paraId="18903035">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530" w:name="_Toc10518"/>
      <w:bookmarkStart w:id="531" w:name="_Toc96633207"/>
      <w:bookmarkStart w:id="532" w:name="_Toc22995"/>
      <w:bookmarkStart w:id="533" w:name="_Toc2984"/>
      <w:bookmarkStart w:id="534" w:name="_Toc104581780"/>
      <w:r>
        <w:rPr>
          <w:rFonts w:hint="eastAsia" w:ascii="宋体" w:hAnsi="宋体" w:eastAsia="宋体" w:cs="宋体"/>
          <w:color w:val="auto"/>
          <w:sz w:val="24"/>
          <w:szCs w:val="24"/>
          <w:highlight w:val="none"/>
        </w:rPr>
        <w:t>11.6 电力电信缆线管廊设计</w:t>
      </w:r>
      <w:bookmarkEnd w:id="530"/>
      <w:bookmarkEnd w:id="531"/>
      <w:bookmarkEnd w:id="532"/>
      <w:bookmarkEnd w:id="533"/>
      <w:bookmarkEnd w:id="534"/>
    </w:p>
    <w:p w14:paraId="6E9611A8">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10kV电力电缆及电信线缆主要采用缆线管廊合建，土建条件不允许时可分开建设。缆线管廊主要纳入电力10kV电缆和通信线缆，管线的规模以供电局及通讯局批复为准。</w:t>
      </w:r>
    </w:p>
    <w:p w14:paraId="0E3040E9">
      <w:pPr>
        <w:pStyle w:val="24"/>
        <w:ind w:firstLine="0" w:firstLineChars="0"/>
        <w:rPr>
          <w:rFonts w:hint="eastAsia" w:hAnsi="宋体" w:cs="宋体"/>
          <w:szCs w:val="24"/>
          <w:highlight w:val="none"/>
        </w:rPr>
      </w:pPr>
      <w:bookmarkStart w:id="535" w:name="_Toc96633208"/>
      <w:r>
        <w:rPr>
          <w:rFonts w:hint="eastAsia"/>
          <w:highlight w:val="none"/>
        </w:rPr>
        <w:t>1</w:t>
      </w:r>
      <w:r>
        <w:rPr>
          <w:highlight w:val="none"/>
        </w:rPr>
        <w:t xml:space="preserve">1.6.1 </w:t>
      </w:r>
      <w:r>
        <w:rPr>
          <w:rFonts w:hint="eastAsia" w:hAnsi="宋体" w:cs="宋体"/>
          <w:szCs w:val="24"/>
          <w:highlight w:val="none"/>
        </w:rPr>
        <w:t>缆线管廊设计</w:t>
      </w:r>
      <w:bookmarkEnd w:id="535"/>
    </w:p>
    <w:p w14:paraId="6C36ED41">
      <w:pPr>
        <w:pStyle w:val="24"/>
        <w:ind w:firstLine="0" w:firstLineChars="0"/>
        <w:rPr>
          <w:rFonts w:hint="eastAsia" w:hAnsi="宋体" w:cs="宋体"/>
          <w:szCs w:val="24"/>
          <w:highlight w:val="none"/>
        </w:rPr>
      </w:pPr>
      <w:r>
        <w:rPr>
          <w:rFonts w:hAnsi="宋体" w:cs="宋体"/>
          <w:szCs w:val="24"/>
          <w:highlight w:val="none"/>
        </w:rPr>
        <w:t xml:space="preserve">11.6.1.1 </w:t>
      </w:r>
      <w:r>
        <w:rPr>
          <w:rFonts w:hint="eastAsia" w:hAnsi="宋体" w:cs="宋体"/>
          <w:szCs w:val="24"/>
          <w:highlight w:val="none"/>
        </w:rPr>
        <w:t>缆线管廊分为电力舱及通信舱，通过钢筋混凝土墙隔离。电力舱布置在道路内侧，通信舱布置在道路外侧。</w:t>
      </w:r>
    </w:p>
    <w:p w14:paraId="1238C2D0">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1.6.1.2 </w:t>
      </w:r>
      <w:r>
        <w:rPr>
          <w:rFonts w:hint="eastAsia" w:hAnsi="宋体" w:cs="宋体"/>
          <w:szCs w:val="24"/>
          <w:highlight w:val="none"/>
        </w:rPr>
        <w:t>缆线管廊采用钢筋混凝土结构，电力舱支架采用复合材料支架，通信舱采用φ110PVC管，壁厚为5mm。</w:t>
      </w:r>
    </w:p>
    <w:p w14:paraId="26966421">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1.6.1.3 </w:t>
      </w:r>
      <w:r>
        <w:rPr>
          <w:rFonts w:hint="eastAsia" w:hAnsi="宋体" w:cs="宋体"/>
          <w:szCs w:val="24"/>
          <w:highlight w:val="none"/>
        </w:rPr>
        <w:t>缆线管廊过桥段措施：</w:t>
      </w:r>
    </w:p>
    <w:p w14:paraId="728C1329">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1.6.1.4 10kV电力电缆缆过桥时采用HDPE排管敷设，壁厚为8mm；电信电缆过桥时采用φ110PVC排管敷设，壁厚为5mm，敷设于人行道盖板下，两者之间的距离为500mm；条件受限时，可在电力电缆与通信管线间设置隔离措施。</w:t>
      </w:r>
      <w:r>
        <w:rPr>
          <w:rFonts w:hint="eastAsia" w:hAnsi="宋体" w:cs="宋体"/>
          <w:szCs w:val="24"/>
          <w:highlight w:val="none"/>
        </w:rPr>
        <w:t>缆线管廊的出线：</w:t>
      </w:r>
    </w:p>
    <w:p w14:paraId="02C80F8C">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电力电缆向道路外侧出线时，外侧通信舱局部截面形状可渐变为扁矩形，且应下沉设置。</w:t>
      </w:r>
    </w:p>
    <w:p w14:paraId="500926E1">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缆线管廊向道路对侧出线时，应设置下穿道路结构，下穿道路结构宜采用缆线管廊、钢管等结构形式，且应能承受道路大修施工荷载。</w:t>
      </w:r>
    </w:p>
    <w:p w14:paraId="0A25685A">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缆线管廊宜布置在道路东（南）侧，在人行道下敷设，埋深不小于0.25米。</w:t>
      </w:r>
    </w:p>
    <w:p w14:paraId="5820EA4F">
      <w:pPr>
        <w:pStyle w:val="24"/>
        <w:ind w:firstLine="0" w:firstLineChars="0"/>
        <w:rPr>
          <w:rFonts w:hint="eastAsia" w:hAnsi="宋体" w:cs="宋体"/>
          <w:szCs w:val="24"/>
          <w:highlight w:val="none"/>
        </w:rPr>
      </w:pPr>
      <w:r>
        <w:rPr>
          <w:rFonts w:hint="eastAsia"/>
          <w:highlight w:val="none"/>
        </w:rPr>
        <w:t>1</w:t>
      </w:r>
      <w:r>
        <w:rPr>
          <w:highlight w:val="none"/>
        </w:rPr>
        <w:t xml:space="preserve">1.6.2 </w:t>
      </w:r>
      <w:r>
        <w:rPr>
          <w:rFonts w:hAnsi="宋体" w:cs="宋体"/>
          <w:szCs w:val="24"/>
          <w:highlight w:val="none"/>
        </w:rPr>
        <w:t>10kV电力电缆及电信线缆可分开建设，分开建设时的线缆的敷设方式以供电局及通信局批复为准，10kV电力电缆可采用φ200HDPE排管敷设，人行道壁厚为8mm，车行道壁厚为10mm；通信管采用φ110PVC管排管敷设，壁厚为5mm。</w:t>
      </w:r>
      <w:bookmarkStart w:id="536" w:name="_Toc96633209"/>
      <w:r>
        <w:rPr>
          <w:rFonts w:hint="eastAsia" w:hAnsi="宋体" w:cs="宋体"/>
          <w:szCs w:val="24"/>
          <w:highlight w:val="none"/>
        </w:rPr>
        <w:t>工井及标志牌的设置</w:t>
      </w:r>
      <w:bookmarkEnd w:id="536"/>
    </w:p>
    <w:p w14:paraId="01C9B996">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1.6.2.1 </w:t>
      </w:r>
      <w:r>
        <w:rPr>
          <w:rFonts w:hint="eastAsia" w:hAnsi="宋体" w:cs="宋体"/>
          <w:szCs w:val="24"/>
          <w:highlight w:val="none"/>
        </w:rPr>
        <w:t>缆线管廊直线段每隔50米设置一个工井，电缆在工井内敷设时须在支架上固定。</w:t>
      </w:r>
    </w:p>
    <w:p w14:paraId="32E15DA6">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1.6.2.2 </w:t>
      </w:r>
      <w:r>
        <w:rPr>
          <w:rFonts w:hint="eastAsia" w:hAnsi="宋体" w:cs="宋体"/>
          <w:szCs w:val="24"/>
          <w:highlight w:val="none"/>
        </w:rPr>
        <w:t>缆线管廊直线段每隔200m左右宜设置一处横过道路的相同容量的电缆电信排管，排管两侧需设工井；在交叉路口(道路等级不低于工程路段)处，应设置横过路口的相同容量的电缆电信排管，排管两侧需设工井。</w:t>
      </w:r>
    </w:p>
    <w:p w14:paraId="0AD27EF4">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1.6.2.3 </w:t>
      </w:r>
      <w:r>
        <w:rPr>
          <w:rFonts w:hint="eastAsia" w:hAnsi="宋体" w:cs="宋体"/>
          <w:szCs w:val="24"/>
          <w:highlight w:val="none"/>
        </w:rPr>
        <w:t>在人行道及行车路面上，沿排管走向每隔10m设置一组不锈钢电缆、电信标志牌；在泥土地面或绿化带，沿排管走向每隔20m设置一个水泥电缆电信标志桩。</w:t>
      </w:r>
    </w:p>
    <w:p w14:paraId="485D125C">
      <w:pPr>
        <w:pStyle w:val="24"/>
        <w:ind w:firstLine="0" w:firstLineChars="0"/>
        <w:rPr>
          <w:rFonts w:hint="eastAsia" w:hAnsi="宋体" w:cs="宋体"/>
          <w:szCs w:val="24"/>
          <w:highlight w:val="none"/>
        </w:rPr>
      </w:pPr>
      <w:bookmarkStart w:id="537" w:name="_Toc96633210"/>
      <w:r>
        <w:rPr>
          <w:rFonts w:hint="eastAsia"/>
          <w:highlight w:val="none"/>
        </w:rPr>
        <w:t>1</w:t>
      </w:r>
      <w:r>
        <w:rPr>
          <w:highlight w:val="none"/>
        </w:rPr>
        <w:t xml:space="preserve">1.6.3 </w:t>
      </w:r>
      <w:r>
        <w:rPr>
          <w:rFonts w:hint="eastAsia" w:hAnsi="宋体" w:cs="宋体"/>
          <w:szCs w:val="24"/>
          <w:highlight w:val="none"/>
        </w:rPr>
        <w:t>接地系统</w:t>
      </w:r>
      <w:bookmarkEnd w:id="537"/>
    </w:p>
    <w:p w14:paraId="35962458">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1.6.3.1 </w:t>
      </w:r>
      <w:r>
        <w:rPr>
          <w:rFonts w:hint="eastAsia" w:hAnsi="宋体" w:cs="宋体"/>
          <w:szCs w:val="24"/>
          <w:highlight w:val="none"/>
        </w:rPr>
        <w:t>缆线管廊应设置接地系统，包括接地线、接地网和接地极。接地线采用-25mmx4mm镀锌扁钢，专用接地线在电力舱内沿纵向通长布置，接地线应与电缆金属支架及工作井内的所有金属构件焊接连通。接地网采用φ10mm镀锌圆钢，接地极设置在接头井、人孔位置，采用长2500mm的L50X5镀锌角钢垂直打入地下(其顶部距离电缆沟底部埋深0.8米)，并与纵向专用水平接地线焊接连通。</w:t>
      </w:r>
    </w:p>
    <w:p w14:paraId="5BFD2466">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1.6.3.2 </w:t>
      </w:r>
      <w:r>
        <w:rPr>
          <w:rFonts w:hint="eastAsia" w:hAnsi="宋体" w:cs="宋体"/>
          <w:szCs w:val="24"/>
          <w:highlight w:val="none"/>
        </w:rPr>
        <w:t>缆线管廊的接地电阻应不大于10欧姆，在工作井内设接地电阻测试板。</w:t>
      </w:r>
    </w:p>
    <w:p w14:paraId="196A547E">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1.6.3.3 </w:t>
      </w:r>
      <w:r>
        <w:rPr>
          <w:rFonts w:hint="eastAsia" w:hAnsi="宋体" w:cs="宋体"/>
          <w:szCs w:val="24"/>
          <w:highlight w:val="none"/>
        </w:rPr>
        <w:t>缆线管廊通信舱结构应采用金属网屏蔽，金属网应封闭形成金属网管道，并有效接地。</w:t>
      </w:r>
    </w:p>
    <w:p w14:paraId="1F382DC8">
      <w:pPr>
        <w:pStyle w:val="24"/>
        <w:ind w:firstLine="0" w:firstLineChars="0"/>
        <w:rPr>
          <w:rFonts w:hint="eastAsia" w:hAnsi="宋体" w:cs="宋体"/>
          <w:szCs w:val="24"/>
          <w:highlight w:val="none"/>
        </w:rPr>
      </w:pPr>
      <w:bookmarkStart w:id="538" w:name="_Toc96633211"/>
      <w:r>
        <w:rPr>
          <w:rFonts w:hint="eastAsia"/>
          <w:highlight w:val="none"/>
        </w:rPr>
        <w:t>1</w:t>
      </w:r>
      <w:r>
        <w:rPr>
          <w:highlight w:val="none"/>
        </w:rPr>
        <w:t xml:space="preserve">1.6.4 </w:t>
      </w:r>
      <w:r>
        <w:rPr>
          <w:rFonts w:hint="eastAsia" w:hAnsi="宋体" w:cs="宋体"/>
          <w:szCs w:val="24"/>
          <w:highlight w:val="none"/>
        </w:rPr>
        <w:t>渗排水措施</w:t>
      </w:r>
      <w:bookmarkEnd w:id="538"/>
    </w:p>
    <w:p w14:paraId="49411A7C">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1.6.4.1 </w:t>
      </w:r>
      <w:r>
        <w:rPr>
          <w:rFonts w:hint="eastAsia" w:hAnsi="宋体" w:cs="宋体"/>
          <w:szCs w:val="24"/>
          <w:highlight w:val="none"/>
        </w:rPr>
        <w:t>缆线管廊电力舱底部宜每隔10米设置一个φ200mm的PVC管渗排水孔，管内填粗砂。</w:t>
      </w:r>
    </w:p>
    <w:p w14:paraId="61A1F62A">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1.6.4.2 </w:t>
      </w:r>
      <w:r>
        <w:rPr>
          <w:rFonts w:hint="eastAsia" w:hAnsi="宋体" w:cs="宋体"/>
          <w:szCs w:val="24"/>
          <w:highlight w:val="none"/>
        </w:rPr>
        <w:t>缆线管廊通信舱人孔底部应设置集水坑，坑底应设置与底部土体连通的渗排水孔。</w:t>
      </w:r>
    </w:p>
    <w:p w14:paraId="1D6D9169">
      <w:pPr>
        <w:pStyle w:val="24"/>
        <w:ind w:firstLine="0" w:firstLineChars="0"/>
        <w:rPr>
          <w:rFonts w:hint="eastAsia" w:hAnsi="宋体" w:cs="宋体"/>
          <w:szCs w:val="24"/>
          <w:highlight w:val="none"/>
        </w:rPr>
      </w:pPr>
      <w:bookmarkStart w:id="539" w:name="_Toc96633212"/>
      <w:r>
        <w:rPr>
          <w:rFonts w:hint="eastAsia"/>
          <w:highlight w:val="none"/>
        </w:rPr>
        <w:t>1</w:t>
      </w:r>
      <w:r>
        <w:rPr>
          <w:highlight w:val="none"/>
        </w:rPr>
        <w:t xml:space="preserve">1.6.5 </w:t>
      </w:r>
      <w:r>
        <w:rPr>
          <w:rFonts w:hint="eastAsia" w:hAnsi="宋体" w:cs="宋体"/>
          <w:szCs w:val="24"/>
          <w:highlight w:val="none"/>
        </w:rPr>
        <w:t>不建缆线管廊情况</w:t>
      </w:r>
      <w:bookmarkEnd w:id="539"/>
    </w:p>
    <w:p w14:paraId="0F702F0E">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10kV电力电缆及电信线缆可分开建设，分开建设时的线缆的敷设方式以供电局及通信局批复为准，10kV电力电缆可采用φ200HDPE排管敷设，壁厚为5mm；通信管采用φ110PVC管排管敷设，壁厚为5mm。</w:t>
      </w:r>
    </w:p>
    <w:p w14:paraId="5DC9F19E">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540" w:name="_Toc96633213"/>
      <w:bookmarkStart w:id="541" w:name="_Toc28985"/>
      <w:bookmarkStart w:id="542" w:name="_Toc7242"/>
      <w:bookmarkStart w:id="543" w:name="_Toc12954"/>
      <w:bookmarkStart w:id="544" w:name="_Toc104581781"/>
      <w:r>
        <w:rPr>
          <w:rFonts w:hint="eastAsia" w:ascii="宋体" w:hAnsi="宋体" w:eastAsia="宋体" w:cs="宋体"/>
          <w:color w:val="auto"/>
          <w:sz w:val="24"/>
          <w:szCs w:val="24"/>
          <w:highlight w:val="none"/>
        </w:rPr>
        <w:t>11.7 电缆沟设计</w:t>
      </w:r>
      <w:bookmarkEnd w:id="540"/>
      <w:bookmarkEnd w:id="541"/>
      <w:bookmarkEnd w:id="542"/>
      <w:bookmarkEnd w:id="543"/>
      <w:bookmarkEnd w:id="544"/>
    </w:p>
    <w:p w14:paraId="274729D2">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1.7.1 </w:t>
      </w:r>
      <w:r>
        <w:rPr>
          <w:rFonts w:hint="eastAsia" w:hAnsi="宋体" w:cs="宋体"/>
          <w:szCs w:val="24"/>
          <w:highlight w:val="none"/>
        </w:rPr>
        <w:t>110kV电力管沟采用电缆沟建设模式，布置在道路西（北）侧人行道上，采用钢筋混凝土结构，沟内设不锈钢电缆支架；管线的规模以供电局批复为准。</w:t>
      </w:r>
    </w:p>
    <w:p w14:paraId="701C1495">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1.7.2 </w:t>
      </w:r>
      <w:r>
        <w:rPr>
          <w:rFonts w:hint="eastAsia" w:hAnsi="宋体" w:cs="宋体"/>
          <w:szCs w:val="24"/>
          <w:highlight w:val="none"/>
        </w:rPr>
        <w:t>纵向电力过路管采用φ200HDPE电缆保护管，壁厚5mm，过车行道时需用混凝土包封,过路管覆土深度为1.0米。</w:t>
      </w:r>
    </w:p>
    <w:p w14:paraId="004E9A49">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1.7.3 </w:t>
      </w:r>
      <w:r>
        <w:rPr>
          <w:rFonts w:hint="eastAsia" w:hAnsi="宋体" w:cs="宋体"/>
          <w:szCs w:val="24"/>
          <w:highlight w:val="none"/>
        </w:rPr>
        <w:t>电缆沟通长应设人工水平接地装置，采用-25mmx4mm镀锌扁钢，扁钢截面≥-25mmx4mm，接地装置应与电缆金属支架及工作井内的所有金属构件焊接连通，电缆沟纵向沿线宜每隔30米左右设置一根垂直接地极。接地极采用长2500mm的L50X5角钢垂直打入地下(其顶部距离电缆沟底部埋深0.8米)，并与纵向水平接地装置焊接连通。</w:t>
      </w:r>
    </w:p>
    <w:p w14:paraId="62818343">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1.7.4 </w:t>
      </w:r>
      <w:r>
        <w:rPr>
          <w:rFonts w:hint="eastAsia" w:hAnsi="宋体" w:cs="宋体"/>
          <w:szCs w:val="24"/>
          <w:highlight w:val="none"/>
        </w:rPr>
        <w:t>在设置垂直接地体处，需设置接地测试板，要求系统接地电阻不应大于10欧姆。</w:t>
      </w:r>
    </w:p>
    <w:p w14:paraId="1D9589A5">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1.7.5 </w:t>
      </w:r>
      <w:r>
        <w:rPr>
          <w:rFonts w:hint="eastAsia" w:hAnsi="宋体" w:cs="宋体"/>
          <w:szCs w:val="24"/>
          <w:highlight w:val="none"/>
        </w:rPr>
        <w:t>电缆沟宜每隔60米左右及道路最低点设集水口和排水管。</w:t>
      </w:r>
    </w:p>
    <w:p w14:paraId="0CCE3AD0">
      <w:pPr>
        <w:pStyle w:val="6"/>
        <w:tabs>
          <w:tab w:val="left" w:pos="284"/>
        </w:tabs>
        <w:snapToGrid/>
        <w:spacing w:line="360" w:lineRule="auto"/>
        <w:ind w:firstLine="482" w:firstLineChars="200"/>
        <w:jc w:val="both"/>
        <w:rPr>
          <w:rFonts w:hint="eastAsia" w:ascii="宋体" w:hAnsi="宋体" w:eastAsia="宋体" w:cs="宋体"/>
          <w:color w:val="auto"/>
          <w:sz w:val="24"/>
          <w:szCs w:val="24"/>
          <w:highlight w:val="none"/>
        </w:rPr>
      </w:pPr>
      <w:bookmarkStart w:id="545" w:name="_Toc104581782"/>
      <w:bookmarkStart w:id="546" w:name="_Toc96633214"/>
      <w:bookmarkStart w:id="547" w:name="_Toc15766"/>
      <w:bookmarkStart w:id="548" w:name="_Toc16732"/>
      <w:bookmarkStart w:id="549" w:name="_Toc21138"/>
      <w:r>
        <w:rPr>
          <w:rFonts w:hint="eastAsia" w:ascii="宋体" w:hAnsi="宋体" w:eastAsia="宋体" w:cs="宋体"/>
          <w:color w:val="auto"/>
          <w:sz w:val="24"/>
          <w:szCs w:val="24"/>
          <w:highlight w:val="none"/>
        </w:rPr>
        <w:t>11.8 市政绿化工程</w:t>
      </w:r>
      <w:bookmarkEnd w:id="545"/>
      <w:bookmarkEnd w:id="546"/>
      <w:bookmarkEnd w:id="547"/>
      <w:bookmarkEnd w:id="548"/>
      <w:bookmarkEnd w:id="549"/>
    </w:p>
    <w:p w14:paraId="5EB2F60F">
      <w:pPr>
        <w:pStyle w:val="24"/>
        <w:ind w:firstLine="0" w:firstLineChars="0"/>
        <w:rPr>
          <w:rFonts w:hint="eastAsia" w:hAnsi="宋体" w:cs="宋体"/>
          <w:szCs w:val="24"/>
          <w:highlight w:val="none"/>
        </w:rPr>
      </w:pPr>
      <w:bookmarkStart w:id="550" w:name="_Toc96633215"/>
      <w:r>
        <w:rPr>
          <w:rFonts w:hint="eastAsia" w:hAnsi="宋体" w:cs="宋体"/>
          <w:szCs w:val="24"/>
          <w:highlight w:val="none"/>
        </w:rPr>
        <w:t>1</w:t>
      </w:r>
      <w:r>
        <w:rPr>
          <w:rFonts w:hAnsi="宋体" w:cs="宋体"/>
          <w:szCs w:val="24"/>
          <w:highlight w:val="none"/>
        </w:rPr>
        <w:t xml:space="preserve">1.8.1 </w:t>
      </w:r>
      <w:r>
        <w:rPr>
          <w:rFonts w:hint="eastAsia" w:hAnsi="宋体" w:cs="宋体"/>
          <w:szCs w:val="24"/>
          <w:highlight w:val="none"/>
        </w:rPr>
        <w:t>绿化主要依据</w:t>
      </w:r>
      <w:bookmarkEnd w:id="550"/>
    </w:p>
    <w:p w14:paraId="129675A5">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1.8.1.1 </w:t>
      </w:r>
      <w:r>
        <w:rPr>
          <w:rFonts w:hint="eastAsia" w:hAnsi="宋体" w:cs="宋体"/>
          <w:szCs w:val="24"/>
          <w:highlight w:val="none"/>
        </w:rPr>
        <w:t>《广州市绿化条例》（2012年3月批准2018年11月修订）</w:t>
      </w:r>
    </w:p>
    <w:p w14:paraId="312BE667">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1.8.1.2 </w:t>
      </w:r>
      <w:r>
        <w:rPr>
          <w:rFonts w:hint="eastAsia" w:hAnsi="宋体" w:cs="宋体"/>
          <w:szCs w:val="24"/>
          <w:highlight w:val="none"/>
        </w:rPr>
        <w:t>《广东省城市绿化条例》（2000年1月施行</w:t>
      </w:r>
      <w:r>
        <w:rPr>
          <w:rFonts w:ascii="微软雅黑" w:hAnsi="微软雅黑" w:eastAsia="微软雅黑" w:cs="微软雅黑"/>
          <w:sz w:val="19"/>
          <w:szCs w:val="19"/>
          <w:highlight w:val="none"/>
          <w:shd w:val="clear" w:color="auto" w:fill="FFFFFF"/>
        </w:rPr>
        <w:t> </w:t>
      </w:r>
      <w:r>
        <w:rPr>
          <w:rFonts w:hint="eastAsia" w:hAnsi="宋体" w:cs="宋体"/>
          <w:szCs w:val="24"/>
          <w:highlight w:val="none"/>
        </w:rPr>
        <w:t>2023年11月23日修订）</w:t>
      </w:r>
    </w:p>
    <w:p w14:paraId="7C32BE61">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1.8.1.3 </w:t>
      </w:r>
      <w:r>
        <w:rPr>
          <w:rFonts w:hint="eastAsia" w:hAnsi="宋体" w:cs="宋体"/>
          <w:szCs w:val="24"/>
          <w:highlight w:val="none"/>
        </w:rPr>
        <w:t>《广州市行道树技术工作手册》（广州市林业和园林局2021年11月施行）</w:t>
      </w:r>
    </w:p>
    <w:p w14:paraId="41BE7B96">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1.8.1.4 </w:t>
      </w:r>
      <w:r>
        <w:rPr>
          <w:rFonts w:hint="eastAsia" w:hAnsi="宋体" w:cs="宋体"/>
          <w:szCs w:val="24"/>
          <w:highlight w:val="none"/>
        </w:rPr>
        <w:t>《城市道路绿化规划与设计规范》CJJ75-97（1998年5月施行）</w:t>
      </w:r>
    </w:p>
    <w:p w14:paraId="4397F625">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1.8.1.5 </w:t>
      </w:r>
      <w:r>
        <w:rPr>
          <w:rFonts w:hint="eastAsia" w:hAnsi="宋体" w:cs="宋体"/>
          <w:szCs w:val="24"/>
          <w:highlight w:val="none"/>
        </w:rPr>
        <w:t>《城市绿地设计规范》GB50420-2007（2016年版）</w:t>
      </w:r>
    </w:p>
    <w:p w14:paraId="37CABC50">
      <w:pPr>
        <w:pStyle w:val="24"/>
        <w:ind w:firstLine="0" w:firstLineChars="0"/>
        <w:rPr>
          <w:rFonts w:hint="eastAsia" w:hAnsi="宋体" w:cs="宋体"/>
          <w:szCs w:val="24"/>
          <w:highlight w:val="none"/>
        </w:rPr>
      </w:pPr>
      <w:bookmarkStart w:id="551" w:name="_Toc96633216"/>
      <w:r>
        <w:rPr>
          <w:rFonts w:hint="eastAsia" w:hAnsi="宋体" w:cs="宋体"/>
          <w:szCs w:val="24"/>
          <w:highlight w:val="none"/>
        </w:rPr>
        <w:t>1</w:t>
      </w:r>
      <w:r>
        <w:rPr>
          <w:rFonts w:hAnsi="宋体" w:cs="宋体"/>
          <w:szCs w:val="24"/>
          <w:highlight w:val="none"/>
        </w:rPr>
        <w:t xml:space="preserve">1.8.2 </w:t>
      </w:r>
      <w:r>
        <w:rPr>
          <w:rFonts w:hint="eastAsia" w:hAnsi="宋体" w:cs="宋体"/>
          <w:szCs w:val="24"/>
          <w:highlight w:val="none"/>
        </w:rPr>
        <w:t>绿化设计标准</w:t>
      </w:r>
      <w:bookmarkEnd w:id="551"/>
    </w:p>
    <w:p w14:paraId="77A71EDA">
      <w:pPr>
        <w:pStyle w:val="98"/>
        <w:ind w:firstLine="48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绿化设计强调以“因地制宜，适地适树”为本，全面分析立地条件类型特点，应用本地乡土树种，提高苗木成活率。</w:t>
      </w:r>
    </w:p>
    <w:p w14:paraId="61579092">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1.8.2.1 </w:t>
      </w:r>
      <w:r>
        <w:rPr>
          <w:rFonts w:hint="eastAsia" w:hAnsi="宋体" w:cs="宋体"/>
          <w:szCs w:val="24"/>
          <w:highlight w:val="none"/>
        </w:rPr>
        <w:t>乔木标准</w:t>
      </w:r>
    </w:p>
    <w:p w14:paraId="77522925">
      <w:pPr>
        <w:pStyle w:val="24"/>
        <w:ind w:firstLine="480"/>
        <w:rPr>
          <w:rFonts w:hint="eastAsia" w:hAnsi="宋体" w:cs="宋体"/>
          <w:szCs w:val="24"/>
          <w:highlight w:val="none"/>
        </w:rPr>
      </w:pPr>
      <w:r>
        <w:rPr>
          <w:rFonts w:hint="eastAsia" w:hAnsi="宋体" w:cs="宋体"/>
          <w:szCs w:val="24"/>
          <w:highlight w:val="none"/>
        </w:rPr>
        <w:t>1）胸径：中央绿化带乔木13-15cm，侧绿化带及树池乔木12-13cm，开花小乔木9-10cm</w:t>
      </w:r>
    </w:p>
    <w:p w14:paraId="2601772A">
      <w:pPr>
        <w:pStyle w:val="24"/>
        <w:ind w:firstLine="480"/>
        <w:rPr>
          <w:rFonts w:hint="eastAsia" w:hAnsi="宋体" w:cs="宋体"/>
          <w:szCs w:val="24"/>
          <w:highlight w:val="none"/>
        </w:rPr>
      </w:pPr>
      <w:r>
        <w:rPr>
          <w:rFonts w:hint="eastAsia" w:hAnsi="宋体" w:cs="宋体"/>
          <w:szCs w:val="24"/>
          <w:highlight w:val="none"/>
        </w:rPr>
        <w:t>2）间距：小乔木以6米间隔列植，中大乔木以8米间隔种植。</w:t>
      </w:r>
    </w:p>
    <w:p w14:paraId="21455084">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1.8.2.2 </w:t>
      </w:r>
      <w:r>
        <w:rPr>
          <w:rFonts w:hint="eastAsia" w:hAnsi="宋体" w:cs="宋体"/>
          <w:szCs w:val="24"/>
          <w:highlight w:val="none"/>
        </w:rPr>
        <w:t>中央绿化带</w:t>
      </w:r>
    </w:p>
    <w:p w14:paraId="7B2E8BA6">
      <w:pPr>
        <w:pStyle w:val="24"/>
        <w:ind w:firstLine="480"/>
        <w:rPr>
          <w:rFonts w:hint="eastAsia" w:hAnsi="宋体" w:cs="宋体"/>
          <w:szCs w:val="24"/>
          <w:highlight w:val="none"/>
        </w:rPr>
      </w:pPr>
      <w:r>
        <w:rPr>
          <w:rFonts w:hint="eastAsia" w:hAnsi="宋体" w:cs="宋体"/>
          <w:szCs w:val="24"/>
          <w:highlight w:val="none"/>
        </w:rPr>
        <w:t>1）复层景观式：乔、灌、草组合种植，以常绿乔木为主，营造林荫大道景观，搭配开花乔木。</w:t>
      </w:r>
    </w:p>
    <w:p w14:paraId="43B06C3F">
      <w:pPr>
        <w:pStyle w:val="24"/>
        <w:ind w:firstLine="480"/>
        <w:rPr>
          <w:rFonts w:hint="eastAsia" w:hAnsi="宋体" w:cs="宋体"/>
          <w:szCs w:val="24"/>
          <w:highlight w:val="none"/>
        </w:rPr>
      </w:pPr>
      <w:r>
        <w:rPr>
          <w:rFonts w:hint="eastAsia" w:hAnsi="宋体" w:cs="宋体"/>
          <w:szCs w:val="24"/>
          <w:highlight w:val="none"/>
        </w:rPr>
        <w:t>2）绿化带端头应精细化设计，适当增加时花丰富下层色彩搭配。</w:t>
      </w:r>
    </w:p>
    <w:p w14:paraId="623579FC">
      <w:pPr>
        <w:pStyle w:val="24"/>
        <w:ind w:firstLine="480"/>
        <w:rPr>
          <w:rFonts w:hint="eastAsia" w:hAnsi="宋体" w:cs="宋体"/>
          <w:szCs w:val="24"/>
          <w:highlight w:val="none"/>
        </w:rPr>
      </w:pPr>
      <w:r>
        <w:rPr>
          <w:rFonts w:hint="eastAsia" w:hAnsi="宋体" w:cs="宋体"/>
          <w:szCs w:val="24"/>
          <w:highlight w:val="none"/>
        </w:rPr>
        <w:t>3）应进行微地形设计，高40cm。</w:t>
      </w:r>
    </w:p>
    <w:p w14:paraId="3895B53A">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1.8.2.3 </w:t>
      </w:r>
      <w:r>
        <w:rPr>
          <w:rFonts w:hint="eastAsia" w:hAnsi="宋体" w:cs="宋体"/>
          <w:szCs w:val="24"/>
          <w:highlight w:val="none"/>
        </w:rPr>
        <w:t>侧绿化带</w:t>
      </w:r>
    </w:p>
    <w:p w14:paraId="62565580">
      <w:pPr>
        <w:pStyle w:val="24"/>
        <w:ind w:firstLine="480"/>
        <w:rPr>
          <w:rFonts w:hint="eastAsia" w:hAnsi="宋体" w:cs="宋体"/>
          <w:szCs w:val="24"/>
          <w:highlight w:val="none"/>
        </w:rPr>
      </w:pPr>
      <w:r>
        <w:rPr>
          <w:rFonts w:hint="eastAsia" w:hAnsi="宋体" w:cs="宋体"/>
          <w:szCs w:val="24"/>
          <w:highlight w:val="none"/>
        </w:rPr>
        <w:t>疏林草地式：乔、地被、草皮组合种植，营造干净清爽的景观大道。</w:t>
      </w:r>
    </w:p>
    <w:p w14:paraId="251AEAC4">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1.8.2.4 </w:t>
      </w:r>
      <w:r>
        <w:rPr>
          <w:rFonts w:hint="eastAsia" w:hAnsi="宋体" w:cs="宋体"/>
          <w:szCs w:val="24"/>
          <w:highlight w:val="none"/>
        </w:rPr>
        <w:t>乔木推荐名录详见下表A-1/A-2</w:t>
      </w:r>
    </w:p>
    <w:p w14:paraId="14AD1DD3">
      <w:pPr>
        <w:pStyle w:val="24"/>
        <w:ind w:firstLine="0" w:firstLineChars="0"/>
        <w:rPr>
          <w:rFonts w:hint="eastAsia" w:hAnsi="宋体" w:cs="宋体"/>
          <w:szCs w:val="24"/>
          <w:highlight w:val="none"/>
        </w:rPr>
      </w:pPr>
      <w:r>
        <w:rPr>
          <w:rFonts w:hint="eastAsia" w:hAnsi="宋体" w:cs="宋体"/>
          <w:szCs w:val="24"/>
          <w:highlight w:val="none"/>
        </w:rPr>
        <w:t>1</w:t>
      </w:r>
      <w:r>
        <w:rPr>
          <w:rFonts w:hAnsi="宋体" w:cs="宋体"/>
          <w:szCs w:val="24"/>
          <w:highlight w:val="none"/>
        </w:rPr>
        <w:t xml:space="preserve">1.8.2.5 </w:t>
      </w:r>
      <w:r>
        <w:rPr>
          <w:rFonts w:hint="eastAsia" w:hAnsi="宋体" w:cs="宋体"/>
          <w:szCs w:val="24"/>
          <w:highlight w:val="none"/>
        </w:rPr>
        <w:t>喷淋：中央绿化带及侧绿化带设自动喷淋系统，喷头采用塑料喷头。</w:t>
      </w:r>
    </w:p>
    <w:p w14:paraId="505DD91B">
      <w:pPr>
        <w:pStyle w:val="98"/>
        <w:tabs>
          <w:tab w:val="left" w:pos="1260"/>
        </w:tabs>
        <w:ind w:firstLine="0" w:firstLineChars="0"/>
        <w:rPr>
          <w:rFonts w:hint="eastAsia" w:ascii="宋体" w:hAnsi="宋体" w:cs="宋体"/>
          <w:color w:val="auto"/>
          <w:sz w:val="24"/>
          <w:szCs w:val="24"/>
          <w:highlight w:val="none"/>
        </w:rPr>
      </w:pPr>
      <w:r>
        <w:rPr>
          <w:rFonts w:hint="eastAsia" w:ascii="宋体" w:hAnsi="宋体" w:cs="宋体"/>
          <w:color w:val="auto"/>
          <w:sz w:val="24"/>
          <w:szCs w:val="24"/>
          <w:highlight w:val="none"/>
        </w:rPr>
        <w:drawing>
          <wp:inline distT="0" distB="0" distL="114300" distR="114300">
            <wp:extent cx="5723890" cy="7620000"/>
            <wp:effectExtent l="0" t="0" r="635" b="0"/>
            <wp:docPr id="7" name="图片 7"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2"/>
                    <pic:cNvPicPr>
                      <a:picLocks noChangeAspect="1"/>
                    </pic:cNvPicPr>
                  </pic:nvPicPr>
                  <pic:blipFill>
                    <a:blip r:embed="rId21"/>
                    <a:stretch>
                      <a:fillRect/>
                    </a:stretch>
                  </pic:blipFill>
                  <pic:spPr>
                    <a:xfrm>
                      <a:off x="0" y="0"/>
                      <a:ext cx="5723890" cy="7620000"/>
                    </a:xfrm>
                    <a:prstGeom prst="rect">
                      <a:avLst/>
                    </a:prstGeom>
                  </pic:spPr>
                </pic:pic>
              </a:graphicData>
            </a:graphic>
          </wp:inline>
        </w:drawing>
      </w:r>
    </w:p>
    <w:p w14:paraId="3B5EB627">
      <w:pPr>
        <w:pStyle w:val="98"/>
        <w:ind w:left="1140" w:firstLine="0" w:firstLineChars="0"/>
        <w:rPr>
          <w:rStyle w:val="81"/>
          <w:rFonts w:hint="eastAsia" w:ascii="宋体" w:hAnsi="宋体" w:cs="宋体"/>
          <w:b/>
          <w:color w:val="auto"/>
          <w:sz w:val="24"/>
          <w:szCs w:val="24"/>
          <w:highlight w:val="none"/>
        </w:rPr>
      </w:pPr>
    </w:p>
    <w:p w14:paraId="3B7ECBBD">
      <w:pPr>
        <w:tabs>
          <w:tab w:val="left" w:pos="851"/>
          <w:tab w:val="left" w:pos="993"/>
        </w:tabs>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drawing>
          <wp:inline distT="0" distB="0" distL="114300" distR="114300">
            <wp:extent cx="5653405" cy="7651115"/>
            <wp:effectExtent l="0" t="0" r="4445" b="6985"/>
            <wp:docPr id="8" name="图片 8"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3"/>
                    <pic:cNvPicPr>
                      <a:picLocks noChangeAspect="1"/>
                    </pic:cNvPicPr>
                  </pic:nvPicPr>
                  <pic:blipFill>
                    <a:blip r:embed="rId22"/>
                    <a:stretch>
                      <a:fillRect/>
                    </a:stretch>
                  </pic:blipFill>
                  <pic:spPr>
                    <a:xfrm>
                      <a:off x="0" y="0"/>
                      <a:ext cx="5653405" cy="7651115"/>
                    </a:xfrm>
                    <a:prstGeom prst="rect">
                      <a:avLst/>
                    </a:prstGeom>
                  </pic:spPr>
                </pic:pic>
              </a:graphicData>
            </a:graphic>
          </wp:inline>
        </w:drawing>
      </w:r>
    </w:p>
    <w:p w14:paraId="0A5AD5C6">
      <w:pPr>
        <w:tabs>
          <w:tab w:val="left" w:pos="851"/>
          <w:tab w:val="left" w:pos="993"/>
        </w:tabs>
        <w:spacing w:line="360" w:lineRule="auto"/>
        <w:ind w:left="1140"/>
        <w:rPr>
          <w:rFonts w:hint="eastAsia" w:ascii="宋体" w:hAnsi="宋体" w:eastAsia="宋体" w:cs="宋体"/>
          <w:color w:val="auto"/>
          <w:sz w:val="24"/>
          <w:szCs w:val="24"/>
          <w:highlight w:val="none"/>
        </w:rPr>
      </w:pPr>
    </w:p>
    <w:p w14:paraId="59C7C4AD">
      <w:pPr>
        <w:tabs>
          <w:tab w:val="left" w:pos="851"/>
          <w:tab w:val="left" w:pos="993"/>
        </w:tabs>
        <w:spacing w:line="360" w:lineRule="auto"/>
        <w:ind w:left="1140"/>
        <w:rPr>
          <w:rFonts w:hint="eastAsia" w:ascii="宋体" w:hAnsi="宋体" w:eastAsia="宋体" w:cs="宋体"/>
          <w:color w:val="auto"/>
          <w:sz w:val="24"/>
          <w:szCs w:val="24"/>
          <w:highlight w:val="none"/>
        </w:rPr>
      </w:pPr>
    </w:p>
    <w:p w14:paraId="5FD10014">
      <w:pPr>
        <w:pStyle w:val="6"/>
        <w:tabs>
          <w:tab w:val="left" w:pos="284"/>
        </w:tabs>
        <w:snapToGrid/>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bookmarkStart w:id="552" w:name="_Toc28591"/>
      <w:bookmarkStart w:id="553" w:name="_Toc11870"/>
      <w:bookmarkStart w:id="554" w:name="_Toc10986"/>
      <w:r>
        <w:rPr>
          <w:rFonts w:hint="eastAsia" w:ascii="宋体" w:hAnsi="宋体" w:eastAsia="宋体" w:cs="宋体"/>
          <w:color w:val="auto"/>
          <w:sz w:val="24"/>
          <w:szCs w:val="24"/>
          <w:highlight w:val="none"/>
        </w:rPr>
        <w:t xml:space="preserve">   11.9市政道路海绵城市</w:t>
      </w:r>
      <w:bookmarkEnd w:id="552"/>
      <w:bookmarkEnd w:id="553"/>
      <w:bookmarkEnd w:id="554"/>
    </w:p>
    <w:p w14:paraId="6FFCFA4C">
      <w:pPr>
        <w:pStyle w:val="24"/>
        <w:ind w:firstLine="480"/>
        <w:rPr>
          <w:rFonts w:hint="eastAsia" w:hAnsi="宋体" w:cs="宋体"/>
          <w:szCs w:val="24"/>
          <w:highlight w:val="none"/>
        </w:rPr>
      </w:pPr>
      <w:bookmarkStart w:id="555" w:name="_Toc96633217"/>
      <w:bookmarkStart w:id="556" w:name="_Toc28490"/>
      <w:bookmarkStart w:id="557" w:name="_Toc28024"/>
      <w:bookmarkStart w:id="558" w:name="_Toc26997"/>
      <w:r>
        <w:rPr>
          <w:rFonts w:hint="eastAsia" w:hAnsi="宋体" w:cs="宋体"/>
          <w:szCs w:val="24"/>
          <w:highlight w:val="none"/>
        </w:rPr>
        <w:t>11.9.1 道路海绵城市指标</w:t>
      </w:r>
      <w:bookmarkEnd w:id="555"/>
      <w:bookmarkEnd w:id="556"/>
      <w:bookmarkEnd w:id="557"/>
      <w:bookmarkEnd w:id="558"/>
    </w:p>
    <w:p w14:paraId="571B1930">
      <w:pPr>
        <w:adjustRightIn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据【穗水河湖（2020）7号文】印发的《广州市建设项目海绵城市建设管控指标分类指引（试行）》，新建城市道路系统海绵城市建设指标如下：</w:t>
      </w:r>
    </w:p>
    <w:p w14:paraId="45A22FB6">
      <w:pPr>
        <w:adjustRightIn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11.9.1.1 年径流污染削减率≥50%；</w:t>
      </w:r>
    </w:p>
    <w:p w14:paraId="7A0D3AD2">
      <w:pPr>
        <w:adjustRightIn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11.9.1.2 侧绿化带宽度≥2m时，下沉式绿地率应≥50%；</w:t>
      </w:r>
    </w:p>
    <w:p w14:paraId="68968518">
      <w:pPr>
        <w:adjustRightIn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11.9.1.3 开发后雨水径流量不大于开发前雨水径流量。</w:t>
      </w:r>
    </w:p>
    <w:p w14:paraId="717CDED4">
      <w:pPr>
        <w:pStyle w:val="24"/>
        <w:ind w:left="440" w:leftChars="200" w:firstLine="0" w:firstLineChars="0"/>
        <w:rPr>
          <w:rFonts w:hint="eastAsia" w:hAnsi="宋体" w:cs="宋体"/>
          <w:szCs w:val="24"/>
          <w:highlight w:val="none"/>
        </w:rPr>
      </w:pPr>
      <w:bookmarkStart w:id="559" w:name="_Toc96633218"/>
      <w:bookmarkStart w:id="560" w:name="_Toc79402598"/>
      <w:bookmarkStart w:id="561" w:name="_Toc27569"/>
      <w:bookmarkStart w:id="562" w:name="_Toc20526"/>
      <w:bookmarkStart w:id="563" w:name="_Toc29730"/>
      <w:r>
        <w:rPr>
          <w:rFonts w:hint="eastAsia" w:hAnsi="宋体" w:cs="宋体"/>
          <w:szCs w:val="24"/>
          <w:highlight w:val="none"/>
        </w:rPr>
        <w:t>11.9.2 道路海绵城市设施</w:t>
      </w:r>
      <w:bookmarkEnd w:id="559"/>
      <w:bookmarkEnd w:id="560"/>
      <w:bookmarkEnd w:id="561"/>
      <w:bookmarkEnd w:id="562"/>
      <w:bookmarkEnd w:id="563"/>
    </w:p>
    <w:p w14:paraId="5E7D678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本工程道路范围内采用的海绵城市设施有：透水铺装、生态树池、下凹绿地。</w:t>
      </w:r>
    </w:p>
    <w:p w14:paraId="0BFA3B82">
      <w:pPr>
        <w:tabs>
          <w:tab w:val="left" w:pos="1134"/>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11.9.2.1 透水铺装</w:t>
      </w:r>
    </w:p>
    <w:p w14:paraId="19C98EF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人行道采用透水砖铺装。</w:t>
      </w:r>
    </w:p>
    <w:p w14:paraId="647D8D8A">
      <w:pPr>
        <w:tabs>
          <w:tab w:val="left" w:pos="1134"/>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11.9.2.2 生态树池</w:t>
      </w:r>
    </w:p>
    <w:p w14:paraId="3FABC6BE">
      <w:pPr>
        <w:tabs>
          <w:tab w:val="left" w:pos="1134"/>
        </w:tab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道路行道树均采用生态树池，树池底部设集水管，就近排至雨水口或雨水检查井。</w:t>
      </w:r>
    </w:p>
    <w:p w14:paraId="3BF4382C">
      <w:pPr>
        <w:tabs>
          <w:tab w:val="left" w:pos="1134"/>
        </w:tabs>
        <w:wordWrap w:val="0"/>
        <w:spacing w:line="360" w:lineRule="auto"/>
        <w:ind w:firstLine="480" w:firstLineChars="200"/>
        <w:textAlignment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11.9.2.3 下凹绿地</w:t>
      </w:r>
    </w:p>
    <w:p w14:paraId="231BBEF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道路的侧绿化带宽度≥2m时，应设置下凹绿地，下凹深度按200mm,有效调蓄水深150mm，并在下凹绿地内设置DN100穿孔集水管、单篦方形溢流雨水口。</w:t>
      </w:r>
    </w:p>
    <w:p w14:paraId="7A79A81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若综合上述措施后，仍不能满足约束性指标，则与路侧防护绿地分摊海绵指标，如无防护绿地，则与地块分摊、统筹计算指标。</w:t>
      </w:r>
      <w:bookmarkEnd w:id="471"/>
      <w:bookmarkEnd w:id="484"/>
    </w:p>
    <w:p w14:paraId="2831D066">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1A149753">
      <w:pPr>
        <w:pStyle w:val="2"/>
        <w:keepNext w:val="0"/>
        <w:keepLines w:val="0"/>
        <w:tabs>
          <w:tab w:val="left" w:pos="0"/>
        </w:tabs>
        <w:snapToGrid/>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五、BIM应用要求</w:t>
      </w:r>
    </w:p>
    <w:p w14:paraId="22FDFC75">
      <w:pPr>
        <w:pStyle w:val="5"/>
        <w:keepNext w:val="0"/>
        <w:keepLines w:val="0"/>
        <w:snapToGrid/>
        <w:spacing w:before="120" w:beforeLines="50" w:after="0"/>
        <w:ind w:firstLine="482"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w:t>
      </w:r>
      <w:r>
        <w:rPr>
          <w:rFonts w:hint="eastAsia" w:ascii="宋体" w:hAnsi="宋体" w:eastAsia="宋体" w:cs="宋体"/>
          <w:color w:val="auto"/>
          <w:sz w:val="24"/>
          <w:szCs w:val="24"/>
          <w:highlight w:val="none"/>
        </w:rPr>
        <w:t>总则</w:t>
      </w:r>
    </w:p>
    <w:p w14:paraId="04CADBEA">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w:t>
      </w:r>
      <w:r>
        <w:rPr>
          <w:rFonts w:hint="eastAsia" w:ascii="宋体" w:hAnsi="宋体" w:eastAsia="宋体" w:cs="宋体"/>
          <w:color w:val="auto"/>
          <w:sz w:val="24"/>
          <w:szCs w:val="24"/>
          <w:highlight w:val="none"/>
        </w:rPr>
        <w:t>1结合本项目的工程特点和BIM实施需求优先制定BIM实施方案指引明确各参与单位设计BIM实施职责。在统一规范的实施标准下分阶段分主次实施BIM应用有序推行流程管理和综合图模管理充分发挥BIM管理平台优势，协同各投标人共同落实BIM实施的具体应用点，在阶段性BIM成果中体现BIM实施和应用价值。</w:t>
      </w:r>
    </w:p>
    <w:p w14:paraId="75635774">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1.2</w:t>
      </w:r>
      <w:r>
        <w:rPr>
          <w:rFonts w:hint="eastAsia" w:ascii="宋体" w:hAnsi="宋体" w:eastAsia="宋体" w:cs="宋体"/>
          <w:color w:val="auto"/>
          <w:sz w:val="24"/>
          <w:szCs w:val="24"/>
          <w:highlight w:val="none"/>
        </w:rPr>
        <w:t>将BIM技术与工程实际紧密结合，实现BIM技术落地应用，承担从正向设计全过程设计BIM应用的示范和验证作用，体现BIM技术在项目全生命周期中的应用价值。</w:t>
      </w:r>
    </w:p>
    <w:p w14:paraId="7F1EE6DC">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1.3</w:t>
      </w:r>
      <w:r>
        <w:rPr>
          <w:rFonts w:hint="eastAsia" w:ascii="宋体" w:hAnsi="宋体" w:eastAsia="宋体" w:cs="宋体"/>
          <w:color w:val="auto"/>
          <w:sz w:val="24"/>
          <w:szCs w:val="24"/>
          <w:highlight w:val="none"/>
        </w:rPr>
        <w:t>采用BIM正向设计完成设计工作。</w:t>
      </w:r>
    </w:p>
    <w:p w14:paraId="5F8B9183">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1.4</w:t>
      </w:r>
      <w:r>
        <w:rPr>
          <w:rFonts w:hint="eastAsia" w:ascii="宋体" w:hAnsi="宋体" w:eastAsia="宋体" w:cs="宋体"/>
          <w:color w:val="auto"/>
          <w:sz w:val="24"/>
          <w:szCs w:val="24"/>
          <w:highlight w:val="none"/>
        </w:rPr>
        <w:t>完成住建局等政府部门要求的工作，包括但不限于施工图三维数字化审查等。</w:t>
      </w:r>
    </w:p>
    <w:p w14:paraId="085A37B8">
      <w:pPr>
        <w:pStyle w:val="5"/>
        <w:keepNext w:val="0"/>
        <w:keepLines w:val="0"/>
        <w:tabs>
          <w:tab w:val="left" w:pos="0"/>
        </w:tabs>
        <w:snapToGrid/>
        <w:spacing w:before="120" w:beforeLines="50" w:after="0"/>
        <w:ind w:firstLine="482"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rPr>
        <w:t>BIM应用要求</w:t>
      </w:r>
    </w:p>
    <w:p w14:paraId="08183B41">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2.1</w:t>
      </w:r>
      <w:r>
        <w:rPr>
          <w:rFonts w:hint="eastAsia" w:ascii="宋体" w:hAnsi="宋体" w:eastAsia="宋体" w:cs="宋体"/>
          <w:color w:val="auto"/>
          <w:sz w:val="24"/>
          <w:szCs w:val="24"/>
          <w:highlight w:val="none"/>
        </w:rPr>
        <w:t>完成项目正向BIM实施方案，包括但不限于下列文件：</w:t>
      </w:r>
    </w:p>
    <w:p w14:paraId="24A5E2F0">
      <w:pPr>
        <w:pStyle w:val="24"/>
        <w:numPr>
          <w:ilvl w:val="0"/>
          <w:numId w:val="22"/>
        </w:numPr>
        <w:ind w:left="0" w:firstLine="480"/>
        <w:rPr>
          <w:rFonts w:hint="eastAsia" w:hAnsi="宋体" w:cs="宋体"/>
          <w:szCs w:val="24"/>
          <w:highlight w:val="none"/>
        </w:rPr>
      </w:pPr>
      <w:r>
        <w:rPr>
          <w:rFonts w:hint="eastAsia" w:hAnsi="宋体" w:cs="宋体"/>
          <w:szCs w:val="24"/>
          <w:highlight w:val="none"/>
        </w:rPr>
        <w:t>《BIM正向设计实施方案》；</w:t>
      </w:r>
    </w:p>
    <w:p w14:paraId="0AFFDF1E">
      <w:pPr>
        <w:pStyle w:val="24"/>
        <w:numPr>
          <w:ilvl w:val="0"/>
          <w:numId w:val="22"/>
        </w:numPr>
        <w:ind w:left="0" w:firstLine="480"/>
        <w:rPr>
          <w:rFonts w:hint="eastAsia" w:hAnsi="宋体" w:cs="宋体"/>
          <w:szCs w:val="24"/>
          <w:highlight w:val="none"/>
        </w:rPr>
      </w:pPr>
      <w:r>
        <w:rPr>
          <w:rFonts w:hint="eastAsia" w:hAnsi="宋体" w:cs="宋体"/>
          <w:szCs w:val="24"/>
          <w:highlight w:val="none"/>
        </w:rPr>
        <w:t>《BIM实施过程管控方案》；</w:t>
      </w:r>
    </w:p>
    <w:p w14:paraId="151F31C8">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2.2</w:t>
      </w:r>
      <w:r>
        <w:rPr>
          <w:rFonts w:hint="eastAsia" w:ascii="宋体" w:hAnsi="宋体" w:eastAsia="宋体" w:cs="宋体"/>
          <w:color w:val="auto"/>
          <w:sz w:val="24"/>
          <w:szCs w:val="24"/>
          <w:highlight w:val="none"/>
        </w:rPr>
        <w:t>施工图设计阶段</w:t>
      </w:r>
    </w:p>
    <w:p w14:paraId="68C57BC1">
      <w:pPr>
        <w:pStyle w:val="24"/>
        <w:numPr>
          <w:ilvl w:val="0"/>
          <w:numId w:val="23"/>
        </w:numPr>
        <w:ind w:left="0" w:firstLine="480"/>
        <w:rPr>
          <w:rFonts w:hint="eastAsia" w:hAnsi="宋体" w:cs="宋体"/>
          <w:szCs w:val="24"/>
          <w:highlight w:val="none"/>
        </w:rPr>
      </w:pPr>
      <w:r>
        <w:rPr>
          <w:rFonts w:hint="eastAsia" w:hAnsi="宋体" w:cs="宋体"/>
          <w:szCs w:val="24"/>
          <w:highlight w:val="none"/>
        </w:rPr>
        <w:t>按照相关标准和要求，制定对应项目《施工图设计阶段BIM实施方案》；</w:t>
      </w:r>
    </w:p>
    <w:p w14:paraId="7B297A7E">
      <w:pPr>
        <w:pStyle w:val="24"/>
        <w:numPr>
          <w:ilvl w:val="0"/>
          <w:numId w:val="23"/>
        </w:numPr>
        <w:ind w:left="0" w:firstLine="480"/>
        <w:rPr>
          <w:rFonts w:hint="eastAsia" w:hAnsi="宋体" w:cs="宋体"/>
          <w:szCs w:val="24"/>
          <w:highlight w:val="none"/>
        </w:rPr>
      </w:pPr>
      <w:r>
        <w:rPr>
          <w:rFonts w:hint="eastAsia" w:hAnsi="宋体" w:cs="宋体"/>
          <w:szCs w:val="24"/>
          <w:highlight w:val="none"/>
        </w:rPr>
        <w:t>应采用BIM正向设计模式创建施工图设计阶段BIM模型，模型应满足《建筑信息模型设计交付标准》（GB/T 51301-2018）、《广东省建筑信息模型应用统一标准》（DBJ／T15-142-2018）、《城市信息模型（CIM）平台施工图审查数据规范》（DB4401/T131-2021）、《城市信息模型（CIM）平台施工图审查技术规范》（DB4401/T130-2021）、</w:t>
      </w:r>
      <w:r>
        <w:rPr>
          <w:rFonts w:hAnsi="宋体" w:cs="宋体"/>
          <w:szCs w:val="24"/>
          <w:highlight w:val="none"/>
        </w:rPr>
        <w:t>《城市信息模型(CIM)平台 施工图审查模型交付规范》</w:t>
      </w:r>
      <w:r>
        <w:rPr>
          <w:rFonts w:hint="eastAsia" w:hAnsi="宋体" w:cs="宋体"/>
          <w:szCs w:val="24"/>
          <w:highlight w:val="none"/>
        </w:rPr>
        <w:t>（</w:t>
      </w:r>
      <w:r>
        <w:rPr>
          <w:rFonts w:hAnsi="宋体" w:cs="宋体"/>
          <w:szCs w:val="24"/>
          <w:highlight w:val="none"/>
        </w:rPr>
        <w:t>DB4401/T 228-2023</w:t>
      </w:r>
      <w:r>
        <w:rPr>
          <w:rFonts w:hint="eastAsia" w:hAnsi="宋体" w:cs="宋体"/>
          <w:szCs w:val="24"/>
          <w:highlight w:val="none"/>
        </w:rPr>
        <w:t>）、</w:t>
      </w:r>
      <w:r>
        <w:rPr>
          <w:rFonts w:hAnsi="宋体" w:cs="宋体"/>
          <w:szCs w:val="24"/>
          <w:highlight w:val="none"/>
        </w:rPr>
        <w:t>《城市信息模型(CIM)平台 竣工验收模型交付规范》</w:t>
      </w:r>
      <w:r>
        <w:rPr>
          <w:rFonts w:hint="eastAsia" w:hAnsi="宋体" w:cs="宋体"/>
          <w:szCs w:val="24"/>
          <w:highlight w:val="none"/>
        </w:rPr>
        <w:t>（</w:t>
      </w:r>
      <w:r>
        <w:rPr>
          <w:rFonts w:hAnsi="宋体" w:cs="宋体"/>
          <w:szCs w:val="24"/>
          <w:highlight w:val="none"/>
        </w:rPr>
        <w:t>DB4401/T</w:t>
      </w:r>
      <w:r>
        <w:rPr>
          <w:rFonts w:hint="eastAsia" w:hAnsi="宋体" w:cs="宋体"/>
          <w:szCs w:val="24"/>
          <w:highlight w:val="none"/>
        </w:rPr>
        <w:t>） 等相关国家、地方BIM标准要求。；</w:t>
      </w:r>
    </w:p>
    <w:p w14:paraId="014D3CBF">
      <w:pPr>
        <w:pStyle w:val="24"/>
        <w:numPr>
          <w:ilvl w:val="0"/>
          <w:numId w:val="23"/>
        </w:numPr>
        <w:ind w:left="0" w:firstLine="480"/>
        <w:rPr>
          <w:rFonts w:hint="eastAsia" w:hAnsi="宋体" w:cs="宋体"/>
          <w:szCs w:val="24"/>
          <w:highlight w:val="none"/>
        </w:rPr>
      </w:pPr>
      <w:r>
        <w:rPr>
          <w:rFonts w:hint="eastAsia" w:hAnsi="宋体" w:cs="宋体"/>
          <w:szCs w:val="24"/>
          <w:highlight w:val="none"/>
        </w:rPr>
        <w:t>应用BIM技术进行多专业综合协同设计；</w:t>
      </w:r>
    </w:p>
    <w:p w14:paraId="0B20205D">
      <w:pPr>
        <w:pStyle w:val="24"/>
        <w:numPr>
          <w:ilvl w:val="0"/>
          <w:numId w:val="23"/>
        </w:numPr>
        <w:ind w:left="0" w:firstLine="480"/>
        <w:rPr>
          <w:rFonts w:hint="eastAsia" w:hAnsi="宋体" w:cs="宋体"/>
          <w:szCs w:val="24"/>
          <w:highlight w:val="none"/>
        </w:rPr>
      </w:pPr>
      <w:r>
        <w:rPr>
          <w:rFonts w:hint="eastAsia" w:hAnsi="宋体" w:cs="宋体"/>
          <w:szCs w:val="24"/>
          <w:highlight w:val="none"/>
        </w:rPr>
        <w:t>应用BIM技术进行统计分析；</w:t>
      </w:r>
    </w:p>
    <w:p w14:paraId="6A86535F">
      <w:pPr>
        <w:pStyle w:val="24"/>
        <w:numPr>
          <w:ilvl w:val="0"/>
          <w:numId w:val="23"/>
        </w:numPr>
        <w:ind w:left="0" w:firstLine="480"/>
        <w:rPr>
          <w:rFonts w:hint="eastAsia" w:hAnsi="宋体" w:cs="宋体"/>
          <w:szCs w:val="24"/>
          <w:highlight w:val="none"/>
        </w:rPr>
      </w:pPr>
      <w:r>
        <w:rPr>
          <w:rFonts w:hint="eastAsia" w:hAnsi="宋体" w:cs="宋体"/>
          <w:szCs w:val="24"/>
          <w:highlight w:val="none"/>
        </w:rPr>
        <w:t>应用BIM技术进行碰撞检查及机电管线综合设计；</w:t>
      </w:r>
    </w:p>
    <w:p w14:paraId="3E3942B5">
      <w:pPr>
        <w:pStyle w:val="24"/>
        <w:numPr>
          <w:ilvl w:val="0"/>
          <w:numId w:val="23"/>
        </w:numPr>
        <w:ind w:left="0" w:firstLine="480"/>
        <w:rPr>
          <w:rFonts w:hint="eastAsia" w:hAnsi="宋体" w:cs="宋体"/>
          <w:szCs w:val="24"/>
          <w:highlight w:val="none"/>
        </w:rPr>
      </w:pPr>
      <w:r>
        <w:rPr>
          <w:rFonts w:hint="eastAsia" w:hAnsi="宋体" w:cs="宋体"/>
          <w:szCs w:val="24"/>
          <w:highlight w:val="none"/>
        </w:rPr>
        <w:t>基于BIM技术进行净空净高分析，并形成相应的分析报告；</w:t>
      </w:r>
    </w:p>
    <w:p w14:paraId="35C0FE29">
      <w:pPr>
        <w:pStyle w:val="24"/>
        <w:numPr>
          <w:ilvl w:val="0"/>
          <w:numId w:val="23"/>
        </w:numPr>
        <w:ind w:left="0" w:firstLine="480"/>
        <w:rPr>
          <w:rFonts w:hint="eastAsia" w:hAnsi="宋体" w:cs="宋体"/>
          <w:szCs w:val="24"/>
          <w:highlight w:val="none"/>
        </w:rPr>
      </w:pPr>
      <w:r>
        <w:rPr>
          <w:rFonts w:hint="eastAsia" w:hAnsi="宋体" w:cs="宋体"/>
          <w:szCs w:val="24"/>
          <w:highlight w:val="none"/>
        </w:rPr>
        <w:t>根据项目需求，应用BIM技术开展仿真漫游模拟及视频动画制作；</w:t>
      </w:r>
    </w:p>
    <w:p w14:paraId="47E32DA8">
      <w:pPr>
        <w:pStyle w:val="24"/>
        <w:numPr>
          <w:ilvl w:val="0"/>
          <w:numId w:val="23"/>
        </w:numPr>
        <w:ind w:left="0" w:firstLine="480"/>
        <w:rPr>
          <w:rFonts w:hint="eastAsia" w:hAnsi="宋体" w:cs="宋体"/>
          <w:szCs w:val="24"/>
          <w:highlight w:val="none"/>
        </w:rPr>
      </w:pPr>
      <w:r>
        <w:rPr>
          <w:rFonts w:hint="eastAsia" w:hAnsi="宋体" w:cs="宋体"/>
          <w:szCs w:val="24"/>
          <w:highlight w:val="none"/>
        </w:rPr>
        <w:t>基于BIM正向设计提交的施工图设计阶段BIM应用成果，均应保证图纸与模型的一致性；</w:t>
      </w:r>
    </w:p>
    <w:p w14:paraId="715B59CC">
      <w:pPr>
        <w:pStyle w:val="24"/>
        <w:numPr>
          <w:ilvl w:val="0"/>
          <w:numId w:val="23"/>
        </w:numPr>
        <w:ind w:left="0" w:firstLine="480"/>
        <w:rPr>
          <w:rFonts w:hint="eastAsia" w:hAnsi="宋体" w:cs="宋体"/>
          <w:szCs w:val="24"/>
          <w:highlight w:val="none"/>
        </w:rPr>
      </w:pPr>
      <w:r>
        <w:rPr>
          <w:rFonts w:hint="eastAsia" w:hAnsi="宋体" w:cs="宋体"/>
          <w:szCs w:val="24"/>
          <w:highlight w:val="none"/>
        </w:rPr>
        <w:t>提交BIM模型，满足工程算量的要求，可辅助工程概预算的工作；</w:t>
      </w:r>
    </w:p>
    <w:p w14:paraId="5890EA28">
      <w:pPr>
        <w:pStyle w:val="24"/>
        <w:numPr>
          <w:ilvl w:val="0"/>
          <w:numId w:val="23"/>
        </w:numPr>
        <w:ind w:left="0" w:firstLine="480"/>
        <w:rPr>
          <w:rFonts w:hint="eastAsia" w:hAnsi="宋体" w:cs="宋体"/>
          <w:szCs w:val="24"/>
          <w:highlight w:val="none"/>
        </w:rPr>
      </w:pPr>
      <w:r>
        <w:rPr>
          <w:rFonts w:hint="eastAsia" w:hAnsi="宋体" w:cs="宋体"/>
          <w:szCs w:val="24"/>
          <w:highlight w:val="none"/>
        </w:rPr>
        <w:t>应确保施工图设计阶段BIM应用成果在施工阶段的延续性，在施工前对项目各参与方进行技术交底；</w:t>
      </w:r>
    </w:p>
    <w:p w14:paraId="4A73F4E5">
      <w:pPr>
        <w:pStyle w:val="24"/>
        <w:numPr>
          <w:ilvl w:val="0"/>
          <w:numId w:val="23"/>
        </w:numPr>
        <w:ind w:left="0" w:firstLine="480"/>
        <w:rPr>
          <w:rFonts w:hint="eastAsia" w:hAnsi="宋体" w:cs="宋体"/>
          <w:szCs w:val="24"/>
          <w:highlight w:val="none"/>
        </w:rPr>
      </w:pPr>
      <w:r>
        <w:rPr>
          <w:rFonts w:hint="eastAsia" w:hAnsi="宋体" w:cs="宋体"/>
          <w:szCs w:val="24"/>
          <w:highlight w:val="none"/>
        </w:rPr>
        <w:t>完成合同规定的BIM应用其他具体要求。</w:t>
      </w:r>
    </w:p>
    <w:p w14:paraId="5D86D267">
      <w:pPr>
        <w:spacing w:line="360" w:lineRule="auto"/>
        <w:ind w:firstLine="480" w:firstLineChars="200"/>
        <w:rPr>
          <w:rFonts w:hint="eastAsia" w:ascii="宋体" w:hAnsi="宋体" w:eastAsia="宋体" w:cs="宋体"/>
          <w:color w:val="auto"/>
          <w:sz w:val="24"/>
          <w:szCs w:val="24"/>
          <w:highlight w:val="none"/>
        </w:rPr>
      </w:pPr>
    </w:p>
    <w:p w14:paraId="184291C3">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4CDE9F3C">
      <w:pPr>
        <w:pStyle w:val="2"/>
        <w:keepNext w:val="0"/>
        <w:keepLines w:val="0"/>
        <w:snapToGrid/>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六、管线迁改设计（如有）</w:t>
      </w:r>
    </w:p>
    <w:p w14:paraId="138F9FE2">
      <w:pPr>
        <w:pStyle w:val="5"/>
        <w:keepNext w:val="0"/>
        <w:keepLines w:val="0"/>
        <w:snapToGrid/>
        <w:spacing w:before="120" w:beforeLines="50" w:after="0"/>
        <w:ind w:firstLine="482"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w:t>
      </w:r>
      <w:r>
        <w:rPr>
          <w:rFonts w:hint="eastAsia" w:ascii="宋体" w:hAnsi="宋体" w:eastAsia="宋体" w:cs="宋体"/>
          <w:color w:val="auto"/>
          <w:sz w:val="24"/>
          <w:szCs w:val="24"/>
          <w:highlight w:val="none"/>
        </w:rPr>
        <w:t>管线迁改设计依据和标准</w:t>
      </w:r>
    </w:p>
    <w:p w14:paraId="07F567D6">
      <w:pPr>
        <w:spacing w:line="360" w:lineRule="auto"/>
        <w:ind w:firstLine="480" w:firstLineChars="200"/>
        <w:rPr>
          <w:rFonts w:hint="eastAsia" w:ascii="宋体" w:hAnsi="宋体" w:eastAsia="宋体" w:cs="宋体"/>
          <w:color w:val="auto"/>
          <w:kern w:val="0"/>
          <w:sz w:val="24"/>
          <w:szCs w:val="24"/>
          <w:highlight w:val="none"/>
        </w:rPr>
      </w:pPr>
      <w:r>
        <w:rPr>
          <w:rFonts w:ascii="宋体" w:hAnsi="宋体" w:eastAsia="宋体" w:cs="宋体"/>
          <w:color w:val="auto"/>
          <w:kern w:val="0"/>
          <w:sz w:val="24"/>
          <w:szCs w:val="24"/>
          <w:highlight w:val="none"/>
        </w:rPr>
        <w:t>1.1</w:t>
      </w:r>
      <w:r>
        <w:rPr>
          <w:rFonts w:hint="eastAsia" w:ascii="宋体" w:hAnsi="宋体" w:eastAsia="宋体" w:cs="宋体"/>
          <w:color w:val="auto"/>
          <w:kern w:val="0"/>
          <w:sz w:val="24"/>
          <w:szCs w:val="24"/>
          <w:highlight w:val="none"/>
        </w:rPr>
        <w:t>本项设计项目各阶段的设计文件必须符合现行中华人民共和国以及行业的一切法规、规范要求，包括但不限于：</w:t>
      </w:r>
    </w:p>
    <w:p w14:paraId="6C9D423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《广州市城市总体规划（2001-2020）》，广州市人民政府，2003年12月</w:t>
      </w:r>
    </w:p>
    <w:p w14:paraId="680186F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《广州市城市规划管理技术标准与准则（市政规划篇）》广州市规划局</w:t>
      </w:r>
    </w:p>
    <w:p w14:paraId="1DA406C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《城市工程管线综合规划规范》GB 50289-2016</w:t>
      </w:r>
    </w:p>
    <w:p w14:paraId="38A3DD1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《城市电力规划规范》GB 50293-2014</w:t>
      </w:r>
    </w:p>
    <w:p w14:paraId="0165F0C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《城镇燃气设计规范》GB 50028-2006</w:t>
      </w:r>
    </w:p>
    <w:p w14:paraId="3ED212C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《城市给水工程规划规范》GB 50282-2016</w:t>
      </w:r>
    </w:p>
    <w:p w14:paraId="1C28118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《室外给水设计标准》GB 50013-2018</w:t>
      </w:r>
    </w:p>
    <w:p w14:paraId="483518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《城市排水工程规划规范》GB 50318-2017</w:t>
      </w:r>
    </w:p>
    <w:p w14:paraId="380613A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《室外排水设计规范》GB 50014-2006（2016年版）</w:t>
      </w:r>
    </w:p>
    <w:p w14:paraId="5C2C753C">
      <w:pPr>
        <w:spacing w:line="360" w:lineRule="auto"/>
        <w:ind w:left="480" w:leftChars="218"/>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《海绵城市建设项目设计、施工和运营维护技术规程》DB4401/T 253-2024附录《广州市中心城区暴雨公式》</w:t>
      </w:r>
    </w:p>
    <w:p w14:paraId="309A65E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《广州市城市防洪排涝总体规划》（广州市市政管理局、广州市市政设计院，1995年编制）</w:t>
      </w:r>
    </w:p>
    <w:p w14:paraId="2E43FFF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《电力工程电缆设计标准》GB 50217-2018</w:t>
      </w:r>
    </w:p>
    <w:p w14:paraId="01C0B28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《民用建筑电气设计标准》GB 51348-2019</w:t>
      </w:r>
    </w:p>
    <w:p w14:paraId="588CC2A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《供配电系统设计规范》GB 50052-2009</w:t>
      </w:r>
    </w:p>
    <w:p w14:paraId="2B15291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《低压配电设计规范》GB 50054-2011</w:t>
      </w:r>
    </w:p>
    <w:p w14:paraId="65D6115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《中华人民共和国道路交通安全法》 </w:t>
      </w:r>
    </w:p>
    <w:p w14:paraId="606473C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《城市道路交通设施设计规范》(2019年版)（GB 50688-2011）</w:t>
      </w:r>
    </w:p>
    <w:p w14:paraId="08BB4B9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《城市道路交通标志和标线设置规范》（GB 51038-2015）</w:t>
      </w:r>
    </w:p>
    <w:p w14:paraId="14501B6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《道路交通标志和标线 第2部分：道路交通标志》（GB5768.2-2009）</w:t>
      </w:r>
    </w:p>
    <w:p w14:paraId="60380AB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《道路交通标志和标线 第3部分：道路交通标志》（GB5768.3-2009）</w:t>
      </w:r>
    </w:p>
    <w:p w14:paraId="60FF250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《道路交通标志和标线 第4部分：作业区》（GB5768.4-2017）</w:t>
      </w:r>
    </w:p>
    <w:p w14:paraId="373D747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《广州市道路交通管理设施设计技术指引》</w:t>
      </w:r>
    </w:p>
    <w:p w14:paraId="4BAA903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《广州市道路交通指路标志系统设计技术指引研究》（修订）</w:t>
      </w:r>
    </w:p>
    <w:p w14:paraId="696A64C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《广州市占用挖掘道路施工作业指引手册》</w:t>
      </w:r>
    </w:p>
    <w:p w14:paraId="31A9940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广州市建设工程绿色施工围蔽指导图集V2.0</w:t>
      </w:r>
    </w:p>
    <w:p w14:paraId="51A12AB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《道路交通标志板及支撑件》（GB/T 23827-2009）</w:t>
      </w:r>
    </w:p>
    <w:p w14:paraId="2EF145B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《道路交通反光膜》（GB/T 18833-2012）</w:t>
      </w:r>
    </w:p>
    <w:p w14:paraId="790D3C8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《路面标线涂料》（JT/T 280-2004）</w:t>
      </w:r>
    </w:p>
    <w:p w14:paraId="0BD7CAD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《道路交通标线质量要求和检测方法》（GB/T 16311-2009 ）</w:t>
      </w:r>
    </w:p>
    <w:p w14:paraId="708DF5D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《建筑施工场界环境噪声排放标准》（GB 12523-2011）</w:t>
      </w:r>
    </w:p>
    <w:p w14:paraId="111E3C5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《声环境质量标准》（GB 3096-2008）</w:t>
      </w:r>
    </w:p>
    <w:p w14:paraId="4FFD7E4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《建筑设计防火规范》（GB 50016-2014）</w:t>
      </w:r>
    </w:p>
    <w:p w14:paraId="4AE2CEE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《通信局（站）防雷与接地工程设计规范》（GB 50689-2011）</w:t>
      </w:r>
    </w:p>
    <w:p w14:paraId="7A291F1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《通信局（站）防雷与接地工程验收规范》（GB 51120-2015）</w:t>
      </w:r>
    </w:p>
    <w:p w14:paraId="169B33D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《通信线路工程设计规范》（GB 51158-2015）</w:t>
      </w:r>
    </w:p>
    <w:p w14:paraId="5B1F86B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《通信线路工程验收规范》（GB 51171-2016）</w:t>
      </w:r>
    </w:p>
    <w:p w14:paraId="637FA6E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《通信管道与通道工程设计标准》（强制性标准）（GB 50373-2019）</w:t>
      </w:r>
    </w:p>
    <w:p w14:paraId="3333650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《通信管道工程施工及验收标准》（GB/T 50374-2018）</w:t>
      </w:r>
    </w:p>
    <w:p w14:paraId="55B8A23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《通信工程建设环境保护技术暂行规定》（YD 5039-2009）</w:t>
      </w:r>
    </w:p>
    <w:p w14:paraId="27336FB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《通信建设工程安全生产操作规范》（YD 5201-2014）</w:t>
      </w:r>
    </w:p>
    <w:p w14:paraId="7B52B77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《电信基础设施共建共享工程技术暂行规定》（YD 5191-2009）</w:t>
      </w:r>
    </w:p>
    <w:p w14:paraId="2F55629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《通信工程制图与图形符号规定》（YD/T 5015-2015）</w:t>
      </w:r>
    </w:p>
    <w:p w14:paraId="79B324C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《通信工程设计文件编制规定》（YD/T 5211-2014）</w:t>
      </w:r>
    </w:p>
    <w:p w14:paraId="6896A06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《建设工程安全生产管理条例》 国务院令第393号</w:t>
      </w:r>
    </w:p>
    <w:p w14:paraId="7595C0B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《通信建设工程安全生产管理规定》工信部通信[2015]406号</w:t>
      </w:r>
    </w:p>
    <w:p w14:paraId="0D0F89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《国务院关于进一步加强企业安全生产工作的通知》国发[2010]23号</w:t>
      </w:r>
    </w:p>
    <w:p w14:paraId="282706A5">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1.2</w:t>
      </w:r>
      <w:r>
        <w:rPr>
          <w:rFonts w:hint="eastAsia" w:ascii="宋体" w:hAnsi="宋体" w:eastAsia="宋体" w:cs="宋体"/>
          <w:color w:val="auto"/>
          <w:sz w:val="24"/>
          <w:szCs w:val="24"/>
          <w:highlight w:val="none"/>
        </w:rPr>
        <w:t>实测现状管线资料及现有地形</w:t>
      </w:r>
    </w:p>
    <w:p w14:paraId="7C36BB1C">
      <w:pPr>
        <w:spacing w:line="360" w:lineRule="auto"/>
        <w:ind w:firstLine="480" w:firstLineChars="200"/>
        <w:rPr>
          <w:rFonts w:hint="eastAsia" w:ascii="宋体" w:hAnsi="宋体" w:eastAsia="宋体" w:cs="宋体"/>
          <w:color w:val="auto"/>
          <w:kern w:val="0"/>
          <w:sz w:val="24"/>
          <w:szCs w:val="24"/>
          <w:highlight w:val="none"/>
        </w:rPr>
      </w:pPr>
      <w:r>
        <w:rPr>
          <w:rFonts w:ascii="宋体" w:hAnsi="宋体" w:eastAsia="宋体" w:cs="宋体"/>
          <w:color w:val="auto"/>
          <w:kern w:val="0"/>
          <w:sz w:val="24"/>
          <w:szCs w:val="24"/>
          <w:highlight w:val="none"/>
        </w:rPr>
        <w:t>1.3</w:t>
      </w:r>
      <w:r>
        <w:rPr>
          <w:rFonts w:hint="eastAsia" w:ascii="宋体" w:hAnsi="宋体" w:eastAsia="宋体" w:cs="宋体"/>
          <w:color w:val="auto"/>
          <w:kern w:val="0"/>
          <w:sz w:val="24"/>
          <w:szCs w:val="24"/>
          <w:highlight w:val="none"/>
        </w:rPr>
        <w:t>其他符合国家、建设部及广东省现行有关设计标准的规定；</w:t>
      </w:r>
    </w:p>
    <w:p w14:paraId="5AB512D6">
      <w:pPr>
        <w:spacing w:line="360" w:lineRule="auto"/>
        <w:ind w:firstLine="480" w:firstLineChars="200"/>
        <w:rPr>
          <w:rFonts w:hint="eastAsia" w:ascii="宋体" w:hAnsi="宋体" w:eastAsia="宋体" w:cs="宋体"/>
          <w:color w:val="auto"/>
          <w:kern w:val="0"/>
          <w:sz w:val="24"/>
          <w:szCs w:val="24"/>
          <w:highlight w:val="none"/>
        </w:rPr>
      </w:pPr>
      <w:r>
        <w:rPr>
          <w:rFonts w:ascii="宋体" w:hAnsi="宋体" w:eastAsia="宋体" w:cs="宋体"/>
          <w:color w:val="auto"/>
          <w:kern w:val="0"/>
          <w:sz w:val="24"/>
          <w:szCs w:val="24"/>
          <w:highlight w:val="none"/>
        </w:rPr>
        <w:t>1.4</w:t>
      </w:r>
      <w:r>
        <w:rPr>
          <w:rFonts w:hint="eastAsia" w:ascii="宋体" w:hAnsi="宋体" w:eastAsia="宋体" w:cs="宋体"/>
          <w:color w:val="auto"/>
          <w:kern w:val="0"/>
          <w:sz w:val="24"/>
          <w:szCs w:val="24"/>
          <w:highlight w:val="none"/>
        </w:rPr>
        <w:t>设计中的市政、水、电等标准及用量应符合国家、建设部及广东省有关设计标准及规定。设计深度需符合建设部《建筑工程设计文件编制深度的规定》中有关的要求及招标人的其他要求。</w:t>
      </w:r>
    </w:p>
    <w:p w14:paraId="6FA08AB5">
      <w:pPr>
        <w:spacing w:line="360" w:lineRule="auto"/>
        <w:ind w:firstLine="480" w:firstLineChars="200"/>
        <w:rPr>
          <w:rFonts w:hint="eastAsia" w:ascii="宋体" w:hAnsi="宋体" w:eastAsia="宋体" w:cs="宋体"/>
          <w:color w:val="auto"/>
          <w:kern w:val="0"/>
          <w:sz w:val="24"/>
          <w:szCs w:val="24"/>
          <w:highlight w:val="none"/>
        </w:rPr>
      </w:pPr>
      <w:r>
        <w:rPr>
          <w:rFonts w:ascii="宋体" w:hAnsi="宋体" w:eastAsia="宋体" w:cs="宋体"/>
          <w:color w:val="auto"/>
          <w:kern w:val="0"/>
          <w:sz w:val="24"/>
          <w:szCs w:val="24"/>
          <w:highlight w:val="none"/>
        </w:rPr>
        <w:t>1.5</w:t>
      </w:r>
      <w:r>
        <w:rPr>
          <w:rFonts w:hint="eastAsia" w:ascii="宋体" w:hAnsi="宋体" w:eastAsia="宋体" w:cs="宋体"/>
          <w:color w:val="auto"/>
          <w:kern w:val="0"/>
          <w:sz w:val="24"/>
          <w:szCs w:val="24"/>
          <w:highlight w:val="none"/>
        </w:rPr>
        <w:t>若有相关主管部门颁发的新规范则按新规范执行。</w:t>
      </w:r>
    </w:p>
    <w:p w14:paraId="7CF64254">
      <w:pPr>
        <w:pStyle w:val="5"/>
        <w:keepNext w:val="0"/>
        <w:keepLines w:val="0"/>
        <w:spacing w:before="120" w:beforeLines="50" w:after="0"/>
        <w:ind w:firstLine="482" w:firstLineChars="200"/>
        <w:rPr>
          <w:rFonts w:hint="eastAsia" w:ascii="宋体" w:hAnsi="宋体" w:eastAsia="宋体" w:cs="宋体"/>
          <w:color w:val="auto"/>
          <w:sz w:val="24"/>
          <w:szCs w:val="24"/>
          <w:highlight w:val="none"/>
        </w:rPr>
      </w:pPr>
      <w:bookmarkStart w:id="564" w:name="_Toc2375"/>
      <w:bookmarkStart w:id="565" w:name="_Toc19602"/>
      <w:bookmarkStart w:id="566" w:name="_Toc19124"/>
      <w:r>
        <w:rPr>
          <w:rFonts w:hint="eastAsia" w:ascii="宋体" w:hAnsi="宋体" w:eastAsia="宋体" w:cs="宋体"/>
          <w:color w:val="auto"/>
          <w:sz w:val="24"/>
          <w:szCs w:val="24"/>
          <w:highlight w:val="none"/>
        </w:rPr>
        <w:t>2</w:t>
      </w:r>
      <w:r>
        <w:rPr>
          <w:rFonts w:ascii="宋体" w:hAnsi="宋体" w:eastAsia="宋体" w:cs="宋体"/>
          <w:color w:val="auto"/>
          <w:sz w:val="24"/>
          <w:szCs w:val="24"/>
          <w:highlight w:val="none"/>
        </w:rPr>
        <w:t>.</w:t>
      </w:r>
      <w:r>
        <w:rPr>
          <w:rFonts w:hint="eastAsia" w:ascii="宋体" w:hAnsi="宋体" w:eastAsia="宋体" w:cs="宋体"/>
          <w:color w:val="auto"/>
          <w:sz w:val="24"/>
          <w:szCs w:val="24"/>
          <w:highlight w:val="none"/>
        </w:rPr>
        <w:t>管线迁改设计工作内容</w:t>
      </w:r>
      <w:bookmarkEnd w:id="564"/>
      <w:bookmarkEnd w:id="565"/>
      <w:bookmarkEnd w:id="566"/>
    </w:p>
    <w:p w14:paraId="0E5B8508">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w:t>
      </w:r>
      <w:r>
        <w:rPr>
          <w:rFonts w:ascii="宋体" w:hAnsi="宋体" w:eastAsia="宋体" w:cs="宋体"/>
          <w:color w:val="auto"/>
          <w:kern w:val="0"/>
          <w:sz w:val="24"/>
          <w:szCs w:val="24"/>
          <w:highlight w:val="none"/>
        </w:rPr>
        <w:t>.1</w:t>
      </w:r>
      <w:r>
        <w:rPr>
          <w:rFonts w:hint="eastAsia" w:ascii="宋体" w:hAnsi="宋体" w:eastAsia="宋体" w:cs="宋体"/>
          <w:color w:val="auto"/>
          <w:kern w:val="0"/>
          <w:sz w:val="24"/>
          <w:szCs w:val="24"/>
          <w:highlight w:val="none"/>
        </w:rPr>
        <w:t>管线迁改综合平衡设计工作：</w:t>
      </w:r>
    </w:p>
    <w:p w14:paraId="680B48C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本项目周边的给水、雨水、污水、电力以及通信管线为配合安置区的规划及工程施工需要，需重新对管线进行综合平衡设计，投标人需完成本项目工程管线综合平衡方案</w:t>
      </w:r>
      <w:r>
        <w:rPr>
          <w:rFonts w:hint="eastAsia" w:ascii="宋体" w:hAnsi="宋体" w:eastAsia="宋体" w:cs="宋体"/>
          <w:strike/>
          <w:color w:val="auto"/>
          <w:sz w:val="24"/>
          <w:szCs w:val="24"/>
          <w:highlight w:val="none"/>
        </w:rPr>
        <w:t>和</w:t>
      </w:r>
      <w:r>
        <w:rPr>
          <w:rFonts w:hint="eastAsia" w:ascii="宋体" w:hAnsi="宋体" w:eastAsia="宋体" w:cs="宋体"/>
          <w:color w:val="auto"/>
          <w:sz w:val="24"/>
          <w:szCs w:val="24"/>
          <w:highlight w:val="none"/>
        </w:rPr>
        <w:t>施工图设计工作，协助发包人组织管线平衡方案评审工作并取得相关批复文件。</w:t>
      </w:r>
    </w:p>
    <w:p w14:paraId="13F35E46">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w:t>
      </w:r>
      <w:r>
        <w:rPr>
          <w:rFonts w:ascii="宋体" w:hAnsi="宋体" w:eastAsia="宋体" w:cs="宋体"/>
          <w:color w:val="auto"/>
          <w:kern w:val="0"/>
          <w:sz w:val="24"/>
          <w:szCs w:val="24"/>
          <w:highlight w:val="none"/>
        </w:rPr>
        <w:t>.2</w:t>
      </w:r>
      <w:r>
        <w:rPr>
          <w:rFonts w:hint="eastAsia" w:ascii="宋体" w:hAnsi="宋体" w:eastAsia="宋体" w:cs="宋体"/>
          <w:color w:val="auto"/>
          <w:kern w:val="0"/>
          <w:sz w:val="24"/>
          <w:szCs w:val="24"/>
          <w:highlight w:val="none"/>
        </w:rPr>
        <w:t>本项目及周边电力管线迁改设计工作：</w:t>
      </w:r>
    </w:p>
    <w:p w14:paraId="7A74597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为配合项目的规划及工程施工需要，对于安置区存在的权属单位非供电局的电力管线，承包人需配合业主沟通权属单位，根据权属单位提出的意见，给出合理迁改方案，并完成电力管线迁改的施工图设计、预算及竣工图编制工作。</w:t>
      </w:r>
    </w:p>
    <w:p w14:paraId="5C988F8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对于本项目存在的权属单位为供电局的电力管线，根据业主与供电局签订货币补偿协议，由供电局组织相关设计单位进行施工图设计，投标人负责管线平衡和相应配合工作。</w:t>
      </w:r>
    </w:p>
    <w:p w14:paraId="63C82150">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w:t>
      </w:r>
      <w:r>
        <w:rPr>
          <w:rFonts w:ascii="宋体" w:hAnsi="宋体" w:eastAsia="宋体" w:cs="宋体"/>
          <w:color w:val="auto"/>
          <w:kern w:val="0"/>
          <w:sz w:val="24"/>
          <w:szCs w:val="24"/>
          <w:highlight w:val="none"/>
        </w:rPr>
        <w:t>.3</w:t>
      </w:r>
      <w:r>
        <w:rPr>
          <w:rFonts w:hint="eastAsia" w:ascii="宋体" w:hAnsi="宋体" w:eastAsia="宋体" w:cs="宋体"/>
          <w:color w:val="auto"/>
          <w:sz w:val="24"/>
          <w:szCs w:val="24"/>
          <w:highlight w:val="none"/>
        </w:rPr>
        <w:t>本</w:t>
      </w:r>
      <w:r>
        <w:rPr>
          <w:rFonts w:hint="eastAsia" w:ascii="宋体" w:hAnsi="宋体" w:eastAsia="宋体" w:cs="宋体"/>
          <w:color w:val="auto"/>
          <w:kern w:val="0"/>
          <w:sz w:val="24"/>
          <w:szCs w:val="24"/>
          <w:highlight w:val="none"/>
        </w:rPr>
        <w:t>项目及周边给排水、天然气等管线迁改设计工作：</w:t>
      </w:r>
    </w:p>
    <w:p w14:paraId="0FB2D50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为配合项目地块的规划及工程施工需要，解决因地块周边给、排水、天然气等管道标高冲突问题，承包人需完成给排水管线、天然气管线等的迁改的施工图设计、预算及竣工图编制工作。</w:t>
      </w:r>
    </w:p>
    <w:p w14:paraId="5AA334A6">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w:t>
      </w:r>
      <w:r>
        <w:rPr>
          <w:rFonts w:ascii="宋体" w:hAnsi="宋体" w:eastAsia="宋体" w:cs="宋体"/>
          <w:color w:val="auto"/>
          <w:kern w:val="0"/>
          <w:sz w:val="24"/>
          <w:szCs w:val="24"/>
          <w:highlight w:val="none"/>
        </w:rPr>
        <w:t>.4</w:t>
      </w:r>
      <w:r>
        <w:rPr>
          <w:rFonts w:hint="eastAsia" w:ascii="宋体" w:hAnsi="宋体" w:eastAsia="宋体" w:cs="宋体"/>
          <w:color w:val="auto"/>
          <w:kern w:val="0"/>
          <w:sz w:val="24"/>
          <w:szCs w:val="24"/>
          <w:highlight w:val="none"/>
        </w:rPr>
        <w:t>本项目通信线路迁改设计工作：</w:t>
      </w:r>
    </w:p>
    <w:p w14:paraId="4227AC9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按照发包人与中国移动、中国联通、天河有线和交通监控等管线权属单位协商结果，投标人对本项目及周边受影响通信线路的迁改工程，进行现场勘察、施工图设计、预算编制及竣工图编制等。</w:t>
      </w:r>
    </w:p>
    <w:p w14:paraId="07158A28">
      <w:pPr>
        <w:pStyle w:val="24"/>
        <w:ind w:left="480" w:firstLine="0" w:firstLineChars="0"/>
        <w:rPr>
          <w:rFonts w:hint="eastAsia" w:hAnsi="宋体" w:cs="宋体"/>
          <w:szCs w:val="24"/>
          <w:highlight w:val="none"/>
        </w:rPr>
      </w:pPr>
      <w:r>
        <w:rPr>
          <w:rFonts w:hint="eastAsia" w:hAnsi="宋体" w:cs="宋体"/>
          <w:szCs w:val="24"/>
          <w:highlight w:val="none"/>
        </w:rPr>
        <w:t>2</w:t>
      </w:r>
      <w:r>
        <w:rPr>
          <w:rFonts w:hAnsi="宋体" w:cs="宋体"/>
          <w:szCs w:val="24"/>
          <w:highlight w:val="none"/>
        </w:rPr>
        <w:t>.5</w:t>
      </w:r>
      <w:r>
        <w:rPr>
          <w:rFonts w:hint="eastAsia" w:hAnsi="宋体" w:cs="宋体"/>
          <w:szCs w:val="24"/>
          <w:highlight w:val="none"/>
        </w:rPr>
        <w:t>本项目零星管线迁改设计工作：</w:t>
      </w:r>
    </w:p>
    <w:p w14:paraId="6061DDD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为解决项目因分批拆迁所引起的水、电表前等其他一切零星管线迁改问题，投标人需完成每户表前零星管线的迁改方案设计工作、预算及竣工图编制工作。</w:t>
      </w:r>
    </w:p>
    <w:p w14:paraId="2587B175">
      <w:pPr>
        <w:pStyle w:val="24"/>
        <w:ind w:left="480" w:firstLine="0" w:firstLineChars="0"/>
        <w:rPr>
          <w:rFonts w:hint="eastAsia" w:hAnsi="宋体" w:cs="宋体"/>
          <w:szCs w:val="24"/>
          <w:highlight w:val="none"/>
        </w:rPr>
      </w:pPr>
      <w:r>
        <w:rPr>
          <w:rFonts w:hint="eastAsia" w:hAnsi="宋体" w:cs="宋体"/>
          <w:szCs w:val="24"/>
          <w:highlight w:val="none"/>
        </w:rPr>
        <w:t>2</w:t>
      </w:r>
      <w:r>
        <w:rPr>
          <w:rFonts w:hAnsi="宋体" w:cs="宋体"/>
          <w:szCs w:val="24"/>
          <w:highlight w:val="none"/>
        </w:rPr>
        <w:t>.6</w:t>
      </w:r>
      <w:r>
        <w:rPr>
          <w:rFonts w:hint="eastAsia" w:hAnsi="宋体" w:cs="宋体"/>
          <w:szCs w:val="24"/>
          <w:highlight w:val="none"/>
        </w:rPr>
        <w:t>本项目周边交通疏解设计工作：</w:t>
      </w:r>
    </w:p>
    <w:p w14:paraId="61AFAC1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为配合项目地块的规划及工程施工需要，解决因地块周边各专业管道施工引起的交通疏解问题，承包人需完成交通疏解工程的施工图设计工作、概预算及竣工图编制工作。</w:t>
      </w:r>
    </w:p>
    <w:p w14:paraId="2B6AFA34">
      <w:pPr>
        <w:pStyle w:val="24"/>
        <w:ind w:firstLine="480"/>
        <w:rPr>
          <w:rFonts w:hint="eastAsia" w:hAnsi="宋体" w:cs="宋体"/>
          <w:szCs w:val="24"/>
          <w:highlight w:val="none"/>
        </w:rPr>
      </w:pPr>
      <w:r>
        <w:rPr>
          <w:rFonts w:hint="eastAsia" w:hAnsi="宋体" w:cs="宋体"/>
          <w:szCs w:val="24"/>
          <w:highlight w:val="none"/>
        </w:rPr>
        <w:t>2</w:t>
      </w:r>
      <w:r>
        <w:rPr>
          <w:rFonts w:hAnsi="宋体" w:cs="宋体"/>
          <w:szCs w:val="24"/>
          <w:highlight w:val="none"/>
        </w:rPr>
        <w:t>.7</w:t>
      </w:r>
      <w:r>
        <w:rPr>
          <w:rFonts w:hint="eastAsia" w:hAnsi="宋体" w:cs="宋体"/>
          <w:szCs w:val="24"/>
          <w:highlight w:val="none"/>
        </w:rPr>
        <w:t>管线迁改设计工作宜按以下流程进行，承包人应协助发包人开展相关工作，包括但不限于以下内容：</w:t>
      </w:r>
    </w:p>
    <w:p w14:paraId="420D67A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施工图设计及预算审查：组织专家对施工图设计及预算进行审查。</w:t>
      </w:r>
    </w:p>
    <w:p w14:paraId="174EEF9A">
      <w:pPr>
        <w:spacing w:line="360" w:lineRule="auto"/>
        <w:ind w:firstLine="482"/>
        <w:rPr>
          <w:rFonts w:hint="eastAsia" w:ascii="宋体" w:hAnsi="宋体" w:eastAsia="宋体" w:cs="宋体"/>
          <w:color w:val="auto"/>
          <w:sz w:val="24"/>
          <w:szCs w:val="24"/>
          <w:highlight w:val="none"/>
        </w:rPr>
      </w:pPr>
    </w:p>
    <w:p w14:paraId="4A4AB0AD">
      <w:pP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2E68AC7F">
      <w:pPr>
        <w:pStyle w:val="2"/>
        <w:keepNext w:val="0"/>
        <w:keepLines w:val="0"/>
        <w:snapToGrid/>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七、投标文件编制要求</w:t>
      </w:r>
    </w:p>
    <w:p w14:paraId="00AE6134">
      <w:pPr>
        <w:pStyle w:val="5"/>
        <w:keepNext w:val="0"/>
        <w:keepLines w:val="0"/>
        <w:snapToGrid/>
        <w:spacing w:before="120" w:beforeLines="50" w:after="0"/>
        <w:ind w:firstLine="482"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w:t>
      </w:r>
      <w:r>
        <w:rPr>
          <w:rFonts w:hint="eastAsia" w:ascii="宋体" w:hAnsi="宋体" w:eastAsia="宋体" w:cs="宋体"/>
          <w:color w:val="auto"/>
          <w:sz w:val="24"/>
          <w:szCs w:val="24"/>
          <w:highlight w:val="none"/>
        </w:rPr>
        <w:t>投标文件的编制要求</w:t>
      </w:r>
    </w:p>
    <w:p w14:paraId="3CD3ABE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详见招标文件。</w:t>
      </w:r>
    </w:p>
    <w:p w14:paraId="1F77B177">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4DDFE5AA">
      <w:pPr>
        <w:pStyle w:val="2"/>
        <w:keepNext w:val="0"/>
        <w:keepLines w:val="0"/>
        <w:snapToGrid/>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八、预算编制</w:t>
      </w:r>
    </w:p>
    <w:p w14:paraId="217A96E2">
      <w:pPr>
        <w:pStyle w:val="5"/>
        <w:keepNext w:val="0"/>
        <w:keepLines w:val="0"/>
        <w:snapToGrid/>
        <w:spacing w:before="120" w:beforeLines="50" w:after="0"/>
        <w:ind w:firstLine="482"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w:t>
      </w:r>
      <w:r>
        <w:rPr>
          <w:rFonts w:hint="eastAsia" w:ascii="宋体" w:hAnsi="宋体" w:eastAsia="宋体" w:cs="宋体"/>
          <w:color w:val="auto"/>
          <w:sz w:val="24"/>
          <w:szCs w:val="24"/>
          <w:highlight w:val="none"/>
        </w:rPr>
        <w:t>总则</w:t>
      </w:r>
    </w:p>
    <w:p w14:paraId="76FB13B2">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施工图预算应控制在已批准的设计总概算投资范围以内。</w:t>
      </w:r>
    </w:p>
    <w:p w14:paraId="192F8B54">
      <w:pPr>
        <w:pStyle w:val="5"/>
        <w:keepNext w:val="0"/>
        <w:keepLines w:val="0"/>
        <w:snapToGrid/>
        <w:spacing w:before="120" w:beforeLines="50" w:after="0"/>
        <w:ind w:firstLine="482"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1.1</w:t>
      </w:r>
      <w:r>
        <w:rPr>
          <w:rFonts w:hint="eastAsia" w:ascii="宋体" w:hAnsi="宋体" w:eastAsia="宋体" w:cs="宋体"/>
          <w:color w:val="auto"/>
          <w:sz w:val="24"/>
          <w:szCs w:val="24"/>
          <w:highlight w:val="none"/>
        </w:rPr>
        <w:t>预算文件组成</w:t>
      </w:r>
    </w:p>
    <w:p w14:paraId="5000CC2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.1.1</w:t>
      </w:r>
      <w:r>
        <w:rPr>
          <w:rFonts w:hint="eastAsia" w:ascii="宋体" w:hAnsi="宋体" w:eastAsia="宋体" w:cs="宋体"/>
          <w:color w:val="auto"/>
          <w:sz w:val="24"/>
          <w:szCs w:val="24"/>
          <w:highlight w:val="none"/>
        </w:rPr>
        <w:t>预算文件由封面、扉页（签署页）、目录、编制说明和总预算表、单项工程综合概（预）算表及单位工程预算书等组成。</w:t>
      </w:r>
    </w:p>
    <w:p w14:paraId="49A44483">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1.1.2</w:t>
      </w:r>
      <w:r>
        <w:rPr>
          <w:rFonts w:hint="eastAsia" w:ascii="宋体" w:hAnsi="宋体" w:eastAsia="宋体" w:cs="宋体"/>
          <w:color w:val="auto"/>
          <w:sz w:val="24"/>
          <w:szCs w:val="24"/>
          <w:highlight w:val="none"/>
        </w:rPr>
        <w:t>封面、扉页及目录封面内容包括：建设项目名称、设计阶段、篇册分册名称、编制单位及日期。扉页内容包括：建设项目名称、各级相关人员签名及其印章（含执业专用章）、编制单位及其印章、日期。目录按预算表格的顺序编排。</w:t>
      </w:r>
    </w:p>
    <w:p w14:paraId="3DE541B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.1.3</w:t>
      </w:r>
      <w:r>
        <w:rPr>
          <w:rFonts w:hint="eastAsia" w:ascii="宋体" w:hAnsi="宋体" w:eastAsia="宋体" w:cs="宋体"/>
          <w:color w:val="auto"/>
          <w:sz w:val="24"/>
          <w:szCs w:val="24"/>
          <w:highlight w:val="none"/>
        </w:rPr>
        <w:t>编制说明概预算文件编制完成后，应写出编制说明，文字力求简明扼要。应叙述的内容有：</w:t>
      </w:r>
    </w:p>
    <w:p w14:paraId="1F16C114">
      <w:pPr>
        <w:numPr>
          <w:ilvl w:val="0"/>
          <w:numId w:val="24"/>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工程概况：主要包括工程基本情况、编制范围、概(预)算单元划分及编制单位、主要工程内容及施工工法、结构形式、建筑面积、特殊工艺说明等内容。</w:t>
      </w:r>
    </w:p>
    <w:p w14:paraId="46F9ED90">
      <w:pPr>
        <w:numPr>
          <w:ilvl w:val="0"/>
          <w:numId w:val="24"/>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编制依据及取费标准：按合同约定。</w:t>
      </w:r>
    </w:p>
    <w:p w14:paraId="7D1B8A38">
      <w:pPr>
        <w:numPr>
          <w:ilvl w:val="0"/>
          <w:numId w:val="24"/>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预算成果：按合同约定。</w:t>
      </w:r>
    </w:p>
    <w:p w14:paraId="24928F8A">
      <w:pPr>
        <w:numPr>
          <w:ilvl w:val="0"/>
          <w:numId w:val="24"/>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其它说明（如有）：①、与概预算有关的委托书、协议书、会议纪要主要内容；②、编制中存在的问题；③、其它与概预算有关但不能在表格里反映的事项和其它需要说明的内容。</w:t>
      </w:r>
    </w:p>
    <w:p w14:paraId="25996B17">
      <w:pPr>
        <w:pStyle w:val="5"/>
        <w:keepNext w:val="0"/>
        <w:keepLines w:val="0"/>
        <w:snapToGrid/>
        <w:spacing w:before="120" w:beforeLines="50" w:after="0"/>
        <w:ind w:firstLine="482"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rPr>
        <w:t>概预算表格统一，内容包括：</w:t>
      </w:r>
    </w:p>
    <w:p w14:paraId="09AE0F8D">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总概（预）算表</w:t>
      </w:r>
    </w:p>
    <w:p w14:paraId="75973E8E">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其他费用计算表</w:t>
      </w:r>
    </w:p>
    <w:p w14:paraId="4647BF7A">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综合概（预）算表</w:t>
      </w:r>
    </w:p>
    <w:p w14:paraId="498988C1">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单位工程费用汇总表</w:t>
      </w:r>
    </w:p>
    <w:p w14:paraId="3C50415C">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分部分项工程和单价措施项目清单与计价表</w:t>
      </w:r>
    </w:p>
    <w:p w14:paraId="6DE839D1">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综合单价计算表</w:t>
      </w:r>
    </w:p>
    <w:p w14:paraId="00FEE723">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总价措施项目清单与计价表</w:t>
      </w:r>
    </w:p>
    <w:p w14:paraId="4DF5E5E2">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其他项目清单与计价汇总表</w:t>
      </w:r>
    </w:p>
    <w:p w14:paraId="6D80E378">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规费、税金项目清单与计价表</w:t>
      </w:r>
    </w:p>
    <w:p w14:paraId="04A36C22">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单位工程人材机汇总表</w:t>
      </w:r>
    </w:p>
    <w:p w14:paraId="0C77F972">
      <w:pPr>
        <w:numPr>
          <w:ilvl w:val="0"/>
          <w:numId w:val="25"/>
        </w:numPr>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单位工程主材设备汇总表(机电工程)。</w:t>
      </w:r>
    </w:p>
    <w:p w14:paraId="71A93A8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根据工程建设概预算管理的需要可以增加的其它必要的表格。</w:t>
      </w:r>
    </w:p>
    <w:p w14:paraId="0436CB53">
      <w:pPr>
        <w:pStyle w:val="5"/>
        <w:keepNext w:val="0"/>
        <w:keepLines w:val="0"/>
        <w:snapToGrid/>
        <w:spacing w:before="120" w:beforeLines="50" w:after="0"/>
        <w:ind w:firstLine="482" w:firstLineChars="200"/>
        <w:rPr>
          <w:rFonts w:hint="eastAsia" w:ascii="宋体" w:hAnsi="宋体" w:eastAsia="宋体" w:cs="宋体"/>
          <w:bCs w:val="0"/>
          <w:color w:val="auto"/>
          <w:sz w:val="24"/>
          <w:szCs w:val="24"/>
          <w:highlight w:val="none"/>
        </w:rPr>
      </w:pPr>
      <w:r>
        <w:rPr>
          <w:rFonts w:ascii="宋体" w:hAnsi="宋体" w:eastAsia="宋体" w:cs="宋体"/>
          <w:bCs w:val="0"/>
          <w:color w:val="auto"/>
          <w:sz w:val="24"/>
          <w:szCs w:val="24"/>
          <w:highlight w:val="none"/>
        </w:rPr>
        <w:t>1.3</w:t>
      </w:r>
      <w:r>
        <w:rPr>
          <w:rFonts w:hint="eastAsia" w:ascii="宋体" w:hAnsi="宋体" w:eastAsia="宋体" w:cs="宋体"/>
          <w:bCs w:val="0"/>
          <w:color w:val="auto"/>
          <w:sz w:val="24"/>
          <w:szCs w:val="24"/>
          <w:highlight w:val="none"/>
        </w:rPr>
        <w:t xml:space="preserve"> 限额设计</w:t>
      </w:r>
    </w:p>
    <w:p w14:paraId="4522DBE2">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1.3.1</w:t>
      </w:r>
      <w:r>
        <w:rPr>
          <w:rFonts w:hint="eastAsia" w:ascii="宋体" w:hAnsi="宋体" w:eastAsia="宋体" w:cs="宋体"/>
          <w:color w:val="auto"/>
          <w:sz w:val="24"/>
          <w:szCs w:val="24"/>
          <w:highlight w:val="none"/>
        </w:rPr>
        <w:t>限额设计是投资控制的有效手段，应将节约投资和科学设计有机结合，既保证工程质量又有效控制工程造价。</w:t>
      </w:r>
    </w:p>
    <w:p w14:paraId="655A57CC">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1.3.2</w:t>
      </w:r>
      <w:r>
        <w:rPr>
          <w:rFonts w:hint="eastAsia" w:ascii="宋体" w:hAnsi="宋体" w:eastAsia="宋体" w:cs="宋体"/>
          <w:color w:val="auto"/>
          <w:sz w:val="24"/>
          <w:szCs w:val="24"/>
          <w:highlight w:val="none"/>
        </w:rPr>
        <w:t>本项目采用造价限额设计：具体造价限额待概算审定后，以批复金额及合同约定为准。</w:t>
      </w:r>
    </w:p>
    <w:p w14:paraId="55E72020">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1.3.3</w:t>
      </w:r>
      <w:r>
        <w:rPr>
          <w:rFonts w:hint="eastAsia" w:ascii="宋体" w:hAnsi="宋体" w:eastAsia="宋体" w:cs="宋体"/>
          <w:color w:val="auto"/>
          <w:sz w:val="24"/>
          <w:szCs w:val="24"/>
          <w:highlight w:val="none"/>
        </w:rPr>
        <w:t>应在限额设计范围内，要求依据建设和技术资料合理选择、运用技术经济多方案比选等技术手段，科学分析、系统考虑，不断优化设计方案，确保工程质量，严格控制成本造价，降低项目总投资。</w:t>
      </w:r>
    </w:p>
    <w:p w14:paraId="1EC83E7F">
      <w:pPr>
        <w:widowControl/>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031263EF">
      <w:pPr>
        <w:pStyle w:val="2"/>
        <w:keepNext w:val="0"/>
        <w:keepLines w:val="0"/>
        <w:snapToGrid/>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九、设计成果提交要求</w:t>
      </w:r>
    </w:p>
    <w:p w14:paraId="73907A79">
      <w:pPr>
        <w:widowControl/>
        <w:adjustRightInd w:val="0"/>
        <w:spacing w:before="0" w:after="0" w:line="360" w:lineRule="auto"/>
        <w:ind w:firstLine="480" w:firstLineChars="200"/>
        <w:jc w:val="both"/>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1</w:t>
      </w:r>
      <w:r>
        <w:rPr>
          <w:rFonts w:ascii="宋体" w:hAnsi="宋体" w:eastAsia="宋体" w:cs="宋体"/>
          <w:snapToGrid w:val="0"/>
          <w:color w:val="auto"/>
          <w:sz w:val="24"/>
          <w:szCs w:val="24"/>
          <w:highlight w:val="none"/>
        </w:rPr>
        <w:t>.</w:t>
      </w:r>
      <w:r>
        <w:rPr>
          <w:rFonts w:hint="eastAsia" w:ascii="宋体" w:hAnsi="宋体" w:eastAsia="宋体" w:cs="宋体"/>
          <w:snapToGrid w:val="0"/>
          <w:color w:val="auto"/>
          <w:sz w:val="24"/>
          <w:szCs w:val="24"/>
          <w:highlight w:val="none"/>
        </w:rPr>
        <w:t>承包人提交的设计成果文件应满足合同约定的时间要求；相关设计成果文件的质量须一次性通过甲方或甲方委托的第三方根据合同约定标准进行的审核。承包人设计成果文件的提交时间以符合合同约定质量的设计成果文件的提交时间为准。设计成果文件提交的时间及套数如下：</w:t>
      </w:r>
    </w:p>
    <w:p w14:paraId="08B76C13">
      <w:pPr>
        <w:ind w:firstLine="480"/>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 xml:space="preserve"> 设计成果提交时间表</w:t>
      </w:r>
    </w:p>
    <w:tbl>
      <w:tblPr>
        <w:tblStyle w:val="42"/>
        <w:tblW w:w="8429" w:type="dxa"/>
        <w:tblInd w:w="91" w:type="dxa"/>
        <w:tblLayout w:type="fixed"/>
        <w:tblCellMar>
          <w:top w:w="0" w:type="dxa"/>
          <w:left w:w="108" w:type="dxa"/>
          <w:bottom w:w="0" w:type="dxa"/>
          <w:right w:w="108" w:type="dxa"/>
        </w:tblCellMar>
      </w:tblPr>
      <w:tblGrid>
        <w:gridCol w:w="735"/>
        <w:gridCol w:w="2447"/>
        <w:gridCol w:w="1110"/>
        <w:gridCol w:w="1483"/>
        <w:gridCol w:w="900"/>
        <w:gridCol w:w="1754"/>
      </w:tblGrid>
      <w:tr w14:paraId="7F4CDBD8">
        <w:tblPrEx>
          <w:tblCellMar>
            <w:top w:w="0" w:type="dxa"/>
            <w:left w:w="108" w:type="dxa"/>
            <w:bottom w:w="0" w:type="dxa"/>
            <w:right w:w="108" w:type="dxa"/>
          </w:tblCellMar>
        </w:tblPrEx>
        <w:trPr>
          <w:trHeight w:val="23" w:hRule="atLeast"/>
        </w:trPr>
        <w:tc>
          <w:tcPr>
            <w:tcW w:w="735" w:type="dxa"/>
            <w:tcBorders>
              <w:top w:val="single" w:color="auto" w:sz="4" w:space="0"/>
              <w:left w:val="single" w:color="auto" w:sz="4" w:space="0"/>
              <w:bottom w:val="single" w:color="auto" w:sz="4" w:space="0"/>
              <w:right w:val="single" w:color="auto" w:sz="4" w:space="0"/>
            </w:tcBorders>
            <w:vAlign w:val="center"/>
          </w:tcPr>
          <w:p w14:paraId="7FB9BF88">
            <w:pPr>
              <w:widowControl/>
              <w:adjustRightInd w:val="0"/>
              <w:jc w:val="center"/>
              <w:rPr>
                <w:rFonts w:hint="eastAsia" w:ascii="宋体" w:hAnsi="宋体" w:eastAsia="宋体" w:cs="宋体"/>
                <w:b/>
                <w:bCs/>
                <w:snapToGrid w:val="0"/>
                <w:color w:val="auto"/>
                <w:sz w:val="24"/>
                <w:szCs w:val="24"/>
                <w:highlight w:val="none"/>
              </w:rPr>
            </w:pPr>
            <w:r>
              <w:rPr>
                <w:rFonts w:hint="eastAsia" w:ascii="宋体" w:hAnsi="宋体" w:eastAsia="宋体" w:cs="宋体"/>
                <w:b/>
                <w:bCs/>
                <w:snapToGrid w:val="0"/>
                <w:color w:val="auto"/>
                <w:sz w:val="24"/>
                <w:szCs w:val="24"/>
                <w:highlight w:val="none"/>
              </w:rPr>
              <w:t>序号</w:t>
            </w:r>
          </w:p>
        </w:tc>
        <w:tc>
          <w:tcPr>
            <w:tcW w:w="3557" w:type="dxa"/>
            <w:gridSpan w:val="2"/>
            <w:tcBorders>
              <w:top w:val="single" w:color="auto" w:sz="4" w:space="0"/>
              <w:left w:val="nil"/>
              <w:bottom w:val="single" w:color="auto" w:sz="4" w:space="0"/>
              <w:right w:val="single" w:color="auto" w:sz="4" w:space="0"/>
            </w:tcBorders>
            <w:vAlign w:val="center"/>
          </w:tcPr>
          <w:p w14:paraId="13F5D22C">
            <w:pPr>
              <w:widowControl/>
              <w:adjustRightInd w:val="0"/>
              <w:jc w:val="center"/>
              <w:rPr>
                <w:rFonts w:hint="eastAsia" w:ascii="宋体" w:hAnsi="宋体" w:eastAsia="宋体" w:cs="宋体"/>
                <w:b/>
                <w:bCs/>
                <w:snapToGrid w:val="0"/>
                <w:color w:val="auto"/>
                <w:sz w:val="24"/>
                <w:szCs w:val="24"/>
                <w:highlight w:val="none"/>
              </w:rPr>
            </w:pPr>
            <w:r>
              <w:rPr>
                <w:rFonts w:hint="eastAsia" w:ascii="宋体" w:hAnsi="宋体" w:eastAsia="宋体" w:cs="宋体"/>
                <w:b/>
                <w:bCs/>
                <w:snapToGrid w:val="0"/>
                <w:color w:val="auto"/>
                <w:sz w:val="24"/>
                <w:szCs w:val="24"/>
                <w:highlight w:val="none"/>
              </w:rPr>
              <w:t>资料及文件名称</w:t>
            </w:r>
          </w:p>
        </w:tc>
        <w:tc>
          <w:tcPr>
            <w:tcW w:w="1483" w:type="dxa"/>
            <w:tcBorders>
              <w:top w:val="single" w:color="auto" w:sz="4" w:space="0"/>
              <w:left w:val="nil"/>
              <w:bottom w:val="single" w:color="auto" w:sz="4" w:space="0"/>
              <w:right w:val="single" w:color="auto" w:sz="4" w:space="0"/>
            </w:tcBorders>
            <w:vAlign w:val="center"/>
          </w:tcPr>
          <w:p w14:paraId="588CAEEF">
            <w:pPr>
              <w:widowControl/>
              <w:adjustRightInd w:val="0"/>
              <w:jc w:val="center"/>
              <w:rPr>
                <w:rFonts w:hint="eastAsia" w:ascii="宋体" w:hAnsi="宋体" w:eastAsia="宋体" w:cs="宋体"/>
                <w:b/>
                <w:bCs/>
                <w:snapToGrid w:val="0"/>
                <w:color w:val="auto"/>
                <w:sz w:val="24"/>
                <w:szCs w:val="24"/>
                <w:highlight w:val="none"/>
              </w:rPr>
            </w:pPr>
            <w:r>
              <w:rPr>
                <w:rFonts w:hint="eastAsia" w:ascii="宋体" w:hAnsi="宋体" w:eastAsia="宋体" w:cs="宋体"/>
                <w:b/>
                <w:bCs/>
                <w:snapToGrid w:val="0"/>
                <w:color w:val="auto"/>
                <w:sz w:val="24"/>
                <w:szCs w:val="24"/>
                <w:highlight w:val="none"/>
              </w:rPr>
              <w:t>提交日期</w:t>
            </w:r>
          </w:p>
        </w:tc>
        <w:tc>
          <w:tcPr>
            <w:tcW w:w="900" w:type="dxa"/>
            <w:tcBorders>
              <w:top w:val="single" w:color="auto" w:sz="4" w:space="0"/>
              <w:left w:val="nil"/>
              <w:bottom w:val="single" w:color="auto" w:sz="4" w:space="0"/>
              <w:right w:val="single" w:color="auto" w:sz="4" w:space="0"/>
            </w:tcBorders>
            <w:vAlign w:val="center"/>
          </w:tcPr>
          <w:p w14:paraId="281FF592">
            <w:pPr>
              <w:widowControl/>
              <w:adjustRightInd w:val="0"/>
              <w:jc w:val="center"/>
              <w:rPr>
                <w:rFonts w:hint="eastAsia" w:ascii="宋体" w:hAnsi="宋体" w:eastAsia="宋体" w:cs="宋体"/>
                <w:b/>
                <w:bCs/>
                <w:snapToGrid w:val="0"/>
                <w:color w:val="auto"/>
                <w:sz w:val="24"/>
                <w:szCs w:val="24"/>
                <w:highlight w:val="none"/>
              </w:rPr>
            </w:pPr>
            <w:r>
              <w:rPr>
                <w:rFonts w:hint="eastAsia" w:ascii="宋体" w:hAnsi="宋体" w:eastAsia="宋体" w:cs="宋体"/>
                <w:b/>
                <w:bCs/>
                <w:snapToGrid w:val="0"/>
                <w:color w:val="auto"/>
                <w:sz w:val="24"/>
                <w:szCs w:val="24"/>
                <w:highlight w:val="none"/>
              </w:rPr>
              <w:t>套数</w:t>
            </w:r>
          </w:p>
        </w:tc>
        <w:tc>
          <w:tcPr>
            <w:tcW w:w="1754" w:type="dxa"/>
            <w:tcBorders>
              <w:top w:val="single" w:color="auto" w:sz="4" w:space="0"/>
              <w:left w:val="nil"/>
              <w:bottom w:val="single" w:color="auto" w:sz="4" w:space="0"/>
              <w:right w:val="single" w:color="auto" w:sz="4" w:space="0"/>
            </w:tcBorders>
            <w:vAlign w:val="center"/>
          </w:tcPr>
          <w:p w14:paraId="6D1CA758">
            <w:pPr>
              <w:widowControl/>
              <w:adjustRightInd w:val="0"/>
              <w:jc w:val="center"/>
              <w:rPr>
                <w:rFonts w:hint="eastAsia" w:ascii="宋体" w:hAnsi="宋体" w:eastAsia="宋体" w:cs="宋体"/>
                <w:b/>
                <w:bCs/>
                <w:snapToGrid w:val="0"/>
                <w:color w:val="auto"/>
                <w:sz w:val="24"/>
                <w:szCs w:val="24"/>
                <w:highlight w:val="none"/>
              </w:rPr>
            </w:pPr>
            <w:r>
              <w:rPr>
                <w:rFonts w:hint="eastAsia" w:ascii="宋体" w:hAnsi="宋体" w:eastAsia="宋体" w:cs="宋体"/>
                <w:b/>
                <w:bCs/>
                <w:snapToGrid w:val="0"/>
                <w:color w:val="auto"/>
                <w:sz w:val="24"/>
                <w:szCs w:val="24"/>
                <w:highlight w:val="none"/>
              </w:rPr>
              <w:t>备注</w:t>
            </w:r>
          </w:p>
        </w:tc>
      </w:tr>
      <w:tr w14:paraId="10D4133C">
        <w:tblPrEx>
          <w:tblCellMar>
            <w:top w:w="0" w:type="dxa"/>
            <w:left w:w="108" w:type="dxa"/>
            <w:bottom w:w="0" w:type="dxa"/>
            <w:right w:w="108" w:type="dxa"/>
          </w:tblCellMar>
        </w:tblPrEx>
        <w:trPr>
          <w:trHeight w:val="23" w:hRule="atLeast"/>
        </w:trPr>
        <w:tc>
          <w:tcPr>
            <w:tcW w:w="735" w:type="dxa"/>
            <w:vMerge w:val="restart"/>
            <w:tcBorders>
              <w:top w:val="single" w:color="auto" w:sz="4" w:space="0"/>
              <w:left w:val="single" w:color="auto" w:sz="4" w:space="0"/>
              <w:bottom w:val="single" w:color="auto" w:sz="4" w:space="0"/>
              <w:right w:val="single" w:color="auto" w:sz="4" w:space="0"/>
            </w:tcBorders>
            <w:vAlign w:val="center"/>
          </w:tcPr>
          <w:p w14:paraId="429AD77E">
            <w:pPr>
              <w:widowControl/>
              <w:adjustRightInd w:val="0"/>
              <w:jc w:val="center"/>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1</w:t>
            </w:r>
          </w:p>
        </w:tc>
        <w:tc>
          <w:tcPr>
            <w:tcW w:w="2447" w:type="dxa"/>
            <w:vMerge w:val="restart"/>
            <w:tcBorders>
              <w:top w:val="single" w:color="auto" w:sz="4" w:space="0"/>
              <w:left w:val="single" w:color="auto" w:sz="4" w:space="0"/>
              <w:bottom w:val="single" w:color="auto" w:sz="4" w:space="0"/>
              <w:right w:val="single" w:color="auto" w:sz="4" w:space="0"/>
            </w:tcBorders>
            <w:vAlign w:val="center"/>
          </w:tcPr>
          <w:p w14:paraId="4949D783">
            <w:pPr>
              <w:widowControl/>
              <w:adjustRightInd w:val="0"/>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施工图（按施工图审查单位审查意见修改并审批通过的，包括主要材料设备清单、技术规范要求等文件）</w:t>
            </w:r>
          </w:p>
        </w:tc>
        <w:tc>
          <w:tcPr>
            <w:tcW w:w="1110" w:type="dxa"/>
            <w:tcBorders>
              <w:top w:val="single" w:color="auto" w:sz="4" w:space="0"/>
              <w:left w:val="single" w:color="auto" w:sz="4" w:space="0"/>
              <w:bottom w:val="single" w:color="auto" w:sz="4" w:space="0"/>
              <w:right w:val="single" w:color="auto" w:sz="4" w:space="0"/>
            </w:tcBorders>
            <w:vAlign w:val="center"/>
          </w:tcPr>
          <w:p w14:paraId="30DD9528">
            <w:pPr>
              <w:widowControl/>
              <w:adjustRightInd w:val="0"/>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施工报建的成果文件</w:t>
            </w:r>
          </w:p>
        </w:tc>
        <w:tc>
          <w:tcPr>
            <w:tcW w:w="1483" w:type="dxa"/>
            <w:vMerge w:val="restart"/>
            <w:tcBorders>
              <w:top w:val="single" w:color="auto" w:sz="4" w:space="0"/>
              <w:left w:val="single" w:color="auto" w:sz="4" w:space="0"/>
              <w:bottom w:val="single" w:color="auto" w:sz="4" w:space="0"/>
              <w:right w:val="single" w:color="auto" w:sz="4" w:space="0"/>
            </w:tcBorders>
            <w:vAlign w:val="center"/>
          </w:tcPr>
          <w:p w14:paraId="3FAFEDD5">
            <w:pPr>
              <w:adjustRightInd w:val="0"/>
              <w:rPr>
                <w:rFonts w:hint="eastAsia" w:ascii="宋体" w:hAnsi="宋体" w:eastAsia="宋体" w:cs="宋体"/>
                <w:snapToGrid w:val="0"/>
                <w:color w:val="auto"/>
                <w:sz w:val="24"/>
                <w:szCs w:val="24"/>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5B43D719">
            <w:pPr>
              <w:adjustRightInd w:val="0"/>
              <w:jc w:val="center"/>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4</w:t>
            </w:r>
          </w:p>
        </w:tc>
        <w:tc>
          <w:tcPr>
            <w:tcW w:w="1754" w:type="dxa"/>
            <w:tcBorders>
              <w:top w:val="single" w:color="auto" w:sz="4" w:space="0"/>
              <w:left w:val="single" w:color="auto" w:sz="4" w:space="0"/>
              <w:bottom w:val="single" w:color="auto" w:sz="4" w:space="0"/>
              <w:right w:val="single" w:color="auto" w:sz="4" w:space="0"/>
            </w:tcBorders>
            <w:vAlign w:val="center"/>
          </w:tcPr>
          <w:p w14:paraId="549FC84D">
            <w:pPr>
              <w:adjustRightInd w:val="0"/>
              <w:rPr>
                <w:rFonts w:hint="eastAsia" w:ascii="宋体" w:hAnsi="宋体" w:eastAsia="宋体" w:cs="宋体"/>
                <w:snapToGrid w:val="0"/>
                <w:color w:val="auto"/>
                <w:sz w:val="24"/>
                <w:szCs w:val="24"/>
                <w:highlight w:val="none"/>
              </w:rPr>
            </w:pPr>
            <w:r>
              <w:rPr>
                <w:rFonts w:hint="eastAsia" w:ascii="宋体" w:hAnsi="宋体" w:eastAsia="宋体" w:cs="宋体"/>
                <w:color w:val="auto"/>
                <w:sz w:val="24"/>
                <w:szCs w:val="24"/>
                <w:highlight w:val="none"/>
              </w:rPr>
              <w:t>电子文档光盘2套</w:t>
            </w:r>
          </w:p>
        </w:tc>
      </w:tr>
      <w:tr w14:paraId="6A0A34DB">
        <w:tblPrEx>
          <w:tblCellMar>
            <w:top w:w="0" w:type="dxa"/>
            <w:left w:w="108" w:type="dxa"/>
            <w:bottom w:w="0" w:type="dxa"/>
            <w:right w:w="108" w:type="dxa"/>
          </w:tblCellMar>
        </w:tblPrEx>
        <w:trPr>
          <w:trHeight w:val="23" w:hRule="atLeast"/>
        </w:trPr>
        <w:tc>
          <w:tcPr>
            <w:tcW w:w="735" w:type="dxa"/>
            <w:vMerge w:val="continue"/>
            <w:tcBorders>
              <w:top w:val="single" w:color="auto" w:sz="4" w:space="0"/>
              <w:left w:val="single" w:color="auto" w:sz="4" w:space="0"/>
              <w:bottom w:val="single" w:color="auto" w:sz="4" w:space="0"/>
              <w:right w:val="single" w:color="auto" w:sz="4" w:space="0"/>
            </w:tcBorders>
            <w:vAlign w:val="center"/>
          </w:tcPr>
          <w:p w14:paraId="32F28F6F">
            <w:pPr>
              <w:widowControl/>
              <w:adjustRightInd w:val="0"/>
              <w:jc w:val="center"/>
              <w:rPr>
                <w:rFonts w:hint="eastAsia" w:ascii="宋体" w:hAnsi="宋体" w:eastAsia="宋体" w:cs="宋体"/>
                <w:snapToGrid w:val="0"/>
                <w:color w:val="auto"/>
                <w:sz w:val="24"/>
                <w:szCs w:val="24"/>
                <w:highlight w:val="none"/>
              </w:rPr>
            </w:pPr>
          </w:p>
        </w:tc>
        <w:tc>
          <w:tcPr>
            <w:tcW w:w="2447" w:type="dxa"/>
            <w:vMerge w:val="continue"/>
            <w:tcBorders>
              <w:top w:val="single" w:color="auto" w:sz="4" w:space="0"/>
              <w:left w:val="single" w:color="auto" w:sz="4" w:space="0"/>
              <w:bottom w:val="single" w:color="auto" w:sz="4" w:space="0"/>
              <w:right w:val="single" w:color="auto" w:sz="4" w:space="0"/>
            </w:tcBorders>
            <w:vAlign w:val="center"/>
          </w:tcPr>
          <w:p w14:paraId="1E75565D">
            <w:pPr>
              <w:widowControl/>
              <w:adjustRightInd w:val="0"/>
              <w:rPr>
                <w:rFonts w:hint="eastAsia" w:ascii="宋体" w:hAnsi="宋体" w:eastAsia="宋体" w:cs="宋体"/>
                <w:snapToGrid w:val="0"/>
                <w:color w:val="auto"/>
                <w:sz w:val="24"/>
                <w:szCs w:val="24"/>
                <w:highlight w:val="none"/>
              </w:rPr>
            </w:pPr>
          </w:p>
        </w:tc>
        <w:tc>
          <w:tcPr>
            <w:tcW w:w="1110" w:type="dxa"/>
            <w:tcBorders>
              <w:top w:val="single" w:color="auto" w:sz="4" w:space="0"/>
              <w:left w:val="nil"/>
              <w:bottom w:val="single" w:color="auto" w:sz="4" w:space="0"/>
              <w:right w:val="single" w:color="auto" w:sz="4" w:space="0"/>
            </w:tcBorders>
            <w:vAlign w:val="center"/>
          </w:tcPr>
          <w:p w14:paraId="167EFABD">
            <w:pPr>
              <w:adjustRightInd w:val="0"/>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施工图</w:t>
            </w:r>
          </w:p>
        </w:tc>
        <w:tc>
          <w:tcPr>
            <w:tcW w:w="1483" w:type="dxa"/>
            <w:vMerge w:val="continue"/>
            <w:tcBorders>
              <w:top w:val="single" w:color="auto" w:sz="4" w:space="0"/>
              <w:left w:val="single" w:color="auto" w:sz="4" w:space="0"/>
              <w:bottom w:val="single" w:color="auto" w:sz="4" w:space="0"/>
              <w:right w:val="single" w:color="auto" w:sz="4" w:space="0"/>
            </w:tcBorders>
            <w:vAlign w:val="center"/>
          </w:tcPr>
          <w:p w14:paraId="2065ED0B">
            <w:pPr>
              <w:adjustRightInd w:val="0"/>
              <w:rPr>
                <w:rFonts w:hint="eastAsia" w:ascii="宋体" w:hAnsi="宋体" w:eastAsia="宋体" w:cs="宋体"/>
                <w:snapToGrid w:val="0"/>
                <w:color w:val="auto"/>
                <w:sz w:val="24"/>
                <w:szCs w:val="24"/>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0143844F">
            <w:pPr>
              <w:adjustRightInd w:val="0"/>
              <w:jc w:val="center"/>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30</w:t>
            </w:r>
          </w:p>
        </w:tc>
        <w:tc>
          <w:tcPr>
            <w:tcW w:w="1754" w:type="dxa"/>
            <w:tcBorders>
              <w:top w:val="single" w:color="auto" w:sz="4" w:space="0"/>
              <w:left w:val="single" w:color="auto" w:sz="4" w:space="0"/>
              <w:bottom w:val="single" w:color="auto" w:sz="4" w:space="0"/>
              <w:right w:val="single" w:color="auto" w:sz="4" w:space="0"/>
            </w:tcBorders>
            <w:vAlign w:val="center"/>
          </w:tcPr>
          <w:p w14:paraId="16377EDA">
            <w:pPr>
              <w:adjustRightInd w:val="0"/>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对各专项设计进行</w:t>
            </w:r>
            <w:r>
              <w:rPr>
                <w:rFonts w:hint="eastAsia" w:ascii="宋体" w:hAnsi="宋体" w:eastAsia="宋体" w:cs="宋体"/>
                <w:snapToGrid w:val="0"/>
                <w:color w:val="auto"/>
                <w:sz w:val="24"/>
                <w:szCs w:val="24"/>
                <w:highlight w:val="none"/>
                <w:u w:val="single"/>
              </w:rPr>
              <w:t>总协调</w:t>
            </w:r>
            <w:r>
              <w:rPr>
                <w:rFonts w:hint="eastAsia" w:ascii="宋体" w:hAnsi="宋体" w:eastAsia="宋体" w:cs="宋体"/>
                <w:snapToGrid w:val="0"/>
                <w:color w:val="auto"/>
                <w:sz w:val="24"/>
                <w:szCs w:val="24"/>
                <w:highlight w:val="none"/>
              </w:rPr>
              <w:t>后的设计成果文件，同时提交</w:t>
            </w:r>
            <w:r>
              <w:rPr>
                <w:rFonts w:hint="eastAsia" w:ascii="宋体" w:hAnsi="宋体" w:eastAsia="宋体" w:cs="宋体"/>
                <w:color w:val="auto"/>
                <w:sz w:val="24"/>
                <w:szCs w:val="24"/>
                <w:highlight w:val="none"/>
              </w:rPr>
              <w:t>电子文档光盘2套</w:t>
            </w:r>
          </w:p>
        </w:tc>
      </w:tr>
      <w:tr w14:paraId="217B30F0">
        <w:tblPrEx>
          <w:tblCellMar>
            <w:top w:w="0" w:type="dxa"/>
            <w:left w:w="108" w:type="dxa"/>
            <w:bottom w:w="0" w:type="dxa"/>
            <w:right w:w="108" w:type="dxa"/>
          </w:tblCellMar>
        </w:tblPrEx>
        <w:trPr>
          <w:trHeight w:val="23" w:hRule="atLeast"/>
        </w:trPr>
        <w:tc>
          <w:tcPr>
            <w:tcW w:w="735" w:type="dxa"/>
            <w:tcBorders>
              <w:top w:val="single" w:color="auto" w:sz="4" w:space="0"/>
              <w:left w:val="single" w:color="auto" w:sz="4" w:space="0"/>
              <w:bottom w:val="single" w:color="auto" w:sz="4" w:space="0"/>
              <w:right w:val="single" w:color="auto" w:sz="4" w:space="0"/>
            </w:tcBorders>
            <w:vAlign w:val="center"/>
          </w:tcPr>
          <w:p w14:paraId="249A9BBA">
            <w:pPr>
              <w:widowControl/>
              <w:adjustRightInd w:val="0"/>
              <w:jc w:val="center"/>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2</w:t>
            </w:r>
          </w:p>
        </w:tc>
        <w:tc>
          <w:tcPr>
            <w:tcW w:w="3557" w:type="dxa"/>
            <w:gridSpan w:val="2"/>
            <w:tcBorders>
              <w:top w:val="single" w:color="auto" w:sz="4" w:space="0"/>
              <w:left w:val="single" w:color="auto" w:sz="4" w:space="0"/>
              <w:bottom w:val="single" w:color="auto" w:sz="4" w:space="0"/>
              <w:right w:val="single" w:color="auto" w:sz="4" w:space="0"/>
            </w:tcBorders>
            <w:vAlign w:val="center"/>
          </w:tcPr>
          <w:p w14:paraId="5A54E86A">
            <w:pPr>
              <w:widowControl/>
              <w:adjustRightInd w:val="0"/>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施工图预算</w:t>
            </w:r>
          </w:p>
        </w:tc>
        <w:tc>
          <w:tcPr>
            <w:tcW w:w="1483" w:type="dxa"/>
            <w:vMerge w:val="continue"/>
            <w:tcBorders>
              <w:top w:val="single" w:color="auto" w:sz="4" w:space="0"/>
              <w:left w:val="single" w:color="auto" w:sz="4" w:space="0"/>
              <w:bottom w:val="single" w:color="auto" w:sz="4" w:space="0"/>
              <w:right w:val="single" w:color="auto" w:sz="4" w:space="0"/>
            </w:tcBorders>
            <w:vAlign w:val="center"/>
          </w:tcPr>
          <w:p w14:paraId="06650D0B">
            <w:pPr>
              <w:adjustRightInd w:val="0"/>
              <w:rPr>
                <w:rFonts w:hint="eastAsia" w:ascii="宋体" w:hAnsi="宋体" w:eastAsia="宋体" w:cs="宋体"/>
                <w:snapToGrid w:val="0"/>
                <w:color w:val="auto"/>
                <w:sz w:val="24"/>
                <w:szCs w:val="24"/>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6DB20D00">
            <w:pPr>
              <w:adjustRightInd w:val="0"/>
              <w:jc w:val="center"/>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10</w:t>
            </w:r>
          </w:p>
        </w:tc>
        <w:tc>
          <w:tcPr>
            <w:tcW w:w="1754" w:type="dxa"/>
            <w:tcBorders>
              <w:top w:val="single" w:color="auto" w:sz="4" w:space="0"/>
              <w:left w:val="single" w:color="auto" w:sz="4" w:space="0"/>
              <w:bottom w:val="single" w:color="auto" w:sz="4" w:space="0"/>
              <w:right w:val="single" w:color="auto" w:sz="4" w:space="0"/>
            </w:tcBorders>
            <w:vAlign w:val="center"/>
          </w:tcPr>
          <w:p w14:paraId="62A9A711">
            <w:pPr>
              <w:adjustRightInd w:val="0"/>
              <w:rPr>
                <w:rFonts w:hint="eastAsia" w:ascii="宋体" w:hAnsi="宋体" w:eastAsia="宋体" w:cs="宋体"/>
                <w:snapToGrid w:val="0"/>
                <w:color w:val="auto"/>
                <w:sz w:val="24"/>
                <w:szCs w:val="24"/>
                <w:highlight w:val="none"/>
              </w:rPr>
            </w:pPr>
            <w:r>
              <w:rPr>
                <w:rFonts w:hint="eastAsia" w:ascii="宋体" w:hAnsi="宋体" w:eastAsia="宋体" w:cs="宋体"/>
                <w:color w:val="auto"/>
                <w:sz w:val="24"/>
                <w:szCs w:val="24"/>
                <w:highlight w:val="none"/>
              </w:rPr>
              <w:t>电子文档2套</w:t>
            </w:r>
          </w:p>
        </w:tc>
      </w:tr>
      <w:tr w14:paraId="4646B36F">
        <w:tblPrEx>
          <w:tblCellMar>
            <w:top w:w="0" w:type="dxa"/>
            <w:left w:w="108" w:type="dxa"/>
            <w:bottom w:w="0" w:type="dxa"/>
            <w:right w:w="108" w:type="dxa"/>
          </w:tblCellMar>
        </w:tblPrEx>
        <w:trPr>
          <w:trHeight w:val="23" w:hRule="atLeast"/>
        </w:trPr>
        <w:tc>
          <w:tcPr>
            <w:tcW w:w="735" w:type="dxa"/>
            <w:tcBorders>
              <w:top w:val="single" w:color="auto" w:sz="4" w:space="0"/>
              <w:left w:val="single" w:color="auto" w:sz="4" w:space="0"/>
              <w:bottom w:val="single" w:color="auto" w:sz="4" w:space="0"/>
              <w:right w:val="single" w:color="auto" w:sz="4" w:space="0"/>
            </w:tcBorders>
            <w:vAlign w:val="center"/>
          </w:tcPr>
          <w:p w14:paraId="0E112109">
            <w:pPr>
              <w:widowControl/>
              <w:adjustRightInd w:val="0"/>
              <w:jc w:val="center"/>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3</w:t>
            </w:r>
          </w:p>
        </w:tc>
        <w:tc>
          <w:tcPr>
            <w:tcW w:w="3557" w:type="dxa"/>
            <w:gridSpan w:val="2"/>
            <w:tcBorders>
              <w:top w:val="single" w:color="auto" w:sz="4" w:space="0"/>
              <w:left w:val="single" w:color="auto" w:sz="4" w:space="0"/>
              <w:bottom w:val="single" w:color="auto" w:sz="4" w:space="0"/>
              <w:right w:val="single" w:color="auto" w:sz="4" w:space="0"/>
            </w:tcBorders>
            <w:vAlign w:val="center"/>
          </w:tcPr>
          <w:p w14:paraId="422D1270">
            <w:pPr>
              <w:widowControl/>
              <w:adjustRightInd w:val="0"/>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竣工图</w:t>
            </w:r>
          </w:p>
        </w:tc>
        <w:tc>
          <w:tcPr>
            <w:tcW w:w="1483" w:type="dxa"/>
            <w:vMerge w:val="continue"/>
            <w:tcBorders>
              <w:top w:val="single" w:color="auto" w:sz="4" w:space="0"/>
              <w:left w:val="single" w:color="auto" w:sz="4" w:space="0"/>
              <w:bottom w:val="single" w:color="auto" w:sz="4" w:space="0"/>
              <w:right w:val="single" w:color="auto" w:sz="4" w:space="0"/>
            </w:tcBorders>
            <w:vAlign w:val="center"/>
          </w:tcPr>
          <w:p w14:paraId="5629270E">
            <w:pPr>
              <w:adjustRightInd w:val="0"/>
              <w:rPr>
                <w:rFonts w:hint="eastAsia" w:ascii="宋体" w:hAnsi="宋体" w:eastAsia="宋体" w:cs="宋体"/>
                <w:snapToGrid w:val="0"/>
                <w:color w:val="auto"/>
                <w:sz w:val="24"/>
                <w:szCs w:val="24"/>
                <w:highlight w:val="none"/>
              </w:rPr>
            </w:pPr>
          </w:p>
        </w:tc>
        <w:tc>
          <w:tcPr>
            <w:tcW w:w="900" w:type="dxa"/>
            <w:tcBorders>
              <w:top w:val="single" w:color="auto" w:sz="4" w:space="0"/>
              <w:left w:val="single" w:color="auto" w:sz="4" w:space="0"/>
              <w:bottom w:val="single" w:color="auto" w:sz="4" w:space="0"/>
              <w:right w:val="single" w:color="auto" w:sz="4" w:space="0"/>
            </w:tcBorders>
            <w:vAlign w:val="center"/>
          </w:tcPr>
          <w:p w14:paraId="03CC3229">
            <w:pPr>
              <w:adjustRightInd w:val="0"/>
              <w:jc w:val="center"/>
              <w:rPr>
                <w:rFonts w:hint="eastAsia" w:ascii="宋体" w:hAnsi="宋体" w:eastAsia="宋体" w:cs="宋体"/>
                <w:snapToGrid w:val="0"/>
                <w:color w:val="auto"/>
                <w:sz w:val="24"/>
                <w:szCs w:val="24"/>
                <w:highlight w:val="none"/>
              </w:rPr>
            </w:pPr>
            <w:r>
              <w:rPr>
                <w:rFonts w:hint="eastAsia" w:ascii="宋体" w:hAnsi="宋体" w:eastAsia="宋体" w:cs="宋体"/>
                <w:color w:val="auto"/>
                <w:sz w:val="24"/>
                <w:szCs w:val="24"/>
                <w:highlight w:val="none"/>
              </w:rPr>
              <w:t>8</w:t>
            </w:r>
          </w:p>
        </w:tc>
        <w:tc>
          <w:tcPr>
            <w:tcW w:w="1754" w:type="dxa"/>
            <w:tcBorders>
              <w:top w:val="single" w:color="auto" w:sz="4" w:space="0"/>
              <w:left w:val="single" w:color="auto" w:sz="4" w:space="0"/>
              <w:bottom w:val="single" w:color="auto" w:sz="4" w:space="0"/>
              <w:right w:val="single" w:color="auto" w:sz="4" w:space="0"/>
            </w:tcBorders>
            <w:vAlign w:val="center"/>
          </w:tcPr>
          <w:p w14:paraId="4BACFBDA">
            <w:pPr>
              <w:adjustRightInd w:val="0"/>
              <w:rPr>
                <w:rFonts w:hint="eastAsia" w:ascii="宋体" w:hAnsi="宋体" w:eastAsia="宋体" w:cs="宋体"/>
                <w:snapToGrid w:val="0"/>
                <w:color w:val="auto"/>
                <w:sz w:val="24"/>
                <w:szCs w:val="24"/>
                <w:highlight w:val="none"/>
              </w:rPr>
            </w:pPr>
            <w:r>
              <w:rPr>
                <w:rFonts w:hint="eastAsia" w:ascii="宋体" w:hAnsi="宋体" w:eastAsia="宋体" w:cs="宋体"/>
                <w:color w:val="auto"/>
                <w:sz w:val="24"/>
                <w:szCs w:val="24"/>
                <w:highlight w:val="none"/>
              </w:rPr>
              <w:t>电子文档2套</w:t>
            </w:r>
          </w:p>
        </w:tc>
      </w:tr>
      <w:tr w14:paraId="5708EBE3">
        <w:tblPrEx>
          <w:tblCellMar>
            <w:top w:w="0" w:type="dxa"/>
            <w:left w:w="108" w:type="dxa"/>
            <w:bottom w:w="0" w:type="dxa"/>
            <w:right w:w="108" w:type="dxa"/>
          </w:tblCellMar>
        </w:tblPrEx>
        <w:trPr>
          <w:trHeight w:val="23" w:hRule="atLeast"/>
        </w:trPr>
        <w:tc>
          <w:tcPr>
            <w:tcW w:w="735" w:type="dxa"/>
            <w:tcBorders>
              <w:top w:val="single" w:color="auto" w:sz="4" w:space="0"/>
              <w:left w:val="single" w:color="auto" w:sz="4" w:space="0"/>
              <w:bottom w:val="single" w:color="auto" w:sz="4" w:space="0"/>
              <w:right w:val="single" w:color="auto" w:sz="4" w:space="0"/>
            </w:tcBorders>
            <w:vAlign w:val="center"/>
          </w:tcPr>
          <w:p w14:paraId="215E8FFA">
            <w:pPr>
              <w:widowControl/>
              <w:adjustRightInd w:val="0"/>
              <w:jc w:val="center"/>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4</w:t>
            </w:r>
          </w:p>
        </w:tc>
        <w:tc>
          <w:tcPr>
            <w:tcW w:w="3557" w:type="dxa"/>
            <w:gridSpan w:val="2"/>
            <w:tcBorders>
              <w:top w:val="single" w:color="auto" w:sz="4" w:space="0"/>
              <w:left w:val="nil"/>
              <w:bottom w:val="single" w:color="auto" w:sz="4" w:space="0"/>
              <w:right w:val="single" w:color="auto" w:sz="4" w:space="0"/>
            </w:tcBorders>
            <w:vAlign w:val="center"/>
          </w:tcPr>
          <w:p w14:paraId="43C63DD1">
            <w:pPr>
              <w:widowControl/>
              <w:adjustRightInd w:val="0"/>
              <w:rPr>
                <w:rFonts w:hint="eastAsia" w:ascii="宋体" w:hAnsi="宋体" w:eastAsia="宋体" w:cs="宋体"/>
                <w:snapToGrid w:val="0"/>
                <w:color w:val="auto"/>
                <w:sz w:val="24"/>
                <w:szCs w:val="24"/>
                <w:highlight w:val="none"/>
              </w:rPr>
            </w:pPr>
            <w:r>
              <w:rPr>
                <w:rFonts w:hint="eastAsia" w:ascii="宋体" w:hAnsi="宋体" w:eastAsia="宋体" w:cs="宋体"/>
                <w:snapToGrid w:val="0"/>
                <w:color w:val="auto"/>
                <w:sz w:val="24"/>
                <w:szCs w:val="24"/>
                <w:highlight w:val="none"/>
              </w:rPr>
              <w:t>其他设计文件</w:t>
            </w:r>
          </w:p>
        </w:tc>
        <w:tc>
          <w:tcPr>
            <w:tcW w:w="1483" w:type="dxa"/>
            <w:vMerge w:val="continue"/>
            <w:tcBorders>
              <w:top w:val="single" w:color="auto" w:sz="4" w:space="0"/>
              <w:left w:val="nil"/>
              <w:bottom w:val="single" w:color="auto" w:sz="4" w:space="0"/>
              <w:right w:val="single" w:color="auto" w:sz="4" w:space="0"/>
            </w:tcBorders>
            <w:vAlign w:val="center"/>
          </w:tcPr>
          <w:p w14:paraId="273E4628">
            <w:pPr>
              <w:widowControl/>
              <w:adjustRightInd w:val="0"/>
              <w:rPr>
                <w:rFonts w:hint="eastAsia" w:ascii="宋体" w:hAnsi="宋体" w:eastAsia="宋体" w:cs="宋体"/>
                <w:snapToGrid w:val="0"/>
                <w:color w:val="auto"/>
                <w:sz w:val="24"/>
                <w:szCs w:val="24"/>
                <w:highlight w:val="none"/>
              </w:rPr>
            </w:pPr>
          </w:p>
        </w:tc>
        <w:tc>
          <w:tcPr>
            <w:tcW w:w="900" w:type="dxa"/>
            <w:tcBorders>
              <w:top w:val="single" w:color="auto" w:sz="4" w:space="0"/>
              <w:left w:val="nil"/>
              <w:bottom w:val="single" w:color="auto" w:sz="4" w:space="0"/>
              <w:right w:val="single" w:color="auto" w:sz="4" w:space="0"/>
            </w:tcBorders>
            <w:vAlign w:val="center"/>
          </w:tcPr>
          <w:p w14:paraId="1B162E19">
            <w:pPr>
              <w:widowControl/>
              <w:adjustRightInd w:val="0"/>
              <w:rPr>
                <w:rFonts w:hint="eastAsia" w:ascii="宋体" w:hAnsi="宋体" w:eastAsia="宋体" w:cs="宋体"/>
                <w:snapToGrid w:val="0"/>
                <w:color w:val="auto"/>
                <w:sz w:val="24"/>
                <w:szCs w:val="24"/>
                <w:highlight w:val="none"/>
              </w:rPr>
            </w:pPr>
            <w:r>
              <w:rPr>
                <w:rFonts w:hint="eastAsia" w:ascii="宋体" w:hAnsi="宋体" w:eastAsia="宋体" w:cs="宋体"/>
                <w:color w:val="auto"/>
                <w:sz w:val="24"/>
                <w:szCs w:val="24"/>
                <w:highlight w:val="none"/>
              </w:rPr>
              <w:t>按甲方要求</w:t>
            </w:r>
          </w:p>
        </w:tc>
        <w:tc>
          <w:tcPr>
            <w:tcW w:w="1754" w:type="dxa"/>
            <w:tcBorders>
              <w:top w:val="single" w:color="auto" w:sz="4" w:space="0"/>
              <w:left w:val="nil"/>
              <w:bottom w:val="single" w:color="auto" w:sz="4" w:space="0"/>
              <w:right w:val="single" w:color="auto" w:sz="4" w:space="0"/>
            </w:tcBorders>
            <w:vAlign w:val="center"/>
          </w:tcPr>
          <w:p w14:paraId="3CF32616">
            <w:pPr>
              <w:widowControl/>
              <w:adjustRightInd w:val="0"/>
              <w:rPr>
                <w:rFonts w:hint="eastAsia" w:ascii="宋体" w:hAnsi="宋体" w:eastAsia="宋体" w:cs="宋体"/>
                <w:snapToGrid w:val="0"/>
                <w:color w:val="auto"/>
                <w:sz w:val="24"/>
                <w:szCs w:val="24"/>
                <w:highlight w:val="none"/>
              </w:rPr>
            </w:pPr>
          </w:p>
        </w:tc>
      </w:tr>
    </w:tbl>
    <w:p w14:paraId="0C4E51C3">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2.</w:t>
      </w:r>
      <w:r>
        <w:rPr>
          <w:rFonts w:hint="eastAsia" w:ascii="宋体" w:hAnsi="宋体" w:eastAsia="宋体" w:cs="宋体"/>
          <w:bCs/>
          <w:snapToGrid w:val="0"/>
          <w:color w:val="auto"/>
          <w:sz w:val="24"/>
          <w:szCs w:val="24"/>
          <w:highlight w:val="none"/>
        </w:rPr>
        <w:t>承包人必须按照经过甲方审批确定的设计进度计划及时提交设计中间资料，以满足发包人开展有关工作的需要，有关费用已包含在本合同约定的设计费用之内。</w:t>
      </w:r>
    </w:p>
    <w:p w14:paraId="33A367B4">
      <w:pPr>
        <w:adjustRightInd w:val="0"/>
        <w:spacing w:line="360" w:lineRule="auto"/>
        <w:ind w:firstLine="480" w:firstLineChars="200"/>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3.</w:t>
      </w:r>
      <w:r>
        <w:rPr>
          <w:rFonts w:hint="eastAsia" w:ascii="宋体" w:hAnsi="宋体" w:eastAsia="宋体" w:cs="宋体"/>
          <w:bCs/>
          <w:snapToGrid w:val="0"/>
          <w:color w:val="auto"/>
          <w:sz w:val="24"/>
          <w:szCs w:val="24"/>
          <w:highlight w:val="none"/>
        </w:rPr>
        <w:t>承包人向甲方提交的各版次设计成果文件应满足勘察设计文件审批的要求及本工程各阶段建设的需要。</w:t>
      </w:r>
    </w:p>
    <w:p w14:paraId="1ECE3145">
      <w:pPr>
        <w:adjustRightInd w:val="0"/>
        <w:spacing w:line="360" w:lineRule="auto"/>
        <w:ind w:firstLine="480" w:firstLineChars="200"/>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4.</w:t>
      </w:r>
      <w:r>
        <w:rPr>
          <w:rFonts w:hint="eastAsia" w:ascii="宋体" w:hAnsi="宋体" w:eastAsia="宋体" w:cs="宋体"/>
          <w:bCs/>
          <w:snapToGrid w:val="0"/>
          <w:color w:val="auto"/>
          <w:sz w:val="24"/>
          <w:szCs w:val="24"/>
          <w:highlight w:val="none"/>
        </w:rPr>
        <w:t>承包人按合同约定的时限将设计成果文件或资料交付至甲方指定的地点，相关费用（包括运输、邮寄、电传、关税等费用）已经含于设计费中。</w:t>
      </w:r>
    </w:p>
    <w:p w14:paraId="6744E57A">
      <w:pPr>
        <w:adjustRightInd w:val="0"/>
        <w:spacing w:line="360" w:lineRule="auto"/>
        <w:ind w:firstLine="480" w:firstLineChars="200"/>
        <w:rPr>
          <w:rFonts w:hint="eastAsia" w:ascii="宋体" w:hAnsi="宋体" w:eastAsia="宋体" w:cs="宋体"/>
          <w:b/>
          <w:color w:val="auto"/>
          <w:kern w:val="44"/>
          <w:sz w:val="24"/>
          <w:szCs w:val="24"/>
          <w:highlight w:val="none"/>
        </w:rPr>
      </w:pPr>
      <w:r>
        <w:rPr>
          <w:rFonts w:ascii="宋体" w:hAnsi="宋体" w:eastAsia="宋体" w:cs="宋体"/>
          <w:bCs/>
          <w:snapToGrid w:val="0"/>
          <w:color w:val="auto"/>
          <w:sz w:val="24"/>
          <w:szCs w:val="24"/>
          <w:highlight w:val="none"/>
        </w:rPr>
        <w:t>5.</w:t>
      </w:r>
      <w:r>
        <w:rPr>
          <w:rFonts w:hint="eastAsia" w:ascii="宋体" w:hAnsi="宋体" w:eastAsia="宋体" w:cs="宋体"/>
          <w:bCs/>
          <w:snapToGrid w:val="0"/>
          <w:color w:val="auto"/>
          <w:sz w:val="24"/>
          <w:szCs w:val="24"/>
          <w:highlight w:val="none"/>
        </w:rPr>
        <w:t>在报建过程中</w:t>
      </w:r>
      <w:r>
        <w:rPr>
          <w:rFonts w:hint="eastAsia" w:ascii="宋体" w:hAnsi="宋体" w:eastAsia="宋体" w:cs="宋体"/>
          <w:snapToGrid w:val="0"/>
          <w:color w:val="auto"/>
          <w:sz w:val="24"/>
          <w:szCs w:val="24"/>
          <w:highlight w:val="none"/>
        </w:rPr>
        <w:t>需要提供设计成果文件或设计中间资料的电子文档的，承包人应无偿提供。</w:t>
      </w:r>
      <w:r>
        <w:rPr>
          <w:rFonts w:hint="eastAsia" w:ascii="宋体" w:hAnsi="宋体" w:eastAsia="宋体" w:cs="宋体"/>
          <w:b/>
          <w:color w:val="auto"/>
          <w:kern w:val="44"/>
          <w:sz w:val="24"/>
          <w:szCs w:val="24"/>
          <w:highlight w:val="none"/>
        </w:rPr>
        <w:br w:type="page"/>
      </w:r>
    </w:p>
    <w:p w14:paraId="5924691D">
      <w:pPr>
        <w:pStyle w:val="2"/>
        <w:keepNext w:val="0"/>
        <w:keepLines w:val="0"/>
        <w:snapToGrid/>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十、设计工作管理要求</w:t>
      </w:r>
    </w:p>
    <w:p w14:paraId="64E157A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须牵头成立设计管理部门，根据工期要求，编制总控计划及各专业专项工作计划（含设计、采购、报批、造价工作等），报批报建信息及计划一览表、设计技术问题沟通清单及应对措施一览表等，并统筹协同设计与施工，制定应对措施，确保项目目标的顺利实现。其具体工作职责包含以下主要内容：</w:t>
      </w:r>
    </w:p>
    <w:p w14:paraId="33ED4F08">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1.</w:t>
      </w:r>
      <w:r>
        <w:rPr>
          <w:rFonts w:hint="eastAsia" w:ascii="宋体" w:hAnsi="宋体" w:eastAsia="宋体" w:cs="宋体"/>
          <w:bCs/>
          <w:snapToGrid w:val="0"/>
          <w:color w:val="auto"/>
          <w:sz w:val="24"/>
          <w:szCs w:val="24"/>
          <w:highlight w:val="none"/>
        </w:rPr>
        <w:t>编制设计管理大纲，内容包括：工作原则、团队的组织架构、工作分解、职责分工、工作流程、以及各阶段主要工作内容等；大纲应对项目设计全过程中的控制节点进行明确，存在风险进行分析，同时提出相应的对策和管理办法，确认设计管理范围，并完成《设计管理范围确认表》。</w:t>
      </w:r>
    </w:p>
    <w:p w14:paraId="31FDAED0">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2.</w:t>
      </w:r>
      <w:r>
        <w:rPr>
          <w:rFonts w:hint="eastAsia" w:ascii="宋体" w:hAnsi="宋体" w:eastAsia="宋体" w:cs="宋体"/>
          <w:bCs/>
          <w:snapToGrid w:val="0"/>
          <w:color w:val="auto"/>
          <w:sz w:val="24"/>
          <w:szCs w:val="24"/>
          <w:highlight w:val="none"/>
        </w:rPr>
        <w:t>熟悉合同/协议并进行整理归纳，了解项目各方的工作内容、职责与权利；明确发包人对设计工作的具体要求，如设计范围、设计深度、建设标准、功能定位、进度要求、造价控制等。</w:t>
      </w:r>
    </w:p>
    <w:p w14:paraId="6C283149">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hint="eastAsia" w:ascii="宋体" w:hAnsi="宋体" w:eastAsia="宋体" w:cs="宋体"/>
          <w:bCs/>
          <w:snapToGrid w:val="0"/>
          <w:color w:val="auto"/>
          <w:sz w:val="24"/>
          <w:szCs w:val="24"/>
          <w:highlight w:val="none"/>
        </w:rPr>
        <w:t>3</w:t>
      </w:r>
      <w:r>
        <w:rPr>
          <w:rFonts w:ascii="宋体" w:hAnsi="宋体" w:eastAsia="宋体" w:cs="宋体"/>
          <w:bCs/>
          <w:snapToGrid w:val="0"/>
          <w:color w:val="auto"/>
          <w:sz w:val="24"/>
          <w:szCs w:val="24"/>
          <w:highlight w:val="none"/>
        </w:rPr>
        <w:t>.</w:t>
      </w:r>
      <w:r>
        <w:rPr>
          <w:rFonts w:hint="eastAsia" w:ascii="宋体" w:hAnsi="宋体" w:eastAsia="宋体" w:cs="宋体"/>
          <w:bCs/>
          <w:snapToGrid w:val="0"/>
          <w:color w:val="auto"/>
          <w:sz w:val="24"/>
          <w:szCs w:val="24"/>
          <w:highlight w:val="none"/>
        </w:rPr>
        <w:t>召开设计启动会，分析项目背景与风险、进行合同交底、宣布《设计管理大纲》和进度要求等事宜。</w:t>
      </w:r>
    </w:p>
    <w:p w14:paraId="5CF7A18C">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4.</w:t>
      </w:r>
      <w:r>
        <w:rPr>
          <w:rFonts w:hint="eastAsia" w:ascii="宋体" w:hAnsi="宋体" w:eastAsia="宋体" w:cs="宋体"/>
          <w:bCs/>
          <w:snapToGrid w:val="0"/>
          <w:color w:val="auto"/>
          <w:sz w:val="24"/>
          <w:szCs w:val="24"/>
          <w:highlight w:val="none"/>
        </w:rPr>
        <w:t>根据项目总进度计划编制设计总进度计划，并充分考虑政府职能部门及第三方设计咨询单位审查、专家评审，政府职能部门及规范要求的各项检测、监测、观测等影响，内容包括：施工图阶段进度计划、专项设计进度计划等，并根据阶段及项目需要，对各阶段、各项设计工作的进度计划进行拆分和细化，把控整体及分项设计工作进度。</w:t>
      </w:r>
    </w:p>
    <w:p w14:paraId="22FD6495">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5.</w:t>
      </w:r>
      <w:r>
        <w:rPr>
          <w:rFonts w:hint="eastAsia" w:ascii="宋体" w:hAnsi="宋体" w:eastAsia="宋体" w:cs="宋体"/>
          <w:bCs/>
          <w:snapToGrid w:val="0"/>
          <w:color w:val="auto"/>
          <w:sz w:val="24"/>
          <w:szCs w:val="24"/>
          <w:highlight w:val="none"/>
        </w:rPr>
        <w:t>根据计划，合理统筹项目所涉及的各专项、专业设计进度，专项、专业接口及控制点，并以设计为主导及核心，协同造价编制、报批报建、施工深化三方面同步开展工作，以落实方案效果、限额设计等目标。</w:t>
      </w:r>
    </w:p>
    <w:p w14:paraId="6E08711B">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6.</w:t>
      </w:r>
      <w:r>
        <w:rPr>
          <w:rFonts w:hint="eastAsia" w:ascii="宋体" w:hAnsi="宋体" w:eastAsia="宋体" w:cs="宋体"/>
          <w:bCs/>
          <w:snapToGrid w:val="0"/>
          <w:color w:val="auto"/>
          <w:sz w:val="24"/>
          <w:szCs w:val="24"/>
          <w:highlight w:val="none"/>
        </w:rPr>
        <w:t>根据项目涉及的工作内容进行设计任务分解，主要包括但不限于：施工图设计、人防设计、基础加固与保护及地基处理设计、边坡与基坑支护设计等主体设计的设计内容详细划分；室内装修、弱电深化、景观绿化、消防深化、交通标识标线设计、标识导向系统设计等专业设计的设计内容详细划分；同时还包括市政及配套设施等设计内容的详细划分。</w:t>
      </w:r>
    </w:p>
    <w:p w14:paraId="54E815DD">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7.</w:t>
      </w:r>
      <w:r>
        <w:rPr>
          <w:rFonts w:hint="eastAsia" w:ascii="宋体" w:hAnsi="宋体" w:eastAsia="宋体" w:cs="宋体"/>
          <w:bCs/>
          <w:snapToGrid w:val="0"/>
          <w:color w:val="auto"/>
          <w:sz w:val="24"/>
          <w:szCs w:val="24"/>
          <w:highlight w:val="none"/>
        </w:rPr>
        <w:t>完善设计输入条件；设计管理者应主动协助发包人收集各阶段设计输入资料，并及时交予设计团队；施工图阶段输入资料主要包括：施工图设计任务书、分包设计的相关设计参数。</w:t>
      </w:r>
    </w:p>
    <w:p w14:paraId="669B9F44">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8.</w:t>
      </w:r>
      <w:r>
        <w:rPr>
          <w:rFonts w:hint="eastAsia" w:ascii="宋体" w:hAnsi="宋体" w:eastAsia="宋体" w:cs="宋体"/>
          <w:bCs/>
          <w:snapToGrid w:val="0"/>
          <w:color w:val="auto"/>
          <w:sz w:val="24"/>
          <w:szCs w:val="24"/>
          <w:highlight w:val="none"/>
        </w:rPr>
        <w:t>编制各阶段设计任务书，内容包括：项目概况、设计工作内容、设计界面划分、建设标准（功能、工艺、美观等要求）、设计造价要求、设计进度要求、设计成果要求。</w:t>
      </w:r>
    </w:p>
    <w:p w14:paraId="7B39E7B0">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hint="eastAsia" w:ascii="宋体" w:hAnsi="宋体" w:eastAsia="宋体" w:cs="宋体"/>
          <w:bCs/>
          <w:snapToGrid w:val="0"/>
          <w:color w:val="auto"/>
          <w:sz w:val="24"/>
          <w:szCs w:val="24"/>
          <w:highlight w:val="none"/>
        </w:rPr>
        <w:t>9</w:t>
      </w:r>
      <w:r>
        <w:rPr>
          <w:rFonts w:ascii="宋体" w:hAnsi="宋体" w:eastAsia="宋体" w:cs="宋体"/>
          <w:bCs/>
          <w:snapToGrid w:val="0"/>
          <w:color w:val="auto"/>
          <w:sz w:val="24"/>
          <w:szCs w:val="24"/>
          <w:highlight w:val="none"/>
        </w:rPr>
        <w:t>.</w:t>
      </w:r>
      <w:r>
        <w:rPr>
          <w:rFonts w:hint="eastAsia" w:ascii="宋体" w:hAnsi="宋体" w:eastAsia="宋体" w:cs="宋体"/>
          <w:bCs/>
          <w:snapToGrid w:val="0"/>
          <w:color w:val="auto"/>
          <w:sz w:val="24"/>
          <w:szCs w:val="24"/>
          <w:highlight w:val="none"/>
        </w:rPr>
        <w:t>对外包单位管理要求</w:t>
      </w:r>
    </w:p>
    <w:p w14:paraId="777A5208">
      <w:pPr>
        <w:numPr>
          <w:ilvl w:val="0"/>
          <w:numId w:val="26"/>
        </w:numPr>
        <w:autoSpaceDE w:val="0"/>
        <w:autoSpaceDN w:val="0"/>
        <w:snapToGrid/>
        <w:spacing w:before="0" w:after="0" w:line="360" w:lineRule="auto"/>
        <w:ind w:left="0" w:firstLine="468"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3"/>
          <w:sz w:val="24"/>
          <w:szCs w:val="24"/>
          <w:highlight w:val="none"/>
        </w:rPr>
        <w:t>承包人因个</w:t>
      </w:r>
      <w:r>
        <w:rPr>
          <w:rFonts w:hint="eastAsia" w:ascii="宋体" w:hAnsi="宋体" w:eastAsia="宋体" w:cs="宋体"/>
          <w:color w:val="auto"/>
          <w:spacing w:val="-5"/>
          <w:sz w:val="24"/>
          <w:szCs w:val="24"/>
          <w:highlight w:val="none"/>
        </w:rPr>
        <w:t>别</w:t>
      </w:r>
      <w:r>
        <w:rPr>
          <w:rFonts w:hint="eastAsia" w:ascii="宋体" w:hAnsi="宋体" w:eastAsia="宋体" w:cs="宋体"/>
          <w:color w:val="auto"/>
          <w:spacing w:val="-3"/>
          <w:sz w:val="24"/>
          <w:szCs w:val="24"/>
          <w:highlight w:val="none"/>
        </w:rPr>
        <w:t>专业涉</w:t>
      </w:r>
      <w:r>
        <w:rPr>
          <w:rFonts w:hint="eastAsia" w:ascii="宋体" w:hAnsi="宋体" w:eastAsia="宋体" w:cs="宋体"/>
          <w:color w:val="auto"/>
          <w:spacing w:val="-5"/>
          <w:sz w:val="24"/>
          <w:szCs w:val="24"/>
          <w:highlight w:val="none"/>
        </w:rPr>
        <w:t>及</w:t>
      </w:r>
      <w:r>
        <w:rPr>
          <w:rFonts w:hint="eastAsia" w:ascii="宋体" w:hAnsi="宋体" w:eastAsia="宋体" w:cs="宋体"/>
          <w:color w:val="auto"/>
          <w:spacing w:val="-3"/>
          <w:sz w:val="24"/>
          <w:szCs w:val="24"/>
          <w:highlight w:val="none"/>
        </w:rPr>
        <w:t>到专项</w:t>
      </w:r>
      <w:r>
        <w:rPr>
          <w:rFonts w:hint="eastAsia" w:ascii="宋体" w:hAnsi="宋体" w:eastAsia="宋体" w:cs="宋体"/>
          <w:color w:val="auto"/>
          <w:spacing w:val="-5"/>
          <w:sz w:val="24"/>
          <w:szCs w:val="24"/>
          <w:highlight w:val="none"/>
        </w:rPr>
        <w:t>设</w:t>
      </w:r>
      <w:r>
        <w:rPr>
          <w:rFonts w:hint="eastAsia" w:ascii="宋体" w:hAnsi="宋体" w:eastAsia="宋体" w:cs="宋体"/>
          <w:color w:val="auto"/>
          <w:spacing w:val="-3"/>
          <w:sz w:val="24"/>
          <w:szCs w:val="24"/>
          <w:highlight w:val="none"/>
        </w:rPr>
        <w:t>计的专</w:t>
      </w:r>
      <w:r>
        <w:rPr>
          <w:rFonts w:hint="eastAsia" w:ascii="宋体" w:hAnsi="宋体" w:eastAsia="宋体" w:cs="宋体"/>
          <w:color w:val="auto"/>
          <w:spacing w:val="-5"/>
          <w:sz w:val="24"/>
          <w:szCs w:val="24"/>
          <w:highlight w:val="none"/>
        </w:rPr>
        <w:t>长</w:t>
      </w:r>
      <w:r>
        <w:rPr>
          <w:rFonts w:hint="eastAsia" w:ascii="宋体" w:hAnsi="宋体" w:eastAsia="宋体" w:cs="宋体"/>
          <w:color w:val="auto"/>
          <w:spacing w:val="-3"/>
          <w:sz w:val="24"/>
          <w:szCs w:val="24"/>
          <w:highlight w:val="none"/>
        </w:rPr>
        <w:t>、资质</w:t>
      </w:r>
      <w:r>
        <w:rPr>
          <w:rFonts w:hint="eastAsia" w:ascii="宋体" w:hAnsi="宋体" w:eastAsia="宋体" w:cs="宋体"/>
          <w:color w:val="auto"/>
          <w:spacing w:val="-5"/>
          <w:sz w:val="24"/>
          <w:szCs w:val="24"/>
          <w:highlight w:val="none"/>
        </w:rPr>
        <w:t>等</w:t>
      </w:r>
      <w:r>
        <w:rPr>
          <w:rFonts w:hint="eastAsia" w:ascii="宋体" w:hAnsi="宋体" w:eastAsia="宋体" w:cs="宋体"/>
          <w:color w:val="auto"/>
          <w:spacing w:val="-3"/>
          <w:sz w:val="24"/>
          <w:szCs w:val="24"/>
          <w:highlight w:val="none"/>
        </w:rPr>
        <w:t>原因需</w:t>
      </w:r>
      <w:r>
        <w:rPr>
          <w:rFonts w:hint="eastAsia" w:ascii="宋体" w:hAnsi="宋体" w:eastAsia="宋体" w:cs="宋体"/>
          <w:color w:val="auto"/>
          <w:spacing w:val="-5"/>
          <w:sz w:val="24"/>
          <w:szCs w:val="24"/>
          <w:highlight w:val="none"/>
        </w:rPr>
        <w:t>要</w:t>
      </w:r>
      <w:r>
        <w:rPr>
          <w:rFonts w:hint="eastAsia" w:ascii="宋体" w:hAnsi="宋体" w:eastAsia="宋体" w:cs="宋体"/>
          <w:color w:val="auto"/>
          <w:spacing w:val="-3"/>
          <w:sz w:val="24"/>
          <w:szCs w:val="24"/>
          <w:highlight w:val="none"/>
        </w:rPr>
        <w:t>分包</w:t>
      </w:r>
      <w:r>
        <w:rPr>
          <w:rFonts w:hint="eastAsia" w:ascii="宋体" w:hAnsi="宋体" w:eastAsia="宋体" w:cs="宋体"/>
          <w:color w:val="auto"/>
          <w:sz w:val="24"/>
          <w:szCs w:val="24"/>
          <w:highlight w:val="none"/>
        </w:rPr>
        <w:t>专项设计，需事前征求发包人同意。</w:t>
      </w:r>
    </w:p>
    <w:p w14:paraId="2AA9E9EE">
      <w:pPr>
        <w:numPr>
          <w:ilvl w:val="0"/>
          <w:numId w:val="26"/>
        </w:numPr>
        <w:autoSpaceDE w:val="0"/>
        <w:autoSpaceDN w:val="0"/>
        <w:snapToGrid/>
        <w:spacing w:before="0" w:after="0" w:line="360" w:lineRule="auto"/>
        <w:ind w:left="0" w:firstLine="468"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3"/>
          <w:sz w:val="24"/>
          <w:szCs w:val="24"/>
          <w:highlight w:val="none"/>
        </w:rPr>
        <w:t>承包人</w:t>
      </w:r>
      <w:r>
        <w:rPr>
          <w:rFonts w:hint="eastAsia" w:ascii="宋体" w:hAnsi="宋体" w:eastAsia="宋体" w:cs="宋体"/>
          <w:color w:val="auto"/>
          <w:spacing w:val="2"/>
          <w:sz w:val="24"/>
          <w:szCs w:val="24"/>
          <w:highlight w:val="none"/>
        </w:rPr>
        <w:t>须</w:t>
      </w:r>
      <w:r>
        <w:rPr>
          <w:rFonts w:hint="eastAsia" w:ascii="宋体" w:hAnsi="宋体" w:eastAsia="宋体" w:cs="宋体"/>
          <w:color w:val="auto"/>
          <w:sz w:val="24"/>
          <w:szCs w:val="24"/>
          <w:highlight w:val="none"/>
        </w:rPr>
        <w:t>对</w:t>
      </w:r>
      <w:r>
        <w:rPr>
          <w:rFonts w:hint="eastAsia" w:ascii="宋体" w:hAnsi="宋体" w:eastAsia="宋体" w:cs="宋体"/>
          <w:color w:val="auto"/>
          <w:spacing w:val="2"/>
          <w:sz w:val="24"/>
          <w:szCs w:val="24"/>
          <w:highlight w:val="none"/>
        </w:rPr>
        <w:t>自己所聘请的外部顾</w:t>
      </w:r>
      <w:r>
        <w:rPr>
          <w:rFonts w:hint="eastAsia" w:ascii="宋体" w:hAnsi="宋体" w:eastAsia="宋体" w:cs="宋体"/>
          <w:color w:val="auto"/>
          <w:sz w:val="24"/>
          <w:szCs w:val="24"/>
          <w:highlight w:val="none"/>
        </w:rPr>
        <w:t>问</w:t>
      </w:r>
      <w:r>
        <w:rPr>
          <w:rFonts w:hint="eastAsia" w:ascii="宋体" w:hAnsi="宋体" w:eastAsia="宋体" w:cs="宋体"/>
          <w:color w:val="auto"/>
          <w:spacing w:val="2"/>
          <w:sz w:val="24"/>
          <w:szCs w:val="24"/>
          <w:highlight w:val="none"/>
        </w:rPr>
        <w:t>单位进行统一管理，</w:t>
      </w:r>
      <w:r>
        <w:rPr>
          <w:rFonts w:hint="eastAsia" w:ascii="宋体" w:hAnsi="宋体" w:eastAsia="宋体" w:cs="宋体"/>
          <w:color w:val="auto"/>
          <w:sz w:val="24"/>
          <w:szCs w:val="24"/>
          <w:highlight w:val="none"/>
        </w:rPr>
        <w:t>须</w:t>
      </w:r>
      <w:r>
        <w:rPr>
          <w:rFonts w:hint="eastAsia" w:ascii="宋体" w:hAnsi="宋体" w:eastAsia="宋体" w:cs="宋体"/>
          <w:color w:val="auto"/>
          <w:spacing w:val="2"/>
          <w:sz w:val="24"/>
          <w:szCs w:val="24"/>
          <w:highlight w:val="none"/>
        </w:rPr>
        <w:t>符合本项目进度</w:t>
      </w:r>
      <w:r>
        <w:rPr>
          <w:rFonts w:hint="eastAsia" w:ascii="宋体" w:hAnsi="宋体" w:eastAsia="宋体" w:cs="宋体"/>
          <w:color w:val="auto"/>
          <w:sz w:val="24"/>
          <w:szCs w:val="24"/>
          <w:highlight w:val="none"/>
        </w:rPr>
        <w:t>和质量</w:t>
      </w:r>
      <w:r>
        <w:rPr>
          <w:rFonts w:hint="eastAsia" w:ascii="宋体" w:hAnsi="宋体" w:eastAsia="宋体" w:cs="宋体"/>
          <w:color w:val="auto"/>
          <w:spacing w:val="2"/>
          <w:sz w:val="24"/>
          <w:szCs w:val="24"/>
          <w:highlight w:val="none"/>
        </w:rPr>
        <w:t>管理的要求</w:t>
      </w:r>
      <w:r>
        <w:rPr>
          <w:rFonts w:hint="eastAsia" w:ascii="宋体" w:hAnsi="宋体" w:eastAsia="宋体" w:cs="宋体"/>
          <w:color w:val="auto"/>
          <w:spacing w:val="4"/>
          <w:sz w:val="24"/>
          <w:szCs w:val="24"/>
          <w:highlight w:val="none"/>
        </w:rPr>
        <w:t>，</w:t>
      </w:r>
      <w:r>
        <w:rPr>
          <w:rFonts w:hint="eastAsia" w:ascii="宋体" w:hAnsi="宋体" w:eastAsia="宋体" w:cs="宋体"/>
          <w:color w:val="auto"/>
          <w:spacing w:val="2"/>
          <w:sz w:val="24"/>
          <w:szCs w:val="24"/>
          <w:highlight w:val="none"/>
        </w:rPr>
        <w:t>对于服务不能满足发</w:t>
      </w:r>
      <w:r>
        <w:rPr>
          <w:rFonts w:hint="eastAsia" w:ascii="宋体" w:hAnsi="宋体" w:eastAsia="宋体" w:cs="宋体"/>
          <w:color w:val="auto"/>
          <w:spacing w:val="4"/>
          <w:sz w:val="24"/>
          <w:szCs w:val="24"/>
          <w:highlight w:val="none"/>
        </w:rPr>
        <w:t>包</w:t>
      </w:r>
      <w:r>
        <w:rPr>
          <w:rFonts w:hint="eastAsia" w:ascii="宋体" w:hAnsi="宋体" w:eastAsia="宋体" w:cs="宋体"/>
          <w:color w:val="auto"/>
          <w:spacing w:val="2"/>
          <w:sz w:val="24"/>
          <w:szCs w:val="24"/>
          <w:highlight w:val="none"/>
        </w:rPr>
        <w:t>人要求的单位及人员</w:t>
      </w:r>
      <w:r>
        <w:rPr>
          <w:rFonts w:hint="eastAsia" w:ascii="宋体" w:hAnsi="宋体" w:eastAsia="宋体" w:cs="宋体"/>
          <w:color w:val="auto"/>
          <w:spacing w:val="4"/>
          <w:sz w:val="24"/>
          <w:szCs w:val="24"/>
          <w:highlight w:val="none"/>
        </w:rPr>
        <w:t>，</w:t>
      </w:r>
      <w:r>
        <w:rPr>
          <w:rFonts w:hint="eastAsia" w:ascii="宋体" w:hAnsi="宋体" w:eastAsia="宋体" w:cs="宋体"/>
          <w:color w:val="auto"/>
          <w:spacing w:val="2"/>
          <w:sz w:val="24"/>
          <w:szCs w:val="24"/>
          <w:highlight w:val="none"/>
        </w:rPr>
        <w:t>发包人有权要求</w:t>
      </w:r>
      <w:r>
        <w:rPr>
          <w:rFonts w:hint="eastAsia" w:ascii="宋体" w:hAnsi="宋体" w:eastAsia="宋体" w:cs="宋体"/>
          <w:color w:val="auto"/>
          <w:sz w:val="24"/>
          <w:szCs w:val="24"/>
          <w:highlight w:val="none"/>
        </w:rPr>
        <w:t>更换，</w:t>
      </w:r>
      <w:r>
        <w:rPr>
          <w:rFonts w:hint="eastAsia" w:ascii="宋体" w:hAnsi="宋体" w:eastAsia="宋体" w:cs="宋体"/>
          <w:color w:val="auto"/>
          <w:spacing w:val="-3"/>
          <w:sz w:val="24"/>
          <w:szCs w:val="24"/>
          <w:highlight w:val="none"/>
        </w:rPr>
        <w:t>承包人</w:t>
      </w:r>
      <w:r>
        <w:rPr>
          <w:rFonts w:hint="eastAsia" w:ascii="宋体" w:hAnsi="宋体" w:eastAsia="宋体" w:cs="宋体"/>
          <w:color w:val="auto"/>
          <w:sz w:val="24"/>
          <w:szCs w:val="24"/>
          <w:highlight w:val="none"/>
        </w:rPr>
        <w:t>不得推脱。</w:t>
      </w:r>
    </w:p>
    <w:p w14:paraId="53800E06">
      <w:pPr>
        <w:numPr>
          <w:ilvl w:val="0"/>
          <w:numId w:val="26"/>
        </w:numPr>
        <w:autoSpaceDE w:val="0"/>
        <w:autoSpaceDN w:val="0"/>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因</w:t>
      </w:r>
      <w:r>
        <w:rPr>
          <w:rFonts w:hint="eastAsia" w:ascii="宋体" w:hAnsi="宋体" w:eastAsia="宋体" w:cs="宋体"/>
          <w:color w:val="auto"/>
          <w:spacing w:val="-3"/>
          <w:sz w:val="24"/>
          <w:szCs w:val="24"/>
          <w:highlight w:val="none"/>
        </w:rPr>
        <w:t>承包人</w:t>
      </w:r>
      <w:r>
        <w:rPr>
          <w:rFonts w:hint="eastAsia" w:ascii="宋体" w:hAnsi="宋体" w:eastAsia="宋体" w:cs="宋体"/>
          <w:color w:val="auto"/>
          <w:sz w:val="24"/>
          <w:szCs w:val="24"/>
          <w:highlight w:val="none"/>
        </w:rPr>
        <w:t>自己所聘请的外部顾问单位对本项目造成损失的，发包人有权追究中标人的责任。</w:t>
      </w:r>
    </w:p>
    <w:p w14:paraId="72A6EFB7">
      <w:pPr>
        <w:numPr>
          <w:ilvl w:val="0"/>
          <w:numId w:val="26"/>
        </w:numPr>
        <w:autoSpaceDE w:val="0"/>
        <w:autoSpaceDN w:val="0"/>
        <w:snapToGrid/>
        <w:spacing w:before="0" w:after="0" w:line="360" w:lineRule="auto"/>
        <w:ind w:left="0" w:firstLine="468"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3"/>
          <w:sz w:val="24"/>
          <w:szCs w:val="24"/>
          <w:highlight w:val="none"/>
        </w:rPr>
        <w:t>承包人</w:t>
      </w:r>
      <w:r>
        <w:rPr>
          <w:rFonts w:hint="eastAsia" w:ascii="宋体" w:hAnsi="宋体" w:eastAsia="宋体" w:cs="宋体"/>
          <w:color w:val="auto"/>
          <w:sz w:val="24"/>
          <w:szCs w:val="24"/>
          <w:highlight w:val="none"/>
        </w:rPr>
        <w:t>与自己所聘请的外部顾问单位因按国家规定签署正式的书面合同，一切法律责任和纠纷与发包人无关。</w:t>
      </w:r>
    </w:p>
    <w:p w14:paraId="09474322">
      <w:pPr>
        <w:numPr>
          <w:ilvl w:val="0"/>
          <w:numId w:val="26"/>
        </w:numPr>
        <w:autoSpaceDE w:val="0"/>
        <w:autoSpaceDN w:val="0"/>
        <w:snapToGrid/>
        <w:spacing w:before="0" w:after="0" w:line="360" w:lineRule="auto"/>
        <w:ind w:left="480" w:firstLine="0"/>
        <w:jc w:val="both"/>
        <w:rPr>
          <w:rFonts w:hint="eastAsia" w:hAnsi="宋体" w:cs="宋体"/>
          <w:color w:val="auto"/>
          <w:szCs w:val="24"/>
          <w:highlight w:val="none"/>
        </w:rPr>
      </w:pPr>
      <w:r>
        <w:rPr>
          <w:rFonts w:hint="eastAsia" w:ascii="宋体" w:hAnsi="宋体" w:eastAsia="宋体" w:cs="宋体"/>
          <w:color w:val="auto"/>
          <w:sz w:val="24"/>
          <w:szCs w:val="24"/>
          <w:highlight w:val="none"/>
        </w:rPr>
        <w:t>当发包人委托第三方承担部分专项设计时，</w:t>
      </w:r>
      <w:r>
        <w:rPr>
          <w:rFonts w:hint="eastAsia" w:ascii="宋体" w:hAnsi="宋体" w:eastAsia="宋体" w:cs="宋体"/>
          <w:color w:val="auto"/>
          <w:spacing w:val="-3"/>
          <w:sz w:val="24"/>
          <w:szCs w:val="24"/>
          <w:highlight w:val="none"/>
        </w:rPr>
        <w:t>承包人</w:t>
      </w:r>
      <w:r>
        <w:rPr>
          <w:rFonts w:hint="eastAsia" w:ascii="宋体" w:hAnsi="宋体" w:eastAsia="宋体" w:cs="宋体"/>
          <w:color w:val="auto"/>
          <w:sz w:val="24"/>
          <w:szCs w:val="24"/>
          <w:highlight w:val="none"/>
        </w:rPr>
        <w:t>应积极配合与协调，使之符合整个项目设计的完整性,第三方对自己的设计负责。</w:t>
      </w:r>
    </w:p>
    <w:p w14:paraId="0DE72860">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hint="eastAsia" w:ascii="宋体" w:hAnsi="宋体" w:eastAsia="宋体" w:cs="宋体"/>
          <w:bCs/>
          <w:snapToGrid w:val="0"/>
          <w:color w:val="auto"/>
          <w:sz w:val="24"/>
          <w:szCs w:val="24"/>
          <w:highlight w:val="none"/>
        </w:rPr>
        <w:t>1</w:t>
      </w:r>
      <w:r>
        <w:rPr>
          <w:rFonts w:ascii="宋体" w:hAnsi="宋体" w:eastAsia="宋体" w:cs="宋体"/>
          <w:bCs/>
          <w:snapToGrid w:val="0"/>
          <w:color w:val="auto"/>
          <w:sz w:val="24"/>
          <w:szCs w:val="24"/>
          <w:highlight w:val="none"/>
        </w:rPr>
        <w:t>0.</w:t>
      </w:r>
      <w:r>
        <w:rPr>
          <w:rFonts w:hint="eastAsia" w:ascii="宋体" w:hAnsi="宋体" w:eastAsia="宋体" w:cs="宋体"/>
          <w:bCs/>
          <w:snapToGrid w:val="0"/>
          <w:color w:val="auto"/>
          <w:sz w:val="24"/>
          <w:szCs w:val="24"/>
          <w:highlight w:val="none"/>
        </w:rPr>
        <w:t>承包人正式开展工作后5天内需向发包人提供详细的设计工作计划（包含：设计分包人进场计划、要求建设方提交相关设计资料的时间节点、每个设计阶段详细的出图计划等），设计计划需契合发包人总体设计进度计划要求。</w:t>
      </w:r>
    </w:p>
    <w:p w14:paraId="7804A71D">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hint="eastAsia" w:ascii="宋体" w:hAnsi="宋体" w:eastAsia="宋体" w:cs="宋体"/>
          <w:bCs/>
          <w:snapToGrid w:val="0"/>
          <w:color w:val="auto"/>
          <w:sz w:val="24"/>
          <w:szCs w:val="24"/>
          <w:highlight w:val="none"/>
        </w:rPr>
        <w:t>1</w:t>
      </w:r>
      <w:r>
        <w:rPr>
          <w:rFonts w:ascii="宋体" w:hAnsi="宋体" w:eastAsia="宋体" w:cs="宋体"/>
          <w:bCs/>
          <w:snapToGrid w:val="0"/>
          <w:color w:val="auto"/>
          <w:sz w:val="24"/>
          <w:szCs w:val="24"/>
          <w:highlight w:val="none"/>
        </w:rPr>
        <w:t>1.</w:t>
      </w:r>
      <w:r>
        <w:rPr>
          <w:rFonts w:hint="eastAsia" w:ascii="宋体" w:hAnsi="宋体" w:eastAsia="宋体" w:cs="宋体"/>
          <w:bCs/>
          <w:snapToGrid w:val="0"/>
          <w:color w:val="auto"/>
          <w:sz w:val="24"/>
          <w:szCs w:val="24"/>
          <w:highlight w:val="none"/>
        </w:rPr>
        <w:t>协助发包人组织召开设计相关会议，包括：设计例会、设计专题研讨会及设计阶段成果评审会等。</w:t>
      </w:r>
    </w:p>
    <w:p w14:paraId="658C053C">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hint="eastAsia" w:ascii="宋体" w:hAnsi="宋体" w:eastAsia="宋体" w:cs="宋体"/>
          <w:bCs/>
          <w:snapToGrid w:val="0"/>
          <w:color w:val="auto"/>
          <w:sz w:val="24"/>
          <w:szCs w:val="24"/>
          <w:highlight w:val="none"/>
        </w:rPr>
        <w:t>1</w:t>
      </w:r>
      <w:r>
        <w:rPr>
          <w:rFonts w:ascii="宋体" w:hAnsi="宋体" w:eastAsia="宋体" w:cs="宋体"/>
          <w:bCs/>
          <w:snapToGrid w:val="0"/>
          <w:color w:val="auto"/>
          <w:sz w:val="24"/>
          <w:szCs w:val="24"/>
          <w:highlight w:val="none"/>
        </w:rPr>
        <w:t>2.</w:t>
      </w:r>
      <w:r>
        <w:rPr>
          <w:rFonts w:hint="eastAsia" w:ascii="宋体" w:hAnsi="宋体" w:eastAsia="宋体" w:cs="宋体"/>
          <w:bCs/>
          <w:snapToGrid w:val="0"/>
          <w:color w:val="auto"/>
          <w:sz w:val="24"/>
          <w:szCs w:val="24"/>
          <w:highlight w:val="none"/>
        </w:rPr>
        <w:t>在各设计阶段，组织设计团队进行设计文件内部审查，协助设计咨询单位（如有）、专项咨询单位（如有）、造价咨询单位（由发包人招标确定）进行设计文件审核，以确保设计质量，达到设计目标。</w:t>
      </w:r>
    </w:p>
    <w:p w14:paraId="47B1B8D2">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hint="eastAsia" w:ascii="宋体" w:hAnsi="宋体" w:eastAsia="宋体" w:cs="宋体"/>
          <w:bCs/>
          <w:snapToGrid w:val="0"/>
          <w:color w:val="auto"/>
          <w:sz w:val="24"/>
          <w:szCs w:val="24"/>
          <w:highlight w:val="none"/>
        </w:rPr>
        <w:t>1</w:t>
      </w:r>
      <w:r>
        <w:rPr>
          <w:rFonts w:ascii="宋体" w:hAnsi="宋体" w:eastAsia="宋体" w:cs="宋体"/>
          <w:bCs/>
          <w:snapToGrid w:val="0"/>
          <w:color w:val="auto"/>
          <w:sz w:val="24"/>
          <w:szCs w:val="24"/>
          <w:highlight w:val="none"/>
        </w:rPr>
        <w:t>3.</w:t>
      </w:r>
      <w:r>
        <w:rPr>
          <w:rFonts w:hint="eastAsia" w:ascii="宋体" w:hAnsi="宋体" w:eastAsia="宋体" w:cs="宋体"/>
          <w:bCs/>
          <w:snapToGrid w:val="0"/>
          <w:color w:val="auto"/>
          <w:sz w:val="24"/>
          <w:szCs w:val="24"/>
          <w:highlight w:val="none"/>
        </w:rPr>
        <w:t>协助发包人办理各项报批报审工作。</w:t>
      </w:r>
    </w:p>
    <w:p w14:paraId="080C2AF5">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hint="eastAsia" w:ascii="宋体" w:hAnsi="宋体" w:eastAsia="宋体" w:cs="宋体"/>
          <w:bCs/>
          <w:snapToGrid w:val="0"/>
          <w:color w:val="auto"/>
          <w:sz w:val="24"/>
          <w:szCs w:val="24"/>
          <w:highlight w:val="none"/>
        </w:rPr>
        <w:t>1</w:t>
      </w:r>
      <w:r>
        <w:rPr>
          <w:rFonts w:ascii="宋体" w:hAnsi="宋体" w:eastAsia="宋体" w:cs="宋体"/>
          <w:bCs/>
          <w:snapToGrid w:val="0"/>
          <w:color w:val="auto"/>
          <w:sz w:val="24"/>
          <w:szCs w:val="24"/>
          <w:highlight w:val="none"/>
        </w:rPr>
        <w:t>4.</w:t>
      </w:r>
      <w:r>
        <w:rPr>
          <w:rFonts w:hint="eastAsia" w:ascii="宋体" w:hAnsi="宋体" w:eastAsia="宋体" w:cs="宋体"/>
          <w:bCs/>
          <w:snapToGrid w:val="0"/>
          <w:color w:val="auto"/>
          <w:sz w:val="24"/>
          <w:szCs w:val="24"/>
          <w:highlight w:val="none"/>
        </w:rPr>
        <w:t>组织设计团队编制材料、设备清单。</w:t>
      </w:r>
    </w:p>
    <w:p w14:paraId="55D8A43D">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hint="eastAsia" w:ascii="宋体" w:hAnsi="宋体" w:eastAsia="宋体" w:cs="宋体"/>
          <w:bCs/>
          <w:snapToGrid w:val="0"/>
          <w:color w:val="auto"/>
          <w:sz w:val="24"/>
          <w:szCs w:val="24"/>
          <w:highlight w:val="none"/>
        </w:rPr>
        <w:t>1</w:t>
      </w:r>
      <w:r>
        <w:rPr>
          <w:rFonts w:ascii="宋体" w:hAnsi="宋体" w:eastAsia="宋体" w:cs="宋体"/>
          <w:bCs/>
          <w:snapToGrid w:val="0"/>
          <w:color w:val="auto"/>
          <w:sz w:val="24"/>
          <w:szCs w:val="24"/>
          <w:highlight w:val="none"/>
        </w:rPr>
        <w:t>5.</w:t>
      </w:r>
      <w:r>
        <w:rPr>
          <w:rFonts w:hint="eastAsia" w:ascii="宋体" w:hAnsi="宋体" w:eastAsia="宋体" w:cs="宋体"/>
          <w:bCs/>
          <w:snapToGrid w:val="0"/>
          <w:color w:val="auto"/>
          <w:sz w:val="24"/>
          <w:szCs w:val="24"/>
          <w:highlight w:val="none"/>
        </w:rPr>
        <w:t>组织进行内部设计交底与图纸会审。</w:t>
      </w:r>
    </w:p>
    <w:p w14:paraId="73218A94">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16.</w:t>
      </w:r>
      <w:r>
        <w:rPr>
          <w:rFonts w:hint="eastAsia" w:ascii="宋体" w:hAnsi="宋体" w:eastAsia="宋体" w:cs="宋体"/>
          <w:bCs/>
          <w:snapToGrid w:val="0"/>
          <w:color w:val="auto"/>
          <w:sz w:val="24"/>
          <w:szCs w:val="24"/>
          <w:highlight w:val="none"/>
        </w:rPr>
        <w:t>对设计变更进行管理。</w:t>
      </w:r>
    </w:p>
    <w:p w14:paraId="68CE4879">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17.</w:t>
      </w:r>
      <w:r>
        <w:rPr>
          <w:rFonts w:hint="eastAsia" w:ascii="宋体" w:hAnsi="宋体" w:eastAsia="宋体" w:cs="宋体"/>
          <w:bCs/>
          <w:snapToGrid w:val="0"/>
          <w:color w:val="auto"/>
          <w:sz w:val="24"/>
          <w:szCs w:val="24"/>
          <w:highlight w:val="none"/>
        </w:rPr>
        <w:t>组织工程中间验收。</w:t>
      </w:r>
    </w:p>
    <w:p w14:paraId="4CBF3BC6">
      <w:pPr>
        <w:widowControl/>
        <w:adjustRightInd w:val="0"/>
        <w:spacing w:line="360" w:lineRule="auto"/>
        <w:ind w:firstLine="470" w:firstLineChars="196"/>
        <w:rPr>
          <w:rFonts w:hint="eastAsia" w:ascii="宋体" w:hAnsi="宋体" w:eastAsia="宋体" w:cs="宋体"/>
          <w:bCs/>
          <w:snapToGrid w:val="0"/>
          <w:color w:val="auto"/>
          <w:sz w:val="24"/>
          <w:szCs w:val="24"/>
          <w:highlight w:val="none"/>
        </w:rPr>
      </w:pPr>
      <w:r>
        <w:rPr>
          <w:rFonts w:ascii="宋体" w:hAnsi="宋体" w:eastAsia="宋体" w:cs="宋体"/>
          <w:bCs/>
          <w:snapToGrid w:val="0"/>
          <w:color w:val="auto"/>
          <w:sz w:val="24"/>
          <w:szCs w:val="24"/>
          <w:highlight w:val="none"/>
        </w:rPr>
        <w:t>18.</w:t>
      </w:r>
      <w:r>
        <w:rPr>
          <w:rFonts w:hint="eastAsia" w:ascii="宋体" w:hAnsi="宋体" w:eastAsia="宋体" w:cs="宋体"/>
          <w:bCs/>
          <w:snapToGrid w:val="0"/>
          <w:color w:val="auto"/>
          <w:sz w:val="24"/>
          <w:szCs w:val="24"/>
          <w:highlight w:val="none"/>
        </w:rPr>
        <w:t>关于限额设计管理要求，包括但不限于以下：</w:t>
      </w:r>
    </w:p>
    <w:p w14:paraId="5F64F165">
      <w:pPr>
        <w:numPr>
          <w:ilvl w:val="0"/>
          <w:numId w:val="27"/>
        </w:numPr>
        <w:autoSpaceDE w:val="0"/>
        <w:autoSpaceDN w:val="0"/>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的所有设计工作均要按发包人批准的各专业工程限额设计指标要求进行设计。中标人在完成各专业工程施工图设计的同时应按发包人要求编制各专业工程施工图预算报发包人审核。若施工图预算超过该限额的，中标人应无条件修改设计并控制在限额设计范围内，直至满足发包人的限额设计要求，中标人须承担由此造成的一切责任。</w:t>
      </w:r>
    </w:p>
    <w:p w14:paraId="3E8DA10F">
      <w:pPr>
        <w:numPr>
          <w:ilvl w:val="0"/>
          <w:numId w:val="27"/>
        </w:numPr>
        <w:autoSpaceDE w:val="0"/>
        <w:autoSpaceDN w:val="0"/>
        <w:snapToGrid/>
        <w:spacing w:before="0" w:after="0" w:line="360" w:lineRule="auto"/>
        <w:ind w:left="0"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承包人须配合发包人实施设计全过程的成本优化工作，须向发包人提供结构设计模型及计算书等成果文件。</w:t>
      </w:r>
    </w:p>
    <w:p w14:paraId="5A688F78">
      <w:pPr>
        <w:rPr>
          <w:rFonts w:hint="eastAsia" w:ascii="宋体" w:hAnsi="宋体" w:eastAsia="宋体" w:cs="宋体"/>
          <w:b/>
          <w:color w:val="auto"/>
          <w:kern w:val="44"/>
          <w:sz w:val="24"/>
          <w:szCs w:val="24"/>
          <w:highlight w:val="none"/>
        </w:rPr>
      </w:pPr>
      <w:r>
        <w:rPr>
          <w:rFonts w:hint="eastAsia" w:ascii="宋体" w:hAnsi="宋体" w:eastAsia="宋体" w:cs="宋体"/>
          <w:b/>
          <w:color w:val="auto"/>
          <w:kern w:val="44"/>
          <w:sz w:val="24"/>
          <w:szCs w:val="24"/>
          <w:highlight w:val="none"/>
        </w:rPr>
        <w:br w:type="page"/>
      </w:r>
    </w:p>
    <w:p w14:paraId="7854D252">
      <w:pPr>
        <w:pStyle w:val="2"/>
        <w:keepNext w:val="0"/>
        <w:keepLines w:val="0"/>
        <w:snapToGrid/>
        <w:spacing w:line="360" w:lineRule="auto"/>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十一、设计人员组织管理要求</w:t>
      </w:r>
    </w:p>
    <w:p w14:paraId="69158AEC">
      <w:pPr>
        <w:spacing w:line="360" w:lineRule="auto"/>
        <w:rPr>
          <w:rFonts w:hint="eastAsia" w:ascii="宋体" w:hAnsi="宋体" w:eastAsia="宋体" w:cs="宋体"/>
          <w:b/>
          <w:bCs/>
          <w:color w:val="auto"/>
          <w:sz w:val="24"/>
          <w:szCs w:val="24"/>
          <w:highlight w:val="none"/>
        </w:rPr>
      </w:pPr>
      <w:r>
        <w:rPr>
          <w:rFonts w:ascii="宋体" w:hAnsi="宋体" w:eastAsia="宋体" w:cs="宋体"/>
          <w:b/>
          <w:bCs/>
          <w:color w:val="auto"/>
          <w:sz w:val="24"/>
          <w:szCs w:val="24"/>
          <w:highlight w:val="none"/>
        </w:rPr>
        <w:t>1.</w:t>
      </w:r>
      <w:r>
        <w:rPr>
          <w:rFonts w:hint="eastAsia" w:ascii="宋体" w:hAnsi="宋体" w:eastAsia="宋体" w:cs="宋体"/>
          <w:b/>
          <w:bCs/>
          <w:color w:val="auto"/>
          <w:sz w:val="24"/>
          <w:szCs w:val="24"/>
          <w:highlight w:val="none"/>
        </w:rPr>
        <w:t>设计人员要求</w:t>
      </w:r>
    </w:p>
    <w:p w14:paraId="7A7F78BE">
      <w:pPr>
        <w:spacing w:line="360" w:lineRule="auto"/>
        <w:ind w:firstLine="562" w:firstLineChars="200"/>
        <w:jc w:val="center"/>
        <w:rPr>
          <w:rFonts w:hint="eastAsia" w:ascii="宋体" w:hAnsi="宋体" w:eastAsia="宋体" w:cs="宋体"/>
          <w:color w:val="auto"/>
          <w:sz w:val="24"/>
          <w:szCs w:val="24"/>
          <w:highlight w:val="none"/>
        </w:rPr>
      </w:pPr>
      <w:r>
        <w:rPr>
          <w:rFonts w:hint="eastAsia" w:ascii="宋体" w:hAnsi="宋体" w:eastAsia="宋体" w:cs="宋体"/>
          <w:b/>
          <w:bCs/>
          <w:color w:val="auto"/>
          <w:sz w:val="28"/>
          <w:szCs w:val="28"/>
          <w:highlight w:val="none"/>
        </w:rPr>
        <w:t>各专业人员要求表</w:t>
      </w:r>
    </w:p>
    <w:tbl>
      <w:tblPr>
        <w:tblStyle w:val="42"/>
        <w:tblW w:w="85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2"/>
        <w:gridCol w:w="2124"/>
        <w:gridCol w:w="4309"/>
        <w:gridCol w:w="1296"/>
      </w:tblGrid>
      <w:tr w14:paraId="28568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5035993D">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序号</w:t>
            </w:r>
          </w:p>
        </w:tc>
        <w:tc>
          <w:tcPr>
            <w:tcW w:w="2124" w:type="dxa"/>
            <w:tcBorders>
              <w:top w:val="single" w:color="auto" w:sz="4" w:space="0"/>
              <w:left w:val="nil"/>
              <w:bottom w:val="single" w:color="auto" w:sz="4" w:space="0"/>
              <w:right w:val="single" w:color="auto" w:sz="4" w:space="0"/>
            </w:tcBorders>
            <w:vAlign w:val="center"/>
          </w:tcPr>
          <w:p w14:paraId="5E4AA8E4">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专业分工</w:t>
            </w:r>
          </w:p>
        </w:tc>
        <w:tc>
          <w:tcPr>
            <w:tcW w:w="4309" w:type="dxa"/>
            <w:tcBorders>
              <w:top w:val="single" w:color="auto" w:sz="4" w:space="0"/>
              <w:left w:val="nil"/>
              <w:bottom w:val="single" w:color="auto" w:sz="4" w:space="0"/>
              <w:right w:val="single" w:color="auto" w:sz="4" w:space="0"/>
            </w:tcBorders>
            <w:vAlign w:val="center"/>
          </w:tcPr>
          <w:p w14:paraId="2129FB19">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要求</w:t>
            </w:r>
          </w:p>
        </w:tc>
        <w:tc>
          <w:tcPr>
            <w:tcW w:w="1296" w:type="dxa"/>
            <w:tcBorders>
              <w:top w:val="single" w:color="auto" w:sz="4" w:space="0"/>
              <w:left w:val="nil"/>
              <w:bottom w:val="single" w:color="auto" w:sz="4" w:space="0"/>
              <w:right w:val="single" w:color="auto" w:sz="4" w:space="0"/>
            </w:tcBorders>
            <w:vAlign w:val="center"/>
          </w:tcPr>
          <w:p w14:paraId="552C096B">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最低投入人数要求</w:t>
            </w:r>
          </w:p>
        </w:tc>
      </w:tr>
      <w:tr w14:paraId="03D9B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01B445EB">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1</w:t>
            </w:r>
          </w:p>
        </w:tc>
        <w:tc>
          <w:tcPr>
            <w:tcW w:w="2124" w:type="dxa"/>
            <w:tcBorders>
              <w:top w:val="single" w:color="auto" w:sz="4" w:space="0"/>
              <w:left w:val="nil"/>
              <w:bottom w:val="single" w:color="auto" w:sz="4" w:space="0"/>
              <w:right w:val="single" w:color="auto" w:sz="4" w:space="0"/>
            </w:tcBorders>
            <w:vAlign w:val="center"/>
          </w:tcPr>
          <w:p w14:paraId="3868CC4E">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设计负责人</w:t>
            </w:r>
          </w:p>
        </w:tc>
        <w:tc>
          <w:tcPr>
            <w:tcW w:w="4309" w:type="dxa"/>
            <w:tcBorders>
              <w:top w:val="single" w:color="auto" w:sz="4" w:space="0"/>
              <w:left w:val="nil"/>
              <w:bottom w:val="single" w:color="auto" w:sz="4" w:space="0"/>
              <w:right w:val="single" w:color="auto" w:sz="4" w:space="0"/>
            </w:tcBorders>
            <w:vAlign w:val="center"/>
          </w:tcPr>
          <w:p w14:paraId="6BDC0429">
            <w:pPr>
              <w:spacing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按招标公告的要求。</w:t>
            </w:r>
          </w:p>
        </w:tc>
        <w:tc>
          <w:tcPr>
            <w:tcW w:w="1296" w:type="dxa"/>
            <w:tcBorders>
              <w:top w:val="single" w:color="auto" w:sz="4" w:space="0"/>
              <w:left w:val="nil"/>
              <w:bottom w:val="single" w:color="auto" w:sz="4" w:space="0"/>
              <w:right w:val="single" w:color="auto" w:sz="4" w:space="0"/>
            </w:tcBorders>
            <w:vAlign w:val="center"/>
          </w:tcPr>
          <w:p w14:paraId="7CB00238">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r w14:paraId="5B066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373F714F">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2</w:t>
            </w:r>
          </w:p>
        </w:tc>
        <w:tc>
          <w:tcPr>
            <w:tcW w:w="2124" w:type="dxa"/>
            <w:tcBorders>
              <w:top w:val="single" w:color="auto" w:sz="4" w:space="0"/>
              <w:left w:val="nil"/>
              <w:bottom w:val="single" w:color="auto" w:sz="4" w:space="0"/>
              <w:right w:val="single" w:color="auto" w:sz="4" w:space="0"/>
            </w:tcBorders>
            <w:vAlign w:val="center"/>
          </w:tcPr>
          <w:p w14:paraId="42BD7444">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建筑专业负责人</w:t>
            </w:r>
          </w:p>
        </w:tc>
        <w:tc>
          <w:tcPr>
            <w:tcW w:w="4309" w:type="dxa"/>
            <w:tcBorders>
              <w:top w:val="single" w:color="auto" w:sz="4" w:space="0"/>
              <w:left w:val="nil"/>
              <w:bottom w:val="single" w:color="auto" w:sz="4" w:space="0"/>
              <w:right w:val="single" w:color="auto" w:sz="4" w:space="0"/>
            </w:tcBorders>
            <w:vAlign w:val="center"/>
          </w:tcPr>
          <w:p w14:paraId="4F250D9E">
            <w:pPr>
              <w:spacing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具有</w:t>
            </w:r>
            <w:r>
              <w:rPr>
                <w:rFonts w:hint="eastAsia" w:ascii="宋体" w:hAnsi="宋体" w:eastAsia="宋体" w:cs="宋体"/>
                <w:color w:val="auto"/>
                <w:sz w:val="21"/>
                <w:szCs w:val="21"/>
                <w:highlight w:val="none"/>
              </w:rPr>
              <w:t>一级注册建筑师</w:t>
            </w:r>
            <w:r>
              <w:rPr>
                <w:rFonts w:hint="eastAsia" w:ascii="宋体" w:hAnsi="宋体" w:eastAsia="宋体" w:cs="宋体"/>
                <w:color w:val="auto"/>
                <w:sz w:val="21"/>
                <w:szCs w:val="21"/>
                <w:highlight w:val="none"/>
                <w:lang w:val="en-US" w:eastAsia="zh-CN"/>
              </w:rPr>
              <w:t>资格</w:t>
            </w:r>
            <w:r>
              <w:rPr>
                <w:rFonts w:hint="eastAsia" w:ascii="宋体" w:hAnsi="宋体" w:eastAsia="宋体" w:cs="宋体"/>
                <w:color w:val="auto"/>
                <w:sz w:val="21"/>
                <w:szCs w:val="21"/>
                <w:highlight w:val="none"/>
              </w:rPr>
              <w:t>。</w:t>
            </w:r>
          </w:p>
        </w:tc>
        <w:tc>
          <w:tcPr>
            <w:tcW w:w="1296" w:type="dxa"/>
            <w:tcBorders>
              <w:top w:val="single" w:color="auto" w:sz="4" w:space="0"/>
              <w:left w:val="nil"/>
              <w:bottom w:val="single" w:color="auto" w:sz="4" w:space="0"/>
              <w:right w:val="single" w:color="auto" w:sz="4" w:space="0"/>
            </w:tcBorders>
            <w:vAlign w:val="center"/>
          </w:tcPr>
          <w:p w14:paraId="291C645E">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r w14:paraId="68479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02FFBADF">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3</w:t>
            </w:r>
          </w:p>
        </w:tc>
        <w:tc>
          <w:tcPr>
            <w:tcW w:w="2124" w:type="dxa"/>
            <w:tcBorders>
              <w:top w:val="single" w:color="auto" w:sz="4" w:space="0"/>
              <w:left w:val="nil"/>
              <w:bottom w:val="single" w:color="auto" w:sz="4" w:space="0"/>
              <w:right w:val="single" w:color="auto" w:sz="4" w:space="0"/>
            </w:tcBorders>
            <w:vAlign w:val="center"/>
          </w:tcPr>
          <w:p w14:paraId="5B6B00AB">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结构专业负责人</w:t>
            </w:r>
          </w:p>
        </w:tc>
        <w:tc>
          <w:tcPr>
            <w:tcW w:w="4309" w:type="dxa"/>
            <w:tcBorders>
              <w:top w:val="single" w:color="auto" w:sz="4" w:space="0"/>
              <w:left w:val="nil"/>
              <w:bottom w:val="single" w:color="auto" w:sz="4" w:space="0"/>
              <w:right w:val="single" w:color="auto" w:sz="4" w:space="0"/>
            </w:tcBorders>
            <w:vAlign w:val="center"/>
          </w:tcPr>
          <w:p w14:paraId="67C2713B">
            <w:pPr>
              <w:spacing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具有</w:t>
            </w:r>
            <w:r>
              <w:rPr>
                <w:rFonts w:hint="eastAsia" w:ascii="宋体" w:hAnsi="宋体" w:eastAsia="宋体" w:cs="宋体"/>
                <w:color w:val="auto"/>
                <w:sz w:val="21"/>
                <w:szCs w:val="21"/>
                <w:highlight w:val="none"/>
              </w:rPr>
              <w:t>一级注册结构工程师</w:t>
            </w:r>
            <w:r>
              <w:rPr>
                <w:rFonts w:hint="eastAsia" w:ascii="宋体" w:hAnsi="宋体" w:eastAsia="宋体" w:cs="宋体"/>
                <w:color w:val="auto"/>
                <w:sz w:val="21"/>
                <w:szCs w:val="21"/>
                <w:highlight w:val="none"/>
                <w:lang w:val="en-US" w:eastAsia="zh-CN"/>
              </w:rPr>
              <w:t>资格</w:t>
            </w:r>
            <w:r>
              <w:rPr>
                <w:rFonts w:hint="eastAsia" w:ascii="宋体" w:hAnsi="宋体" w:eastAsia="宋体" w:cs="宋体"/>
                <w:color w:val="auto"/>
                <w:sz w:val="21"/>
                <w:szCs w:val="21"/>
                <w:highlight w:val="none"/>
              </w:rPr>
              <w:t>。</w:t>
            </w:r>
          </w:p>
        </w:tc>
        <w:tc>
          <w:tcPr>
            <w:tcW w:w="1296" w:type="dxa"/>
            <w:tcBorders>
              <w:top w:val="single" w:color="auto" w:sz="4" w:space="0"/>
              <w:left w:val="nil"/>
              <w:bottom w:val="single" w:color="auto" w:sz="4" w:space="0"/>
              <w:right w:val="single" w:color="auto" w:sz="4" w:space="0"/>
            </w:tcBorders>
            <w:vAlign w:val="center"/>
          </w:tcPr>
          <w:p w14:paraId="4E77DA17">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r w14:paraId="00C27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5DEF61DF">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4</w:t>
            </w:r>
          </w:p>
        </w:tc>
        <w:tc>
          <w:tcPr>
            <w:tcW w:w="2124" w:type="dxa"/>
            <w:tcBorders>
              <w:top w:val="single" w:color="auto" w:sz="4" w:space="0"/>
              <w:left w:val="nil"/>
              <w:bottom w:val="single" w:color="auto" w:sz="4" w:space="0"/>
              <w:right w:val="single" w:color="auto" w:sz="4" w:space="0"/>
            </w:tcBorders>
            <w:vAlign w:val="center"/>
          </w:tcPr>
          <w:p w14:paraId="64362913">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园林专业负责人</w:t>
            </w:r>
          </w:p>
        </w:tc>
        <w:tc>
          <w:tcPr>
            <w:tcW w:w="4309" w:type="dxa"/>
            <w:tcBorders>
              <w:top w:val="single" w:color="auto" w:sz="4" w:space="0"/>
              <w:left w:val="nil"/>
              <w:bottom w:val="single" w:color="auto" w:sz="4" w:space="0"/>
              <w:right w:val="single" w:color="auto" w:sz="4" w:space="0"/>
            </w:tcBorders>
            <w:vAlign w:val="center"/>
          </w:tcPr>
          <w:p w14:paraId="230A2ACA">
            <w:pPr>
              <w:spacing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本专业（含相近专业）</w:t>
            </w:r>
            <w:r>
              <w:rPr>
                <w:rFonts w:hint="default" w:ascii="宋体" w:hAnsi="宋体" w:eastAsia="宋体" w:cs="宋体"/>
                <w:color w:val="auto"/>
                <w:sz w:val="21"/>
                <w:szCs w:val="21"/>
                <w:highlight w:val="none"/>
                <w:lang w:val="en-US"/>
              </w:rPr>
              <w:t>高</w:t>
            </w:r>
            <w:r>
              <w:rPr>
                <w:rFonts w:hint="eastAsia" w:ascii="宋体" w:hAnsi="宋体" w:eastAsia="宋体" w:cs="宋体"/>
                <w:color w:val="auto"/>
                <w:sz w:val="21"/>
                <w:szCs w:val="21"/>
                <w:highlight w:val="none"/>
              </w:rPr>
              <w:t>级技术职称，或中级技术职称从事本专业工作10年以上（专业工作年限以取得大专（或以上）毕业证书时间起计）。</w:t>
            </w:r>
          </w:p>
        </w:tc>
        <w:tc>
          <w:tcPr>
            <w:tcW w:w="1296" w:type="dxa"/>
            <w:tcBorders>
              <w:top w:val="single" w:color="auto" w:sz="4" w:space="0"/>
              <w:left w:val="nil"/>
              <w:bottom w:val="single" w:color="auto" w:sz="4" w:space="0"/>
              <w:right w:val="single" w:color="auto" w:sz="4" w:space="0"/>
            </w:tcBorders>
            <w:vAlign w:val="center"/>
          </w:tcPr>
          <w:p w14:paraId="50D32DAF">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r w14:paraId="78045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0"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146A262A">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5</w:t>
            </w:r>
          </w:p>
        </w:tc>
        <w:tc>
          <w:tcPr>
            <w:tcW w:w="2124" w:type="dxa"/>
            <w:tcBorders>
              <w:top w:val="single" w:color="auto" w:sz="4" w:space="0"/>
              <w:left w:val="nil"/>
              <w:bottom w:val="single" w:color="auto" w:sz="4" w:space="0"/>
              <w:right w:val="single" w:color="auto" w:sz="4" w:space="0"/>
            </w:tcBorders>
            <w:vAlign w:val="center"/>
          </w:tcPr>
          <w:p w14:paraId="595B9E09">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给排水专业负责人</w:t>
            </w:r>
          </w:p>
        </w:tc>
        <w:tc>
          <w:tcPr>
            <w:tcW w:w="4309" w:type="dxa"/>
            <w:tcBorders>
              <w:top w:val="single" w:color="auto" w:sz="4" w:space="0"/>
              <w:left w:val="nil"/>
              <w:bottom w:val="single" w:color="auto" w:sz="4" w:space="0"/>
              <w:right w:val="single" w:color="auto" w:sz="4" w:space="0"/>
            </w:tcBorders>
            <w:vAlign w:val="center"/>
          </w:tcPr>
          <w:p w14:paraId="62B207CF">
            <w:pPr>
              <w:spacing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具有注册公用设备工程师</w:t>
            </w:r>
            <w:r>
              <w:rPr>
                <w:rFonts w:hint="eastAsia" w:ascii="宋体" w:hAnsi="宋体" w:eastAsia="宋体" w:cs="宋体"/>
                <w:color w:val="auto"/>
                <w:sz w:val="21"/>
                <w:szCs w:val="21"/>
                <w:highlight w:val="none"/>
                <w:lang w:val="en-US" w:eastAsia="zh-CN"/>
              </w:rPr>
              <w:t>资格</w:t>
            </w:r>
            <w:r>
              <w:rPr>
                <w:rFonts w:hint="eastAsia" w:ascii="宋体" w:hAnsi="宋体" w:eastAsia="宋体" w:cs="宋体"/>
                <w:color w:val="auto"/>
                <w:sz w:val="21"/>
                <w:szCs w:val="21"/>
                <w:highlight w:val="none"/>
              </w:rPr>
              <w:t>。</w:t>
            </w:r>
          </w:p>
        </w:tc>
        <w:tc>
          <w:tcPr>
            <w:tcW w:w="1296" w:type="dxa"/>
            <w:tcBorders>
              <w:top w:val="single" w:color="auto" w:sz="4" w:space="0"/>
              <w:left w:val="nil"/>
              <w:bottom w:val="single" w:color="auto" w:sz="4" w:space="0"/>
              <w:right w:val="single" w:color="auto" w:sz="4" w:space="0"/>
            </w:tcBorders>
            <w:vAlign w:val="center"/>
          </w:tcPr>
          <w:p w14:paraId="54A128A0">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r w14:paraId="41BB1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38FC02D5">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6</w:t>
            </w:r>
          </w:p>
        </w:tc>
        <w:tc>
          <w:tcPr>
            <w:tcW w:w="2124" w:type="dxa"/>
            <w:tcBorders>
              <w:top w:val="single" w:color="auto" w:sz="4" w:space="0"/>
              <w:left w:val="nil"/>
              <w:bottom w:val="single" w:color="auto" w:sz="4" w:space="0"/>
              <w:right w:val="single" w:color="auto" w:sz="4" w:space="0"/>
            </w:tcBorders>
            <w:vAlign w:val="center"/>
          </w:tcPr>
          <w:p w14:paraId="05414B51">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电气专业负责人</w:t>
            </w:r>
          </w:p>
        </w:tc>
        <w:tc>
          <w:tcPr>
            <w:tcW w:w="4309" w:type="dxa"/>
            <w:tcBorders>
              <w:top w:val="single" w:color="auto" w:sz="4" w:space="0"/>
              <w:left w:val="nil"/>
              <w:bottom w:val="single" w:color="auto" w:sz="4" w:space="0"/>
              <w:right w:val="single" w:color="auto" w:sz="4" w:space="0"/>
            </w:tcBorders>
            <w:vAlign w:val="center"/>
          </w:tcPr>
          <w:p w14:paraId="3A85E24D">
            <w:pPr>
              <w:spacing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具有注册电气工程师</w:t>
            </w:r>
            <w:r>
              <w:rPr>
                <w:rFonts w:hint="eastAsia" w:ascii="宋体" w:hAnsi="宋体" w:eastAsia="宋体" w:cs="宋体"/>
                <w:color w:val="auto"/>
                <w:sz w:val="21"/>
                <w:szCs w:val="21"/>
                <w:highlight w:val="none"/>
                <w:lang w:val="en-US" w:eastAsia="zh-CN"/>
              </w:rPr>
              <w:t>资格</w:t>
            </w:r>
            <w:r>
              <w:rPr>
                <w:rFonts w:hint="eastAsia" w:ascii="宋体" w:hAnsi="宋体" w:eastAsia="宋体" w:cs="宋体"/>
                <w:color w:val="auto"/>
                <w:sz w:val="21"/>
                <w:szCs w:val="21"/>
                <w:highlight w:val="none"/>
              </w:rPr>
              <w:t>。</w:t>
            </w:r>
          </w:p>
        </w:tc>
        <w:tc>
          <w:tcPr>
            <w:tcW w:w="1296" w:type="dxa"/>
            <w:tcBorders>
              <w:top w:val="single" w:color="auto" w:sz="4" w:space="0"/>
              <w:left w:val="nil"/>
              <w:bottom w:val="single" w:color="auto" w:sz="4" w:space="0"/>
              <w:right w:val="single" w:color="auto" w:sz="4" w:space="0"/>
            </w:tcBorders>
            <w:vAlign w:val="center"/>
          </w:tcPr>
          <w:p w14:paraId="462079E4">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r w14:paraId="1DED5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166F0E96">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7</w:t>
            </w:r>
          </w:p>
        </w:tc>
        <w:tc>
          <w:tcPr>
            <w:tcW w:w="2124" w:type="dxa"/>
            <w:tcBorders>
              <w:top w:val="single" w:color="auto" w:sz="4" w:space="0"/>
              <w:left w:val="nil"/>
              <w:bottom w:val="single" w:color="auto" w:sz="4" w:space="0"/>
              <w:right w:val="single" w:color="auto" w:sz="4" w:space="0"/>
            </w:tcBorders>
            <w:vAlign w:val="center"/>
          </w:tcPr>
          <w:p w14:paraId="3F71DB2B">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弱电专业负责人</w:t>
            </w:r>
          </w:p>
        </w:tc>
        <w:tc>
          <w:tcPr>
            <w:tcW w:w="4309" w:type="dxa"/>
            <w:tcBorders>
              <w:top w:val="single" w:color="auto" w:sz="4" w:space="0"/>
              <w:left w:val="nil"/>
              <w:bottom w:val="single" w:color="auto" w:sz="4" w:space="0"/>
              <w:right w:val="single" w:color="auto" w:sz="4" w:space="0"/>
            </w:tcBorders>
            <w:vAlign w:val="center"/>
          </w:tcPr>
          <w:p w14:paraId="5A421687">
            <w:pPr>
              <w:spacing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具有注册电气工程师</w:t>
            </w:r>
            <w:r>
              <w:rPr>
                <w:rFonts w:hint="eastAsia" w:ascii="宋体" w:hAnsi="宋体" w:eastAsia="宋体" w:cs="宋体"/>
                <w:color w:val="auto"/>
                <w:sz w:val="21"/>
                <w:szCs w:val="21"/>
                <w:highlight w:val="none"/>
                <w:lang w:val="en-US" w:eastAsia="zh-CN"/>
              </w:rPr>
              <w:t>资格</w:t>
            </w:r>
            <w:r>
              <w:rPr>
                <w:rFonts w:hint="eastAsia" w:ascii="宋体" w:hAnsi="宋体" w:eastAsia="宋体" w:cs="宋体"/>
                <w:color w:val="auto"/>
                <w:sz w:val="21"/>
                <w:szCs w:val="21"/>
                <w:highlight w:val="none"/>
              </w:rPr>
              <w:t>。</w:t>
            </w:r>
          </w:p>
        </w:tc>
        <w:tc>
          <w:tcPr>
            <w:tcW w:w="1296" w:type="dxa"/>
            <w:tcBorders>
              <w:top w:val="single" w:color="auto" w:sz="4" w:space="0"/>
              <w:left w:val="nil"/>
              <w:bottom w:val="single" w:color="auto" w:sz="4" w:space="0"/>
              <w:right w:val="single" w:color="auto" w:sz="4" w:space="0"/>
            </w:tcBorders>
            <w:vAlign w:val="center"/>
          </w:tcPr>
          <w:p w14:paraId="7E2936D3">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r w14:paraId="55962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2AD5D81C">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8</w:t>
            </w:r>
          </w:p>
        </w:tc>
        <w:tc>
          <w:tcPr>
            <w:tcW w:w="2124" w:type="dxa"/>
            <w:tcBorders>
              <w:top w:val="single" w:color="auto" w:sz="4" w:space="0"/>
              <w:left w:val="nil"/>
              <w:bottom w:val="single" w:color="auto" w:sz="4" w:space="0"/>
              <w:right w:val="single" w:color="auto" w:sz="4" w:space="0"/>
            </w:tcBorders>
            <w:vAlign w:val="center"/>
          </w:tcPr>
          <w:p w14:paraId="757CA6E0">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暖通空调专业负责人</w:t>
            </w:r>
          </w:p>
        </w:tc>
        <w:tc>
          <w:tcPr>
            <w:tcW w:w="4309" w:type="dxa"/>
            <w:tcBorders>
              <w:top w:val="single" w:color="auto" w:sz="4" w:space="0"/>
              <w:left w:val="nil"/>
              <w:bottom w:val="single" w:color="auto" w:sz="4" w:space="0"/>
              <w:right w:val="single" w:color="auto" w:sz="4" w:space="0"/>
            </w:tcBorders>
            <w:vAlign w:val="center"/>
          </w:tcPr>
          <w:p w14:paraId="2854DDE3">
            <w:pPr>
              <w:spacing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具有注册公用设备工程师</w:t>
            </w:r>
            <w:r>
              <w:rPr>
                <w:rFonts w:hint="eastAsia" w:ascii="宋体" w:hAnsi="宋体" w:eastAsia="宋体" w:cs="宋体"/>
                <w:color w:val="auto"/>
                <w:sz w:val="21"/>
                <w:szCs w:val="21"/>
                <w:highlight w:val="none"/>
                <w:lang w:val="en-US" w:eastAsia="zh-CN"/>
              </w:rPr>
              <w:t>资格</w:t>
            </w:r>
            <w:r>
              <w:rPr>
                <w:rFonts w:hint="eastAsia" w:ascii="宋体" w:hAnsi="宋体" w:eastAsia="宋体" w:cs="宋体"/>
                <w:color w:val="auto"/>
                <w:sz w:val="21"/>
                <w:szCs w:val="21"/>
                <w:highlight w:val="none"/>
              </w:rPr>
              <w:t>。</w:t>
            </w:r>
          </w:p>
        </w:tc>
        <w:tc>
          <w:tcPr>
            <w:tcW w:w="1296" w:type="dxa"/>
            <w:tcBorders>
              <w:top w:val="single" w:color="auto" w:sz="4" w:space="0"/>
              <w:left w:val="nil"/>
              <w:bottom w:val="single" w:color="auto" w:sz="4" w:space="0"/>
              <w:right w:val="single" w:color="auto" w:sz="4" w:space="0"/>
            </w:tcBorders>
            <w:vAlign w:val="center"/>
          </w:tcPr>
          <w:p w14:paraId="5C1F0BC4">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r w14:paraId="01D4D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188E082F">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9</w:t>
            </w:r>
          </w:p>
        </w:tc>
        <w:tc>
          <w:tcPr>
            <w:tcW w:w="2124" w:type="dxa"/>
            <w:tcBorders>
              <w:top w:val="single" w:color="auto" w:sz="4" w:space="0"/>
              <w:left w:val="nil"/>
              <w:bottom w:val="single" w:color="auto" w:sz="4" w:space="0"/>
              <w:right w:val="single" w:color="auto" w:sz="4" w:space="0"/>
            </w:tcBorders>
            <w:vAlign w:val="center"/>
          </w:tcPr>
          <w:p w14:paraId="5555EDBB">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造价专业负责人</w:t>
            </w:r>
          </w:p>
        </w:tc>
        <w:tc>
          <w:tcPr>
            <w:tcW w:w="4309" w:type="dxa"/>
            <w:tcBorders>
              <w:top w:val="single" w:color="auto" w:sz="4" w:space="0"/>
              <w:left w:val="nil"/>
              <w:bottom w:val="single" w:color="auto" w:sz="4" w:space="0"/>
              <w:right w:val="single" w:color="auto" w:sz="4" w:space="0"/>
            </w:tcBorders>
            <w:vAlign w:val="center"/>
          </w:tcPr>
          <w:p w14:paraId="388CDD07">
            <w:pPr>
              <w:spacing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具有一级注册造价工程师资格</w:t>
            </w:r>
            <w:r>
              <w:rPr>
                <w:rFonts w:hint="eastAsia" w:ascii="宋体" w:hAnsi="宋体" w:eastAsia="宋体" w:cs="宋体"/>
                <w:color w:val="auto"/>
                <w:sz w:val="21"/>
                <w:szCs w:val="21"/>
                <w:highlight w:val="none"/>
                <w:lang w:val="en-US" w:eastAsia="zh-CN"/>
              </w:rPr>
              <w:t>资格</w:t>
            </w:r>
            <w:r>
              <w:rPr>
                <w:rFonts w:hint="eastAsia" w:ascii="宋体" w:hAnsi="宋体" w:eastAsia="宋体" w:cs="宋体"/>
                <w:color w:val="auto"/>
                <w:sz w:val="21"/>
                <w:szCs w:val="21"/>
                <w:highlight w:val="none"/>
              </w:rPr>
              <w:t>。</w:t>
            </w:r>
          </w:p>
        </w:tc>
        <w:tc>
          <w:tcPr>
            <w:tcW w:w="1296" w:type="dxa"/>
            <w:tcBorders>
              <w:top w:val="single" w:color="auto" w:sz="4" w:space="0"/>
              <w:left w:val="nil"/>
              <w:bottom w:val="single" w:color="auto" w:sz="4" w:space="0"/>
              <w:right w:val="single" w:color="auto" w:sz="4" w:space="0"/>
            </w:tcBorders>
            <w:vAlign w:val="center"/>
          </w:tcPr>
          <w:p w14:paraId="6B932A1B">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r w14:paraId="42D41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802" w:type="dxa"/>
            <w:tcBorders>
              <w:top w:val="single" w:color="auto" w:sz="4" w:space="0"/>
              <w:left w:val="single" w:color="auto" w:sz="4" w:space="0"/>
              <w:bottom w:val="single" w:color="auto" w:sz="4" w:space="0"/>
              <w:right w:val="single" w:color="auto" w:sz="4" w:space="0"/>
            </w:tcBorders>
            <w:vAlign w:val="center"/>
          </w:tcPr>
          <w:p w14:paraId="6F22BD2E">
            <w:pPr>
              <w:spacing w:line="360" w:lineRule="auto"/>
              <w:jc w:val="center"/>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10</w:t>
            </w:r>
          </w:p>
        </w:tc>
        <w:tc>
          <w:tcPr>
            <w:tcW w:w="2124" w:type="dxa"/>
            <w:tcBorders>
              <w:top w:val="single" w:color="auto" w:sz="4" w:space="0"/>
              <w:left w:val="nil"/>
              <w:bottom w:val="single" w:color="auto" w:sz="4" w:space="0"/>
              <w:right w:val="single" w:color="auto" w:sz="4" w:space="0"/>
            </w:tcBorders>
            <w:vAlign w:val="center"/>
          </w:tcPr>
          <w:p w14:paraId="51858ABA">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智能化</w:t>
            </w:r>
            <w:r>
              <w:rPr>
                <w:rFonts w:hint="eastAsia" w:ascii="宋体" w:hAnsi="宋体" w:eastAsia="宋体" w:cs="宋体"/>
                <w:color w:val="auto"/>
                <w:sz w:val="21"/>
                <w:szCs w:val="21"/>
                <w:highlight w:val="none"/>
              </w:rPr>
              <w:t>专业负责人</w:t>
            </w:r>
          </w:p>
        </w:tc>
        <w:tc>
          <w:tcPr>
            <w:tcW w:w="4309" w:type="dxa"/>
            <w:tcBorders>
              <w:top w:val="single" w:color="auto" w:sz="4" w:space="0"/>
              <w:left w:val="nil"/>
              <w:bottom w:val="single" w:color="auto" w:sz="4" w:space="0"/>
              <w:right w:val="single" w:color="auto" w:sz="4" w:space="0"/>
            </w:tcBorders>
            <w:vAlign w:val="center"/>
          </w:tcPr>
          <w:p w14:paraId="17D8A16C">
            <w:pPr>
              <w:spacing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具有注册电气工程师</w:t>
            </w:r>
            <w:r>
              <w:rPr>
                <w:rFonts w:hint="eastAsia" w:ascii="宋体" w:hAnsi="宋体" w:eastAsia="宋体" w:cs="宋体"/>
                <w:color w:val="auto"/>
                <w:sz w:val="21"/>
                <w:szCs w:val="21"/>
                <w:highlight w:val="none"/>
                <w:lang w:val="en-US" w:eastAsia="zh-CN"/>
              </w:rPr>
              <w:t>资格</w:t>
            </w:r>
            <w:r>
              <w:rPr>
                <w:rFonts w:hint="eastAsia" w:ascii="宋体" w:hAnsi="宋体" w:eastAsia="宋体" w:cs="宋体"/>
                <w:color w:val="auto"/>
                <w:sz w:val="21"/>
                <w:szCs w:val="21"/>
                <w:highlight w:val="none"/>
              </w:rPr>
              <w:t>。</w:t>
            </w:r>
          </w:p>
        </w:tc>
        <w:tc>
          <w:tcPr>
            <w:tcW w:w="1296" w:type="dxa"/>
            <w:tcBorders>
              <w:top w:val="single" w:color="auto" w:sz="4" w:space="0"/>
              <w:left w:val="nil"/>
              <w:bottom w:val="single" w:color="auto" w:sz="4" w:space="0"/>
              <w:right w:val="single" w:color="auto" w:sz="4" w:space="0"/>
            </w:tcBorders>
            <w:vAlign w:val="center"/>
          </w:tcPr>
          <w:p w14:paraId="300199BC">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r>
    </w:tbl>
    <w:p w14:paraId="01A1598A">
      <w:p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备注：</w:t>
      </w:r>
    </w:p>
    <w:p w14:paraId="25F4B08B">
      <w:p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（1）如有其他未提及专业应满足表中最低要求。</w:t>
      </w:r>
    </w:p>
    <w:p w14:paraId="37257AD2">
      <w:p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一级注册造价工程师是指根据住房城乡建设部、交通运输部、水利部、人力资源社会保障部发布的《造价工程师职业资格制度规定》、《造价工程师职业资格考试实施办法》（建人［2018］67号）取得的一级造价工程师职业资格，并经注册且在有效期内。按照《造价工程师职业资格制度规定》的规定，根据原人事部、原建设部发布的《造价工程师执业资格制度暂行规定》（人发[1996]77号)取得的造价工程师执业资格，并经注册且在有效期内的，等同于一级注册造价工程师。</w:t>
      </w:r>
    </w:p>
    <w:p w14:paraId="33E5A3B8">
      <w:p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（3）每专业其他参与设计工作人员不少于1人，要求相应专业注册工程师或本专业（含相近专业）中级或以上技术职称。</w:t>
      </w:r>
    </w:p>
    <w:p w14:paraId="0BC68856">
      <w:p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（4）若设计工作不满足工程进度要求，发包人可要求承包人全部设计人员（包括各专业设计人和项目负责人员）驻场设计，时间可从签订设计合同开始到施工图设计完成为止。 </w:t>
      </w:r>
    </w:p>
    <w:p w14:paraId="5A691173">
      <w:pPr>
        <w:spacing w:line="360" w:lineRule="auto"/>
        <w:rPr>
          <w:rFonts w:hint="eastAsia" w:ascii="宋体" w:hAnsi="宋体" w:eastAsia="宋体" w:cs="宋体"/>
          <w:b/>
          <w:bCs/>
          <w:color w:val="auto"/>
          <w:sz w:val="24"/>
          <w:szCs w:val="24"/>
          <w:highlight w:val="none"/>
        </w:rPr>
      </w:pPr>
      <w:r>
        <w:rPr>
          <w:rFonts w:ascii="宋体" w:hAnsi="宋体" w:eastAsia="宋体" w:cs="宋体"/>
          <w:b/>
          <w:bCs/>
          <w:color w:val="auto"/>
          <w:sz w:val="24"/>
          <w:szCs w:val="24"/>
          <w:highlight w:val="none"/>
        </w:rPr>
        <w:t>2.</w:t>
      </w:r>
      <w:r>
        <w:rPr>
          <w:rFonts w:hint="eastAsia" w:ascii="宋体" w:hAnsi="宋体" w:eastAsia="宋体" w:cs="宋体"/>
          <w:b/>
          <w:bCs/>
          <w:color w:val="auto"/>
          <w:sz w:val="24"/>
          <w:szCs w:val="24"/>
          <w:highlight w:val="none"/>
        </w:rPr>
        <w:t>设计人员组织管理要求主要如下（包含但不限于以下要求）：</w:t>
      </w:r>
    </w:p>
    <w:p w14:paraId="0BCF4A30">
      <w:pPr>
        <w:numPr>
          <w:ilvl w:val="255"/>
          <w:numId w:val="0"/>
        </w:numPr>
        <w:tabs>
          <w:tab w:val="left" w:pos="896"/>
        </w:tabs>
        <w:autoSpaceDE w:val="0"/>
        <w:autoSpaceDN w:val="0"/>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2.1</w:t>
      </w:r>
      <w:r>
        <w:rPr>
          <w:rFonts w:hint="eastAsia" w:ascii="宋体" w:hAnsi="宋体" w:eastAsia="宋体" w:cs="宋体"/>
          <w:color w:val="auto"/>
          <w:sz w:val="24"/>
          <w:szCs w:val="24"/>
          <w:highlight w:val="none"/>
        </w:rPr>
        <w:t>承包人必须集中设计力量确保设计进度。</w:t>
      </w:r>
    </w:p>
    <w:p w14:paraId="2A5DCC03">
      <w:pPr>
        <w:numPr>
          <w:ilvl w:val="255"/>
          <w:numId w:val="0"/>
        </w:numPr>
        <w:tabs>
          <w:tab w:val="left" w:pos="896"/>
        </w:tabs>
        <w:autoSpaceDE w:val="0"/>
        <w:autoSpaceDN w:val="0"/>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2.2</w:t>
      </w:r>
      <w:r>
        <w:rPr>
          <w:rFonts w:hint="eastAsia" w:ascii="宋体" w:hAnsi="宋体" w:eastAsia="宋体" w:cs="宋体"/>
          <w:color w:val="auto"/>
          <w:sz w:val="24"/>
          <w:szCs w:val="24"/>
          <w:highlight w:val="none"/>
        </w:rPr>
        <w:t>承包人在明确分工各负其责的基础上，按照招标文件所列要求承诺为本项目合同约定项目指定的设计负责人、各专业设计负责人、各专业设计人、报建协调人，并向建设管理单位出具相应的授权文件。</w:t>
      </w:r>
    </w:p>
    <w:p w14:paraId="6B6847E2">
      <w:pPr>
        <w:numPr>
          <w:ilvl w:val="255"/>
          <w:numId w:val="0"/>
        </w:numPr>
        <w:tabs>
          <w:tab w:val="left" w:pos="913"/>
        </w:tabs>
        <w:autoSpaceDE w:val="0"/>
        <w:autoSpaceDN w:val="0"/>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2.3</w:t>
      </w:r>
      <w:r>
        <w:rPr>
          <w:rFonts w:hint="eastAsia" w:ascii="宋体" w:hAnsi="宋体" w:eastAsia="宋体" w:cs="宋体"/>
          <w:color w:val="auto"/>
          <w:sz w:val="24"/>
          <w:szCs w:val="24"/>
          <w:highlight w:val="none"/>
        </w:rPr>
        <w:t>项目设计负责人，各专业设计负责人应能够胜任所承担任务的设计、组织、计划、协调工作。</w:t>
      </w:r>
    </w:p>
    <w:p w14:paraId="1A9A9D2B">
      <w:pPr>
        <w:numPr>
          <w:ilvl w:val="255"/>
          <w:numId w:val="0"/>
        </w:numPr>
        <w:tabs>
          <w:tab w:val="left" w:pos="896"/>
        </w:tabs>
        <w:autoSpaceDE w:val="0"/>
        <w:autoSpaceDN w:val="0"/>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2.4</w:t>
      </w:r>
      <w:r>
        <w:rPr>
          <w:rFonts w:hint="eastAsia" w:ascii="宋体" w:hAnsi="宋体" w:eastAsia="宋体" w:cs="宋体"/>
          <w:color w:val="auto"/>
          <w:sz w:val="24"/>
          <w:szCs w:val="24"/>
          <w:highlight w:val="none"/>
        </w:rPr>
        <w:t>须报送项目设计负责人、各专业设计负责人、其他参与设计工作的主要人员姓名、年龄、学历、专业、职称、职务、相关经历和主要技术成果以及在本合同约定项目中负责的设计任务等资料。</w:t>
      </w:r>
    </w:p>
    <w:p w14:paraId="388C3C09">
      <w:pPr>
        <w:numPr>
          <w:ilvl w:val="255"/>
          <w:numId w:val="0"/>
        </w:numPr>
        <w:tabs>
          <w:tab w:val="left" w:pos="896"/>
        </w:tabs>
        <w:autoSpaceDE w:val="0"/>
        <w:autoSpaceDN w:val="0"/>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2.5</w:t>
      </w:r>
      <w:r>
        <w:rPr>
          <w:rFonts w:hint="eastAsia" w:ascii="宋体" w:hAnsi="宋体" w:eastAsia="宋体" w:cs="宋体"/>
          <w:color w:val="auto"/>
          <w:sz w:val="24"/>
          <w:szCs w:val="24"/>
          <w:highlight w:val="none"/>
        </w:rPr>
        <w:t>必须保证参与本项目各设计部分人员的稳定性，不可随意撤换，且短时离开本地须向项目发包人请假并制定离开后的协调人，否则必须承担相应责任。</w:t>
      </w:r>
    </w:p>
    <w:p w14:paraId="76E7EEB2">
      <w:pPr>
        <w:numPr>
          <w:ilvl w:val="255"/>
          <w:numId w:val="0"/>
        </w:numPr>
        <w:tabs>
          <w:tab w:val="left" w:pos="899"/>
        </w:tabs>
        <w:autoSpaceDE w:val="0"/>
        <w:autoSpaceDN w:val="0"/>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2.6</w:t>
      </w:r>
      <w:r>
        <w:rPr>
          <w:rFonts w:hint="eastAsia" w:ascii="宋体" w:hAnsi="宋体" w:eastAsia="宋体" w:cs="宋体"/>
          <w:color w:val="auto"/>
          <w:sz w:val="24"/>
          <w:szCs w:val="24"/>
          <w:highlight w:val="none"/>
        </w:rPr>
        <w:t>发包人有权随时以书面形式要求中标人更换不合格或不称职的设计人员，无正当理由设计人不得拒绝。设计人应自接到发包人更换设计人员的书面通知之日起一周内将变更后的设计人员名录书面通知发包人，并将其业绩等资料送发包人审核，直至发包人认可。</w:t>
      </w:r>
    </w:p>
    <w:p w14:paraId="3ABD232B">
      <w:pPr>
        <w:tabs>
          <w:tab w:val="left" w:pos="896"/>
        </w:tabs>
        <w:autoSpaceDE w:val="0"/>
        <w:autoSpaceDN w:val="0"/>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2.7</w:t>
      </w:r>
      <w:r>
        <w:rPr>
          <w:rFonts w:hint="eastAsia" w:ascii="宋体" w:hAnsi="宋体" w:eastAsia="宋体" w:cs="宋体"/>
          <w:color w:val="auto"/>
          <w:spacing w:val="-3"/>
          <w:sz w:val="24"/>
          <w:szCs w:val="24"/>
          <w:highlight w:val="none"/>
        </w:rPr>
        <w:t>承包人</w:t>
      </w:r>
      <w:r>
        <w:rPr>
          <w:rFonts w:hint="eastAsia" w:ascii="宋体" w:hAnsi="宋体" w:eastAsia="宋体" w:cs="宋体"/>
          <w:color w:val="auto"/>
          <w:sz w:val="24"/>
          <w:szCs w:val="24"/>
          <w:highlight w:val="none"/>
        </w:rPr>
        <w:t>应安排专人（至少1名）全面配合跟进所有报审报建工作（包括提供</w:t>
      </w:r>
      <w:r>
        <w:rPr>
          <w:rFonts w:hint="eastAsia" w:ascii="宋体" w:hAnsi="宋体" w:eastAsia="宋体" w:cs="宋体"/>
          <w:color w:val="auto"/>
          <w:spacing w:val="-3"/>
          <w:sz w:val="24"/>
          <w:szCs w:val="24"/>
          <w:highlight w:val="none"/>
        </w:rPr>
        <w:t>项</w:t>
      </w:r>
      <w:r>
        <w:rPr>
          <w:rFonts w:hint="eastAsia" w:ascii="宋体" w:hAnsi="宋体" w:eastAsia="宋体" w:cs="宋体"/>
          <w:color w:val="auto"/>
          <w:spacing w:val="-5"/>
          <w:sz w:val="24"/>
          <w:szCs w:val="24"/>
          <w:highlight w:val="none"/>
        </w:rPr>
        <w:t>目</w:t>
      </w:r>
      <w:r>
        <w:rPr>
          <w:rFonts w:hint="eastAsia" w:ascii="宋体" w:hAnsi="宋体" w:eastAsia="宋体" w:cs="宋体"/>
          <w:color w:val="auto"/>
          <w:spacing w:val="-3"/>
          <w:sz w:val="24"/>
          <w:szCs w:val="24"/>
          <w:highlight w:val="none"/>
        </w:rPr>
        <w:t>发包人</w:t>
      </w:r>
      <w:r>
        <w:rPr>
          <w:rFonts w:hint="eastAsia" w:ascii="宋体" w:hAnsi="宋体" w:eastAsia="宋体" w:cs="宋体"/>
          <w:color w:val="auto"/>
          <w:spacing w:val="-5"/>
          <w:sz w:val="24"/>
          <w:szCs w:val="24"/>
          <w:highlight w:val="none"/>
        </w:rPr>
        <w:t>报</w:t>
      </w:r>
      <w:r>
        <w:rPr>
          <w:rFonts w:hint="eastAsia" w:ascii="宋体" w:hAnsi="宋体" w:eastAsia="宋体" w:cs="宋体"/>
          <w:color w:val="auto"/>
          <w:spacing w:val="-3"/>
          <w:sz w:val="24"/>
          <w:szCs w:val="24"/>
          <w:highlight w:val="none"/>
        </w:rPr>
        <w:t>审报建</w:t>
      </w:r>
      <w:r>
        <w:rPr>
          <w:rFonts w:hint="eastAsia" w:ascii="宋体" w:hAnsi="宋体" w:eastAsia="宋体" w:cs="宋体"/>
          <w:color w:val="auto"/>
          <w:spacing w:val="-5"/>
          <w:sz w:val="24"/>
          <w:szCs w:val="24"/>
          <w:highlight w:val="none"/>
        </w:rPr>
        <w:t>及</w:t>
      </w:r>
      <w:r>
        <w:rPr>
          <w:rFonts w:hint="eastAsia" w:ascii="宋体" w:hAnsi="宋体" w:eastAsia="宋体" w:cs="宋体"/>
          <w:color w:val="auto"/>
          <w:spacing w:val="-3"/>
          <w:sz w:val="24"/>
          <w:szCs w:val="24"/>
          <w:highlight w:val="none"/>
        </w:rPr>
        <w:t>有关外</w:t>
      </w:r>
      <w:r>
        <w:rPr>
          <w:rFonts w:hint="eastAsia" w:ascii="宋体" w:hAnsi="宋体" w:eastAsia="宋体" w:cs="宋体"/>
          <w:color w:val="auto"/>
          <w:spacing w:val="-5"/>
          <w:sz w:val="24"/>
          <w:szCs w:val="24"/>
          <w:highlight w:val="none"/>
        </w:rPr>
        <w:t>出</w:t>
      </w:r>
      <w:r>
        <w:rPr>
          <w:rFonts w:hint="eastAsia" w:ascii="宋体" w:hAnsi="宋体" w:eastAsia="宋体" w:cs="宋体"/>
          <w:color w:val="auto"/>
          <w:spacing w:val="-3"/>
          <w:sz w:val="24"/>
          <w:szCs w:val="24"/>
          <w:highlight w:val="none"/>
        </w:rPr>
        <w:t>协调所</w:t>
      </w:r>
      <w:r>
        <w:rPr>
          <w:rFonts w:hint="eastAsia" w:ascii="宋体" w:hAnsi="宋体" w:eastAsia="宋体" w:cs="宋体"/>
          <w:color w:val="auto"/>
          <w:spacing w:val="-5"/>
          <w:sz w:val="24"/>
          <w:szCs w:val="24"/>
          <w:highlight w:val="none"/>
        </w:rPr>
        <w:t>需</w:t>
      </w:r>
      <w:r>
        <w:rPr>
          <w:rFonts w:hint="eastAsia" w:ascii="宋体" w:hAnsi="宋体" w:eastAsia="宋体" w:cs="宋体"/>
          <w:color w:val="auto"/>
          <w:spacing w:val="-3"/>
          <w:sz w:val="24"/>
          <w:szCs w:val="24"/>
          <w:highlight w:val="none"/>
        </w:rPr>
        <w:t>的交通</w:t>
      </w:r>
      <w:r>
        <w:rPr>
          <w:rFonts w:hint="eastAsia" w:ascii="宋体" w:hAnsi="宋体" w:eastAsia="宋体" w:cs="宋体"/>
          <w:color w:val="auto"/>
          <w:spacing w:val="-5"/>
          <w:sz w:val="24"/>
          <w:szCs w:val="24"/>
          <w:highlight w:val="none"/>
        </w:rPr>
        <w:t>便</w:t>
      </w:r>
      <w:r>
        <w:rPr>
          <w:rFonts w:hint="eastAsia" w:ascii="宋体" w:hAnsi="宋体" w:eastAsia="宋体" w:cs="宋体"/>
          <w:color w:val="auto"/>
          <w:spacing w:val="-3"/>
          <w:sz w:val="24"/>
          <w:szCs w:val="24"/>
          <w:highlight w:val="none"/>
        </w:rPr>
        <w:t>利，包</w:t>
      </w:r>
      <w:r>
        <w:rPr>
          <w:rFonts w:hint="eastAsia" w:ascii="宋体" w:hAnsi="宋体" w:eastAsia="宋体" w:cs="宋体"/>
          <w:color w:val="auto"/>
          <w:spacing w:val="-5"/>
          <w:sz w:val="24"/>
          <w:szCs w:val="24"/>
          <w:highlight w:val="none"/>
        </w:rPr>
        <w:t>括</w:t>
      </w:r>
      <w:r>
        <w:rPr>
          <w:rFonts w:hint="eastAsia" w:ascii="宋体" w:hAnsi="宋体" w:eastAsia="宋体" w:cs="宋体"/>
          <w:color w:val="auto"/>
          <w:spacing w:val="-3"/>
          <w:sz w:val="24"/>
          <w:szCs w:val="24"/>
          <w:highlight w:val="none"/>
        </w:rPr>
        <w:t>放线测</w:t>
      </w:r>
      <w:r>
        <w:rPr>
          <w:rFonts w:hint="eastAsia" w:ascii="宋体" w:hAnsi="宋体" w:eastAsia="宋体" w:cs="宋体"/>
          <w:color w:val="auto"/>
          <w:spacing w:val="-5"/>
          <w:sz w:val="24"/>
          <w:szCs w:val="24"/>
          <w:highlight w:val="none"/>
        </w:rPr>
        <w:t>量</w:t>
      </w:r>
      <w:r>
        <w:rPr>
          <w:rFonts w:hint="eastAsia" w:ascii="宋体" w:hAnsi="宋体" w:eastAsia="宋体" w:cs="宋体"/>
          <w:color w:val="auto"/>
          <w:spacing w:val="-3"/>
          <w:sz w:val="24"/>
          <w:szCs w:val="24"/>
          <w:highlight w:val="none"/>
        </w:rPr>
        <w:t>费、公</w:t>
      </w:r>
      <w:r>
        <w:rPr>
          <w:rFonts w:hint="eastAsia" w:ascii="宋体" w:hAnsi="宋体" w:eastAsia="宋体" w:cs="宋体"/>
          <w:color w:val="auto"/>
          <w:spacing w:val="-5"/>
          <w:sz w:val="24"/>
          <w:szCs w:val="24"/>
          <w:highlight w:val="none"/>
        </w:rPr>
        <w:t>示</w:t>
      </w:r>
      <w:r>
        <w:rPr>
          <w:rFonts w:hint="eastAsia" w:ascii="宋体" w:hAnsi="宋体" w:eastAsia="宋体" w:cs="宋体"/>
          <w:color w:val="auto"/>
          <w:spacing w:val="-3"/>
          <w:sz w:val="24"/>
          <w:szCs w:val="24"/>
          <w:highlight w:val="none"/>
        </w:rPr>
        <w:t>费</w:t>
      </w:r>
      <w:r>
        <w:rPr>
          <w:rFonts w:hint="eastAsia" w:ascii="宋体" w:hAnsi="宋体" w:eastAsia="宋体" w:cs="宋体"/>
          <w:color w:val="auto"/>
          <w:sz w:val="24"/>
          <w:szCs w:val="24"/>
          <w:highlight w:val="none"/>
        </w:rPr>
        <w:t>、</w:t>
      </w:r>
      <w:r>
        <w:rPr>
          <w:rFonts w:hint="eastAsia" w:ascii="宋体" w:hAnsi="宋体" w:eastAsia="宋体" w:cs="宋体"/>
          <w:color w:val="auto"/>
          <w:spacing w:val="-3"/>
          <w:sz w:val="24"/>
          <w:szCs w:val="24"/>
          <w:highlight w:val="none"/>
        </w:rPr>
        <w:t>购</w:t>
      </w:r>
      <w:r>
        <w:rPr>
          <w:rFonts w:hint="eastAsia" w:ascii="宋体" w:hAnsi="宋体" w:eastAsia="宋体" w:cs="宋体"/>
          <w:color w:val="auto"/>
          <w:spacing w:val="24"/>
          <w:sz w:val="24"/>
          <w:szCs w:val="24"/>
          <w:highlight w:val="none"/>
        </w:rPr>
        <w:t>买</w:t>
      </w:r>
      <w:r>
        <w:rPr>
          <w:rFonts w:hint="eastAsia" w:ascii="宋体" w:hAnsi="宋体" w:eastAsia="宋体" w:cs="宋体"/>
          <w:color w:val="auto"/>
          <w:spacing w:val="-3"/>
          <w:sz w:val="24"/>
          <w:szCs w:val="24"/>
          <w:highlight w:val="none"/>
        </w:rPr>
        <w:t>地</w:t>
      </w:r>
      <w:r>
        <w:rPr>
          <w:rFonts w:hint="eastAsia" w:ascii="宋体" w:hAnsi="宋体" w:eastAsia="宋体" w:cs="宋体"/>
          <w:color w:val="auto"/>
          <w:sz w:val="24"/>
          <w:szCs w:val="24"/>
          <w:highlight w:val="none"/>
        </w:rPr>
        <w:t>形</w:t>
      </w:r>
      <w:r>
        <w:rPr>
          <w:rFonts w:hint="eastAsia" w:ascii="宋体" w:hAnsi="宋体" w:eastAsia="宋体" w:cs="宋体"/>
          <w:color w:val="auto"/>
          <w:spacing w:val="-3"/>
          <w:sz w:val="24"/>
          <w:szCs w:val="24"/>
          <w:highlight w:val="none"/>
        </w:rPr>
        <w:t>图、</w:t>
      </w:r>
      <w:r>
        <w:rPr>
          <w:rFonts w:hint="eastAsia" w:ascii="宋体" w:hAnsi="宋体" w:eastAsia="宋体" w:cs="宋体"/>
          <w:color w:val="auto"/>
          <w:sz w:val="24"/>
          <w:szCs w:val="24"/>
          <w:highlight w:val="none"/>
        </w:rPr>
        <w:t>管</w:t>
      </w:r>
      <w:r>
        <w:rPr>
          <w:rFonts w:hint="eastAsia" w:ascii="宋体" w:hAnsi="宋体" w:eastAsia="宋体" w:cs="宋体"/>
          <w:color w:val="auto"/>
          <w:spacing w:val="-3"/>
          <w:sz w:val="24"/>
          <w:szCs w:val="24"/>
          <w:highlight w:val="none"/>
        </w:rPr>
        <w:t>线</w:t>
      </w:r>
      <w:r>
        <w:rPr>
          <w:rFonts w:hint="eastAsia" w:ascii="宋体" w:hAnsi="宋体" w:eastAsia="宋体" w:cs="宋体"/>
          <w:color w:val="auto"/>
          <w:sz w:val="24"/>
          <w:szCs w:val="24"/>
          <w:highlight w:val="none"/>
        </w:rPr>
        <w:t>图</w:t>
      </w:r>
      <w:r>
        <w:rPr>
          <w:rFonts w:hint="eastAsia" w:ascii="宋体" w:hAnsi="宋体" w:eastAsia="宋体" w:cs="宋体"/>
          <w:color w:val="auto"/>
          <w:spacing w:val="-3"/>
          <w:sz w:val="24"/>
          <w:szCs w:val="24"/>
          <w:highlight w:val="none"/>
        </w:rPr>
        <w:t>纸、</w:t>
      </w:r>
      <w:r>
        <w:rPr>
          <w:rFonts w:hint="eastAsia" w:ascii="宋体" w:hAnsi="宋体" w:eastAsia="宋体" w:cs="宋体"/>
          <w:color w:val="auto"/>
          <w:sz w:val="24"/>
          <w:szCs w:val="24"/>
          <w:highlight w:val="none"/>
        </w:rPr>
        <w:t>加</w:t>
      </w:r>
      <w:r>
        <w:rPr>
          <w:rFonts w:hint="eastAsia" w:ascii="宋体" w:hAnsi="宋体" w:eastAsia="宋体" w:cs="宋体"/>
          <w:color w:val="auto"/>
          <w:spacing w:val="-3"/>
          <w:sz w:val="24"/>
          <w:szCs w:val="24"/>
          <w:highlight w:val="none"/>
        </w:rPr>
        <w:t>晒加</w:t>
      </w:r>
      <w:r>
        <w:rPr>
          <w:rFonts w:hint="eastAsia" w:ascii="宋体" w:hAnsi="宋体" w:eastAsia="宋体" w:cs="宋体"/>
          <w:color w:val="auto"/>
          <w:sz w:val="24"/>
          <w:szCs w:val="24"/>
          <w:highlight w:val="none"/>
        </w:rPr>
        <w:t>印</w:t>
      </w:r>
      <w:r>
        <w:rPr>
          <w:rFonts w:hint="eastAsia" w:ascii="宋体" w:hAnsi="宋体" w:eastAsia="宋体" w:cs="宋体"/>
          <w:color w:val="auto"/>
          <w:spacing w:val="-3"/>
          <w:sz w:val="24"/>
          <w:szCs w:val="24"/>
          <w:highlight w:val="none"/>
        </w:rPr>
        <w:t>图纸</w:t>
      </w:r>
      <w:r>
        <w:rPr>
          <w:rFonts w:hint="eastAsia" w:ascii="宋体" w:hAnsi="宋体" w:eastAsia="宋体" w:cs="宋体"/>
          <w:color w:val="auto"/>
          <w:sz w:val="24"/>
          <w:szCs w:val="24"/>
          <w:highlight w:val="none"/>
        </w:rPr>
        <w:t>资</w:t>
      </w:r>
      <w:r>
        <w:rPr>
          <w:rFonts w:hint="eastAsia" w:ascii="宋体" w:hAnsi="宋体" w:eastAsia="宋体" w:cs="宋体"/>
          <w:color w:val="auto"/>
          <w:spacing w:val="-3"/>
          <w:sz w:val="24"/>
          <w:szCs w:val="24"/>
          <w:highlight w:val="none"/>
        </w:rPr>
        <w:t>料等</w:t>
      </w:r>
      <w:r>
        <w:rPr>
          <w:rFonts w:hint="eastAsia" w:ascii="宋体" w:hAnsi="宋体" w:eastAsia="宋体" w:cs="宋体"/>
          <w:color w:val="auto"/>
          <w:sz w:val="24"/>
          <w:szCs w:val="24"/>
          <w:highlight w:val="none"/>
        </w:rPr>
        <w:t>相</w:t>
      </w:r>
      <w:r>
        <w:rPr>
          <w:rFonts w:hint="eastAsia" w:ascii="宋体" w:hAnsi="宋体" w:eastAsia="宋体" w:cs="宋体"/>
          <w:color w:val="auto"/>
          <w:spacing w:val="-3"/>
          <w:sz w:val="24"/>
          <w:szCs w:val="24"/>
          <w:highlight w:val="none"/>
        </w:rPr>
        <w:t>关</w:t>
      </w:r>
      <w:r>
        <w:rPr>
          <w:rFonts w:hint="eastAsia" w:ascii="宋体" w:hAnsi="宋体" w:eastAsia="宋体" w:cs="宋体"/>
          <w:color w:val="auto"/>
          <w:sz w:val="24"/>
          <w:szCs w:val="24"/>
          <w:highlight w:val="none"/>
        </w:rPr>
        <w:t>报</w:t>
      </w:r>
      <w:r>
        <w:rPr>
          <w:rFonts w:hint="eastAsia" w:ascii="宋体" w:hAnsi="宋体" w:eastAsia="宋体" w:cs="宋体"/>
          <w:color w:val="auto"/>
          <w:spacing w:val="-3"/>
          <w:sz w:val="24"/>
          <w:szCs w:val="24"/>
          <w:highlight w:val="none"/>
        </w:rPr>
        <w:t>建费</w:t>
      </w:r>
      <w:r>
        <w:rPr>
          <w:rFonts w:hint="eastAsia" w:ascii="宋体" w:hAnsi="宋体" w:eastAsia="宋体" w:cs="宋体"/>
          <w:color w:val="auto"/>
          <w:sz w:val="24"/>
          <w:szCs w:val="24"/>
          <w:highlight w:val="none"/>
        </w:rPr>
        <w:t>用</w:t>
      </w:r>
      <w:r>
        <w:rPr>
          <w:rFonts w:hint="eastAsia" w:ascii="宋体" w:hAnsi="宋体" w:eastAsia="宋体" w:cs="宋体"/>
          <w:color w:val="auto"/>
          <w:spacing w:val="-3"/>
          <w:sz w:val="24"/>
          <w:szCs w:val="24"/>
          <w:highlight w:val="none"/>
        </w:rPr>
        <w:t>、各</w:t>
      </w:r>
      <w:r>
        <w:rPr>
          <w:rFonts w:hint="eastAsia" w:ascii="宋体" w:hAnsi="宋体" w:eastAsia="宋体" w:cs="宋体"/>
          <w:color w:val="auto"/>
          <w:sz w:val="24"/>
          <w:szCs w:val="24"/>
          <w:highlight w:val="none"/>
        </w:rPr>
        <w:t>阶</w:t>
      </w:r>
      <w:r>
        <w:rPr>
          <w:rFonts w:hint="eastAsia" w:ascii="宋体" w:hAnsi="宋体" w:eastAsia="宋体" w:cs="宋体"/>
          <w:color w:val="auto"/>
          <w:spacing w:val="-3"/>
          <w:sz w:val="24"/>
          <w:szCs w:val="24"/>
          <w:highlight w:val="none"/>
        </w:rPr>
        <w:t>段的</w:t>
      </w:r>
      <w:r>
        <w:rPr>
          <w:rFonts w:hint="eastAsia" w:ascii="宋体" w:hAnsi="宋体" w:eastAsia="宋体" w:cs="宋体"/>
          <w:color w:val="auto"/>
          <w:sz w:val="24"/>
          <w:szCs w:val="24"/>
          <w:highlight w:val="none"/>
        </w:rPr>
        <w:t>汇</w:t>
      </w:r>
      <w:r>
        <w:rPr>
          <w:rFonts w:hint="eastAsia" w:ascii="宋体" w:hAnsi="宋体" w:eastAsia="宋体" w:cs="宋体"/>
          <w:color w:val="auto"/>
          <w:spacing w:val="-3"/>
          <w:sz w:val="24"/>
          <w:szCs w:val="24"/>
          <w:highlight w:val="none"/>
        </w:rPr>
        <w:t>报文</w:t>
      </w:r>
      <w:r>
        <w:rPr>
          <w:rFonts w:hint="eastAsia" w:ascii="宋体" w:hAnsi="宋体" w:eastAsia="宋体" w:cs="宋体"/>
          <w:color w:val="auto"/>
          <w:sz w:val="24"/>
          <w:szCs w:val="24"/>
          <w:highlight w:val="none"/>
        </w:rPr>
        <w:t>件</w:t>
      </w:r>
      <w:r>
        <w:rPr>
          <w:rFonts w:hint="eastAsia" w:ascii="宋体" w:hAnsi="宋体" w:eastAsia="宋体" w:cs="宋体"/>
          <w:color w:val="auto"/>
          <w:spacing w:val="-3"/>
          <w:sz w:val="24"/>
          <w:szCs w:val="24"/>
          <w:highlight w:val="none"/>
        </w:rPr>
        <w:t>和</w:t>
      </w:r>
      <w:r>
        <w:rPr>
          <w:rFonts w:hint="eastAsia" w:ascii="宋体" w:hAnsi="宋体" w:eastAsia="宋体" w:cs="宋体"/>
          <w:color w:val="auto"/>
          <w:sz w:val="24"/>
          <w:szCs w:val="24"/>
          <w:highlight w:val="none"/>
        </w:rPr>
        <w:t>送</w:t>
      </w:r>
      <w:r>
        <w:rPr>
          <w:rFonts w:hint="eastAsia" w:ascii="宋体" w:hAnsi="宋体" w:eastAsia="宋体" w:cs="宋体"/>
          <w:color w:val="auto"/>
          <w:spacing w:val="-3"/>
          <w:sz w:val="24"/>
          <w:szCs w:val="24"/>
          <w:highlight w:val="none"/>
        </w:rPr>
        <w:t>审</w:t>
      </w:r>
      <w:r>
        <w:rPr>
          <w:rFonts w:hint="eastAsia" w:ascii="宋体" w:hAnsi="宋体" w:eastAsia="宋体" w:cs="宋体"/>
          <w:color w:val="auto"/>
          <w:spacing w:val="-5"/>
          <w:sz w:val="24"/>
          <w:szCs w:val="24"/>
          <w:highlight w:val="none"/>
        </w:rPr>
        <w:t>文</w:t>
      </w:r>
      <w:r>
        <w:rPr>
          <w:rFonts w:hint="eastAsia" w:ascii="宋体" w:hAnsi="宋体" w:eastAsia="宋体" w:cs="宋体"/>
          <w:color w:val="auto"/>
          <w:sz w:val="24"/>
          <w:szCs w:val="24"/>
          <w:highlight w:val="none"/>
        </w:rPr>
        <w:t>件晒制费用已包含在设计费中）。</w:t>
      </w:r>
    </w:p>
    <w:p w14:paraId="04FAEFE2">
      <w:pPr>
        <w:widowControl/>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2.8</w:t>
      </w:r>
      <w:r>
        <w:rPr>
          <w:rFonts w:hint="eastAsia" w:ascii="宋体" w:hAnsi="宋体" w:eastAsia="宋体" w:cs="宋体"/>
          <w:color w:val="auto"/>
          <w:spacing w:val="-3"/>
          <w:sz w:val="24"/>
          <w:szCs w:val="24"/>
          <w:highlight w:val="none"/>
        </w:rPr>
        <w:t>承包人</w:t>
      </w:r>
      <w:r>
        <w:rPr>
          <w:rFonts w:hint="eastAsia" w:ascii="宋体" w:hAnsi="宋体" w:eastAsia="宋体" w:cs="宋体"/>
          <w:color w:val="auto"/>
          <w:sz w:val="24"/>
          <w:szCs w:val="24"/>
          <w:highlight w:val="none"/>
        </w:rPr>
        <w:t>须根据不同阶段的实际需要，安排相应阶段的专业技术人员驻场。</w:t>
      </w:r>
    </w:p>
    <w:p w14:paraId="29D15A9D">
      <w:pPr>
        <w:widowControl/>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2.9景观设计驻场：在景观施工期间，设计单位应按照发包人要求至少派项目管理、景观（软、硬景）等专业共不少于2人的团队人员驻场项目办公，时间为项目景观施工期间。</w:t>
      </w:r>
    </w:p>
    <w:p w14:paraId="5F8E04A3">
      <w:pPr>
        <w:widowControl/>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br w:type="page"/>
      </w:r>
    </w:p>
    <w:p w14:paraId="6654C59E">
      <w:pPr>
        <w:keepNext/>
        <w:keepLines/>
        <w:tabs>
          <w:tab w:val="left" w:pos="0"/>
        </w:tabs>
        <w:spacing w:line="360" w:lineRule="auto"/>
        <w:jc w:val="both"/>
        <w:outlineLvl w:val="0"/>
        <w:rPr>
          <w:rFonts w:hint="eastAsia" w:ascii="宋体" w:hAnsi="宋体" w:eastAsia="宋体" w:cs="宋体"/>
          <w:b/>
          <w:color w:val="auto"/>
          <w:kern w:val="44"/>
          <w:sz w:val="24"/>
          <w:szCs w:val="24"/>
          <w:highlight w:val="none"/>
        </w:rPr>
      </w:pPr>
      <w:r>
        <w:rPr>
          <w:rFonts w:hint="eastAsia" w:ascii="宋体" w:hAnsi="宋体" w:eastAsia="宋体" w:cs="宋体"/>
          <w:b/>
          <w:color w:val="auto"/>
          <w:kern w:val="44"/>
          <w:sz w:val="24"/>
          <w:szCs w:val="24"/>
          <w:highlight w:val="none"/>
        </w:rPr>
        <w:t>十二、附则</w:t>
      </w:r>
    </w:p>
    <w:p w14:paraId="5D2E2785">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1.</w:t>
      </w:r>
      <w:r>
        <w:rPr>
          <w:rFonts w:hint="eastAsia" w:ascii="宋体" w:hAnsi="宋体" w:eastAsia="宋体" w:cs="宋体"/>
          <w:color w:val="auto"/>
          <w:sz w:val="24"/>
          <w:szCs w:val="24"/>
          <w:highlight w:val="none"/>
        </w:rPr>
        <w:t>本任务书未提及部分，详见《设计技术标准》(如有)。</w:t>
      </w:r>
    </w:p>
    <w:p w14:paraId="4EAF1373">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rPr>
        <w:t>招标期间由招标组织单位发出的有关投标答疑文件与其它文件内容有矛盾时，以日期较晚的文件为准。</w:t>
      </w:r>
    </w:p>
    <w:p w14:paraId="2D89FF77">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3.</w:t>
      </w:r>
      <w:r>
        <w:rPr>
          <w:rFonts w:hint="eastAsia" w:ascii="宋体" w:hAnsi="宋体" w:eastAsia="宋体" w:cs="宋体"/>
          <w:color w:val="auto"/>
          <w:sz w:val="24"/>
          <w:szCs w:val="24"/>
          <w:highlight w:val="none"/>
        </w:rPr>
        <w:t>如对本任务书有疑问，按照招标文件的相关规定进行答疑。</w:t>
      </w:r>
    </w:p>
    <w:p w14:paraId="221A4628">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4.</w:t>
      </w:r>
      <w:r>
        <w:rPr>
          <w:rFonts w:hint="eastAsia" w:ascii="宋体" w:hAnsi="宋体" w:eastAsia="宋体" w:cs="宋体"/>
          <w:color w:val="auto"/>
          <w:sz w:val="24"/>
          <w:szCs w:val="24"/>
          <w:highlight w:val="none"/>
        </w:rPr>
        <w:t>本任务书尚未详尽之处，将在招标后补充完善。</w:t>
      </w:r>
    </w:p>
    <w:p w14:paraId="650242C6">
      <w:pPr>
        <w:widowControl/>
        <w:spacing w:line="360" w:lineRule="auto"/>
        <w:ind w:firstLine="480" w:firstLineChars="200"/>
        <w:rPr>
          <w:rFonts w:hint="eastAsia" w:ascii="宋体" w:hAnsi="宋体" w:eastAsia="宋体" w:cs="宋体"/>
          <w:b/>
          <w:color w:val="auto"/>
          <w:sz w:val="24"/>
          <w:szCs w:val="24"/>
          <w:highlight w:val="none"/>
        </w:rPr>
      </w:pPr>
      <w:r>
        <w:rPr>
          <w:rFonts w:ascii="宋体" w:hAnsi="宋体" w:eastAsia="宋体" w:cs="宋体"/>
          <w:color w:val="auto"/>
          <w:sz w:val="24"/>
          <w:szCs w:val="24"/>
          <w:highlight w:val="none"/>
        </w:rPr>
        <w:t>5.</w:t>
      </w:r>
      <w:r>
        <w:rPr>
          <w:rFonts w:hint="eastAsia" w:ascii="宋体" w:hAnsi="宋体" w:eastAsia="宋体" w:cs="宋体"/>
          <w:color w:val="auto"/>
          <w:sz w:val="24"/>
          <w:szCs w:val="24"/>
          <w:highlight w:val="none"/>
        </w:rPr>
        <w:t>本任务书的解释权归发包人所有。</w:t>
      </w:r>
    </w:p>
    <w:p w14:paraId="22C88265">
      <w:pPr>
        <w:rPr>
          <w:rFonts w:hint="eastAsia" w:ascii="宋体" w:hAnsi="宋体" w:eastAsia="宋体" w:cs="宋体"/>
          <w:b/>
          <w:bCs/>
          <w:color w:val="auto"/>
          <w:sz w:val="36"/>
          <w:szCs w:val="36"/>
          <w:highlight w:val="none"/>
        </w:rPr>
      </w:pPr>
      <w:r>
        <w:rPr>
          <w:rFonts w:ascii="宋体" w:hAnsi="宋体" w:eastAsia="宋体" w:cs="宋体"/>
          <w:b/>
          <w:bCs/>
          <w:color w:val="auto"/>
          <w:sz w:val="36"/>
          <w:szCs w:val="36"/>
          <w:highlight w:val="none"/>
        </w:rPr>
        <w:br w:type="page"/>
      </w:r>
    </w:p>
    <w:p w14:paraId="013F15B7">
      <w:pPr>
        <w:pStyle w:val="65"/>
        <w:jc w:val="center"/>
        <w:rPr>
          <w:rFonts w:hint="eastAsia" w:ascii="宋体" w:hAnsi="宋体" w:eastAsia="宋体" w:cs="宋体"/>
          <w:b/>
          <w:bCs/>
          <w:color w:val="auto"/>
          <w:sz w:val="36"/>
          <w:szCs w:val="36"/>
          <w:highlight w:val="none"/>
        </w:rPr>
      </w:pPr>
    </w:p>
    <w:p w14:paraId="6C30C9B8">
      <w:pPr>
        <w:pStyle w:val="65"/>
        <w:jc w:val="center"/>
        <w:outlineLvl w:val="0"/>
        <w:rPr>
          <w:rFonts w:hint="eastAsia" w:ascii="宋体" w:hAnsi="宋体" w:eastAsia="宋体" w:cs="宋体"/>
          <w:b/>
          <w:bCs/>
          <w:color w:val="auto"/>
          <w:sz w:val="48"/>
          <w:szCs w:val="48"/>
          <w:highlight w:val="none"/>
        </w:rPr>
      </w:pPr>
      <w:r>
        <w:rPr>
          <w:rFonts w:hint="eastAsia" w:ascii="宋体" w:hAnsi="宋体" w:eastAsia="宋体" w:cs="宋体"/>
          <w:b/>
          <w:bCs/>
          <w:color w:val="auto"/>
          <w:sz w:val="36"/>
          <w:szCs w:val="36"/>
          <w:highlight w:val="none"/>
        </w:rPr>
        <w:t>第三部分 施工管理任务书</w:t>
      </w:r>
    </w:p>
    <w:p w14:paraId="26B7998C">
      <w:pPr>
        <w:jc w:val="center"/>
        <w:rPr>
          <w:rFonts w:hint="eastAsia" w:ascii="宋体" w:hAnsi="宋体" w:eastAsia="宋体" w:cs="宋体"/>
          <w:snapToGrid w:val="0"/>
          <w:color w:val="auto"/>
          <w:kern w:val="0"/>
          <w:highlight w:val="none"/>
        </w:rPr>
      </w:pPr>
      <w:r>
        <w:rPr>
          <w:rFonts w:hint="eastAsia" w:ascii="宋体" w:hAnsi="宋体" w:eastAsia="宋体" w:cs="宋体"/>
          <w:snapToGrid w:val="0"/>
          <w:color w:val="auto"/>
          <w:kern w:val="0"/>
          <w:highlight w:val="none"/>
        </w:rPr>
        <w:br w:type="page"/>
      </w:r>
    </w:p>
    <w:p w14:paraId="6C8A5F0E">
      <w:pPr>
        <w:pStyle w:val="6"/>
        <w:keepNext w:val="0"/>
        <w:keepLines w:val="0"/>
        <w:widowControl/>
        <w:snapToGrid/>
        <w:spacing w:line="360" w:lineRule="auto"/>
        <w:rPr>
          <w:rFonts w:hint="eastAsia" w:ascii="宋体" w:hAnsi="宋体" w:eastAsia="宋体" w:cs="宋体"/>
          <w:snapToGrid w:val="0"/>
          <w:color w:val="auto"/>
          <w:kern w:val="0"/>
          <w:sz w:val="24"/>
          <w:szCs w:val="24"/>
          <w:highlight w:val="none"/>
        </w:rPr>
      </w:pPr>
      <w:r>
        <w:rPr>
          <w:rFonts w:hint="eastAsia" w:ascii="宋体" w:hAnsi="宋体" w:eastAsia="宋体" w:cs="宋体"/>
          <w:snapToGrid w:val="0"/>
          <w:color w:val="auto"/>
          <w:kern w:val="0"/>
          <w:sz w:val="24"/>
          <w:szCs w:val="24"/>
          <w:highlight w:val="none"/>
        </w:rPr>
        <w:t>一、项目施工准备事项</w:t>
      </w:r>
    </w:p>
    <w:p w14:paraId="136D9C11">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1、施工总平面布置</w:t>
      </w:r>
    </w:p>
    <w:p w14:paraId="6F08F4F1">
      <w:pPr>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根据本项目规划建设内容，由承包人统筹考虑总平面布置，并按广州市安全文明施工管理相关要求执行。若因影响后续施工而产生二次或多次临建设施搬迁，承包人必须无条件服从施工安排，并恢复原状，由此引起的恢复费用，发包人不做任何补偿。</w:t>
      </w:r>
    </w:p>
    <w:p w14:paraId="45A9A74E">
      <w:pPr>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2、三通一平部署</w:t>
      </w:r>
    </w:p>
    <w:p w14:paraId="18842897">
      <w:pPr>
        <w:adjustRightInd w:val="0"/>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现场未具备“三通一平”条件，需承包人自行考虑。</w:t>
      </w:r>
    </w:p>
    <w:p w14:paraId="2115E6C0">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2.1 临水临电接驳</w:t>
      </w:r>
    </w:p>
    <w:p w14:paraId="60420893">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本项目场址位于</w:t>
      </w:r>
      <w:r>
        <w:rPr>
          <w:rFonts w:hint="eastAsia" w:ascii="宋体" w:hAnsi="宋体" w:eastAsia="宋体" w:cs="宋体"/>
          <w:color w:val="auto"/>
          <w:sz w:val="24"/>
          <w:szCs w:val="24"/>
          <w:highlight w:val="none"/>
        </w:rPr>
        <w:t>天河区长湴街道上长湴片区信源物流地块，北近谷裕市场，南至天河区童乐幼儿园，西至长湴北街，东至上长湴社区。</w:t>
      </w:r>
      <w:r>
        <w:rPr>
          <w:rFonts w:hint="eastAsia" w:ascii="宋体" w:hAnsi="宋体" w:eastAsia="宋体" w:cs="宋体"/>
          <w:color w:val="auto"/>
          <w:spacing w:val="4"/>
          <w:sz w:val="24"/>
          <w:szCs w:val="24"/>
          <w:highlight w:val="none"/>
        </w:rPr>
        <w:t>投标人自行踏勘现场，由承包人负责临水临电报建报装（临电接驳点暂按照距离项目3Km考虑），临水临电接驳涉及的费用按经发包人审批确认的施工方案计取。</w:t>
      </w:r>
    </w:p>
    <w:p w14:paraId="604FCB6A">
      <w:pPr>
        <w:snapToGrid/>
        <w:spacing w:before="0" w:after="0" w:line="360" w:lineRule="auto"/>
        <w:ind w:right="11"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2.2 围蔽及临时道路</w:t>
      </w:r>
    </w:p>
    <w:p w14:paraId="703B7D71">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2.2.1 围蔽的要求及范围</w:t>
      </w:r>
    </w:p>
    <w:p w14:paraId="35485362">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要求：施工期间对施工区域及周边用地范围按建设主管部门及发包人的要求进行围蔽。</w:t>
      </w:r>
    </w:p>
    <w:p w14:paraId="32B3AFD8">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2.2.2 临时道路：</w:t>
      </w:r>
    </w:p>
    <w:p w14:paraId="326DB1C2">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投标人自行踏勘现场。从项目外部市政路引入到项目内施工便道所涉及的费用按经发包人审批确认的施工方案计取，项目内部施工便道的费用含于投标报价中，不再另行计取。</w:t>
      </w:r>
    </w:p>
    <w:p w14:paraId="35493379">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2.3 临时排水及排污</w:t>
      </w:r>
    </w:p>
    <w:p w14:paraId="5448742F">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临时排水可就近排入附近的原有排水口及市政排污口，排水沟渠管由承包人自行解决。由承包人自行修建临时排污设施，且必须设置污水处理系统，符合广州市建筑污水排放标准，费用含于投标报价中，不再另行计取。</w:t>
      </w:r>
    </w:p>
    <w:p w14:paraId="7A9E16FF">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3、视频监控系统安装工程</w:t>
      </w:r>
    </w:p>
    <w:p w14:paraId="1DE5325E">
      <w:pPr>
        <w:snapToGrid/>
        <w:spacing w:before="0" w:after="0" w:line="360" w:lineRule="auto"/>
        <w:ind w:firstLine="438" w:firstLineChars="177"/>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施工现场的视频监控系统应满足《广州市建委关于广州市建筑工地安装视频监控装置的通知》(穗建筑[2006]551号)、《关于全面启动广州市社会治安视频监控系统建设有关问题的通知》（穗视频建字【2006】1号）和《广州市住房和城乡建设委员会关于全市建设工地纳入视频监管的通知》（穗建质[2017]1166号）等文件及发包单位相关要求，施工现场的视频监控应接入到发包单位，且发包单位视频监控系统软件及硬件建设由中标单位负责，</w:t>
      </w:r>
      <w:bookmarkStart w:id="567" w:name="OLE_LINK6"/>
      <w:r>
        <w:rPr>
          <w:rFonts w:hint="eastAsia" w:ascii="宋体" w:hAnsi="宋体" w:eastAsia="宋体" w:cs="宋体"/>
          <w:color w:val="auto"/>
          <w:spacing w:val="4"/>
          <w:sz w:val="24"/>
          <w:szCs w:val="24"/>
          <w:highlight w:val="none"/>
        </w:rPr>
        <w:t>费用含于投标报价中，不再另行计取。</w:t>
      </w:r>
      <w:bookmarkEnd w:id="567"/>
    </w:p>
    <w:p w14:paraId="7CCA1231">
      <w:pPr>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4、耕植土剥离</w:t>
      </w:r>
    </w:p>
    <w:p w14:paraId="6F28DE08">
      <w:pPr>
        <w:snapToGrid/>
        <w:spacing w:before="0" w:after="0" w:line="360" w:lineRule="auto"/>
        <w:ind w:firstLine="438" w:firstLineChars="177"/>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项目部分区域存在耕植土，承包人需配合发包人办理耕植土剥离的相关手续（包括但不限于编制方案、做好登记台账等），耕植土剥离需满足当地政府部门及相关政策的要求，由此产生的一切费用包含在投标报价中。</w:t>
      </w:r>
    </w:p>
    <w:p w14:paraId="0DDAB90B">
      <w:pPr>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5、绿化迁移</w:t>
      </w:r>
    </w:p>
    <w:p w14:paraId="1AF99046">
      <w:pPr>
        <w:snapToGrid/>
        <w:spacing w:before="0" w:after="0" w:line="360" w:lineRule="auto"/>
        <w:ind w:firstLine="438" w:firstLineChars="177"/>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承包人需自行踏勘现场，对于项目内不在绿迁实施单位范围内的现状苗木需负责进行绿化迁改工作（包括但不限于办理相关手续、树木迁移保护实施工程（含专章）、深化设计等内容），相关费用已包含在投标报价中，不另行计取。</w:t>
      </w:r>
    </w:p>
    <w:p w14:paraId="73208686">
      <w:pPr>
        <w:pStyle w:val="2"/>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二、项目管理重点、难点</w:t>
      </w:r>
    </w:p>
    <w:p w14:paraId="41D5AC41">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1、装配式建筑形式多样、制作安装精度要求高，对项目进度影响较大。因此，装配式建筑的深化设计、材料采购、生产、运输、存放、拼装、吊装、与相关工种的配合搭接等是项目管理的难点。</w:t>
      </w:r>
    </w:p>
    <w:p w14:paraId="3D3E10E8">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2、装配式工程需进行深化设计。发包人将根据工程进度对装配式等工程进行现场监造，承包人必须无条件配合。</w:t>
      </w:r>
    </w:p>
    <w:p w14:paraId="111B5F36">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材料管理是质量管理的重中之重。因此，严格实行材料看样定板制度，对进场材料严格按照定板标准组织监理验收并按相关规定进行材料检测，必须是百分百合格且与样板一致的材料才准进场使用。成套设备严格执行开箱验收制度，组织监理严格按照设计图纸和主要材料设备技术需求书列明的参数核对设备信息，确保进场设备符合设计要求。</w:t>
      </w:r>
    </w:p>
    <w:p w14:paraId="622066AB">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4、现场临设场地需统一规划，各专业的平行施工较多，因此，工序衔接、专业之间的配合垂直运输设备的使用统筹、现场材料进场堆放等诸多方面需要现场管理组重点协调，是现场管理的一项重点工作。</w:t>
      </w:r>
    </w:p>
    <w:p w14:paraId="100F95FA">
      <w:pPr>
        <w:snapToGrid/>
        <w:spacing w:before="0" w:after="0" w:line="360" w:lineRule="auto"/>
        <w:ind w:firstLine="496" w:firstLineChars="200"/>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5、文明施工与绿色施工，承包单位应按照广东省房屋市政工程安全生产文明施工示范工地的要求做好现场安全生产及文明施工，保证施工场地清洁、扬尘及噪音管理符合环境卫生管理的有关规定。需根据《</w:t>
      </w:r>
      <w:bookmarkStart w:id="568" w:name="OLE_LINK22"/>
      <w:r>
        <w:rPr>
          <w:rFonts w:hint="eastAsia" w:ascii="宋体" w:hAnsi="宋体" w:eastAsia="宋体" w:cs="宋体"/>
          <w:color w:val="auto"/>
          <w:spacing w:val="4"/>
          <w:sz w:val="24"/>
          <w:szCs w:val="24"/>
          <w:highlight w:val="none"/>
        </w:rPr>
        <w:t>建筑工程绿色施工评价标准</w:t>
      </w:r>
      <w:bookmarkEnd w:id="568"/>
      <w:r>
        <w:rPr>
          <w:rFonts w:hint="eastAsia" w:ascii="宋体" w:hAnsi="宋体" w:eastAsia="宋体" w:cs="宋体"/>
          <w:color w:val="auto"/>
          <w:spacing w:val="4"/>
          <w:sz w:val="24"/>
          <w:szCs w:val="24"/>
          <w:highlight w:val="none"/>
        </w:rPr>
        <w:t>》（GB/T 50640-2023）、《广州市建设工程绿色施工工作技术指引》及相关规定，按照不同阶段进行安全文明与绿色施工策划，使用可重复利用周转材料，半成品推广工厂制作到场安装，全过程标准化，实现节能减排，绿色环保，积极创新，凸显亮点。</w:t>
      </w:r>
    </w:p>
    <w:p w14:paraId="40F941DB">
      <w:pPr>
        <w:pStyle w:val="24"/>
        <w:ind w:firstLine="480"/>
        <w:rPr>
          <w:highlight w:val="none"/>
        </w:rPr>
      </w:pPr>
      <w:r>
        <w:rPr>
          <w:rFonts w:hint="eastAsia"/>
          <w:highlight w:val="none"/>
        </w:rPr>
        <w:t>6、模块化建造要求高，模块块制作安装精度要求高，需解决较复杂的技术问题，技术要求高、验收标准确认难、对吊装要求高，对安全管控要要求高等。因此，模块化建筑的设计、方案报批及确认、试验研究、材料采购、生产、运输、存放、拼装、吊装、与相关工种的配合搭接、检测标准、验收标准、专家评审等是项目管理的难点与重点。</w:t>
      </w:r>
    </w:p>
    <w:p w14:paraId="35604494">
      <w:pPr>
        <w:pStyle w:val="24"/>
        <w:ind w:firstLine="480"/>
        <w:rPr>
          <w:highlight w:val="none"/>
        </w:rPr>
      </w:pPr>
      <w:r>
        <w:rPr>
          <w:rFonts w:hint="eastAsia"/>
          <w:highlight w:val="none"/>
        </w:rPr>
        <w:t>7、由于模块化建筑的建造技术设计标准、检测标准、验收标准等尚未颁布或未完善，在设计方案、施工方案、检测方案、验收方案等需要专业领域的专家给予评审、试验论证等，承包人需主导并配合政府及发包人充分做好相关工作，此为项目管理中的难点。</w:t>
      </w:r>
    </w:p>
    <w:p w14:paraId="4933A952">
      <w:pPr>
        <w:snapToGrid/>
        <w:spacing w:before="0" w:after="0" w:line="360" w:lineRule="auto"/>
        <w:ind w:firstLine="426"/>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8、本项目位于城市中心区域，周边道路狭窄，施工组织及安全文明施工为本项目管控的重点及难点。</w:t>
      </w:r>
    </w:p>
    <w:p w14:paraId="5DF39A89">
      <w:pPr>
        <w:snapToGrid/>
        <w:spacing w:before="0" w:after="0" w:line="360" w:lineRule="auto"/>
        <w:ind w:firstLine="426"/>
        <w:jc w:val="both"/>
        <w:rPr>
          <w:rFonts w:hint="eastAsia"/>
          <w:color w:val="auto"/>
          <w:highlight w:val="none"/>
        </w:rPr>
      </w:pPr>
      <w:r>
        <w:rPr>
          <w:rFonts w:hint="eastAsia" w:ascii="宋体" w:hAnsi="宋体" w:eastAsia="宋体" w:cs="宋体"/>
          <w:color w:val="auto"/>
          <w:sz w:val="24"/>
          <w:szCs w:val="24"/>
          <w:highlight w:val="none"/>
        </w:rPr>
        <w:t>9、本项目是根据经批复的可行性研究报告进行招标，按照项目建设进度目标，施工图设计时间紧、任务重，如何在确保成本可控的条件下快速完成施工图设计是本项目的重难点。</w:t>
      </w:r>
    </w:p>
    <w:p w14:paraId="657C5B40">
      <w:pPr>
        <w:snapToGrid/>
        <w:spacing w:before="0" w:after="0" w:line="360" w:lineRule="auto"/>
        <w:ind w:firstLine="426"/>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10、本项目靠近岑村机场，有机场限高要求，承包单位需在满足限高要求的基础上合理布置施工设备（如塔吊、施工电梯等），是现场管理的重点工作。</w:t>
      </w:r>
    </w:p>
    <w:p w14:paraId="6EC58C26">
      <w:pPr>
        <w:snapToGrid/>
        <w:spacing w:before="0" w:after="0" w:line="360" w:lineRule="auto"/>
        <w:ind w:firstLine="426"/>
        <w:jc w:val="both"/>
        <w:rPr>
          <w:rFonts w:hint="eastAsia" w:ascii="宋体" w:hAnsi="宋体" w:eastAsia="宋体" w:cs="宋体"/>
          <w:color w:val="auto"/>
          <w:spacing w:val="4"/>
          <w:sz w:val="24"/>
          <w:szCs w:val="24"/>
          <w:highlight w:val="none"/>
        </w:rPr>
      </w:pPr>
      <w:r>
        <w:rPr>
          <w:rFonts w:hint="eastAsia"/>
          <w:color w:val="auto"/>
          <w:highlight w:val="none"/>
        </w:rPr>
        <w:t>11、本项目临近地铁规划20号线，部分区域在地铁保护线内，承包人需在满足地铁相关管理部门的要求下进行项目施工图设计和施工，同时承包人需配合发包人办理与此相关的报批手续（包括但不限于完成方案编制、专家论证和安评报告等），此为项目管理中的重难点。针对本项所涉及的一切费用均包含在投标报价中。</w:t>
      </w:r>
    </w:p>
    <w:p w14:paraId="2B9E8F35">
      <w:pPr>
        <w:pStyle w:val="2"/>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三、项目管理要求</w:t>
      </w:r>
    </w:p>
    <w:p w14:paraId="7CE8B267">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1、专业工程实施能力要求</w:t>
      </w:r>
    </w:p>
    <w:p w14:paraId="06110492">
      <w:pPr>
        <w:snapToGrid/>
        <w:spacing w:before="0" w:after="0" w:line="360" w:lineRule="auto"/>
        <w:ind w:firstLine="496" w:firstLineChars="200"/>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本项目包含基坑支护及桩基础工程、溶洞处理、软基处理、土石方工程、建筑工程、装饰装修工程、幕墙工程、人防工程、电气工程、充电桩工程、智能化工程（含通讯网络、光纤入户、有线电视、门禁对讲系统、电梯五方对讲、车库出入口管理、视频监控系统等工程）、暖通工程、给排水工程、燃气工程（满足燃气公司审核要求）、消防工程、电梯工程、防雷工程、永久用水（满足供水部门审核要求）、永电工程（从电网供电电源接入点至用户部分）、临时用水、临时用电、室外工程（包括绿化、树木迁移、室外管网、室外园建、临时道路、海绵城市等）、智能停车、标识标牌（含地下室标线）、体育场地及相关设施工程、配套市政工程及其配套设施、泛光照明工程（如有）及零星工程（包括但不限于安装或吊装构件的预埋件和连接件、楼宇门牌标识、信报箱等附属配套工程）、树木迁移保护实施工程（含专章）及历史文化遗产修缮工程（含测绘测量、鉴定、修缮报建）、模块化建造工程等。由于上述专业工程较复杂、专业性较强，故中标人须具备完成上述专业工程的能力。否则，中标人须根据国家、住房和城乡建设部和省市相关规定委托给具备相应专业承包能力且经招标人、监理单位共同认可的专业承包单位实施（主体结构工程除外）。</w:t>
      </w:r>
    </w:p>
    <w:p w14:paraId="55E8FEEC">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2、深化设计管理要求</w:t>
      </w:r>
    </w:p>
    <w:p w14:paraId="6688922D">
      <w:pPr>
        <w:snapToGrid/>
        <w:spacing w:before="0" w:after="0" w:line="360" w:lineRule="auto"/>
        <w:ind w:firstLine="496" w:firstLineChars="200"/>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2.1 深化设计内容。本项目以下专业工程由承包人负责深化设计：</w:t>
      </w:r>
    </w:p>
    <w:p w14:paraId="205CBE83">
      <w:pPr>
        <w:snapToGrid/>
        <w:spacing w:before="0" w:after="0" w:line="360" w:lineRule="auto"/>
        <w:ind w:firstLine="496" w:firstLineChars="200"/>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2.1.1装配式建筑施工、幕墙、钢结构工程、装修工程、智能化工程、燃气工程、模块化建造、设备机房及配电房深化设计、机电管线综合平衡、市政配套设施管线综合平衡、BIM深化设计、合同承诺书中明确的需深化的内容等；</w:t>
      </w:r>
    </w:p>
    <w:p w14:paraId="21056C3A">
      <w:pPr>
        <w:snapToGrid/>
        <w:spacing w:before="0" w:after="0" w:line="360" w:lineRule="auto"/>
        <w:ind w:firstLine="496" w:firstLineChars="200"/>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2.1.2 其他专业工程，具体以发包人要求为准。</w:t>
      </w:r>
    </w:p>
    <w:p w14:paraId="6815AF3B">
      <w:pPr>
        <w:snapToGrid/>
        <w:spacing w:before="0" w:after="0" w:line="360" w:lineRule="auto"/>
        <w:ind w:firstLine="496" w:firstLineChars="200"/>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2.2 深化设计能力要求。承包人应具备相应的专业工程深化设计能力，如承包人不具备，则应经发包人同意依法委托相应资质的单位实施。</w:t>
      </w:r>
    </w:p>
    <w:p w14:paraId="22F0532F">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2.3 深化设计工作要点</w:t>
      </w:r>
    </w:p>
    <w:p w14:paraId="78B4095D">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2.3.1 深化设计是在不改变原施工图设计功能、结构体系和设计意图的前提下，以提高施工图的可操作性和便于施工为目的，对施工图进行深化、优化和完善、力求节约投资的技术工作。有关费用已包含在合同总价中。</w:t>
      </w:r>
    </w:p>
    <w:p w14:paraId="2DD82614">
      <w:pPr>
        <w:snapToGrid/>
        <w:spacing w:before="0" w:after="0" w:line="360" w:lineRule="auto"/>
        <w:ind w:firstLine="496" w:firstLineChars="200"/>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2.3.2 承包人进行深化设计时，应以设计图纸为依据，如没有合理的原因，不能进行改动；深化设计图纸报经监理单位和发包人同意批准后方可实施。如承包人的深化设计图纸达不到要求，发包人有权要求承包人对深化设计人员进行调整更换或另委托深化设计单位。</w:t>
      </w:r>
    </w:p>
    <w:p w14:paraId="58399951">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2.3.3 深化设计选用的材料厂家及品牌应是承包人根据招标文件《主要设备材料品牌/生产厂家推荐表》规定提交的投标文件上列明的材料厂家及品牌。如经考察，投标人选用的材料不满足工程需要，发包人有权在《主要设备材料品牌/生产厂家推荐表》中选择其他满足规定的材料厂家及品牌，合同价款不作调整。</w:t>
      </w:r>
    </w:p>
    <w:p w14:paraId="34BBA047">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2.3.4 深化设计须结合施工工艺要求，与各相关专业工程充分沟通，不得影响其他专业或系统的结构体系和使用功能等。</w:t>
      </w:r>
    </w:p>
    <w:p w14:paraId="1D009432">
      <w:pPr>
        <w:snapToGrid/>
        <w:spacing w:before="0" w:after="0" w:line="360" w:lineRule="auto"/>
        <w:ind w:firstLine="496" w:firstLineChars="200"/>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2.3.5 除节点设计和装配损耗之外，任何影响主要材料用量的设计变更或深化设计，承包人只有建议权，承包人有责任提出包括安全性、稳定性、合理性的设计调整方案，报设计单位审核，最后报发包人批准后由设计单位出具正式的优化设计图纸和设计变更。为方便施工的节点设计和装配损耗等导致的材料用量增加等由承包人承担，发包人不另行增加费用。</w:t>
      </w:r>
    </w:p>
    <w:p w14:paraId="3A41F1D2">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2.3.6 本项目要求设立驻场深化设计部。承包人必须按投标文件中承诺的深化设计人员及发包人要求，派人进行驻场设计。相关人员的要求及管理按合同约定执行。</w:t>
      </w:r>
    </w:p>
    <w:p w14:paraId="0EE6CCD9">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2.3.7 深化设计的计量计价原则：在满足招标技术要求（包括强制性条款、推荐品牌要求）的前提下，深化设计引起的材质、参数（含规格、型号等)的调整均不作为调价的依据。</w:t>
      </w:r>
    </w:p>
    <w:p w14:paraId="474D6637">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2.3.8 根据本项目的特点，承包人需对深化设计进度、质量作出明确承诺，如承包人未能按进度计划或质量完成深化设计，影响到工程质量或工期时将承担合同相应的违约责任。</w:t>
      </w:r>
    </w:p>
    <w:p w14:paraId="7F572D75">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2.4 深化设计工作流程</w:t>
      </w:r>
    </w:p>
    <w:p w14:paraId="4E77EDC5">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2.4.1 深化设计工作方案报审：深化设计工作开展前，承包人须报深化设计工作方案给监理单位、发包人审核，审核通过后方可正式开展深化设计工作。深化设计工作方案包括但不限于深化设计人员（含驻场设计人员）、深化设计的工作计划及具体的深化设计管理实施方案、工作流程。</w:t>
      </w:r>
    </w:p>
    <w:p w14:paraId="69E9799A">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2.4.2 专家评审会：进场2-3天内，承包人需组织一次专家评审会，对其所提交的投标文件（包括图纸、技术方案、设备清单等）进行认真、详细、严格的评审，作为深化设计的指导意见。</w:t>
      </w:r>
    </w:p>
    <w:p w14:paraId="3CEAFD62">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2.4.3 深化设计工作开展：深化设计须由承包人深化设计负责人统筹安排各项工作，并随时接受监理单位、发包人的监督检查。</w:t>
      </w:r>
    </w:p>
    <w:p w14:paraId="1E077CC8">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2.4.4 深化设计文件审核：深化设计图纸（含造价文件）完成后，承包人报监理单位、发包人审核，并根据修改意见相应调整深化设计图纸。</w:t>
      </w:r>
    </w:p>
    <w:p w14:paraId="204AD8E1">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2.4.5 施工图报审：经发包人同意后，按规定报施工图审查单位审查并办理施工图审查备案手续。</w:t>
      </w:r>
    </w:p>
    <w:p w14:paraId="726EE981">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2.4.6 深化设计图纸审批：施工图审查合格并经发包人及项目业主审批同意后，作为施工图实施。深化设计图纸份数为20份。</w:t>
      </w:r>
    </w:p>
    <w:p w14:paraId="2400FBCA">
      <w:pPr>
        <w:snapToGrid/>
        <w:spacing w:before="0" w:after="0" w:line="360" w:lineRule="auto"/>
        <w:ind w:firstLine="496"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2.4.7 技术交底及</w:t>
      </w:r>
      <w:bookmarkStart w:id="569" w:name="OLE_LINK12"/>
      <w:r>
        <w:rPr>
          <w:rFonts w:hint="eastAsia" w:ascii="宋体" w:hAnsi="宋体" w:eastAsia="宋体" w:cs="宋体"/>
          <w:color w:val="auto"/>
          <w:spacing w:val="4"/>
          <w:sz w:val="24"/>
          <w:szCs w:val="24"/>
          <w:highlight w:val="none"/>
        </w:rPr>
        <w:t>图纸会审：深化设计图纸和</w:t>
      </w:r>
      <w:bookmarkEnd w:id="569"/>
      <w:r>
        <w:rPr>
          <w:rFonts w:hint="eastAsia" w:ascii="宋体" w:hAnsi="宋体" w:eastAsia="宋体" w:cs="宋体"/>
          <w:color w:val="auto"/>
          <w:spacing w:val="4"/>
          <w:sz w:val="24"/>
          <w:szCs w:val="24"/>
          <w:highlight w:val="none"/>
        </w:rPr>
        <w:t>文件经过审核确认后，应进行相应技术交底及图纸会审。</w:t>
      </w:r>
    </w:p>
    <w:p w14:paraId="54C84D06">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3、质量管理要求</w:t>
      </w:r>
    </w:p>
    <w:p w14:paraId="233FB473">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 承包人应当完善质量管理制度，建立质量控制流程，进行全面质量管理（TQC），以《质量管理体系标准要求》（GB/T19000-2008）为标准，建立并保持一个有效的工程质量管理体系。为此，承包人必须做到（不限于）：</w:t>
      </w:r>
    </w:p>
    <w:p w14:paraId="5DFA6E60">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 建立完整的质量保证体系，建立并完善各项目质量管理检查制度及企业质量管理文件等；</w:t>
      </w:r>
    </w:p>
    <w:p w14:paraId="6B694778">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3.1.2 承包人提交监理工程师批准的施工组织设计或者施工方案必须附有完备的工程质量保证措施；</w:t>
      </w:r>
    </w:p>
    <w:p w14:paraId="40E7A454">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3.1.3单项工程开工前，承包人必须按要求逐级进行技术交底</w:t>
      </w:r>
      <w:r>
        <w:rPr>
          <w:rFonts w:hint="eastAsia" w:ascii="宋体" w:hAnsi="宋体" w:eastAsia="宋体" w:cs="宋体"/>
          <w:color w:val="auto"/>
          <w:spacing w:val="4"/>
          <w:sz w:val="24"/>
          <w:szCs w:val="24"/>
          <w:highlight w:val="none"/>
        </w:rPr>
        <w:t>，组织学习有关规程、标准、规范和工艺要求，在施工中必须按规程及工艺进行操作，并邀请监理人参加。承包人应将交底过程资料报监理人备案。</w:t>
      </w:r>
    </w:p>
    <w:p w14:paraId="11980D59">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3.1.4</w:t>
      </w:r>
      <w:r>
        <w:rPr>
          <w:rFonts w:hint="eastAsia" w:ascii="宋体" w:hAnsi="宋体" w:eastAsia="宋体" w:cs="宋体"/>
          <w:color w:val="auto"/>
          <w:sz w:val="24"/>
          <w:szCs w:val="24"/>
          <w:highlight w:val="none"/>
        </w:rPr>
        <w:t>承包人须承担对招标人独立发包的专业承包单位的总承包协调管理责任、工作面移交和协调管理责任、成品保护责任，质量、安全、进度、技术资料管理的管理责任，承包人应提供水电、施工机具及临建等相关设备机具的配合。</w:t>
      </w:r>
    </w:p>
    <w:p w14:paraId="1144D937">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3.2 质量通病防治</w:t>
      </w:r>
    </w:p>
    <w:p w14:paraId="194DCA35">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承包人必须严格执行有关质量通病治理措施、工程建设强制性标准和有关节能、环境保护、绿色施工的规定。承包人须针对本项目制定工程质量通病防治措施方案。</w:t>
      </w:r>
    </w:p>
    <w:p w14:paraId="585301B5">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3.3 材料、设备质量保证</w:t>
      </w:r>
    </w:p>
    <w:p w14:paraId="03756E46">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工程所用材料设备必须符合设计要求和国家有关规范与规定。承包人须确保使用的材料设备是合格的、全新的、未使用过的，凡材料设备质量不符合要求，承包人须停工和返工，返工费用由承包人承担，工期不予顺延。</w:t>
      </w:r>
    </w:p>
    <w:p w14:paraId="4B142E06">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3.4 人员持证上岗</w:t>
      </w:r>
    </w:p>
    <w:p w14:paraId="603677AA">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承包人投入的施工作业人员必须具备相应的上岗证，如特种人员，还须具备特种人员作业证书，以确保施工质量。所有人员必须带证上岗，随时接受发包人、监理人检查，否则按合同约定承担违约责任。</w:t>
      </w:r>
    </w:p>
    <w:p w14:paraId="2499ACA5">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3.5 按图施工</w:t>
      </w:r>
    </w:p>
    <w:p w14:paraId="36810165">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承包人必须严格按审查批准的施工方案和设计图纸施工，不得擅自修改施工方案及设计图纸。</w:t>
      </w:r>
    </w:p>
    <w:p w14:paraId="0E1F5629">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3.6 检验与检查</w:t>
      </w:r>
    </w:p>
    <w:p w14:paraId="63392DE5">
      <w:pPr>
        <w:snapToGrid/>
        <w:spacing w:before="0" w:after="0" w:line="360" w:lineRule="auto"/>
        <w:ind w:firstLine="438" w:firstLineChars="177"/>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承包人必须加强质量自检，做好原材料自检、施工过程数据记录及隐蔽工程验收等工作。监理人、发包人、行政主管部门将严格按相关规范和规定对工程质量进行检查验收，未经验收的工程不得进入下一道工序。监理人、发包人、行政主管部门检查或检验不能免除或减轻承包人按照合同约定应当承担的责任。</w:t>
      </w:r>
    </w:p>
    <w:p w14:paraId="23A2A394">
      <w:pPr>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3.7关键工序停止点检查要求</w:t>
      </w:r>
    </w:p>
    <w:p w14:paraId="316A2222">
      <w:pPr>
        <w:snapToGrid/>
        <w:spacing w:before="0" w:after="0" w:line="360" w:lineRule="auto"/>
        <w:ind w:firstLine="438" w:firstLineChars="177"/>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对于主体阶段、地下室阶段、粗装修阶段、机电阶段、装饰装修等阶段的关键工序，总承包人要坚持自检、互检、专检制度，关键工序经监理人/发包人检查放行，并形成验收记录，否则不得进行下道工序施工。需监理人/发包人进行检查、抽查的关键工序批次比例，详见《关键工序停止点验收清单》。</w:t>
      </w:r>
    </w:p>
    <w:p w14:paraId="4FAC4320">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3.8 现场保护</w:t>
      </w:r>
    </w:p>
    <w:p w14:paraId="1E97F520">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承包人应加强工程材料、设备、半成品、成品的现场保护工作，项目移交之前造成的遗失或损坏由中标单位自行承担。</w:t>
      </w:r>
    </w:p>
    <w:p w14:paraId="46A37F93">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3.9 工程技术档案管理</w:t>
      </w:r>
    </w:p>
    <w:p w14:paraId="09621807">
      <w:pPr>
        <w:snapToGrid/>
        <w:spacing w:before="0" w:after="0" w:line="360" w:lineRule="auto"/>
        <w:ind w:firstLine="438" w:firstLineChars="177"/>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承包人应保证按照国家、地方、行业的有关规定，准确、及时做好日常工程技术资料的记录、整理和归档移交工作，保证记录中原始数据的真实性和及时性，监理单位或发包人有权抽查承包人日常工程技术资料的整理工作，若发现未按照规定及时做好资料整理工作或发现原始记录数据不存在、不真实、不完整，经监理单位确认，发包人有权拒绝相应部分工程的工程量计量与支付，并视情节轻重，由承包人按照合同专用条款的约定承担违约责任。</w:t>
      </w:r>
    </w:p>
    <w:p w14:paraId="13406E0E">
      <w:pPr>
        <w:snapToGrid/>
        <w:spacing w:before="0" w:after="0" w:line="360" w:lineRule="auto"/>
        <w:ind w:firstLine="438" w:firstLineChars="177"/>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3.10 特殊管理措施</w:t>
      </w:r>
    </w:p>
    <w:p w14:paraId="29CADAB1">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为了确保工程质量，发包人有权在工程施工过程中实施包括但不限于以下特殊质量管理措施，承包人无条件执行，相关费用已包含在合同总价中，发包人不另行补偿：本工程按照发包人制定的管理办法，实行工程质量样板引路。</w:t>
      </w:r>
    </w:p>
    <w:p w14:paraId="66347657">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 专业工程质量管理要点</w:t>
      </w:r>
    </w:p>
    <w:p w14:paraId="05ACD0BC">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各专业工程质量管理要点如下：</w:t>
      </w:r>
    </w:p>
    <w:p w14:paraId="51D069B4">
      <w:pPr>
        <w:snapToGrid/>
        <w:spacing w:before="0" w:after="0" w:line="360" w:lineRule="auto"/>
        <w:ind w:firstLine="438"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3.11.1 土建工程</w:t>
      </w:r>
    </w:p>
    <w:p w14:paraId="4373FB14">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3.11.1.1场地平整工程：按经专家论证且各方确认的土方平衡图纸施工，按规范分层回填、压实。</w:t>
      </w:r>
    </w:p>
    <w:p w14:paraId="5373FC31">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3.11.1.2 地基基础工程：通过试桩由设计单位给定收桩的相关数据，并按该规定执行；打（压）桩顺序、承台土方开挖顺序按监理人批准的施工方案实行；承台及地梁混凝土浇筑前，必须清理完毕内部的积水、杂物；大体积混凝土按规定配料、浇筑、养护；土方回填按规范分层回填、分层压实；实行旁站监理。</w:t>
      </w:r>
    </w:p>
    <w:p w14:paraId="239EBA0C">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3.11.1.3 主体结构工程：实行样板先行；高支模、大跨度工程必须组织专家论证施工方案，施工过程必须由承包人（或发包人委托第三方）进行监测；按规定组织隐蔽工程验收；实行旁站监理。</w:t>
      </w:r>
    </w:p>
    <w:p w14:paraId="1B541476">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3.11.1.4 装配式工程：现场考察PC构件加工厂，并通过加工样板，确定工艺水平是否合符要求；按监理人确认的图纸预埋配件；按监理人确认的加工图制作构配件；按监理人批准的吊装方案安装PC构件。</w:t>
      </w:r>
    </w:p>
    <w:p w14:paraId="03A1ABE4">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 xml:space="preserve">3.11.1.5 门窗工程：实行样板先行；门窗必须是在厂家车间生产以成品形式运抵施工现场；门窗预留洞口尺寸符合规范要求；门窗安装的固定方式及填缝符合规范要求。 </w:t>
      </w:r>
    </w:p>
    <w:p w14:paraId="6C4C0611">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3.11.1.6 防水工程：实行样板先行；实行全过程监理旁站；试水验收合格方能隐蔽。</w:t>
      </w:r>
    </w:p>
    <w:p w14:paraId="3B91BBE1">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3.11.1.7 保温隔热工程：按图纸及规范要求施工。</w:t>
      </w:r>
    </w:p>
    <w:p w14:paraId="60E16A66">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3.11.1.8 装饰装修工程：实行样板先行，实行全过程监理旁站。</w:t>
      </w:r>
    </w:p>
    <w:p w14:paraId="42BBA5B8">
      <w:pPr>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3.11.1.9 机电工程：实行样板先行，实行全过程监理旁站。</w:t>
      </w:r>
    </w:p>
    <w:p w14:paraId="33D15571">
      <w:pPr>
        <w:snapToGrid/>
        <w:spacing w:before="0" w:after="0" w:line="360" w:lineRule="auto"/>
        <w:ind w:firstLine="480"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z w:val="24"/>
          <w:szCs w:val="24"/>
          <w:highlight w:val="none"/>
        </w:rPr>
        <w:t>3.11.1.10 燃气工程：按图纸及规范要求施工，审核燃气施工资质、专业施工方案，实行样板先行，实行全过程监理旁站。</w:t>
      </w:r>
    </w:p>
    <w:p w14:paraId="00C7A27A">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3.11.1.11 智能化工程：实行样板先行，实行全过程监理旁站。</w:t>
      </w:r>
    </w:p>
    <w:p w14:paraId="05B0CE4F">
      <w:pPr>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3.11.1.12 市政配套设施工程：实行样板先行，实行全过程监理旁站。</w:t>
      </w:r>
    </w:p>
    <w:p w14:paraId="6AE751B6">
      <w:pPr>
        <w:snapToGrid/>
        <w:spacing w:before="0" w:after="0" w:line="360" w:lineRule="auto"/>
        <w:ind w:firstLine="438" w:firstLineChars="177"/>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3.12质量过程检查</w:t>
      </w:r>
    </w:p>
    <w:p w14:paraId="4736B47A">
      <w:pPr>
        <w:snapToGrid/>
        <w:spacing w:before="0" w:after="0" w:line="360" w:lineRule="auto"/>
        <w:ind w:firstLine="438" w:firstLineChars="177"/>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发包人将根据不同施工阶段进行土建过程检查、精装过程检查、交付预检等专项检查，检查标准参见附件《质量过程检查标准》，对施工单位、监理进行季度检查，施工单位综合得分85分以上或触红线项2条以内（包括两条）为合格，同时发包人将委托第三方对原材料+实体检测进行抽查，对材料抽检不合格将进行约谈，如检查分数低于85分或触碰红线项超过2条以及材料抽检不合格，将按合同条款进行违约处罚。</w:t>
      </w:r>
    </w:p>
    <w:p w14:paraId="18B68291">
      <w:pPr>
        <w:snapToGrid/>
        <w:spacing w:before="0" w:after="0" w:line="360" w:lineRule="auto"/>
        <w:ind w:firstLine="438" w:firstLineChars="177"/>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本技术要求</w:t>
      </w:r>
      <w:r>
        <w:rPr>
          <w:rFonts w:ascii="宋体" w:hAnsi="宋体" w:eastAsia="宋体" w:cs="宋体"/>
          <w:color w:val="auto"/>
          <w:spacing w:val="4"/>
          <w:sz w:val="24"/>
          <w:szCs w:val="24"/>
          <w:highlight w:val="none"/>
        </w:rPr>
        <w:t>所述的</w:t>
      </w:r>
      <w:r>
        <w:rPr>
          <w:rFonts w:hint="eastAsia" w:ascii="宋体" w:hAnsi="宋体" w:eastAsia="宋体" w:cs="宋体"/>
          <w:color w:val="auto"/>
          <w:spacing w:val="4"/>
          <w:sz w:val="24"/>
          <w:szCs w:val="24"/>
          <w:highlight w:val="none"/>
        </w:rPr>
        <w:t>质量检查内容及《质量过程检查标准》中介绍的检查内容不排除存在更新、调整的可能，检查标准及规则发包人有权根据当季度实际情况进行调整修改。发包人将在检查启动前对总承包人进行文件宣贯交底，总承包人应按照最新检查文件执行。</w:t>
      </w:r>
    </w:p>
    <w:p w14:paraId="2CBBAAC7">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4、工人工资及预付款支付管理要求</w:t>
      </w:r>
    </w:p>
    <w:p w14:paraId="36934D50">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4.1 中标后，承包人必须建设主管部门要求设立工人工资支付专用账户，通过工人工资支付专用账户，依法按时足额将工人工资直接支付到工人的工资个人账户，并按月将工人工资支付明细表报发包人备案，作为次月工程进度款的支付条件之一。承包人应当建立用工管理台账，真实、准确记录工人名册、劳动合同、劳务合同、工程进度、工时、劳务承包款和工人工资支付情况等信息，并保存两年以上备查。</w:t>
      </w:r>
    </w:p>
    <w:p w14:paraId="4C09D8AB">
      <w:pPr>
        <w:snapToGrid/>
        <w:spacing w:before="0" w:after="0" w:line="360" w:lineRule="auto"/>
        <w:ind w:firstLine="496"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pacing w:val="4"/>
          <w:sz w:val="24"/>
          <w:szCs w:val="24"/>
          <w:highlight w:val="none"/>
        </w:rPr>
        <w:t>4.2 本工程资金支付金额以有权审批部门审批金额为准。</w:t>
      </w:r>
    </w:p>
    <w:p w14:paraId="30C9F376">
      <w:pPr>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4.3 承包人在收到发包人工程预付款后，应及时向分包单位、供应商支付备料款等相关费用。承包人如挪用预付款，或未及时向分包单位、供应商支付备料款导致工期延误的，发包人一经查实，有权对承包人按合同约定进行处罚。</w:t>
      </w:r>
    </w:p>
    <w:p w14:paraId="4E8DB974">
      <w:pPr>
        <w:snapToGrid/>
        <w:spacing w:before="0" w:after="0" w:line="360" w:lineRule="auto"/>
        <w:ind w:firstLine="496" w:firstLineChars="200"/>
        <w:jc w:val="both"/>
        <w:rPr>
          <w:rFonts w:hint="eastAsia" w:ascii="宋体" w:hAnsi="宋体" w:eastAsia="宋体" w:cs="宋体"/>
          <w:color w:val="auto"/>
          <w:spacing w:val="4"/>
          <w:sz w:val="24"/>
          <w:szCs w:val="24"/>
          <w:highlight w:val="none"/>
        </w:rPr>
      </w:pPr>
      <w:r>
        <w:rPr>
          <w:rFonts w:hint="eastAsia" w:ascii="宋体" w:hAnsi="宋体" w:eastAsia="宋体" w:cs="宋体"/>
          <w:color w:val="auto"/>
          <w:spacing w:val="4"/>
          <w:sz w:val="24"/>
          <w:szCs w:val="24"/>
          <w:highlight w:val="none"/>
        </w:rPr>
        <w:t>4.4 工人工资支付管理要求须满足委托人制定的相关制度要求。</w:t>
      </w:r>
    </w:p>
    <w:p w14:paraId="2E106AD6">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5、进度管理要求</w:t>
      </w:r>
    </w:p>
    <w:p w14:paraId="46DF6976">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5.1 进场前核实现场条件</w:t>
      </w:r>
    </w:p>
    <w:p w14:paraId="03DDA5EB">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必须在收到发包人进场通知后，对开工条件进行全面摸查、分析，作出全面开工、或局部开工、或不具备开工条件的判断，并书面向监理人、招标人报告。如工程具备开工条件，承包人应就全面开工或局部开工的实际条件，合理安排相匹配的人员、材料、机械设备进场，对于大型机械设备还须报监理人、发包人批准进场方案后方能进场；如工程不具备开工条件，承包人应在收到发包人进场通知后5天内以书面形式向发包人提出延期进场的要求并说明理由，报监理单位和发包人批准后方可延期进场，否则发包人不承担由此造成承包人的损失。</w:t>
      </w:r>
    </w:p>
    <w:p w14:paraId="6932D7E0">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5.2 进度计划编制和资源投入</w:t>
      </w:r>
    </w:p>
    <w:p w14:paraId="5E908C5B">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进场后须根据项目实施总控计划、施工图纸和现场实际情况编制切实可行的实施进度计划，并按照监理工程师、甲方的要求随时修订和调整，采取一切可能的措施，确保按批准的进度计划实施工程。承包人作为总承包单位，应合理安排施工工作，统筹各专业单位的工作界面，不得影响施工进度。承包人应根据工作面的变化情况及工程进度要求，合理调配人员及施工机械设备。承包人如不根据工作面变化情况合理调整人员、施工机械设备，造成的人员、设备窝工费用发包人不予支付。</w:t>
      </w:r>
    </w:p>
    <w:p w14:paraId="6A65730C">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5.3 工期计划</w:t>
      </w:r>
    </w:p>
    <w:p w14:paraId="50FB7417">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根据节点工期要求编制各节点机械设备、劳动力、材料投入计划并进行考核，对材料、机械设备、劳动力投入不足等情况追究施工方的违约责任。</w:t>
      </w:r>
    </w:p>
    <w:p w14:paraId="59A1834D">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承包人在施工过程中需要为政府部门、建设单位、监理单位、检测单位的检查、检测预留足够的时间，其时间相应计入总工期中，不作为工期调整的依据。</w:t>
      </w:r>
    </w:p>
    <w:p w14:paraId="2436FEDC">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承包人在施工过程中需要给各专业分包单位的施工及调试和成品保护预留足够的时间，其时间相应计入总工期中，不作为工期调整地依据。</w:t>
      </w:r>
    </w:p>
    <w:p w14:paraId="6CDC0840">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地质条件变化、地下障碍物等不作为工期调整的依据，对地质条件变化、地下障碍物的处理及排除风险作为施工风险由施工方承担。</w:t>
      </w:r>
    </w:p>
    <w:p w14:paraId="50356048">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5.4 进度计划修订与调整</w:t>
      </w:r>
    </w:p>
    <w:p w14:paraId="2ABB8CB0">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工程实施过程中，如因不可抗力、工程设计有重大变更等非承包人原因导致工期确需调整的，承包人应及时向监理单位和发包人提出工期调整及人员、机械设备投入调整的报告，经监理单位和发包人批准后方可执行，且承包人不得因此向发包人提出人员、机械设备等窝工费用的索赔。</w:t>
      </w:r>
    </w:p>
    <w:p w14:paraId="7811104E">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5.5 进度月报</w:t>
      </w:r>
    </w:p>
    <w:p w14:paraId="41AB6E68">
      <w:pPr>
        <w:snapToGrid/>
        <w:spacing w:before="0" w:after="0" w:line="360" w:lineRule="auto"/>
        <w:ind w:firstLine="424" w:firstLineChars="177"/>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承包人须于每月最后一日前向总监理工程师提供综合报表（内容包括但不限于如下计划、报表或报告），经总监理工程师审核，并报发包人批准后实施： </w:t>
      </w:r>
    </w:p>
    <w:p w14:paraId="68B75F2D">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5.5.1 施工、安装、试验以及其他发包人工作等进展情况的图表和说明；</w:t>
      </w:r>
    </w:p>
    <w:p w14:paraId="5DCB218E">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5.5.2 材料、设备、货物的采购和制造商名称、地点以及进入现场情况；</w:t>
      </w:r>
    </w:p>
    <w:p w14:paraId="54D3271E">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5.5.3 合同变更费用统计和安全统计；</w:t>
      </w:r>
    </w:p>
    <w:p w14:paraId="43907E45">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5.5.4 实际进度与计划进度的对比，以及为消除延误正在或准备采取的措施。</w:t>
      </w:r>
    </w:p>
    <w:p w14:paraId="1948E4C7">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5.6 非发包人原因工期延误的处理</w:t>
      </w:r>
    </w:p>
    <w:p w14:paraId="1C7D5341">
      <w:pPr>
        <w:snapToGrid/>
        <w:spacing w:before="0"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非发包人延误工期的情况下，如果监理人或发包人书面指出承包人实施合同工程或其任何部分的进度过慢，迟于进度计划或不能按期竣工，则承包人应按照采取一切改进措施，加快工程进度。如果承包人在接到监理工程师或发包人通知后的14 天内，未能采取加快工程进度的措施，致使实际进度进一步延迟；或承包人虽然采取了改进措施，仍无法按期竣工，监理人应立即报告发包人，并抄送承包人。发包人可按照合同规定解除合同，也可将合同工程中的一部分工作交由第三方完成，由此增加的一切费用由承包人承担。即使承包人承担增加的费用，也不能免除其按照合同约定应承担的任何责任和应履行的任何义务。</w:t>
      </w:r>
    </w:p>
    <w:p w14:paraId="0EEF977E">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6、安全文明、职业健康与环境管理施工要求</w:t>
      </w:r>
    </w:p>
    <w:p w14:paraId="18937D11">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6.1安全文明施工一般规定</w:t>
      </w:r>
    </w:p>
    <w:p w14:paraId="6D31A2CE">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6.1.1 根据广州市城乡建委《广州市住房和城乡建设委员会关于全市建设工地纳入视频监管的通知》（穗建质〔2017〕1166号）要求，建立并完善工地的视频监控系统。</w:t>
      </w:r>
    </w:p>
    <w:p w14:paraId="243FAA6E">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6.1.2 承包人应按《广州市住房和城乡建设局等9部门关于印发广州市建设工程绿色施工围蔽指导图集（V2.0版）的通知 》（穗建质〔2020〕1号）实施。</w:t>
      </w:r>
    </w:p>
    <w:p w14:paraId="3979FF86">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6.1.3 严格按照《广州市城乡建设委员会关于印发广州市建设工程绿色施工工作技术指引的通知》（穗建质〔2014〕914号）要求，对建设工程全过程实施绿色施工。</w:t>
      </w:r>
    </w:p>
    <w:p w14:paraId="184C8F0C">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6.1.4 严格按照《广州市住房和城乡建设局等8部门关于印发广州市建设工程扬尘防治“6个100%”管理标准图集（V2.0版）的通知》的要求，对建设工程全过程实施扬尘防治。</w:t>
      </w:r>
    </w:p>
    <w:p w14:paraId="4C189141">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6.1.5严格按照《广东省建筑垃圾管理条例》的相关要求，做好施工现场建筑垃圾源头减量以及建筑垃圾综合利用。</w:t>
      </w:r>
    </w:p>
    <w:p w14:paraId="658958E8">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6.2 环境保护一般规定</w:t>
      </w:r>
    </w:p>
    <w:p w14:paraId="6124A481">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承包人应在进入现场前向监理单位提交施工期间的环境保护方案，经监理工程师批准后实施。在实施过程中所采用的材料、设备等经监理工程师和发包人同意后使用。</w:t>
      </w:r>
    </w:p>
    <w:p w14:paraId="55C7DC1A">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6.3 职业健康一般规定</w:t>
      </w:r>
    </w:p>
    <w:p w14:paraId="6F53B938">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应依法为其履行合同所雇用的人员办理必要的证件、许可、保险和注册等，按照法律规定保障现场施工人员的劳动安全，提供劳动保护,采取有效的防止粉尘、降低噪声、控制有害气体和保障高温、高寒、高空作业安全等劳动保护措施。承包人雇佣人员在施工中受到伤害的，承包人应立即采取有效措施进行抢救和治疗。承包人应为其履行合同所雇用的人员提供必要的膳宿条件和生活环境，采取有效措施预防传染病，保证施工人员的健康。承包人需在所有施工人员进场前组织进行体检，体检报告合格方可入场，若现场出现未经体检擅自入场的施工人员，发包人有权按照合同有关约定对承包人进行处罚。</w:t>
      </w:r>
    </w:p>
    <w:p w14:paraId="79F58922">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6.4 疫情防控规定</w:t>
      </w:r>
    </w:p>
    <w:p w14:paraId="5B9ADDDA">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按照各级政府、主管部门及发包人要求做好疫情防控工作。</w:t>
      </w:r>
    </w:p>
    <w:p w14:paraId="5F3DE1D0">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6.5 安全保证措施要求</w:t>
      </w:r>
    </w:p>
    <w:p w14:paraId="640CDECC">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安全文明施工保证措施必须包括人员投入，安全措施费投入，安全教育培训，应急救援演练，安全检查及隐患排查整改，专项施工方案的编制、审批和实施措施，预防施工坍塌事故的措施，预防建筑起重机械伤害事故的措施等重点内容。措施项目的实施要求须满足《建筑施工安全检查标准》（JGJ59-2011）、《建筑施工现场环境与卫生标准》（JGJ146-2013）、广东省建设厅转发建设部关于印发《建筑工程安全防护、文明施工措施费用及使用管理规定》的通知（粤建管字[2005]116号）、关于印发《广东省建设厅建筑工程安全防护、文明施工措施费用管理办法》的通知（粤建管字[2007]39号）、关于印发《广州市建设工程现场文明施工管理办法》的通知（穗建质[2008]937号）、《广州市住房和城乡建设局等9部门关于印发广州市建设工程绿色施工围蔽指导图集（V2.0版）的通知 》（穗建质〔2020〕1号）、关于印发《广州市建设工程施工现场消防安全管理规定》的通知（穗建质[2011]617号）、《广州市建设工程文明施工管理规定》（广州市人民政府2011年第62号令）及发包人制定的相关规定的要求。</w:t>
      </w:r>
    </w:p>
    <w:p w14:paraId="5CCC2A13">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6.6 安全生产管理人员投入要求</w:t>
      </w:r>
    </w:p>
    <w:p w14:paraId="1F76FF4F">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承包人必须严格按照省市相关规定和发包人要求，足额投入安全生产管理人员，其中：专职安全员必须持证上岗，特殊工种的人员也应受过专门的培训并已取得政府有关管理机构颁发的上岗证书。</w:t>
      </w:r>
    </w:p>
    <w:p w14:paraId="332D3C76">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承包人必须明确划分各人员的责任，使其在施工过程中履行自己的责任和义务。项目经理是安全第一责任人，负责安全生产的直接责任。</w:t>
      </w:r>
    </w:p>
    <w:p w14:paraId="69754EA3">
      <w:pPr>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承包人必须制定严格的安全技术操作规程，并定期对安全生产管理人员进行考核。</w:t>
      </w:r>
    </w:p>
    <w:p w14:paraId="54569FE6">
      <w:pPr>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进场前发包人对安全管理人员进行面试，并定期考核，合格者方能入职上岗，发包人有权更换不合格安全生产管理人员。</w:t>
      </w:r>
    </w:p>
    <w:p w14:paraId="1A412ED9">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6.7 承包人对现场安全负全责</w:t>
      </w:r>
    </w:p>
    <w:p w14:paraId="51AEEAB6">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工程实施期间，承包人对经发包人移交的施工场地负有全过程、全面的管理责任，必须对施工场地范围内的治安秩序、安全保卫、环境卫生以及周围房屋、市政设施等全面负责，对施工场地范围内的交通道路、用水、用电、场地内的施工协调负责，确保不对周边环境、道路、行人和相邻施工现场造成不利影响，不得干扰周围居民的正常生活。承包人应加强现场治安防卫工作。在工程开工后7天内编制施工场地治安管理计划，并制定应对突发治安事件的紧急预案。在工程施工过程中，发生暴乱、爆炸等恐怖事件，以及群殴、械斗等群体性突发治安事件的，承包人应立即向发包人和当地政府报告。承包人应积极协助当地有关部门采取措施平息事态，防止事态扩大，尽量避免人员伤亡和财产损失。</w:t>
      </w:r>
    </w:p>
    <w:p w14:paraId="3E6F2494">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6.8 危险性较大工程的安全管理</w:t>
      </w:r>
    </w:p>
    <w:p w14:paraId="48DB2126">
      <w:pPr>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危险性较大的分部分项工程《危险性较大的分部分项工程安全管理规定》(中华人民共和国住房和城乡建设部令第37号)等文规定执行。需单独编制危险性较大分部分项专项工程施工方案的，及要求进行专家论证的超过一定规模的危险性较大的分部分项工程，承包人应及时编制和组织论证，相关专家应选用自政府、行业协会或发包人的专家库。承包人在动力设备、输电线路、地下管道、密封防震车间、易燃易爆地段以及临街交通要道附近施工时，施工开始前应向发包人和监理人提出安全防护措施，经发包人认可后实施。 </w:t>
      </w:r>
    </w:p>
    <w:p w14:paraId="1993916A">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实施爆破作业，在放射、毒害性环境中施工（含储存、运输、使用）及使用毒害性、腐蚀性物品施工时，承包人应在施工前7天以书面通知发包人和监理人，并报送相应的安全防护措施，经发包人认可后实施。</w:t>
      </w:r>
    </w:p>
    <w:p w14:paraId="4D3E447B">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6.9 安全问题应急措施及上报制度</w:t>
      </w:r>
    </w:p>
    <w:p w14:paraId="68D60CA1">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在工程实施期间，如遇到突发的地质变动、事先未知的地下施工障碍等影响施工安全的紧急情况，承包人应及时报告监理人和发包人，发包人应当及时下令停工并报政府有关行政管理部门采取应急措施。</w:t>
      </w:r>
    </w:p>
    <w:p w14:paraId="76AF768B">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6.10 安全文明施工费用专款专用</w:t>
      </w:r>
    </w:p>
    <w:p w14:paraId="4463AE94">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开工前，承包人应制定安全文明施工方案及年度安全文明措施费投入计划，安全文明措施费必须按照工程进度及合同条款要求足额投入，监理单位和发包人定期组织现场验收。承包人须定期上报安全文明措施费使用情况，并提供有效证明材料，上报监理单位及发包人审核。</w:t>
      </w:r>
    </w:p>
    <w:p w14:paraId="3F2D35D0">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在施工过程中必须严格执行安全文明施工方案，安全防护、文明施工的内容按承包人向发包人提交且经发包人批准的详细的施工组织设计实施，包括且不限于施工的安全设施、机具以及围网、护栏、高压线防护、管线防护、临边防护、涉铁涉路防护、施工通道等，全部按发包人或产权单位的要求统一标准、统一标识。所需安全防护、文明施工措施费必须专款专用，严禁挪用，一经发现，根据合同约定处理。</w:t>
      </w:r>
    </w:p>
    <w:p w14:paraId="4476426E">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6.11 承包人不按要求实施安全生产、文明施工时的特殊处理措施</w:t>
      </w:r>
    </w:p>
    <w:p w14:paraId="07DF55F3">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工程实施期间，监理单位、发包人或监督部门在安全文明施工检查过程中，如发现施工现场不满足国家、省、市关于安全文明生产的相关规定和发包人对本工程安全文明施工的相关要求，且不按监理单位要求在限定时间内整改完毕的，发包人可以自行或委托其他单位实施整改，所发生的费用从安全防护、文明施工措施费款项中扣除，不足部分从承包人的合同价款中扣除。</w:t>
      </w:r>
    </w:p>
    <w:p w14:paraId="1DF0F28B">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工程实施期间或缺陷责任期内发生危及工程安全的事件，监理人通知承包人进行抢救，承包人声明无能力或不愿立即执行的，发包人有权自行或委托其他单位进行抢救。此类抢救按合同约定属于承包人义务的，由此增加的费用和（或）延误的工期由承包人承担。</w:t>
      </w:r>
    </w:p>
    <w:p w14:paraId="3F9578DE">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6.12 施工现场建筑垃圾源头减量的具体要求和建筑垃圾综合利用产品的使用要求</w:t>
      </w:r>
    </w:p>
    <w:p w14:paraId="644AA33B">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6.12.1承包人应当编制建筑垃圾处理方案，采取污染防治措施，并在开工前报工程所在地县级人民政府建筑垃圾主管部门备案。建筑垃圾处理方案内容有调整的，应当及时报告接受备案的部门。建筑垃圾处理方案应当包括下列内容：</w:t>
      </w:r>
    </w:p>
    <w:p w14:paraId="1E64EC52">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工程概况和承包人基本信息；2）建筑垃圾产生量与种类；3）建筑垃圾源头减量、分类收集、综合利用、污染防治的措施和目标；4）需要外运的建筑垃圾种类、数量与运输的时间、路线、方式和运输单位；5）建筑垃圾回填、消纳、综合利用场所名称；6）法律、法规规定的其他内容。</w:t>
      </w:r>
    </w:p>
    <w:p w14:paraId="20CAD01F">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6.12.2 建筑垃圾应当按照国家有关规定进行分类，实行分类收集、分类贮存、分类运输、分类处置。</w:t>
      </w:r>
    </w:p>
    <w:p w14:paraId="1F9EEFEF">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6.12.3 发包人督促承包人开展建筑垃圾分类和合法装载，并及时向工程所在地县级人民政府建筑垃圾主管部门报送建筑垃圾处理方案。承包人应当建立建筑垃圾管理台账，分类收集、贮存和及时清运施工过程中产生的建筑垃圾，采取有效措施防止混合已分类的建筑垃圾。工程承包人应当将建筑垃圾的产生量与种类、清运时间、最终去向等信息在施工现场公示，接受社会监督。</w:t>
      </w:r>
    </w:p>
    <w:p w14:paraId="2F675FEB">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6.12.4 运输建筑垃圾应当遵守下列规定：</w:t>
      </w:r>
    </w:p>
    <w:p w14:paraId="2BD787C6">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建立建筑垃圾运输管理台账；2）不得将工程渣土、工程泥浆与其他建筑垃圾混合运输；3）保持运输车辆、船舶等运输工具的行驶记录、卫星定位等电子装置正常使用；4）运输过程中保持运输工具整洁，采取密闭或者其他有效措施防止遗撒建筑垃圾，不得擅自倾倒、抛撒建筑垃圾；5）按照建筑垃圾处理方案确定的时间、路线、方式、场所进行运输。建筑垃圾运输车辆、船舶应当符合相应的载运技术条件。建筑垃圾处置场所为陆域的，不得采用开底式船舶运输建筑垃圾。</w:t>
      </w:r>
    </w:p>
    <w:p w14:paraId="068082C3">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6.12.5工程泥浆应当在施工现场进行脱水固化处理。施工现场不具备条件的，应当采用罐装器具密闭运输至依法设置的建筑垃圾处置场所进行处置。水上工程中依法无需经脱水处理的除外。</w:t>
      </w:r>
    </w:p>
    <w:p w14:paraId="0B251F6D">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6.12.6 建筑垃圾应当按照下列方式，优先就地就近利用：1）工程渣土及脱水后的工程泥浆优先用于土方平衡、矿坑修复、环境治理、烧结制品及回填等；2）工程垃圾、拆除垃圾和装修垃圾优先用于生产再生骨料、再生砖、再生砌块、再生沥青混合料等建筑垃圾综合利用产品。具备现场综合利用条件的建设工程，应当进行建筑垃圾现场综合利用。</w:t>
      </w:r>
    </w:p>
    <w:p w14:paraId="2A334EFF">
      <w:pPr>
        <w:snapToGrid/>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6.12.7 承包人严格遵守并执行《广东省建筑垃圾管理条例》。</w:t>
      </w:r>
    </w:p>
    <w:p w14:paraId="0D6A6189">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7、绿色施工管理要求</w:t>
      </w:r>
    </w:p>
    <w:p w14:paraId="452C7087">
      <w:pPr>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7.1 施工管理要求。加强绿色施工管理，主要包括组织管理、规划管理、实施管理、评价管理和人员安全与健康管理五个方面。建立绿色施工管理体系，并制定相应的管理制度与目标；编制绿色施工方案，该方案应在施工组织设计中独立成章，并按有关规定进行审批；绿色施工应对整个施工过程实施动态管理，加强对施工策划、施工准备、材料采购、现场施工、工程验收等各阶段的管理和监督。</w:t>
      </w:r>
    </w:p>
    <w:p w14:paraId="54E5C7E1">
      <w:pPr>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7.2 环境保护要求。对土方作业阶段、结构安装装饰阶段作业区扬尘高度进行监控，采用喷雾、洒水等措施进行治理；同时做好对噪音与振动控制、光污染控制、水污染控制、土壤保护、建筑垃圾控制、地下设施、文物和资源保护等方面控制。</w:t>
      </w:r>
    </w:p>
    <w:p w14:paraId="0E31DE9B">
      <w:pPr>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7.3 节材与材料资源利用。优化模板及支撑体系方案，采用工具式模板、钢制大模板和早拆支撑体系，采用定型钢模、钢框木模、木塑板；钢筋制作采用专业化加工、配送；使用预拌混凝土和商品砂浆。</w:t>
      </w:r>
    </w:p>
    <w:p w14:paraId="2A3587F3">
      <w:pPr>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7.4 推广使用节水与水资源利用技术，要求采取多种措施提高用水效率。如施工中采用先进的节水施工工艺；现场搅拌用水、养护用水应采取有效的节水措施，严禁无措施浇水养护混凝土；施工现场分别对生活用水与工程用水确定用水定额指标，并分别计量管理；大型工程的不同单项工程、不同标段、不同分包生活区，凡具备条件的应分别计量用水量；对混凝土搅拌站点等用水集中的区域和工艺点进行专项计量考核，施工现场建立雨水、中水或可再利用水的搜集利用系统。</w:t>
      </w:r>
    </w:p>
    <w:p w14:paraId="62AD2C20">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8、投资控制要求：详见合同条款。</w:t>
      </w:r>
    </w:p>
    <w:p w14:paraId="28829FF8">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9、材料设备管理要求</w:t>
      </w:r>
    </w:p>
    <w:p w14:paraId="363FA67D">
      <w:pPr>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 材料设备采购计划管理</w:t>
      </w:r>
    </w:p>
    <w:p w14:paraId="42E2E87F">
      <w:pPr>
        <w:spacing w:before="0" w:after="0"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进场后应根据设计图纸及施工进度计划制定主要材料设备采购计划，及时签订采购合同（签订供货合同的时间必须至少比第一批货物计划进场的时间提前两个月+备货期），影响工程造价较大的大批量材料设备，承包人必须提前定制或锁定价格，否则由此引起的工期调整或价格调整，发包人有权不予批准。其中：</w:t>
      </w:r>
    </w:p>
    <w:p w14:paraId="15FE16DF">
      <w:pPr>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9.1.1 主要材料设备采购计划需报监理单位审核，审核合格后报发包人备案，并作为第一期工程进度款的支付条件之一；</w:t>
      </w:r>
    </w:p>
    <w:p w14:paraId="4FC02E78">
      <w:pPr>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9.1.2 主要材料设备的采购合同必须报发包人备案（具体需要备案的材料设备采购合同种类由发包人根据项目实际需要确定），作为涉及相应材料设备的中间计量进度款的支付条件之一。</w:t>
      </w:r>
    </w:p>
    <w:p w14:paraId="1AC39A0C">
      <w:pPr>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9.2 材料设备采购管理</w:t>
      </w:r>
    </w:p>
    <w:p w14:paraId="5CF979C7">
      <w:pPr>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承包人必须确保在满足或优于招标文件（包括招标文件各专业主要设备材料技术参数）、招标图纸和相关规范要求的条件下采购主要材料设备。甲方保留对材料设备进行集中采购的权利，乙方须无条件配合。同时承包人应承诺优先通过广州市建材集群采购管理服务综合平台采购项目所需的预拌混凝土和装配式混凝土预制构件等材料设备。其中：</w:t>
      </w:r>
    </w:p>
    <w:p w14:paraId="69C1A2B4">
      <w:pPr>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9.2.1 招标文件有推荐品牌范围的主要材料设备，原则上必须在推荐品牌范围内选用（具体见《主要材料设备品牌/生产厂家推荐表》）。</w:t>
      </w:r>
    </w:p>
    <w:p w14:paraId="448BC44F">
      <w:pPr>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9.2.2 若承包人选用同等或优于推荐品牌的，在采购前必须经发包人审批同意，否则，视为承包人自行更换品牌，按招标文件和合同规定承担违约责任。</w:t>
      </w:r>
    </w:p>
    <w:p w14:paraId="40F6DA46">
      <w:pPr>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9.2.3 不在推荐品牌范围的主要材料设备，承包人按中国名牌、国家免检产品、省知名品牌的顺序选定，同时须严格按照发包人看样定板的相关规定执行。</w:t>
      </w:r>
    </w:p>
    <w:p w14:paraId="59208585">
      <w:pPr>
        <w:snapToGrid/>
        <w:spacing w:before="0" w:after="0"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9.2.4 本项目主要设备材料品牌/生产厂家推荐表，详见合同《主要设备材料推荐品牌表》。</w:t>
      </w:r>
    </w:p>
    <w:p w14:paraId="4FAF3434">
      <w:pPr>
        <w:spacing w:before="0" w:after="0" w:line="360" w:lineRule="auto"/>
        <w:ind w:firstLine="463" w:firstLineChars="193"/>
        <w:rPr>
          <w:rFonts w:hint="eastAsia" w:ascii="宋体" w:hAnsi="宋体" w:eastAsia="宋体" w:cs="宋体"/>
          <w:color w:val="auto"/>
          <w:highlight w:val="none"/>
        </w:rPr>
      </w:pPr>
      <w:r>
        <w:rPr>
          <w:rFonts w:hint="eastAsia" w:ascii="宋体" w:hAnsi="宋体" w:eastAsia="宋体" w:cs="宋体"/>
          <w:color w:val="auto"/>
          <w:sz w:val="24"/>
          <w:highlight w:val="none"/>
        </w:rPr>
        <w:t>9.3 材料设备检验、试验管理</w:t>
      </w:r>
    </w:p>
    <w:p w14:paraId="0F729685">
      <w:pPr>
        <w:spacing w:before="0" w:after="0" w:line="360" w:lineRule="auto"/>
        <w:ind w:firstLine="463" w:firstLineChars="193"/>
        <w:rPr>
          <w:rFonts w:hint="eastAsia" w:ascii="宋体" w:hAnsi="宋体" w:eastAsia="宋体" w:cs="宋体"/>
          <w:color w:val="auto"/>
          <w:highlight w:val="none"/>
        </w:rPr>
      </w:pPr>
      <w:r>
        <w:rPr>
          <w:rFonts w:hint="eastAsia" w:ascii="宋体" w:hAnsi="宋体" w:eastAsia="宋体" w:cs="宋体"/>
          <w:color w:val="auto"/>
          <w:sz w:val="24"/>
          <w:highlight w:val="none"/>
        </w:rPr>
        <w:t>无论发包人是否推荐品牌范围，所有用于本工程的材料设备必须严格按合同条款的约定进行检验、试验，确保材料设备质量。材料进场批次要与见证取样检测批次一致，否则，多出批次的检测费由承包人承担。本项目应进行节能、室内环境检测，需委托具有相应资质检测机构实施的相关工作。</w:t>
      </w:r>
    </w:p>
    <w:p w14:paraId="3A0527CF">
      <w:pPr>
        <w:spacing w:before="0" w:after="0"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highlight w:val="none"/>
        </w:rPr>
        <w:t>9.4 乙供材料设备看样定板管理</w:t>
      </w:r>
    </w:p>
    <w:p w14:paraId="72D51294">
      <w:pPr>
        <w:spacing w:before="0" w:after="0" w:line="360" w:lineRule="auto"/>
        <w:ind w:firstLine="463" w:firstLineChars="193"/>
        <w:rPr>
          <w:rFonts w:hint="eastAsia" w:ascii="宋体" w:hAnsi="宋体" w:eastAsia="宋体" w:cs="宋体"/>
          <w:color w:val="auto"/>
          <w:highlight w:val="none"/>
        </w:rPr>
      </w:pPr>
      <w:r>
        <w:rPr>
          <w:rFonts w:hint="eastAsia" w:ascii="宋体" w:hAnsi="宋体" w:eastAsia="宋体" w:cs="宋体"/>
          <w:color w:val="auto"/>
          <w:sz w:val="24"/>
          <w:highlight w:val="none"/>
        </w:rPr>
        <w:t>为加强本工程所使用的乙供材料设备的质量管理，确保承包人所选购的材料设备的质量、技术性能、款式、效果等方面满足设计和使用需求，所有主要材料设备在看样定板之前，发包人、使用业主、监理单位、设计单位有权对乙供材料设备厂家的生产能力、制造水平、生产工艺等方面进行综合考察评估，考核评估合格的方能采购。如经综合考察评估不合格，发包人有权在《主要材料设备品牌/生产厂家推荐表》中选择其他满足规定的材料厂家及品牌，经考核评估合格后予以选用，合同价款不作调整。</w:t>
      </w:r>
    </w:p>
    <w:p w14:paraId="7336A48F">
      <w:pPr>
        <w:spacing w:before="0" w:after="0"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highlight w:val="none"/>
        </w:rPr>
        <w:t>9.5 乙供材料设备供应商管理</w:t>
      </w:r>
    </w:p>
    <w:p w14:paraId="1253F844">
      <w:pPr>
        <w:spacing w:before="0" w:after="0" w:line="360" w:lineRule="auto"/>
        <w:ind w:firstLine="463" w:firstLineChars="193"/>
        <w:rPr>
          <w:rFonts w:hint="eastAsia" w:ascii="宋体" w:hAnsi="宋体" w:eastAsia="宋体" w:cs="宋体"/>
          <w:color w:val="auto"/>
          <w:highlight w:val="none"/>
        </w:rPr>
      </w:pPr>
      <w:r>
        <w:rPr>
          <w:rFonts w:hint="eastAsia" w:ascii="宋体" w:hAnsi="宋体" w:eastAsia="宋体" w:cs="宋体"/>
          <w:color w:val="auto"/>
          <w:sz w:val="24"/>
          <w:highlight w:val="none"/>
        </w:rPr>
        <w:t>承包人应在确定主要乙供材料设备供应商的7个工作日内，将供应商的清单明细（包括供应商的名称、联系人、联系电话、联系地址等）报监理单位和发包人备案。供应商须服从监理单位和发包人的管理，并按要求参加相关工作例会。</w:t>
      </w:r>
    </w:p>
    <w:p w14:paraId="3A67F4FD">
      <w:pPr>
        <w:spacing w:before="0" w:after="0"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highlight w:val="none"/>
        </w:rPr>
        <w:t>9.6 材料设备专用于本工程</w:t>
      </w:r>
    </w:p>
    <w:p w14:paraId="412E4ECC">
      <w:pPr>
        <w:spacing w:before="0" w:after="0" w:line="360" w:lineRule="auto"/>
        <w:ind w:firstLine="463" w:firstLineChars="193"/>
        <w:jc w:val="both"/>
        <w:rPr>
          <w:rFonts w:hint="eastAsia" w:ascii="宋体" w:hAnsi="宋体" w:eastAsia="宋体" w:cs="宋体"/>
          <w:color w:val="auto"/>
          <w:sz w:val="24"/>
          <w:highlight w:val="none"/>
        </w:rPr>
      </w:pPr>
      <w:r>
        <w:rPr>
          <w:rFonts w:hint="eastAsia" w:ascii="宋体" w:hAnsi="宋体" w:eastAsia="宋体" w:cs="宋体"/>
          <w:color w:val="auto"/>
          <w:sz w:val="24"/>
          <w:highlight w:val="none"/>
        </w:rPr>
        <w:t>承包人运入施工现场的材料、工程设备、施工设备以及在施工场地建设的临时设施，包括备品备件、安装工具与资料，必须专用于工程。未经发包人批准不得运出施工现场或挪作他用。</w:t>
      </w:r>
    </w:p>
    <w:p w14:paraId="2891CD7D">
      <w:pPr>
        <w:spacing w:before="0" w:after="0" w:line="360" w:lineRule="auto"/>
        <w:ind w:firstLine="480" w:firstLineChars="200"/>
        <w:rPr>
          <w:rFonts w:hint="eastAsia" w:ascii="宋体" w:hAnsi="宋体" w:eastAsia="宋体" w:cs="宋体"/>
          <w:color w:val="auto"/>
          <w:sz w:val="24"/>
          <w:highlight w:val="none"/>
        </w:rPr>
      </w:pPr>
      <w:bookmarkStart w:id="570" w:name="_Toc6225"/>
      <w:bookmarkStart w:id="571" w:name="_Toc18600"/>
      <w:bookmarkStart w:id="572" w:name="_Toc4929"/>
      <w:bookmarkStart w:id="573" w:name="_Toc169722218"/>
      <w:bookmarkStart w:id="574" w:name="_Toc26943"/>
      <w:bookmarkStart w:id="575" w:name="_Toc4551"/>
      <w:bookmarkStart w:id="576" w:name="_Toc25131"/>
      <w:bookmarkStart w:id="577" w:name="_Toc19462"/>
      <w:bookmarkStart w:id="578" w:name="_Toc15390"/>
      <w:bookmarkStart w:id="579" w:name="_Toc22500"/>
      <w:bookmarkStart w:id="580" w:name="_Toc28863"/>
      <w:r>
        <w:rPr>
          <w:rFonts w:hint="eastAsia" w:ascii="宋体" w:hAnsi="宋体" w:eastAsia="宋体" w:cs="宋体"/>
          <w:color w:val="auto"/>
          <w:sz w:val="24"/>
          <w:highlight w:val="none"/>
        </w:rPr>
        <w:t>9.7甲供物资</w:t>
      </w:r>
      <w:r>
        <w:rPr>
          <w:rFonts w:ascii="宋体" w:hAnsi="宋体" w:eastAsia="宋体" w:cs="宋体"/>
          <w:color w:val="auto"/>
          <w:sz w:val="24"/>
          <w:highlight w:val="none"/>
        </w:rPr>
        <w:t>管理要求</w:t>
      </w:r>
      <w:bookmarkEnd w:id="570"/>
      <w:bookmarkEnd w:id="571"/>
      <w:bookmarkEnd w:id="572"/>
      <w:bookmarkEnd w:id="573"/>
      <w:r>
        <w:rPr>
          <w:rFonts w:hint="eastAsia" w:ascii="宋体" w:hAnsi="宋体" w:eastAsia="宋体" w:cs="宋体"/>
          <w:color w:val="auto"/>
          <w:sz w:val="24"/>
          <w:highlight w:val="none"/>
        </w:rPr>
        <w:t>（如有）</w:t>
      </w:r>
      <w:bookmarkEnd w:id="574"/>
      <w:bookmarkEnd w:id="575"/>
      <w:bookmarkEnd w:id="576"/>
      <w:bookmarkEnd w:id="577"/>
      <w:bookmarkEnd w:id="578"/>
      <w:bookmarkEnd w:id="579"/>
      <w:bookmarkEnd w:id="580"/>
    </w:p>
    <w:p w14:paraId="7C850508">
      <w:pPr>
        <w:spacing w:before="0" w:after="0" w:line="360" w:lineRule="auto"/>
        <w:ind w:firstLine="463" w:firstLineChars="193"/>
        <w:jc w:val="both"/>
        <w:rPr>
          <w:rFonts w:hint="eastAsia" w:ascii="宋体" w:hAnsi="宋体" w:eastAsia="宋体" w:cs="宋体"/>
          <w:color w:val="auto"/>
          <w:sz w:val="24"/>
          <w:highlight w:val="none"/>
        </w:rPr>
      </w:pPr>
      <w:bookmarkStart w:id="581" w:name="_Toc329131560"/>
      <w:bookmarkStart w:id="582" w:name="_Toc328755017"/>
      <w:bookmarkStart w:id="583" w:name="_Toc406435935"/>
      <w:r>
        <w:rPr>
          <w:rFonts w:hint="eastAsia" w:ascii="宋体" w:hAnsi="宋体" w:eastAsia="宋体" w:cs="宋体"/>
          <w:color w:val="auto"/>
          <w:sz w:val="24"/>
          <w:highlight w:val="none"/>
        </w:rPr>
        <w:t>9.7.1甲供物资</w:t>
      </w:r>
    </w:p>
    <w:p w14:paraId="161EEED5">
      <w:pPr>
        <w:spacing w:before="0" w:after="0" w:line="360" w:lineRule="auto"/>
        <w:ind w:firstLine="463" w:firstLineChars="193"/>
        <w:jc w:val="both"/>
        <w:rPr>
          <w:rFonts w:hint="eastAsia" w:ascii="宋体" w:hAnsi="宋体" w:eastAsia="宋体" w:cs="宋体"/>
          <w:color w:val="auto"/>
          <w:sz w:val="24"/>
          <w:highlight w:val="none"/>
        </w:rPr>
      </w:pPr>
      <w:r>
        <w:rPr>
          <w:rFonts w:hint="eastAsia" w:ascii="宋体" w:hAnsi="宋体" w:eastAsia="宋体" w:cs="宋体"/>
          <w:color w:val="auto"/>
          <w:sz w:val="24"/>
          <w:highlight w:val="none"/>
        </w:rPr>
        <w:t>发包人招标，与供应商签订供货合同，发包人直接付款。</w:t>
      </w:r>
    </w:p>
    <w:p w14:paraId="3BBD1CA6">
      <w:pPr>
        <w:spacing w:before="0" w:after="0" w:line="360" w:lineRule="auto"/>
        <w:ind w:firstLine="463" w:firstLineChars="193"/>
        <w:jc w:val="both"/>
        <w:rPr>
          <w:rFonts w:hint="eastAsia" w:ascii="宋体" w:hAnsi="宋体" w:eastAsia="宋体" w:cs="宋体"/>
          <w:color w:val="auto"/>
          <w:sz w:val="24"/>
          <w:highlight w:val="none"/>
        </w:rPr>
      </w:pPr>
      <w:r>
        <w:rPr>
          <w:rFonts w:hint="eastAsia" w:ascii="宋体" w:hAnsi="宋体" w:eastAsia="宋体" w:cs="宋体"/>
          <w:color w:val="auto"/>
          <w:sz w:val="24"/>
          <w:highlight w:val="none"/>
        </w:rPr>
        <w:t>9.7.2供应计划管理流程</w:t>
      </w:r>
    </w:p>
    <w:p w14:paraId="6100D9C7">
      <w:pPr>
        <w:spacing w:before="0" w:after="0" w:line="360" w:lineRule="auto"/>
        <w:ind w:firstLine="463" w:firstLineChars="193"/>
        <w:jc w:val="both"/>
        <w:rPr>
          <w:rFonts w:hint="eastAsia" w:ascii="宋体" w:hAnsi="宋体" w:eastAsia="宋体" w:cs="宋体"/>
          <w:color w:val="auto"/>
          <w:sz w:val="24"/>
          <w:highlight w:val="none"/>
        </w:rPr>
      </w:pPr>
      <w:bookmarkStart w:id="584" w:name="_Hlk168667710"/>
      <w:bookmarkStart w:id="585" w:name="_Hlk168668529"/>
      <w:bookmarkStart w:id="586" w:name="_Toc406435933"/>
      <w:bookmarkStart w:id="587" w:name="_Toc436410967"/>
      <w:bookmarkStart w:id="588" w:name="_Toc436410800"/>
      <w:bookmarkStart w:id="589" w:name="_Toc329131558"/>
      <w:bookmarkStart w:id="590" w:name="_Toc437937241"/>
      <w:bookmarkStart w:id="591" w:name="_Toc328755015"/>
      <w:r>
        <w:rPr>
          <w:rFonts w:hint="eastAsia" w:ascii="宋体" w:hAnsi="宋体" w:eastAsia="宋体" w:cs="宋体"/>
          <w:color w:val="auto"/>
          <w:sz w:val="24"/>
          <w:highlight w:val="none"/>
        </w:rPr>
        <w:t>承包人应组织专业承包人共同编制并提交包含自身及专业承包人的《甲供物资供应计划表》→监理人审核确认→发包人审核确认→发包人核对供货合约、确认→发包人督促供应商确认订单→发包人督促供应商按要求及时、保质、足量交货</w:t>
      </w:r>
      <w:bookmarkEnd w:id="584"/>
      <w:r>
        <w:rPr>
          <w:rFonts w:hint="eastAsia" w:ascii="宋体" w:hAnsi="宋体" w:eastAsia="宋体" w:cs="宋体"/>
          <w:color w:val="auto"/>
          <w:sz w:val="24"/>
          <w:highlight w:val="none"/>
        </w:rPr>
        <w:t>。</w:t>
      </w:r>
    </w:p>
    <w:bookmarkEnd w:id="585"/>
    <w:p w14:paraId="78AFA073">
      <w:pPr>
        <w:spacing w:before="0" w:after="0" w:line="360" w:lineRule="auto"/>
        <w:ind w:firstLine="463" w:firstLineChars="193"/>
        <w:jc w:val="both"/>
        <w:rPr>
          <w:rFonts w:hint="eastAsia" w:ascii="宋体" w:hAnsi="宋体" w:eastAsia="宋体" w:cs="宋体"/>
          <w:color w:val="auto"/>
          <w:sz w:val="24"/>
          <w:highlight w:val="none"/>
        </w:rPr>
      </w:pPr>
      <w:r>
        <w:rPr>
          <w:rFonts w:hint="eastAsia" w:ascii="宋体" w:hAnsi="宋体" w:eastAsia="宋体" w:cs="宋体"/>
          <w:color w:val="auto"/>
          <w:sz w:val="24"/>
          <w:highlight w:val="none"/>
        </w:rPr>
        <w:t>9.7.3甲供物资采购供应计划编制与排产</w:t>
      </w:r>
      <w:bookmarkEnd w:id="586"/>
      <w:bookmarkEnd w:id="587"/>
      <w:bookmarkEnd w:id="588"/>
      <w:bookmarkEnd w:id="589"/>
      <w:bookmarkEnd w:id="590"/>
      <w:bookmarkEnd w:id="591"/>
      <w:r>
        <w:rPr>
          <w:rFonts w:ascii="宋体" w:hAnsi="宋体" w:eastAsia="宋体" w:cs="宋体"/>
          <w:color w:val="auto"/>
          <w:sz w:val="24"/>
          <w:highlight w:val="none"/>
        </w:rPr>
        <w:tab/>
      </w:r>
    </w:p>
    <w:p w14:paraId="04AB50F8">
      <w:pPr>
        <w:pStyle w:val="63"/>
        <w:numPr>
          <w:ilvl w:val="0"/>
          <w:numId w:val="28"/>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承包人依据合同约定，根据已审批的工程总施工进度计划，考虑招标、排产、加工、运输、验收等因素，提前编制《甲供材料设备进场计划》报发包人，并对数量和规格的准确性负责。</w:t>
      </w:r>
    </w:p>
    <w:p w14:paraId="3B4DF0DE">
      <w:pPr>
        <w:pStyle w:val="63"/>
        <w:numPr>
          <w:ilvl w:val="0"/>
          <w:numId w:val="28"/>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发包人根据每种甲供物资现场使用时间及各自的制造周期，适时向供应商发出《甲供材料设备要货订单》。</w:t>
      </w:r>
    </w:p>
    <w:p w14:paraId="381E4605">
      <w:pPr>
        <w:spacing w:before="0" w:after="0" w:line="360" w:lineRule="auto"/>
        <w:ind w:firstLine="463" w:firstLineChars="193"/>
        <w:jc w:val="both"/>
        <w:rPr>
          <w:rFonts w:hint="eastAsia" w:ascii="宋体" w:hAnsi="宋体" w:eastAsia="宋体" w:cs="宋体"/>
          <w:color w:val="auto"/>
          <w:sz w:val="24"/>
          <w:highlight w:val="none"/>
        </w:rPr>
      </w:pPr>
      <w:r>
        <w:rPr>
          <w:rFonts w:hint="eastAsia" w:ascii="宋体" w:hAnsi="宋体" w:eastAsia="宋体" w:cs="宋体"/>
          <w:color w:val="auto"/>
          <w:sz w:val="24"/>
          <w:highlight w:val="none"/>
        </w:rPr>
        <w:t>9.7.4甲供物资管理要求</w:t>
      </w:r>
    </w:p>
    <w:p w14:paraId="7C7111B1">
      <w:pPr>
        <w:pStyle w:val="63"/>
        <w:numPr>
          <w:ilvl w:val="0"/>
          <w:numId w:val="29"/>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首批甲供物资到场：发包人在接到通知后组织监理人、承包人等参与到货验收。承包人填报《工程材料、构配件、设备报审表》，并报监理人。</w:t>
      </w:r>
    </w:p>
    <w:p w14:paraId="18C0B860">
      <w:pPr>
        <w:pStyle w:val="63"/>
        <w:numPr>
          <w:ilvl w:val="0"/>
          <w:numId w:val="29"/>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以后批次物资进场：由监理人组织供货商、承包人、发包人等相关单位共同验收。</w:t>
      </w:r>
    </w:p>
    <w:p w14:paraId="346E0521">
      <w:pPr>
        <w:pStyle w:val="63"/>
        <w:numPr>
          <w:ilvl w:val="0"/>
          <w:numId w:val="29"/>
        </w:numPr>
        <w:snapToGrid/>
        <w:spacing w:before="0" w:after="0" w:line="360" w:lineRule="auto"/>
        <w:ind w:firstLine="496"/>
        <w:rPr>
          <w:rFonts w:hint="eastAsia" w:ascii="宋体" w:hAnsi="宋体" w:eastAsia="宋体" w:cs="宋体"/>
          <w:color w:val="auto"/>
          <w:spacing w:val="4"/>
          <w:sz w:val="24"/>
          <w:highlight w:val="none"/>
        </w:rPr>
      </w:pPr>
      <w:bookmarkStart w:id="592" w:name="_Hlk168668669"/>
      <w:r>
        <w:rPr>
          <w:rFonts w:hint="eastAsia" w:ascii="宋体" w:hAnsi="宋体" w:eastAsia="宋体" w:cs="宋体"/>
          <w:color w:val="auto"/>
          <w:spacing w:val="4"/>
          <w:sz w:val="24"/>
          <w:highlight w:val="none"/>
        </w:rPr>
        <w:t>参加验收人员应按供货合同、供货样板及《甲供材料要货订单》的订单信息，对到货物料的数量、外观、包装、质量等进行现场验收。</w:t>
      </w:r>
    </w:p>
    <w:bookmarkEnd w:id="592"/>
    <w:p w14:paraId="7BC79D0C">
      <w:pPr>
        <w:pStyle w:val="63"/>
        <w:numPr>
          <w:ilvl w:val="0"/>
          <w:numId w:val="29"/>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各方检查验收结束后，各方需签字确认并注明意见及日期，有不合格物资需退场的应注明。</w:t>
      </w:r>
    </w:p>
    <w:p w14:paraId="33E0E24D">
      <w:pPr>
        <w:pStyle w:val="63"/>
        <w:numPr>
          <w:ilvl w:val="0"/>
          <w:numId w:val="29"/>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若甲供物资需现场见证送检的，由监理人见证取样，由相关施工安装单位送检，检验所需费用按合同有关规定执行，检验所需时间应纳入计划。</w:t>
      </w:r>
    </w:p>
    <w:p w14:paraId="55567113">
      <w:pPr>
        <w:pStyle w:val="63"/>
        <w:numPr>
          <w:ilvl w:val="0"/>
          <w:numId w:val="29"/>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对在设备工厂内做定型试验的大型设备（如制冷机组、空调机组、新风机组、水泵、冷却塔、高低压配电柜等），必要时，发包人组织相关部门（承包人及监理人）到工厂进行监督及设备试验参数的采集。</w:t>
      </w:r>
    </w:p>
    <w:p w14:paraId="703CBC38">
      <w:pPr>
        <w:pStyle w:val="63"/>
        <w:numPr>
          <w:ilvl w:val="0"/>
          <w:numId w:val="29"/>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对重要物资，必要时，发包人组织监理人、承包人及专业承包人相关人员到工厂进行驻场监造，费用由各自单位承担。</w:t>
      </w:r>
    </w:p>
    <w:p w14:paraId="650D93C6">
      <w:pPr>
        <w:pStyle w:val="63"/>
        <w:numPr>
          <w:ilvl w:val="0"/>
          <w:numId w:val="29"/>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所有发包人采购供应的物资由供应商运送到施工工地现场并卸货至发包人指定地点（汽车可到达区域）。到场后，由相应安装单位负责上述材料设备的二次运输和搬运、接收、验收、保管等管理工作。若因接收单位管理不当造成的损失，接收单位负责补偿。</w:t>
      </w:r>
      <w:bookmarkEnd w:id="581"/>
      <w:bookmarkEnd w:id="582"/>
      <w:bookmarkEnd w:id="583"/>
    </w:p>
    <w:p w14:paraId="54EAEE44">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10、施工管理人员配置要求</w:t>
      </w:r>
    </w:p>
    <w:p w14:paraId="53C390A7">
      <w:pPr>
        <w:snapToGrid/>
        <w:spacing w:before="0" w:after="0"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highlight w:val="none"/>
        </w:rPr>
        <w:t>10.1 承包人进场即成立项目管理部负责工程管理工作。其中，施工管理人员配备要求见《施工管理主要人员配置要求》。</w:t>
      </w:r>
    </w:p>
    <w:p w14:paraId="10912A5E">
      <w:pPr>
        <w:snapToGrid/>
        <w:spacing w:before="0" w:after="0" w:line="360" w:lineRule="auto"/>
        <w:ind w:firstLine="482" w:firstLineChars="200"/>
        <w:jc w:val="center"/>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施工管理主要人员配置要求</w:t>
      </w:r>
    </w:p>
    <w:tbl>
      <w:tblPr>
        <w:tblStyle w:val="42"/>
        <w:tblW w:w="9195" w:type="dxa"/>
        <w:jc w:val="center"/>
        <w:tblLayout w:type="fixed"/>
        <w:tblCellMar>
          <w:top w:w="0" w:type="dxa"/>
          <w:left w:w="108" w:type="dxa"/>
          <w:bottom w:w="0" w:type="dxa"/>
          <w:right w:w="108" w:type="dxa"/>
        </w:tblCellMar>
      </w:tblPr>
      <w:tblGrid>
        <w:gridCol w:w="630"/>
        <w:gridCol w:w="1905"/>
        <w:gridCol w:w="645"/>
        <w:gridCol w:w="5100"/>
        <w:gridCol w:w="915"/>
      </w:tblGrid>
      <w:tr w14:paraId="7CDBAC34">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C130781">
            <w:pPr>
              <w:spacing w:before="0" w:after="0" w:line="240" w:lineRule="auto"/>
              <w:jc w:val="center"/>
              <w:rPr>
                <w:rFonts w:hint="eastAsia" w:ascii="宋体" w:hAnsi="宋体" w:eastAsia="宋体" w:cs="宋体"/>
                <w:b/>
                <w:bCs/>
                <w:color w:val="auto"/>
                <w:kern w:val="0"/>
                <w:sz w:val="21"/>
                <w:szCs w:val="21"/>
                <w:highlight w:val="none"/>
                <w:lang w:bidi="ar"/>
              </w:rPr>
            </w:pPr>
            <w:r>
              <w:rPr>
                <w:rFonts w:hint="eastAsia" w:ascii="宋体" w:hAnsi="宋体" w:eastAsia="宋体" w:cs="宋体"/>
                <w:b/>
                <w:bCs/>
                <w:color w:val="auto"/>
                <w:kern w:val="0"/>
                <w:sz w:val="21"/>
                <w:szCs w:val="21"/>
                <w:highlight w:val="none"/>
                <w:lang w:bidi="ar"/>
              </w:rPr>
              <w:t>序号</w:t>
            </w:r>
          </w:p>
        </w:tc>
        <w:tc>
          <w:tcPr>
            <w:tcW w:w="1905"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113B1E8">
            <w:pPr>
              <w:spacing w:before="0" w:after="0" w:line="240" w:lineRule="auto"/>
              <w:jc w:val="center"/>
              <w:rPr>
                <w:rFonts w:hint="eastAsia" w:ascii="宋体" w:hAnsi="宋体" w:eastAsia="宋体" w:cs="宋体"/>
                <w:b/>
                <w:bCs/>
                <w:color w:val="auto"/>
                <w:kern w:val="0"/>
                <w:sz w:val="21"/>
                <w:szCs w:val="21"/>
                <w:highlight w:val="none"/>
                <w:lang w:bidi="ar"/>
              </w:rPr>
            </w:pPr>
            <w:r>
              <w:rPr>
                <w:rFonts w:hint="eastAsia" w:ascii="宋体" w:hAnsi="宋体" w:eastAsia="宋体" w:cs="宋体"/>
                <w:b/>
                <w:bCs/>
                <w:color w:val="auto"/>
                <w:kern w:val="0"/>
                <w:sz w:val="21"/>
                <w:szCs w:val="21"/>
                <w:highlight w:val="none"/>
                <w:lang w:bidi="ar"/>
              </w:rPr>
              <w:t>职务</w:t>
            </w:r>
          </w:p>
        </w:tc>
        <w:tc>
          <w:tcPr>
            <w:tcW w:w="645"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B9D0D84">
            <w:pPr>
              <w:spacing w:before="0" w:after="0" w:line="240" w:lineRule="auto"/>
              <w:jc w:val="center"/>
              <w:rPr>
                <w:rFonts w:hint="eastAsia" w:ascii="宋体" w:hAnsi="宋体" w:eastAsia="宋体" w:cs="宋体"/>
                <w:b/>
                <w:bCs/>
                <w:color w:val="auto"/>
                <w:kern w:val="0"/>
                <w:sz w:val="21"/>
                <w:szCs w:val="21"/>
                <w:highlight w:val="none"/>
                <w:lang w:bidi="ar"/>
              </w:rPr>
            </w:pPr>
            <w:r>
              <w:rPr>
                <w:rFonts w:hint="eastAsia" w:ascii="宋体" w:hAnsi="宋体" w:eastAsia="宋体" w:cs="宋体"/>
                <w:b/>
                <w:bCs/>
                <w:color w:val="auto"/>
                <w:kern w:val="0"/>
                <w:sz w:val="21"/>
                <w:szCs w:val="21"/>
                <w:highlight w:val="none"/>
                <w:lang w:bidi="ar"/>
              </w:rPr>
              <w:t>人数</w:t>
            </w:r>
          </w:p>
        </w:tc>
        <w:tc>
          <w:tcPr>
            <w:tcW w:w="510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31C3AB8">
            <w:pPr>
              <w:spacing w:before="0" w:after="0" w:line="240" w:lineRule="auto"/>
              <w:jc w:val="center"/>
              <w:rPr>
                <w:rFonts w:hint="eastAsia" w:ascii="宋体" w:hAnsi="宋体" w:eastAsia="宋体" w:cs="宋体"/>
                <w:b/>
                <w:bCs/>
                <w:color w:val="auto"/>
                <w:kern w:val="0"/>
                <w:sz w:val="21"/>
                <w:szCs w:val="21"/>
                <w:highlight w:val="none"/>
                <w:lang w:bidi="ar"/>
              </w:rPr>
            </w:pPr>
            <w:r>
              <w:rPr>
                <w:rFonts w:hint="eastAsia" w:ascii="宋体" w:hAnsi="宋体" w:eastAsia="宋体" w:cs="宋体"/>
                <w:b/>
                <w:bCs/>
                <w:color w:val="auto"/>
                <w:kern w:val="0"/>
                <w:sz w:val="21"/>
                <w:szCs w:val="21"/>
                <w:highlight w:val="none"/>
                <w:lang w:bidi="ar"/>
              </w:rPr>
              <w:t>基本任职条件</w:t>
            </w:r>
          </w:p>
        </w:tc>
        <w:tc>
          <w:tcPr>
            <w:tcW w:w="915"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D05A6C6">
            <w:pPr>
              <w:spacing w:before="0" w:after="0" w:line="240" w:lineRule="auto"/>
              <w:jc w:val="center"/>
              <w:rPr>
                <w:rFonts w:hint="eastAsia" w:ascii="宋体" w:hAnsi="宋体" w:eastAsia="宋体" w:cs="宋体"/>
                <w:b/>
                <w:bCs/>
                <w:color w:val="auto"/>
                <w:kern w:val="0"/>
                <w:sz w:val="21"/>
                <w:szCs w:val="21"/>
                <w:highlight w:val="none"/>
                <w:lang w:bidi="ar"/>
              </w:rPr>
            </w:pPr>
            <w:r>
              <w:rPr>
                <w:rFonts w:hint="eastAsia" w:ascii="宋体" w:hAnsi="宋体" w:eastAsia="宋体" w:cs="宋体"/>
                <w:b/>
                <w:bCs/>
                <w:color w:val="auto"/>
                <w:kern w:val="0"/>
                <w:sz w:val="21"/>
                <w:szCs w:val="21"/>
                <w:highlight w:val="none"/>
                <w:lang w:bidi="ar"/>
              </w:rPr>
              <w:t>备注</w:t>
            </w:r>
          </w:p>
        </w:tc>
      </w:tr>
      <w:tr w14:paraId="2D2C038A">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26A4287">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186DD6F">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施工指挥长</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DE99B20">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5F1167C">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应由施工方现任单位董事长（或总经理）的行政职务领导担任。</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CF85044">
            <w:pPr>
              <w:spacing w:before="0" w:after="0" w:line="240" w:lineRule="auto"/>
              <w:jc w:val="center"/>
              <w:rPr>
                <w:rFonts w:hint="eastAsia" w:ascii="宋体" w:hAnsi="宋体" w:eastAsia="宋体" w:cs="宋体"/>
                <w:color w:val="auto"/>
                <w:sz w:val="21"/>
                <w:szCs w:val="21"/>
                <w:highlight w:val="none"/>
              </w:rPr>
            </w:pPr>
          </w:p>
        </w:tc>
      </w:tr>
      <w:tr w14:paraId="5F07207A">
        <w:tblPrEx>
          <w:tblCellMar>
            <w:top w:w="0" w:type="dxa"/>
            <w:left w:w="108" w:type="dxa"/>
            <w:bottom w:w="0" w:type="dxa"/>
            <w:right w:w="108" w:type="dxa"/>
          </w:tblCellMar>
        </w:tblPrEx>
        <w:trPr>
          <w:trHeight w:val="875"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C909FE0">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3520694">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施工副指挥长</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CD32A11">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C01A0E5">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应由施工方现任单位领导班子副职或以上级别的领导担任，且应已任该职务满半年或以上。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5865F6A">
            <w:pPr>
              <w:spacing w:before="0" w:after="0" w:line="240" w:lineRule="auto"/>
              <w:jc w:val="center"/>
              <w:rPr>
                <w:rFonts w:hint="eastAsia" w:ascii="宋体" w:hAnsi="宋体" w:eastAsia="宋体" w:cs="宋体"/>
                <w:color w:val="auto"/>
                <w:sz w:val="21"/>
                <w:szCs w:val="21"/>
                <w:highlight w:val="none"/>
              </w:rPr>
            </w:pPr>
          </w:p>
        </w:tc>
      </w:tr>
      <w:tr w14:paraId="16DB282D">
        <w:tblPrEx>
          <w:tblCellMar>
            <w:top w:w="0" w:type="dxa"/>
            <w:left w:w="108" w:type="dxa"/>
            <w:bottom w:w="0" w:type="dxa"/>
            <w:right w:w="108" w:type="dxa"/>
          </w:tblCellMar>
        </w:tblPrEx>
        <w:trPr>
          <w:trHeight w:val="709"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F75C04A">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35E93CC">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项目负责人（兼施工负责人）</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E58ECCC">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4813954">
            <w:pPr>
              <w:spacing w:before="0" w:after="0" w:line="240" w:lineRule="auto"/>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（按招标公告要求）</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C814905">
            <w:pPr>
              <w:spacing w:before="0" w:after="0" w:line="240" w:lineRule="auto"/>
              <w:jc w:val="center"/>
              <w:rPr>
                <w:rFonts w:hint="eastAsia" w:ascii="宋体" w:hAnsi="宋体" w:eastAsia="宋体" w:cs="宋体"/>
                <w:color w:val="auto"/>
                <w:sz w:val="21"/>
                <w:szCs w:val="21"/>
                <w:highlight w:val="none"/>
              </w:rPr>
            </w:pPr>
          </w:p>
        </w:tc>
      </w:tr>
      <w:tr w14:paraId="4CB4DA44">
        <w:tblPrEx>
          <w:tblCellMar>
            <w:top w:w="0" w:type="dxa"/>
            <w:left w:w="108" w:type="dxa"/>
            <w:bottom w:w="0" w:type="dxa"/>
            <w:right w:w="108" w:type="dxa"/>
          </w:tblCellMar>
        </w:tblPrEx>
        <w:trPr>
          <w:trHeight w:val="783"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0A0F447">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9C82EE4">
            <w:pPr>
              <w:spacing w:before="0" w:after="0" w:line="240" w:lineRule="auto"/>
              <w:ind w:firstLine="210" w:firstLineChars="100"/>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项目副经理</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FBBDEA2">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558C5B8">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具备一级注册建造师执业资格，具有工作经验8年或以上。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9A5E7A7">
            <w:pPr>
              <w:spacing w:before="0" w:after="0" w:line="240" w:lineRule="auto"/>
              <w:jc w:val="center"/>
              <w:rPr>
                <w:rFonts w:hint="eastAsia" w:ascii="宋体" w:hAnsi="宋体" w:eastAsia="宋体" w:cs="宋体"/>
                <w:color w:val="auto"/>
                <w:sz w:val="21"/>
                <w:szCs w:val="21"/>
                <w:highlight w:val="none"/>
              </w:rPr>
            </w:pPr>
          </w:p>
        </w:tc>
      </w:tr>
      <w:tr w14:paraId="18566672">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126526C">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634CC68">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项目生产经理</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2927D15">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8D57D85">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具有土木工程类中级或以上技术职称，具有工8年或以上。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13D50ED">
            <w:pPr>
              <w:spacing w:before="0" w:after="0" w:line="240" w:lineRule="auto"/>
              <w:jc w:val="center"/>
              <w:rPr>
                <w:rFonts w:hint="eastAsia" w:ascii="宋体" w:hAnsi="宋体" w:eastAsia="宋体" w:cs="宋体"/>
                <w:color w:val="auto"/>
                <w:sz w:val="21"/>
                <w:szCs w:val="21"/>
                <w:highlight w:val="none"/>
              </w:rPr>
            </w:pPr>
          </w:p>
        </w:tc>
      </w:tr>
      <w:tr w14:paraId="0F2BB53E">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5A4EECB">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369B13E">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施工技术负责人</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8C18D02">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44B7EBC">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（按招标公告要求）</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F49D98C">
            <w:pPr>
              <w:spacing w:before="0" w:after="0" w:line="240" w:lineRule="auto"/>
              <w:jc w:val="center"/>
              <w:rPr>
                <w:rFonts w:hint="eastAsia" w:ascii="宋体" w:hAnsi="宋体" w:eastAsia="宋体" w:cs="宋体"/>
                <w:color w:val="auto"/>
                <w:sz w:val="21"/>
                <w:szCs w:val="21"/>
                <w:highlight w:val="none"/>
              </w:rPr>
            </w:pPr>
          </w:p>
        </w:tc>
      </w:tr>
      <w:tr w14:paraId="5602562A">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AD4B5C9">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D4EA494">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安全负责人</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D0CA352">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8E26DCF">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具有中级注册安全工程师和土木工程类中级或以上技术职称，具有在有效期内的安全生产考核合格证（</w:t>
            </w:r>
            <w:r>
              <w:rPr>
                <w:rFonts w:ascii="宋体" w:hAnsi="宋体" w:eastAsia="宋体" w:cs="宋体"/>
                <w:color w:val="auto"/>
                <w:kern w:val="0"/>
                <w:sz w:val="21"/>
                <w:szCs w:val="21"/>
                <w:highlight w:val="none"/>
                <w:lang w:bidi="ar"/>
              </w:rPr>
              <w:t>C类）或</w:t>
            </w:r>
            <w:r>
              <w:rPr>
                <w:rFonts w:hint="eastAsia" w:ascii="宋体" w:hAnsi="宋体" w:eastAsia="宋体" w:cs="宋体"/>
                <w:color w:val="auto"/>
                <w:kern w:val="0"/>
                <w:sz w:val="21"/>
                <w:szCs w:val="21"/>
                <w:highlight w:val="none"/>
                <w:lang w:bidi="ar"/>
              </w:rPr>
              <w:t>建筑施工企业专职安全生产管理人员安全生产考核合格证书</w:t>
            </w:r>
            <w:r>
              <w:rPr>
                <w:rFonts w:ascii="宋体" w:hAnsi="宋体" w:eastAsia="宋体" w:cs="宋体"/>
                <w:color w:val="auto"/>
                <w:kern w:val="0"/>
                <w:sz w:val="21"/>
                <w:szCs w:val="21"/>
                <w:highlight w:val="none"/>
                <w:lang w:bidi="ar"/>
              </w:rPr>
              <w:t>。具有安全生产管理经验5年或以上。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19B8320">
            <w:pPr>
              <w:spacing w:before="0" w:after="0" w:line="240" w:lineRule="auto"/>
              <w:jc w:val="center"/>
              <w:rPr>
                <w:rFonts w:hint="eastAsia" w:ascii="宋体" w:hAnsi="宋体" w:eastAsia="宋体" w:cs="宋体"/>
                <w:color w:val="auto"/>
                <w:sz w:val="21"/>
                <w:szCs w:val="21"/>
                <w:highlight w:val="none"/>
              </w:rPr>
            </w:pPr>
          </w:p>
        </w:tc>
      </w:tr>
      <w:tr w14:paraId="75488CCA">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2B0668B">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45AC1CE">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资料主管</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8C9D77A">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25C1C6B">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工程类相关专业大专以上学历，具有资料员岗位证书或培训证，具有工作经验5年或以上。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2BAF814">
            <w:pPr>
              <w:spacing w:before="0" w:after="0" w:line="240" w:lineRule="auto"/>
              <w:jc w:val="center"/>
              <w:rPr>
                <w:rFonts w:hint="eastAsia" w:ascii="宋体" w:hAnsi="宋体" w:eastAsia="宋体" w:cs="宋体"/>
                <w:color w:val="auto"/>
                <w:sz w:val="21"/>
                <w:szCs w:val="21"/>
                <w:highlight w:val="none"/>
              </w:rPr>
            </w:pPr>
          </w:p>
          <w:p w14:paraId="09CC14D9">
            <w:pPr>
              <w:spacing w:before="0" w:after="0" w:line="240" w:lineRule="auto"/>
              <w:jc w:val="center"/>
              <w:rPr>
                <w:rFonts w:hint="eastAsia" w:ascii="宋体" w:hAnsi="宋体" w:eastAsia="宋体" w:cs="宋体"/>
                <w:color w:val="auto"/>
                <w:sz w:val="21"/>
                <w:szCs w:val="21"/>
                <w:highlight w:val="none"/>
              </w:rPr>
            </w:pPr>
          </w:p>
        </w:tc>
      </w:tr>
      <w:tr w14:paraId="529BE6C6">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B4E17EB">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DF879FE">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商务经理</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06D0D91">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2AE5D1A">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具备一级注册造价工程师执业资格（或注册造价工程师执业资格），具有工作经验5年或以上。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63677B9">
            <w:pPr>
              <w:spacing w:before="0" w:after="0" w:line="240" w:lineRule="auto"/>
              <w:jc w:val="center"/>
              <w:rPr>
                <w:rFonts w:hint="eastAsia" w:ascii="宋体" w:hAnsi="宋体" w:eastAsia="宋体" w:cs="宋体"/>
                <w:color w:val="auto"/>
                <w:sz w:val="21"/>
                <w:szCs w:val="21"/>
                <w:highlight w:val="none"/>
              </w:rPr>
            </w:pPr>
          </w:p>
        </w:tc>
      </w:tr>
      <w:tr w14:paraId="196F9A64">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1F1095B">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700B037">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造价工程师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07504BF">
            <w:pPr>
              <w:widowControl/>
              <w:jc w:val="center"/>
              <w:textAlignment w:val="center"/>
              <w:rPr>
                <w:rFonts w:hint="eastAsia" w:ascii="宋体" w:hAnsi="宋体" w:eastAsia="宋体" w:cs="宋体"/>
                <w:strike/>
                <w:color w:val="auto"/>
                <w:kern w:val="0"/>
                <w:sz w:val="21"/>
                <w:szCs w:val="21"/>
                <w:highlight w:val="none"/>
                <w:lang w:bidi="ar"/>
              </w:rPr>
            </w:pPr>
            <w:r>
              <w:rPr>
                <w:rFonts w:hint="eastAsia" w:ascii="宋体" w:hAnsi="宋体" w:eastAsia="宋体" w:cs="宋体"/>
                <w:color w:val="auto"/>
                <w:kern w:val="0"/>
                <w:sz w:val="21"/>
                <w:szCs w:val="21"/>
                <w:highlight w:val="none"/>
                <w:lang w:bidi="ar"/>
              </w:rPr>
              <w:t>3</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443FA44">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具备一级注册造价工程师执业资格（或注册造价工程师执业资格），具有工作经验5年或以上。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EE4C53E">
            <w:pPr>
              <w:spacing w:before="0" w:after="0" w:line="240" w:lineRule="auto"/>
              <w:jc w:val="center"/>
              <w:rPr>
                <w:rFonts w:hint="eastAsia" w:ascii="宋体" w:hAnsi="宋体" w:eastAsia="宋体" w:cs="宋体"/>
                <w:color w:val="auto"/>
                <w:sz w:val="21"/>
                <w:szCs w:val="21"/>
                <w:highlight w:val="none"/>
              </w:rPr>
            </w:pPr>
          </w:p>
        </w:tc>
      </w:tr>
      <w:tr w14:paraId="2B3A16BA">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982B103">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5CDB341">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质量负责人</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F62A56C">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670EDCA">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具有土木工程类高级或以上技术职称，具有工作经验5年或以上。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55F11CA">
            <w:pPr>
              <w:spacing w:before="0" w:after="0" w:line="240" w:lineRule="auto"/>
              <w:jc w:val="center"/>
              <w:rPr>
                <w:rFonts w:hint="eastAsia" w:ascii="宋体" w:hAnsi="宋体" w:eastAsia="宋体" w:cs="宋体"/>
                <w:color w:val="auto"/>
                <w:sz w:val="21"/>
                <w:szCs w:val="21"/>
                <w:highlight w:val="none"/>
              </w:rPr>
            </w:pPr>
          </w:p>
        </w:tc>
      </w:tr>
      <w:tr w14:paraId="037C2BBD">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E8694B7">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C0424B2">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专职安全员</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6009004">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EA1AAA4">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（按招标公告要求）</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B1C3076">
            <w:pPr>
              <w:spacing w:before="0" w:after="0" w:line="240" w:lineRule="auto"/>
              <w:jc w:val="center"/>
              <w:rPr>
                <w:rFonts w:hint="eastAsia" w:ascii="宋体" w:hAnsi="宋体" w:eastAsia="宋体" w:cs="宋体"/>
                <w:color w:val="auto"/>
                <w:sz w:val="21"/>
                <w:szCs w:val="21"/>
                <w:highlight w:val="none"/>
              </w:rPr>
            </w:pPr>
          </w:p>
        </w:tc>
      </w:tr>
      <w:tr w14:paraId="193D9693">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DA6915B">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A232388">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安全员</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116D939">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2</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49817C0">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具有在有效期内的安全生产考核合格证（C 类）或建筑施工企业专职安全生产管理人员安全生产考核合格证书。</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9D41BDC">
            <w:pPr>
              <w:spacing w:before="0" w:after="0" w:line="240" w:lineRule="auto"/>
              <w:jc w:val="center"/>
              <w:rPr>
                <w:rFonts w:hint="eastAsia" w:ascii="宋体" w:hAnsi="宋体" w:eastAsia="宋体" w:cs="宋体"/>
                <w:color w:val="auto"/>
                <w:sz w:val="21"/>
                <w:szCs w:val="21"/>
                <w:highlight w:val="none"/>
              </w:rPr>
            </w:pPr>
          </w:p>
        </w:tc>
      </w:tr>
      <w:tr w14:paraId="3F0B667C">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AC63C19">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1FC7BD9">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土建工程师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E281BE8">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3</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3C37896">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所学专业或职称为土建类相关专业，具有中级或以上技术职称，具有工作经验8年或以上。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CF5DC26">
            <w:pPr>
              <w:spacing w:before="0" w:after="0" w:line="240" w:lineRule="auto"/>
              <w:jc w:val="center"/>
              <w:rPr>
                <w:rFonts w:hint="eastAsia" w:ascii="宋体" w:hAnsi="宋体" w:eastAsia="宋体" w:cs="宋体"/>
                <w:color w:val="auto"/>
                <w:sz w:val="21"/>
                <w:szCs w:val="21"/>
                <w:highlight w:val="none"/>
              </w:rPr>
            </w:pPr>
          </w:p>
        </w:tc>
      </w:tr>
      <w:tr w14:paraId="3056A3BB">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367843B">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5489577">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精装工程师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C9ABB63">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713B7E9">
            <w:pPr>
              <w:rPr>
                <w:rFonts w:hint="eastAsia"/>
                <w:color w:val="auto"/>
                <w:highlight w:val="none"/>
              </w:rPr>
            </w:pPr>
            <w:r>
              <w:rPr>
                <w:rFonts w:hint="eastAsia" w:ascii="宋体" w:hAnsi="宋体" w:eastAsia="宋体" w:cs="宋体"/>
                <w:color w:val="auto"/>
                <w:kern w:val="0"/>
                <w:sz w:val="21"/>
                <w:szCs w:val="21"/>
                <w:highlight w:val="none"/>
                <w:lang w:bidi="ar"/>
              </w:rPr>
              <w:t>所学专业或职称为建筑工程类相关专业，具备中级或以上技术职称。</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A830B56">
            <w:pPr>
              <w:spacing w:before="0" w:after="0" w:line="240" w:lineRule="auto"/>
              <w:jc w:val="center"/>
              <w:rPr>
                <w:rFonts w:hint="eastAsia" w:ascii="宋体" w:hAnsi="宋体" w:eastAsia="宋体" w:cs="宋体"/>
                <w:color w:val="auto"/>
                <w:sz w:val="21"/>
                <w:szCs w:val="21"/>
                <w:highlight w:val="none"/>
              </w:rPr>
            </w:pPr>
          </w:p>
        </w:tc>
      </w:tr>
      <w:tr w14:paraId="0EAD841A">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6D40D56">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0104BE6">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园林工程师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C3C7E1C">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7BEE3EC">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具有工程类中级或以上技术职称。</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13A8FDB">
            <w:pPr>
              <w:spacing w:before="0" w:after="0" w:line="240" w:lineRule="auto"/>
              <w:jc w:val="center"/>
              <w:rPr>
                <w:rFonts w:hint="eastAsia" w:ascii="宋体" w:hAnsi="宋体" w:eastAsia="宋体" w:cs="宋体"/>
                <w:color w:val="auto"/>
                <w:sz w:val="21"/>
                <w:szCs w:val="21"/>
                <w:highlight w:val="none"/>
              </w:rPr>
            </w:pPr>
          </w:p>
        </w:tc>
      </w:tr>
      <w:tr w14:paraId="7D04EA10">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1B18E1F">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3A60957">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电气工程师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3C10C6D">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0065F73">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所学专业或职称为机电类相关专业，工程类中级或以上技术职称，具有工作经验8年或以上。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F88C546">
            <w:pPr>
              <w:spacing w:before="0" w:after="0" w:line="240" w:lineRule="auto"/>
              <w:jc w:val="center"/>
              <w:rPr>
                <w:rFonts w:hint="eastAsia" w:ascii="宋体" w:hAnsi="宋体" w:eastAsia="宋体" w:cs="宋体"/>
                <w:color w:val="auto"/>
                <w:sz w:val="21"/>
                <w:szCs w:val="21"/>
                <w:highlight w:val="none"/>
              </w:rPr>
            </w:pPr>
          </w:p>
        </w:tc>
      </w:tr>
      <w:tr w14:paraId="1D12796E">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0946DA2">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93EC994">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给排水工程师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8C7F18F">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98AB6AB">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所学专业或职称为给排水类相关专业，具有中级或以上技术职称，具有工作经验8年或以上。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98E8F0B">
            <w:pPr>
              <w:spacing w:before="0" w:after="0" w:line="240" w:lineRule="auto"/>
              <w:jc w:val="center"/>
              <w:rPr>
                <w:rFonts w:hint="eastAsia" w:ascii="宋体" w:hAnsi="宋体" w:eastAsia="宋体" w:cs="宋体"/>
                <w:color w:val="auto"/>
                <w:sz w:val="21"/>
                <w:szCs w:val="21"/>
                <w:highlight w:val="none"/>
              </w:rPr>
            </w:pPr>
          </w:p>
        </w:tc>
      </w:tr>
      <w:tr w14:paraId="003E2CBE">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8C94208">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BF71B47">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通风空调工程师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1DE3BA0">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5A231E1">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所学专业或职称为机电类相关专业，具有中级或以上技术职称，具有工作经验8年或以上。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A606CE4">
            <w:pPr>
              <w:spacing w:before="0" w:after="0" w:line="240" w:lineRule="auto"/>
              <w:jc w:val="center"/>
              <w:rPr>
                <w:rFonts w:hint="eastAsia" w:ascii="宋体" w:hAnsi="宋体" w:eastAsia="宋体" w:cs="宋体"/>
                <w:color w:val="auto"/>
                <w:sz w:val="21"/>
                <w:szCs w:val="21"/>
                <w:highlight w:val="none"/>
              </w:rPr>
            </w:pPr>
          </w:p>
        </w:tc>
      </w:tr>
      <w:tr w14:paraId="2A888109">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C471431">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DDE8B38">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智能化工程师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D8FCF77">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116E643">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所学专业或职称为机电类相关专业，具有中级或以上技术职称，具有工作经验8年或以上。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68C96F9">
            <w:pPr>
              <w:spacing w:before="0" w:after="0" w:line="240" w:lineRule="auto"/>
              <w:jc w:val="center"/>
              <w:rPr>
                <w:rFonts w:hint="eastAsia" w:ascii="宋体" w:hAnsi="宋体" w:eastAsia="宋体" w:cs="宋体"/>
                <w:color w:val="auto"/>
                <w:sz w:val="21"/>
                <w:szCs w:val="21"/>
                <w:highlight w:val="none"/>
              </w:rPr>
            </w:pPr>
          </w:p>
        </w:tc>
      </w:tr>
      <w:tr w14:paraId="6CEEC69A">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1CB010C">
            <w:pPr>
              <w:pStyle w:val="63"/>
              <w:widowControl/>
              <w:numPr>
                <w:ilvl w:val="0"/>
                <w:numId w:val="30"/>
              </w:numPr>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3F40DD6">
            <w:pPr>
              <w:widowControl/>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市政工程师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4C3BAD5">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3E37365">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所学专业或职称为给市政类相关专业，具有中级或以上技术职称，具有工作经验8年或以上。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7CEA077">
            <w:pPr>
              <w:spacing w:before="0" w:after="0" w:line="240" w:lineRule="auto"/>
              <w:jc w:val="center"/>
              <w:rPr>
                <w:rFonts w:hint="eastAsia" w:ascii="宋体" w:hAnsi="宋体" w:eastAsia="宋体" w:cs="宋体"/>
                <w:strike/>
                <w:color w:val="auto"/>
                <w:sz w:val="21"/>
                <w:szCs w:val="21"/>
                <w:highlight w:val="none"/>
                <w:shd w:val="clear" w:color="auto" w:fill="FFFF00"/>
              </w:rPr>
            </w:pPr>
          </w:p>
        </w:tc>
      </w:tr>
      <w:tr w14:paraId="7635E6EA">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F45E5D4">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78EAE6F">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测量工程师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7C6CFEA">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122F396">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所学专业或职称为测量专业，具有中级或 以上技术职称，具有工作经验5年或以上。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4E7A871">
            <w:pPr>
              <w:spacing w:before="0" w:after="0" w:line="240" w:lineRule="auto"/>
              <w:jc w:val="center"/>
              <w:rPr>
                <w:rFonts w:hint="eastAsia" w:ascii="宋体" w:hAnsi="宋体" w:eastAsia="宋体" w:cs="宋体"/>
                <w:color w:val="auto"/>
                <w:sz w:val="21"/>
                <w:szCs w:val="21"/>
                <w:highlight w:val="none"/>
              </w:rPr>
            </w:pPr>
          </w:p>
        </w:tc>
      </w:tr>
      <w:tr w14:paraId="501D7632">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CE8A68E">
            <w:pPr>
              <w:pStyle w:val="63"/>
              <w:numPr>
                <w:ilvl w:val="0"/>
                <w:numId w:val="30"/>
              </w:numPr>
              <w:spacing w:before="0" w:after="0" w:line="240" w:lineRule="auto"/>
              <w:ind w:firstLineChars="0"/>
              <w:jc w:val="center"/>
              <w:rPr>
                <w:rFonts w:hint="eastAsia" w:ascii="宋体" w:hAnsi="宋体" w:eastAsia="宋体" w:cs="宋体"/>
                <w:strike/>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44A5FB0">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计划管理工程师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445D56E">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619A56B">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工程类相关专业大专以上学历，具备工程 类中级或以上技术职称，具有工作经验5年或以上。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0EBC625">
            <w:pPr>
              <w:spacing w:before="0" w:after="0" w:line="240" w:lineRule="auto"/>
              <w:jc w:val="center"/>
              <w:rPr>
                <w:rFonts w:hint="eastAsia" w:ascii="宋体" w:hAnsi="宋体" w:eastAsia="宋体" w:cs="宋体"/>
                <w:strike/>
                <w:color w:val="auto"/>
                <w:sz w:val="21"/>
                <w:szCs w:val="21"/>
                <w:highlight w:val="none"/>
              </w:rPr>
            </w:pPr>
          </w:p>
        </w:tc>
      </w:tr>
      <w:tr w14:paraId="02887242">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54C4691">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A3BD975">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BIM工程师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5121A7F">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28F4E6F">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具备工程类相关专业大专以上学历，具有完整项目BIM管理经验。</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EC0B910">
            <w:pPr>
              <w:spacing w:before="0" w:after="0" w:line="240" w:lineRule="auto"/>
              <w:jc w:val="center"/>
              <w:rPr>
                <w:rFonts w:hint="eastAsia" w:ascii="宋体" w:hAnsi="宋体" w:eastAsia="宋体" w:cs="宋体"/>
                <w:color w:val="auto"/>
                <w:sz w:val="21"/>
                <w:szCs w:val="21"/>
                <w:highlight w:val="none"/>
              </w:rPr>
            </w:pPr>
          </w:p>
        </w:tc>
      </w:tr>
      <w:tr w14:paraId="0A9D45DD">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794007A">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3E33280">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材料管理工程师</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E150B61">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8624887">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工程类相关专业大专以上学历，具备工程类中级或以上技术职称，具有工作经验5年或以上。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D853709">
            <w:pPr>
              <w:spacing w:before="0" w:after="0" w:line="240" w:lineRule="auto"/>
              <w:jc w:val="center"/>
              <w:rPr>
                <w:rFonts w:hint="eastAsia" w:ascii="宋体" w:hAnsi="宋体" w:eastAsia="宋体" w:cs="宋体"/>
                <w:color w:val="auto"/>
                <w:sz w:val="21"/>
                <w:szCs w:val="21"/>
                <w:highlight w:val="none"/>
              </w:rPr>
            </w:pPr>
          </w:p>
        </w:tc>
      </w:tr>
      <w:tr w14:paraId="17E139F2">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E8DF0D9">
            <w:pPr>
              <w:pStyle w:val="63"/>
              <w:numPr>
                <w:ilvl w:val="0"/>
                <w:numId w:val="30"/>
              </w:numPr>
              <w:spacing w:before="0" w:after="0" w:line="240" w:lineRule="auto"/>
              <w:ind w:firstLineChars="0"/>
              <w:jc w:val="center"/>
              <w:rPr>
                <w:rFonts w:hint="eastAsia" w:ascii="宋体" w:hAnsi="宋体" w:eastAsia="宋体" w:cs="宋体"/>
                <w:strike/>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65D8C33">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施工员</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DD8526D">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2EDEE788">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工程类相关专业大专以上学历，具有施工员岗位证书或培训证。</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8650E45">
            <w:pPr>
              <w:spacing w:before="0" w:after="0" w:line="240" w:lineRule="auto"/>
              <w:jc w:val="center"/>
              <w:rPr>
                <w:rFonts w:hint="eastAsia" w:ascii="宋体" w:hAnsi="宋体" w:eastAsia="宋体" w:cs="宋体"/>
                <w:color w:val="auto"/>
                <w:sz w:val="21"/>
                <w:szCs w:val="21"/>
                <w:highlight w:val="none"/>
              </w:rPr>
            </w:pPr>
          </w:p>
        </w:tc>
      </w:tr>
      <w:tr w14:paraId="13F19A2F">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678BA54">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090F1F2">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HSE 管理人员</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39EAB0D">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3</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5914FF44">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工程类相关专业大专以上学历，具有施工员岗位证书或培训证。具有在有效期内的安全生产考核合格证（C类）具有HSE管理经验3年或以上。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591C2F9">
            <w:pPr>
              <w:spacing w:before="0" w:after="0" w:line="240" w:lineRule="auto"/>
              <w:jc w:val="center"/>
              <w:rPr>
                <w:rFonts w:hint="eastAsia" w:ascii="宋体" w:hAnsi="宋体" w:eastAsia="宋体" w:cs="宋体"/>
                <w:color w:val="auto"/>
                <w:sz w:val="21"/>
                <w:szCs w:val="21"/>
                <w:highlight w:val="none"/>
              </w:rPr>
            </w:pPr>
          </w:p>
        </w:tc>
      </w:tr>
      <w:tr w14:paraId="77747EE3">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6B4BABE">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E6CD14E">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质量员</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FA685B6">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2</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26471ED">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工程类相关专业大专以上学历和土木工程类中级职称，具有质量员岗位证书或培训证。具有质量管理经验3年或以上。</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27396FF">
            <w:pPr>
              <w:spacing w:before="0" w:after="0" w:line="240" w:lineRule="auto"/>
              <w:jc w:val="center"/>
              <w:rPr>
                <w:rFonts w:hint="eastAsia" w:ascii="宋体" w:hAnsi="宋体" w:eastAsia="宋体" w:cs="宋体"/>
                <w:color w:val="auto"/>
                <w:sz w:val="21"/>
                <w:szCs w:val="21"/>
                <w:highlight w:val="none"/>
              </w:rPr>
            </w:pPr>
          </w:p>
        </w:tc>
      </w:tr>
      <w:tr w14:paraId="53BFA0C6">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B34CAE4">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358738E">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资料员</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3355E98D">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2</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1ED8D55">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工程类相关专业大专以上学历，具有资料员岗位证书或培训证。</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153B7D2">
            <w:pPr>
              <w:spacing w:before="0" w:after="0" w:line="240" w:lineRule="auto"/>
              <w:jc w:val="center"/>
              <w:rPr>
                <w:rFonts w:hint="eastAsia" w:ascii="宋体" w:hAnsi="宋体" w:eastAsia="宋体" w:cs="宋体"/>
                <w:color w:val="auto"/>
                <w:sz w:val="21"/>
                <w:szCs w:val="21"/>
                <w:highlight w:val="none"/>
              </w:rPr>
            </w:pPr>
          </w:p>
        </w:tc>
      </w:tr>
      <w:tr w14:paraId="4103C14F">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7987A039">
            <w:pPr>
              <w:pStyle w:val="63"/>
              <w:numPr>
                <w:ilvl w:val="0"/>
                <w:numId w:val="30"/>
              </w:numPr>
              <w:spacing w:before="0" w:after="0" w:line="240" w:lineRule="auto"/>
              <w:ind w:firstLineChars="0"/>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31A91CE">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材料员</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D5889A5">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1</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8A53172">
            <w:pPr>
              <w:widowControl/>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工程类相关专业大专以上学历，具有材料员岗位证书或培训证。</w:t>
            </w: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1466A63A">
            <w:pPr>
              <w:spacing w:before="0" w:after="0" w:line="240" w:lineRule="auto"/>
              <w:jc w:val="center"/>
              <w:rPr>
                <w:rFonts w:hint="eastAsia" w:ascii="宋体" w:hAnsi="宋体" w:eastAsia="宋体" w:cs="宋体"/>
                <w:color w:val="auto"/>
                <w:sz w:val="21"/>
                <w:szCs w:val="21"/>
                <w:highlight w:val="none"/>
              </w:rPr>
            </w:pPr>
          </w:p>
        </w:tc>
      </w:tr>
      <w:tr w14:paraId="7E3B803C">
        <w:tblPrEx>
          <w:tblCellMar>
            <w:top w:w="0" w:type="dxa"/>
            <w:left w:w="108" w:type="dxa"/>
            <w:bottom w:w="0" w:type="dxa"/>
            <w:right w:w="108" w:type="dxa"/>
          </w:tblCellMar>
        </w:tblPrEx>
        <w:trPr>
          <w:trHeight w:val="454" w:hRule="atLeast"/>
          <w:jc w:val="center"/>
        </w:trPr>
        <w:tc>
          <w:tcPr>
            <w:tcW w:w="630" w:type="dxa"/>
            <w:tcBorders>
              <w:top w:val="single" w:color="000000"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81BBD0E">
            <w:pPr>
              <w:spacing w:before="0" w:after="0" w:line="240" w:lineRule="auto"/>
              <w:jc w:val="center"/>
              <w:rPr>
                <w:rFonts w:hint="eastAsia" w:ascii="宋体" w:hAnsi="宋体" w:eastAsia="宋体" w:cs="宋体"/>
                <w:color w:val="auto"/>
                <w:kern w:val="0"/>
                <w:sz w:val="21"/>
                <w:szCs w:val="21"/>
                <w:highlight w:val="none"/>
                <w:lang w:bidi="ar"/>
              </w:rPr>
            </w:pPr>
          </w:p>
        </w:tc>
        <w:tc>
          <w:tcPr>
            <w:tcW w:w="190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B309541">
            <w:pPr>
              <w:spacing w:before="0" w:after="0" w:line="240" w:lineRule="auto"/>
              <w:jc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小计</w:t>
            </w:r>
          </w:p>
        </w:tc>
        <w:tc>
          <w:tcPr>
            <w:tcW w:w="64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41DAD048">
            <w:pPr>
              <w:widowControl/>
              <w:jc w:val="center"/>
              <w:textAlignment w:val="center"/>
              <w:rPr>
                <w:rFonts w:hint="eastAsia" w:ascii="宋体" w:hAnsi="宋体" w:eastAsia="宋体" w:cs="宋体"/>
                <w:color w:val="auto"/>
                <w:kern w:val="0"/>
                <w:sz w:val="21"/>
                <w:szCs w:val="21"/>
                <w:highlight w:val="none"/>
                <w:lang w:bidi="ar"/>
              </w:rPr>
            </w:pPr>
            <w:r>
              <w:rPr>
                <w:rFonts w:hint="eastAsia" w:ascii="宋体" w:hAnsi="宋体" w:eastAsia="宋体" w:cs="宋体"/>
                <w:color w:val="auto"/>
                <w:kern w:val="0"/>
                <w:sz w:val="21"/>
                <w:szCs w:val="21"/>
                <w:highlight w:val="none"/>
                <w:lang w:bidi="ar"/>
              </w:rPr>
              <w:t>39</w:t>
            </w:r>
          </w:p>
        </w:tc>
        <w:tc>
          <w:tcPr>
            <w:tcW w:w="5100"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027522C4">
            <w:pPr>
              <w:spacing w:before="0" w:after="0" w:line="240" w:lineRule="auto"/>
              <w:rPr>
                <w:rFonts w:hint="eastAsia" w:ascii="宋体" w:hAnsi="宋体" w:eastAsia="宋体" w:cs="宋体"/>
                <w:color w:val="auto"/>
                <w:kern w:val="0"/>
                <w:sz w:val="21"/>
                <w:szCs w:val="21"/>
                <w:highlight w:val="none"/>
                <w:lang w:bidi="ar"/>
              </w:rPr>
            </w:pPr>
          </w:p>
        </w:tc>
        <w:tc>
          <w:tcPr>
            <w:tcW w:w="915" w:type="dxa"/>
            <w:tcBorders>
              <w:top w:val="single" w:color="CBCDD1" w:sz="6" w:space="0"/>
              <w:left w:val="single" w:color="000000" w:sz="6" w:space="0"/>
              <w:bottom w:val="single" w:color="000000" w:sz="6" w:space="0"/>
              <w:right w:val="single" w:color="000000" w:sz="6" w:space="0"/>
            </w:tcBorders>
            <w:tcMar>
              <w:top w:w="0" w:type="dxa"/>
              <w:left w:w="108" w:type="dxa"/>
              <w:bottom w:w="0" w:type="dxa"/>
              <w:right w:w="108" w:type="dxa"/>
            </w:tcMar>
            <w:vAlign w:val="center"/>
          </w:tcPr>
          <w:p w14:paraId="62C36D0D">
            <w:pPr>
              <w:spacing w:before="0" w:after="0" w:line="240" w:lineRule="auto"/>
              <w:jc w:val="center"/>
              <w:rPr>
                <w:rFonts w:hint="eastAsia" w:ascii="宋体" w:hAnsi="宋体" w:eastAsia="宋体" w:cs="宋体"/>
                <w:color w:val="auto"/>
                <w:sz w:val="21"/>
                <w:szCs w:val="21"/>
                <w:highlight w:val="none"/>
              </w:rPr>
            </w:pPr>
          </w:p>
        </w:tc>
      </w:tr>
    </w:tbl>
    <w:p w14:paraId="4BB37FF2">
      <w:pPr>
        <w:spacing w:before="0" w:after="0" w:line="240" w:lineRule="auto"/>
        <w:jc w:val="center"/>
        <w:rPr>
          <w:rFonts w:hint="eastAsia" w:ascii="宋体" w:hAnsi="宋体" w:eastAsia="宋体" w:cs="宋体"/>
          <w:color w:val="auto"/>
          <w:highlight w:val="none"/>
        </w:rPr>
      </w:pPr>
    </w:p>
    <w:p w14:paraId="40405462">
      <w:pPr>
        <w:spacing w:before="0" w:after="0" w:line="360" w:lineRule="auto"/>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注：（1）人员工作经验时间从毕业时间起计。</w:t>
      </w:r>
    </w:p>
    <w:p w14:paraId="7EF21BE6">
      <w:pPr>
        <w:numPr>
          <w:ilvl w:val="0"/>
          <w:numId w:val="31"/>
        </w:numPr>
        <w:snapToGrid/>
        <w:spacing w:before="0" w:after="0" w:line="360" w:lineRule="auto"/>
        <w:ind w:firstLine="420" w:firstLineChars="200"/>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级注册造价工程师是指根据住房城乡建设部、交通运输部、水利部、人力资源社会保障部发布的《造价工程师职业资格制度规定》、《造价工程师职业资格考试实施办法》（建人［2018］67号）取得的一级造价工程师职业资格，并经注册且在有效期内。按照《造价工程师职业资格制度规定》的规定，根据原人事部、原建设部发布的《造价工程师执业资格制度暂行规定》（人发[1996]77号)取得的造价工程师执业资格，并经注册且在有效期内的，等同于一级注册造价工程师。</w:t>
      </w:r>
    </w:p>
    <w:p w14:paraId="292540C4">
      <w:pPr>
        <w:numPr>
          <w:ilvl w:val="0"/>
          <w:numId w:val="31"/>
        </w:numPr>
        <w:snapToGrid/>
        <w:spacing w:before="0" w:after="0" w:line="360" w:lineRule="auto"/>
        <w:ind w:firstLine="420" w:firstLineChars="200"/>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上表人员均要求为投标单位正式职工，即指在投标单位已购买发布招标公告前一个月或以上社保的在职人员，须同时提供社保证明。除特别约定外，各岗位人员不得相互兼职。</w:t>
      </w:r>
    </w:p>
    <w:p w14:paraId="15325C93">
      <w:pPr>
        <w:numPr>
          <w:ilvl w:val="0"/>
          <w:numId w:val="31"/>
        </w:numPr>
        <w:snapToGrid/>
        <w:spacing w:before="0" w:after="0" w:line="360" w:lineRule="auto"/>
        <w:ind w:firstLine="420" w:firstLineChars="200"/>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上表管理人员在项目建设期间要求必须只服务于本项目，不得出现在本项目以外的其他项目兼职的情况。</w:t>
      </w:r>
    </w:p>
    <w:p w14:paraId="48161DD0">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10.2 人员进场管理</w:t>
      </w:r>
    </w:p>
    <w:p w14:paraId="13828710">
      <w:pPr>
        <w:spacing w:before="0" w:after="0" w:line="360" w:lineRule="auto"/>
        <w:ind w:firstLine="424" w:firstLineChars="177"/>
        <w:rPr>
          <w:rFonts w:hint="eastAsia" w:ascii="宋体" w:hAnsi="宋体" w:eastAsia="宋体" w:cs="宋体"/>
          <w:color w:val="auto"/>
          <w:sz w:val="24"/>
          <w:highlight w:val="none"/>
          <w:shd w:val="clear" w:color="auto" w:fill="ED41FD"/>
        </w:rPr>
      </w:pPr>
      <w:r>
        <w:rPr>
          <w:rFonts w:hint="eastAsia" w:ascii="宋体" w:hAnsi="宋体" w:eastAsia="宋体" w:cs="宋体"/>
          <w:color w:val="auto"/>
          <w:sz w:val="24"/>
          <w:highlight w:val="none"/>
        </w:rPr>
        <w:t>除合同条款另有约定外，承包人应在接到开工通知后7天内，向监理人提交承包人项目管理机构及施工现场人员安排的报告，其内容应包括合同管理、施工、技术、材料、质量、安全、财务等主要施工管理人员名单及其岗位、注册执业资格等，以及各工种技术工人的安排情况，并同时提交主要施工管理人员与承包人之间的劳动关系证明和缴纳社会保险的有效证明，安全、质量管理岗位系列人员须接受发包人面试、考核，符合发包人要求者方能正式上岗。特殊工种作业人员均应持有相应的资格证明，并报监理单位审核。</w:t>
      </w:r>
    </w:p>
    <w:p w14:paraId="118423C4">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10.3 人员变更管理</w:t>
      </w:r>
    </w:p>
    <w:p w14:paraId="155CDD76">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承包人派驻到施工现场的主要施工管理人员应相对稳定。施工过程中如有变动，承包人应及时向监理人提交施工现场人员变动情况的报告。承包人更换主要施工管理人员时，应提前7天书面通知监理人，并征得发包人书面同意。通知中应当载明继任人员的注册执业资格、管理经验等资料。承包人擅自更换主要施工管理人员，应按照合同条款约定承担违约责任。</w:t>
      </w:r>
    </w:p>
    <w:p w14:paraId="26A8C7BE">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项目经理更换如存在下列情形之一的，将被拒绝1年内参与发包人后续工程投标:</w:t>
      </w:r>
    </w:p>
    <w:p w14:paraId="34038FA1">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10.3.1 承包人委派的项目经理长期不到位（即连续三个月或以上达不到合同约定的出勤率）。</w:t>
      </w:r>
    </w:p>
    <w:p w14:paraId="07A9D188">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10.3.2 承包人自行调换或未按照发包人要求及时更换项目经理的。</w:t>
      </w:r>
    </w:p>
    <w:p w14:paraId="18D8112C">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经发包人同意撤换的项目经理，自撤换之日起半年内，该项目经理不得再作为发包人后续招标项目时拟委派项目管理机构的项目经理。</w:t>
      </w:r>
    </w:p>
    <w:p w14:paraId="34177264">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10.4 人员撤换管理</w:t>
      </w:r>
    </w:p>
    <w:p w14:paraId="028C4305">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发包人对于承包人主要施工管理人员的资格或能力有异议的，承包人应提供资料证明被质疑人员有能力完成其岗位工作或不存在发包人所质疑的情形。发包人要求撤换不能按照合同约定履行职责及义务的主要施工管理人员的，承包人应当撤换。承包人无正当理由拒绝撤换的，应按照合同条款的约定承担违约责任。</w:t>
      </w:r>
    </w:p>
    <w:p w14:paraId="59F3BE61">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10.5 人员请销假管理</w:t>
      </w:r>
    </w:p>
    <w:p w14:paraId="76DB657B">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按合同条款约定执行。</w:t>
      </w:r>
    </w:p>
    <w:p w14:paraId="59D11326">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10.6 人员配合管理</w:t>
      </w:r>
    </w:p>
    <w:p w14:paraId="44D86F32">
      <w:pPr>
        <w:spacing w:before="0" w:after="0" w:line="360" w:lineRule="auto"/>
        <w:ind w:firstLine="424" w:firstLineChars="177"/>
        <w:rPr>
          <w:rFonts w:hint="eastAsia" w:ascii="宋体" w:hAnsi="宋体" w:eastAsia="宋体" w:cs="宋体"/>
          <w:color w:val="auto"/>
          <w:sz w:val="24"/>
          <w:highlight w:val="none"/>
        </w:rPr>
      </w:pPr>
      <w:r>
        <w:rPr>
          <w:rFonts w:hint="eastAsia" w:ascii="宋体" w:hAnsi="宋体" w:eastAsia="宋体" w:cs="宋体"/>
          <w:color w:val="auto"/>
          <w:sz w:val="24"/>
          <w:highlight w:val="none"/>
        </w:rPr>
        <w:t>承包人须配备交通保障设施用于现场人员的协调管理、对外联系、报批报验等工作，相关费用应包含在投标费用中。</w:t>
      </w:r>
    </w:p>
    <w:p w14:paraId="3E2EBB90">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11、主要施工机械设备要求</w:t>
      </w:r>
    </w:p>
    <w:p w14:paraId="21DE5A75">
      <w:pPr>
        <w:spacing w:before="0" w:after="0"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highlight w:val="none"/>
        </w:rPr>
        <w:t>11.1 配备基本要求</w:t>
      </w:r>
    </w:p>
    <w:p w14:paraId="6A40F77E">
      <w:pPr>
        <w:spacing w:before="0" w:after="0" w:line="360" w:lineRule="auto"/>
        <w:ind w:firstLine="424" w:firstLineChars="177"/>
        <w:rPr>
          <w:rFonts w:hint="eastAsia" w:ascii="宋体" w:hAnsi="宋体" w:eastAsia="宋体" w:cs="宋体"/>
          <w:color w:val="auto"/>
          <w:highlight w:val="none"/>
        </w:rPr>
      </w:pPr>
      <w:r>
        <w:rPr>
          <w:rFonts w:hint="eastAsia" w:ascii="宋体" w:hAnsi="宋体" w:eastAsia="宋体" w:cs="宋体"/>
          <w:color w:val="auto"/>
          <w:sz w:val="24"/>
          <w:highlight w:val="none"/>
        </w:rPr>
        <w:t xml:space="preserve">本项目需投入的施工机械基本要求详见下表。投标人需根据本项目工程的特点，结合本企业的实力和资源情况配备，配备要求如下： </w:t>
      </w:r>
    </w:p>
    <w:p w14:paraId="5963976E">
      <w:pPr>
        <w:spacing w:before="0" w:after="0" w:line="240" w:lineRule="auto"/>
        <w:jc w:val="center"/>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主要施工机械设备要求</w:t>
      </w:r>
    </w:p>
    <w:tbl>
      <w:tblPr>
        <w:tblStyle w:val="42"/>
        <w:tblW w:w="0" w:type="auto"/>
        <w:jc w:val="center"/>
        <w:tblLayout w:type="fixed"/>
        <w:tblCellMar>
          <w:top w:w="0" w:type="dxa"/>
          <w:left w:w="108" w:type="dxa"/>
          <w:bottom w:w="0" w:type="dxa"/>
          <w:right w:w="108" w:type="dxa"/>
        </w:tblCellMar>
      </w:tblPr>
      <w:tblGrid>
        <w:gridCol w:w="873"/>
        <w:gridCol w:w="2433"/>
        <w:gridCol w:w="1947"/>
        <w:gridCol w:w="3540"/>
      </w:tblGrid>
      <w:tr w14:paraId="04388961">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5CB53E10">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序号</w:t>
            </w:r>
          </w:p>
        </w:tc>
        <w:tc>
          <w:tcPr>
            <w:tcW w:w="243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01AC341">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设备、材料名称</w:t>
            </w:r>
          </w:p>
        </w:tc>
        <w:tc>
          <w:tcPr>
            <w:tcW w:w="1947"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DC16D7B">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数量</w:t>
            </w:r>
          </w:p>
        </w:tc>
        <w:tc>
          <w:tcPr>
            <w:tcW w:w="3540"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5091CB7E">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备注</w:t>
            </w:r>
          </w:p>
        </w:tc>
      </w:tr>
      <w:tr w14:paraId="54E59A6B">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7FAF13C">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1</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105379B">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塔吊</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033009E">
            <w:pPr>
              <w:pStyle w:val="14"/>
              <w:ind w:firstLine="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w:t>
            </w:r>
            <w:r>
              <w:rPr>
                <w:rFonts w:hint="eastAsia" w:ascii="宋体" w:hAnsi="宋体" w:eastAsia="宋体" w:cs="宋体"/>
                <w:color w:val="auto"/>
                <w:szCs w:val="21"/>
                <w:highlight w:val="none"/>
                <w:u w:val="single"/>
              </w:rPr>
              <w:t xml:space="preserve"> 3</w:t>
            </w:r>
            <w:r>
              <w:rPr>
                <w:rFonts w:hint="eastAsia" w:ascii="宋体" w:hAnsi="宋体" w:eastAsia="宋体" w:cs="宋体"/>
                <w:color w:val="auto"/>
                <w:szCs w:val="21"/>
                <w:highlight w:val="none"/>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FAB4F91">
            <w:pPr>
              <w:spacing w:before="0" w:after="0" w:line="240" w:lineRule="auto"/>
              <w:rPr>
                <w:rFonts w:hint="eastAsia" w:ascii="宋体" w:hAnsi="宋体" w:eastAsia="宋体" w:cs="宋体"/>
                <w:color w:val="auto"/>
                <w:sz w:val="21"/>
                <w:highlight w:val="none"/>
              </w:rPr>
            </w:pPr>
            <w:r>
              <w:rPr>
                <w:rFonts w:hint="eastAsia" w:ascii="宋体" w:hAnsi="宋体" w:eastAsia="宋体" w:cs="宋体"/>
                <w:color w:val="auto"/>
                <w:sz w:val="21"/>
                <w:highlight w:val="none"/>
              </w:rPr>
              <w:t>1、按平面图合理排布，同时满足地下室范围材料运输及装配式构件的吊装需求。</w:t>
            </w:r>
          </w:p>
          <w:p w14:paraId="2A1840ED">
            <w:pPr>
              <w:spacing w:before="0" w:after="0" w:line="240" w:lineRule="auto"/>
              <w:rPr>
                <w:rFonts w:hint="eastAsia" w:ascii="宋体" w:hAnsi="宋体" w:eastAsia="宋体" w:cs="宋体"/>
                <w:color w:val="auto"/>
                <w:sz w:val="21"/>
                <w:highlight w:val="none"/>
              </w:rPr>
            </w:pPr>
            <w:r>
              <w:rPr>
                <w:rFonts w:hint="eastAsia" w:ascii="宋体" w:hAnsi="宋体" w:eastAsia="宋体" w:cs="宋体"/>
                <w:color w:val="auto"/>
                <w:sz w:val="21"/>
                <w:highlight w:val="none"/>
              </w:rPr>
              <w:t>2、塔吊出厂至报装之日起不能超过24个月。</w:t>
            </w:r>
          </w:p>
          <w:p w14:paraId="7F7F7E63">
            <w:pPr>
              <w:spacing w:before="0" w:after="0" w:line="240" w:lineRule="auto"/>
              <w:rPr>
                <w:rFonts w:hint="eastAsia" w:ascii="宋体" w:hAnsi="宋体" w:eastAsia="宋体" w:cs="宋体"/>
                <w:color w:val="auto"/>
                <w:sz w:val="21"/>
                <w:highlight w:val="none"/>
              </w:rPr>
            </w:pPr>
            <w:r>
              <w:rPr>
                <w:rFonts w:hint="eastAsia" w:ascii="宋体" w:hAnsi="宋体" w:eastAsia="宋体" w:cs="宋体"/>
                <w:color w:val="auto"/>
                <w:sz w:val="21"/>
                <w:highlight w:val="none"/>
              </w:rPr>
              <w:t>3、严禁使用事故塔吊、大修塔吊、套牌塔吊等存在异常的塔吊。</w:t>
            </w:r>
          </w:p>
          <w:p w14:paraId="5920A84E">
            <w:pPr>
              <w:spacing w:before="0" w:after="0" w:line="240" w:lineRule="auto"/>
              <w:rPr>
                <w:rFonts w:hint="eastAsia"/>
                <w:color w:val="auto"/>
                <w:highlight w:val="none"/>
              </w:rPr>
            </w:pPr>
            <w:r>
              <w:rPr>
                <w:rFonts w:hint="eastAsia" w:ascii="宋体" w:hAnsi="宋体" w:eastAsia="宋体" w:cs="宋体"/>
                <w:color w:val="auto"/>
                <w:sz w:val="21"/>
                <w:highlight w:val="none"/>
              </w:rPr>
              <w:t>4、标准节内塔吊司机上下的爬梯，应选择之字形楼梯，避免使用垂直爬梯。</w:t>
            </w:r>
          </w:p>
        </w:tc>
      </w:tr>
      <w:tr w14:paraId="70C4145F">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761CBCC">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2</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DD40B2E">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冲孔桩机</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5ABDB4C8">
            <w:pPr>
              <w:pStyle w:val="14"/>
              <w:ind w:firstLine="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w:t>
            </w:r>
            <w:r>
              <w:rPr>
                <w:rFonts w:hint="eastAsia" w:ascii="宋体" w:hAnsi="宋体" w:eastAsia="宋体" w:cs="宋体"/>
                <w:color w:val="auto"/>
                <w:szCs w:val="21"/>
                <w:highlight w:val="none"/>
                <w:u w:val="single"/>
              </w:rPr>
              <w:t xml:space="preserve">10 </w:t>
            </w:r>
            <w:r>
              <w:rPr>
                <w:rFonts w:hint="eastAsia" w:ascii="宋体" w:hAnsi="宋体" w:eastAsia="宋体" w:cs="宋体"/>
                <w:color w:val="auto"/>
                <w:szCs w:val="21"/>
                <w:highlight w:val="none"/>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ACD4B07">
            <w:pPr>
              <w:spacing w:before="0" w:after="0" w:line="240" w:lineRule="auto"/>
              <w:rPr>
                <w:rFonts w:hint="eastAsia" w:ascii="宋体" w:hAnsi="宋体" w:eastAsia="宋体" w:cs="宋体"/>
                <w:color w:val="auto"/>
                <w:highlight w:val="none"/>
              </w:rPr>
            </w:pPr>
            <w:r>
              <w:rPr>
                <w:rFonts w:hint="eastAsia" w:ascii="宋体" w:hAnsi="宋体" w:eastAsia="宋体" w:cs="宋体"/>
                <w:color w:val="auto"/>
                <w:sz w:val="21"/>
                <w:highlight w:val="none"/>
              </w:rPr>
              <w:t>现场必须配备20个备用锤，满足阶段性进度需求</w:t>
            </w:r>
          </w:p>
        </w:tc>
      </w:tr>
      <w:tr w14:paraId="69A1852B">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2D4E6FA2">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3</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51D5BB7">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旋挖桩机</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254485B">
            <w:pPr>
              <w:pStyle w:val="14"/>
              <w:ind w:firstLine="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w:t>
            </w:r>
            <w:r>
              <w:rPr>
                <w:rFonts w:hint="eastAsia" w:ascii="宋体" w:hAnsi="宋体" w:eastAsia="宋体" w:cs="宋体"/>
                <w:color w:val="auto"/>
                <w:szCs w:val="21"/>
                <w:highlight w:val="none"/>
                <w:u w:val="single"/>
              </w:rPr>
              <w:t xml:space="preserve">4 </w:t>
            </w:r>
            <w:r>
              <w:rPr>
                <w:rFonts w:hint="eastAsia" w:ascii="宋体" w:hAnsi="宋体" w:eastAsia="宋体" w:cs="宋体"/>
                <w:color w:val="auto"/>
                <w:szCs w:val="21"/>
                <w:highlight w:val="none"/>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668B2D6">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满足阶段性进度需求</w:t>
            </w:r>
          </w:p>
        </w:tc>
      </w:tr>
      <w:tr w14:paraId="3F247338">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47EC31F">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4</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E1069CF">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三轴搅拌桩</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6B7F342">
            <w:pPr>
              <w:pStyle w:val="14"/>
              <w:ind w:firstLine="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w:t>
            </w:r>
            <w:r>
              <w:rPr>
                <w:rFonts w:hint="eastAsia" w:ascii="宋体" w:hAnsi="宋体" w:eastAsia="宋体" w:cs="宋体"/>
                <w:color w:val="auto"/>
                <w:szCs w:val="21"/>
                <w:highlight w:val="none"/>
                <w:u w:val="single"/>
              </w:rPr>
              <w:t>2</w:t>
            </w:r>
            <w:r>
              <w:rPr>
                <w:rFonts w:hint="eastAsia" w:ascii="宋体" w:hAnsi="宋体" w:eastAsia="宋体" w:cs="宋体"/>
                <w:color w:val="auto"/>
                <w:szCs w:val="21"/>
                <w:highlight w:val="none"/>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29FBE246">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满足阶段性进度需求</w:t>
            </w:r>
          </w:p>
        </w:tc>
      </w:tr>
      <w:tr w14:paraId="5FD6B37D">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464F25F">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5</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5FB32E35">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静压桩机</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8007F4B">
            <w:pPr>
              <w:pStyle w:val="14"/>
              <w:ind w:firstLine="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w:t>
            </w:r>
            <w:r>
              <w:rPr>
                <w:rFonts w:hint="eastAsia" w:ascii="宋体" w:hAnsi="宋体" w:eastAsia="宋体" w:cs="宋体"/>
                <w:color w:val="auto"/>
                <w:szCs w:val="21"/>
                <w:highlight w:val="none"/>
                <w:u w:val="single"/>
              </w:rPr>
              <w:t>2</w:t>
            </w:r>
            <w:r>
              <w:rPr>
                <w:rFonts w:hint="eastAsia" w:ascii="宋体" w:hAnsi="宋体" w:eastAsia="宋体" w:cs="宋体"/>
                <w:color w:val="auto"/>
                <w:szCs w:val="21"/>
                <w:highlight w:val="none"/>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6204A7F">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满足阶段性进度需求</w:t>
            </w:r>
          </w:p>
        </w:tc>
      </w:tr>
      <w:tr w14:paraId="45257C08">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AB0BBF2">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6</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926FE37">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锚索钻孔机</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7F372DF">
            <w:pPr>
              <w:pStyle w:val="14"/>
              <w:ind w:firstLine="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w:t>
            </w:r>
            <w:r>
              <w:rPr>
                <w:rFonts w:hint="eastAsia" w:ascii="宋体" w:hAnsi="宋体" w:eastAsia="宋体" w:cs="宋体"/>
                <w:color w:val="auto"/>
                <w:szCs w:val="21"/>
                <w:highlight w:val="none"/>
                <w:u w:val="single"/>
              </w:rPr>
              <w:t>5</w:t>
            </w:r>
            <w:r>
              <w:rPr>
                <w:rFonts w:hint="eastAsia" w:ascii="宋体" w:hAnsi="宋体" w:eastAsia="宋体" w:cs="宋体"/>
                <w:color w:val="auto"/>
                <w:szCs w:val="21"/>
                <w:highlight w:val="none"/>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18ACEA0">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满足阶段性进度需求</w:t>
            </w:r>
          </w:p>
        </w:tc>
      </w:tr>
      <w:tr w14:paraId="62AB830D">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A1429AE">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7</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28FD74D">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挖掘机（PC200以上）</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3434557">
            <w:pPr>
              <w:widowControl/>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w:t>
            </w:r>
            <w:r>
              <w:rPr>
                <w:rFonts w:hint="eastAsia" w:ascii="宋体" w:hAnsi="宋体" w:eastAsia="宋体" w:cs="宋体"/>
                <w:color w:val="auto"/>
                <w:szCs w:val="21"/>
                <w:highlight w:val="none"/>
                <w:u w:val="single"/>
              </w:rPr>
              <w:t>5</w:t>
            </w:r>
            <w:r>
              <w:rPr>
                <w:rFonts w:hint="eastAsia" w:ascii="宋体" w:hAnsi="宋体" w:eastAsia="宋体" w:cs="宋体"/>
                <w:color w:val="auto"/>
                <w:kern w:val="0"/>
                <w:szCs w:val="21"/>
                <w:highlight w:val="none"/>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26C8066E">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满足土方开挖阶段性进度需求</w:t>
            </w:r>
          </w:p>
        </w:tc>
      </w:tr>
      <w:tr w14:paraId="794CA877">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8CF6270">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8</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7003EEC">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双笼施工电梯</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5F7AD493">
            <w:pPr>
              <w:pStyle w:val="14"/>
              <w:ind w:firstLine="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不少于5台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639FA86">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施工电梯出厂至报装之日起不能超过24个月，满足每个单体一台</w:t>
            </w:r>
          </w:p>
        </w:tc>
      </w:tr>
      <w:tr w14:paraId="61444771">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CE7C981">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9</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32A1F79">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模板及支撑体系（不含地下室）</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20634FA">
            <w:pPr>
              <w:pStyle w:val="14"/>
              <w:ind w:firstLine="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不少于整层4套/栋</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732B5AB8">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确保满足结构进度要求</w:t>
            </w:r>
          </w:p>
        </w:tc>
      </w:tr>
      <w:tr w14:paraId="19D5E57E">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375AAF9">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10</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242CBBAB">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卫生间定型组装式钢模板</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3286536">
            <w:pPr>
              <w:pStyle w:val="14"/>
              <w:ind w:firstLine="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不少于整层2套/栋</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FBFBD82">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卫生间返坎砼与结构砼必须同时浇筑</w:t>
            </w:r>
          </w:p>
        </w:tc>
      </w:tr>
      <w:tr w14:paraId="2C94ED6F">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DD1CE44">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11</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4E2E916">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地下室模板及支撑体系</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014B76E">
            <w:pPr>
              <w:pStyle w:val="14"/>
              <w:ind w:firstLine="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一次性投入</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35CDA08C">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必须确保满足进度要求</w:t>
            </w:r>
          </w:p>
        </w:tc>
      </w:tr>
      <w:tr w14:paraId="1339B5F4">
        <w:tblPrEx>
          <w:tblCellMar>
            <w:top w:w="0" w:type="dxa"/>
            <w:left w:w="108" w:type="dxa"/>
            <w:bottom w:w="0" w:type="dxa"/>
            <w:right w:w="108" w:type="dxa"/>
          </w:tblCellMar>
        </w:tblPrEx>
        <w:trPr>
          <w:trHeight w:val="567" w:hRule="atLeast"/>
          <w:jc w:val="center"/>
        </w:trPr>
        <w:tc>
          <w:tcPr>
            <w:tcW w:w="873" w:type="dxa"/>
            <w:tcBorders>
              <w:top w:val="single" w:color="000000"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686582E1">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12</w:t>
            </w:r>
          </w:p>
        </w:tc>
        <w:tc>
          <w:tcPr>
            <w:tcW w:w="2433"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195ADD7D">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单轴水泥搅拌桩机</w:t>
            </w:r>
          </w:p>
        </w:tc>
        <w:tc>
          <w:tcPr>
            <w:tcW w:w="1947"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4DEFBF87">
            <w:pPr>
              <w:pStyle w:val="14"/>
              <w:ind w:firstLine="220" w:firstLineChars="10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不少于</w:t>
            </w:r>
            <w:r>
              <w:rPr>
                <w:rFonts w:hint="eastAsia" w:ascii="宋体" w:hAnsi="宋体" w:eastAsia="宋体" w:cs="宋体"/>
                <w:color w:val="auto"/>
                <w:szCs w:val="21"/>
                <w:highlight w:val="none"/>
                <w:u w:val="single"/>
              </w:rPr>
              <w:t>2</w:t>
            </w:r>
            <w:r>
              <w:rPr>
                <w:rFonts w:hint="eastAsia" w:ascii="宋体" w:hAnsi="宋体" w:eastAsia="宋体" w:cs="宋体"/>
                <w:color w:val="auto"/>
                <w:szCs w:val="21"/>
                <w:highlight w:val="none"/>
              </w:rPr>
              <w:t>台</w:t>
            </w:r>
          </w:p>
        </w:tc>
        <w:tc>
          <w:tcPr>
            <w:tcW w:w="3540" w:type="dxa"/>
            <w:tcBorders>
              <w:top w:val="single" w:color="CBCDD1" w:sz="6" w:space="0"/>
              <w:left w:val="single" w:color="000000" w:sz="6" w:space="0"/>
              <w:bottom w:val="single" w:color="000000" w:sz="6" w:space="0"/>
              <w:right w:val="single" w:color="000000" w:sz="6" w:space="0"/>
            </w:tcBorders>
            <w:shd w:val="clear" w:color="auto" w:fill="FFFFFF"/>
            <w:tcMar>
              <w:top w:w="0" w:type="dxa"/>
              <w:left w:w="108" w:type="dxa"/>
              <w:bottom w:w="0" w:type="dxa"/>
              <w:right w:w="108" w:type="dxa"/>
            </w:tcMar>
            <w:vAlign w:val="center"/>
          </w:tcPr>
          <w:p w14:paraId="019383F3">
            <w:pPr>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sz w:val="21"/>
                <w:highlight w:val="none"/>
              </w:rPr>
              <w:t>满足阶段性进度需求</w:t>
            </w:r>
          </w:p>
        </w:tc>
      </w:tr>
    </w:tbl>
    <w:p w14:paraId="28061FB8">
      <w:pPr>
        <w:pStyle w:val="63"/>
        <w:spacing w:line="360" w:lineRule="auto"/>
        <w:ind w:left="960" w:leftChars="218" w:hanging="480" w:hangingChars="200"/>
        <w:rPr>
          <w:rFonts w:hint="eastAsia" w:ascii="宋体" w:hAnsi="宋体" w:eastAsia="宋体"/>
          <w:color w:val="auto"/>
          <w:sz w:val="24"/>
          <w:szCs w:val="24"/>
          <w:highlight w:val="none"/>
        </w:rPr>
      </w:pPr>
    </w:p>
    <w:p w14:paraId="0DFB9F2A">
      <w:pPr>
        <w:pStyle w:val="63"/>
        <w:spacing w:line="360" w:lineRule="auto"/>
        <w:ind w:left="960" w:leftChars="218" w:hanging="480" w:hangingChars="200"/>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注：</w:t>
      </w:r>
      <w:r>
        <w:rPr>
          <w:rFonts w:ascii="宋体" w:hAnsi="宋体" w:eastAsia="宋体"/>
          <w:color w:val="auto"/>
          <w:sz w:val="24"/>
          <w:szCs w:val="24"/>
          <w:highlight w:val="none"/>
        </w:rPr>
        <w:t>需配备熟练施工人员。塔吊司机、司索工、指挥工及人货梯司机需配备不少于3个班次的人员（</w:t>
      </w:r>
      <w:r>
        <w:rPr>
          <w:rFonts w:hint="eastAsia" w:ascii="宋体" w:hAnsi="宋体" w:eastAsia="宋体"/>
          <w:color w:val="auto"/>
          <w:sz w:val="24"/>
          <w:szCs w:val="24"/>
          <w:highlight w:val="none"/>
        </w:rPr>
        <w:t>三</w:t>
      </w:r>
      <w:r>
        <w:rPr>
          <w:rFonts w:ascii="宋体" w:hAnsi="宋体" w:eastAsia="宋体"/>
          <w:color w:val="auto"/>
          <w:sz w:val="24"/>
          <w:szCs w:val="24"/>
          <w:highlight w:val="none"/>
        </w:rPr>
        <w:t>班制）。</w:t>
      </w:r>
    </w:p>
    <w:p w14:paraId="0915CAC4">
      <w:pPr>
        <w:spacing w:before="0" w:after="0"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highlight w:val="none"/>
        </w:rPr>
        <w:t>11.2 管理基本要求</w:t>
      </w:r>
    </w:p>
    <w:p w14:paraId="24107B63">
      <w:pPr>
        <w:spacing w:before="0" w:after="0"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highlight w:val="none"/>
        </w:rPr>
        <w:t>11.2.1 承包人进场后必须按合同约定时间提交机械设备进场计划，确保机械设备来源可靠，按期进场。对于自有机械设备，承包人必须说明当前的使用情况及计划进场时间，必要时发包人有权组织现场核查；对于租凭机械设备，承包人必须随机械设备进场计划及租凭合同报发包人备案；对于新购机械设备，承包人必须随机械设备进场计划提供订购或采购合同报发包人备案。</w:t>
      </w:r>
    </w:p>
    <w:p w14:paraId="275A4D4F">
      <w:pPr>
        <w:spacing w:before="0" w:after="0" w:line="360" w:lineRule="auto"/>
        <w:ind w:firstLine="480" w:firstLineChars="200"/>
        <w:rPr>
          <w:rFonts w:hint="eastAsia" w:ascii="宋体" w:hAnsi="宋体" w:eastAsia="宋体" w:cs="宋体"/>
          <w:color w:val="auto"/>
          <w:highlight w:val="none"/>
        </w:rPr>
      </w:pPr>
      <w:r>
        <w:rPr>
          <w:rFonts w:hint="eastAsia" w:ascii="宋体" w:hAnsi="宋体" w:eastAsia="宋体" w:cs="宋体"/>
          <w:color w:val="auto"/>
          <w:sz w:val="24"/>
          <w:highlight w:val="none"/>
        </w:rPr>
        <w:t>11.2.2 承包人必须确保机械设备的性能良好，可正常使用。对于影响工程进度较大的主要机械设备，必须有一定备用量，确保在机械设备检修或维护期间，现场仍能正常施工，主要机械设备退场必须经监理工程师及业主同意方可退场，确保进度。</w:t>
      </w:r>
    </w:p>
    <w:p w14:paraId="4E54A4B4">
      <w:pPr>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11.2.3 为确保工程进度，承包人必须无条件增加机械设备的投入，除合同约定有赶工措施费外，发包人不另行增加相关费用。</w:t>
      </w:r>
    </w:p>
    <w:p w14:paraId="203F7D26">
      <w:pPr>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11.2.4塔吊、施工电梯等起重设备应每月至少维保2次，且塔吊、施工电梯等起重</w:t>
      </w:r>
      <w:bookmarkStart w:id="593" w:name="OLE_LINK21"/>
      <w:r>
        <w:rPr>
          <w:rFonts w:hint="eastAsia" w:ascii="宋体" w:hAnsi="宋体" w:eastAsia="宋体" w:cs="宋体"/>
          <w:color w:val="auto"/>
          <w:sz w:val="24"/>
          <w:highlight w:val="none"/>
        </w:rPr>
        <w:t>备除满足广州市建设主管部门要求装备的附属设备外，还应安装具有定点检修、巡查功能的设备或系统（如检到位、设备卫士等），由此产生的费用由承包人自行承担。</w:t>
      </w:r>
    </w:p>
    <w:p w14:paraId="3EB0DE3E">
      <w:pPr>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11.2.5塔吊、施工电梯除投入使用前需做第三方检测外，之后应每隔半年或台风等极端恶劣天气后做一次第三方检测，检测报告报监理人审查，相关费用应在投标时一并考虑。</w:t>
      </w:r>
    </w:p>
    <w:p w14:paraId="224AB649">
      <w:pPr>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11.2.6承包人应按照政府监管部门、业主方要求，积极配合台风等异常天气对塔吊、施工电梯等大型设备的管控举措，如加固、降节、二次检测等，由此产生的费用由承包人自行承担。</w:t>
      </w:r>
    </w:p>
    <w:bookmarkEnd w:id="593"/>
    <w:p w14:paraId="273FC61E">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bookmarkStart w:id="594" w:name="_Toc2059"/>
      <w:bookmarkStart w:id="595" w:name="_Toc12013"/>
      <w:bookmarkStart w:id="596" w:name="_Toc2081"/>
      <w:bookmarkStart w:id="597" w:name="_Toc6501"/>
      <w:bookmarkStart w:id="598" w:name="_Toc26418"/>
      <w:r>
        <w:rPr>
          <w:rFonts w:hint="eastAsia" w:ascii="宋体" w:hAnsi="宋体" w:eastAsia="宋体" w:cs="宋体"/>
          <w:b w:val="0"/>
          <w:bCs w:val="0"/>
          <w:snapToGrid w:val="0"/>
          <w:color w:val="auto"/>
          <w:kern w:val="0"/>
          <w:sz w:val="24"/>
          <w:szCs w:val="24"/>
          <w:highlight w:val="none"/>
        </w:rPr>
        <w:t>12、施工策划管理要求</w:t>
      </w:r>
      <w:bookmarkEnd w:id="594"/>
      <w:bookmarkEnd w:id="595"/>
      <w:bookmarkEnd w:id="596"/>
      <w:bookmarkEnd w:id="597"/>
      <w:bookmarkEnd w:id="598"/>
    </w:p>
    <w:p w14:paraId="54A03E32">
      <w:pPr>
        <w:snapToGrid/>
        <w:spacing w:before="0" w:after="0" w:line="360" w:lineRule="auto"/>
        <w:ind w:firstLine="426"/>
        <w:rPr>
          <w:rFonts w:hint="eastAsia" w:ascii="宋体" w:hAnsi="宋体" w:eastAsia="宋体" w:cs="宋体"/>
          <w:b/>
          <w:bCs/>
          <w:color w:val="auto"/>
          <w:spacing w:val="4"/>
          <w:sz w:val="24"/>
          <w:highlight w:val="none"/>
        </w:rPr>
      </w:pPr>
      <w:r>
        <w:rPr>
          <w:rFonts w:hint="eastAsia" w:ascii="宋体" w:hAnsi="宋体" w:eastAsia="宋体" w:cs="宋体"/>
          <w:color w:val="auto"/>
          <w:spacing w:val="4"/>
          <w:sz w:val="24"/>
          <w:highlight w:val="none"/>
        </w:rPr>
        <w:t>根据发包人要求完成项目管理策划，包括但不限于以下内容：项目投资控制评审、项目管理实施规划策划（承包人进场后1个月内完成）、项目创优策划（收到全套结构、建筑设计图纸后3个月内完成）、项目防水防渗漏策划（第一块垫层浇筑之前完成）、外立面施工管理策划（首栋塔楼出±0后1个月内完成）、精装策划（首栋塔楼第一个标准层拆模完成后1个月内）、机电安装策划（地下室顶板（不含后浇带）封闭完成1个月内）、园林景观施工策划（首栋塔楼封顶之前完成）、交付策划（所有塔楼封顶3个月内）。以上时间节点为暂定时间具体以发包人要求为准。以上策划经发包人、发包委托管理单位、监理单位以及专家评审通过后由承包人上报纸质盖章版到发包人处留档。发包人将在实施过程中对策划及深化内容进行监督查验，对于已经过审批的施工策划未能及时有效落地的，由承包人按照合同条款的约定承担违约责任，具体策划内容及要求详见附件《施工策划评审表》，策划完成及评审具体时间以发包人要求为准。</w:t>
      </w:r>
    </w:p>
    <w:p w14:paraId="227EE114">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13、样板管理要求</w:t>
      </w:r>
      <w:bookmarkStart w:id="599" w:name="OLE_LINK1"/>
    </w:p>
    <w:p w14:paraId="788D78BB">
      <w:pPr>
        <w:pStyle w:val="63"/>
        <w:numPr>
          <w:ilvl w:val="1"/>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样板实施基本要求</w:t>
      </w:r>
    </w:p>
    <w:p w14:paraId="665D8E2D">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全面施工前由承包人制定施工方案并选定样板施工的位置，报监理人、发包人审批。</w:t>
      </w:r>
    </w:p>
    <w:p w14:paraId="2E243216">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样板选用的原材料、构配件、设备等必须符合设计要求、国家和地方规范标准及合同约定。材料、构配件、设备进场应履行申报制度，提供产品合格证、材料质量检测报告及产品说明书，由监理人按有关规范要求见证取样。</w:t>
      </w:r>
    </w:p>
    <w:p w14:paraId="3DA23263">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样板施工质量应体现施工队伍的综合技术水平，经确定的样板施工人员应为该分项工程固定的施工人员，不得随意更换。监理人/发包人对样板操作过程进行监控，对关键点、关键部位进行旁站监督。</w:t>
      </w:r>
    </w:p>
    <w:p w14:paraId="1273C2E1">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样板完成后由承包人进行自检，做好记录，报监理人、发包人验收，验收合格后方可开始现场的全面施工。</w:t>
      </w:r>
    </w:p>
    <w:p w14:paraId="7E07ED14">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ascii="宋体" w:hAnsi="宋体" w:eastAsia="宋体" w:cs="宋体"/>
          <w:color w:val="auto"/>
          <w:spacing w:val="4"/>
          <w:sz w:val="24"/>
          <w:highlight w:val="none"/>
        </w:rPr>
        <w:t>承包人负责</w:t>
      </w:r>
      <w:r>
        <w:rPr>
          <w:rFonts w:hint="eastAsia" w:ascii="宋体" w:hAnsi="宋体" w:eastAsia="宋体" w:cs="宋体"/>
          <w:color w:val="auto"/>
          <w:spacing w:val="4"/>
          <w:sz w:val="24"/>
          <w:highlight w:val="none"/>
        </w:rPr>
        <w:t>项目样板实施的整体策划工作，负责</w:t>
      </w:r>
      <w:r>
        <w:rPr>
          <w:rFonts w:ascii="宋体" w:hAnsi="宋体" w:eastAsia="宋体" w:cs="宋体"/>
          <w:color w:val="auto"/>
          <w:spacing w:val="4"/>
          <w:sz w:val="24"/>
          <w:highlight w:val="none"/>
        </w:rPr>
        <w:t>自身承建范围内</w:t>
      </w:r>
      <w:r>
        <w:rPr>
          <w:rFonts w:hint="eastAsia" w:ascii="宋体" w:hAnsi="宋体" w:eastAsia="宋体" w:cs="宋体"/>
          <w:color w:val="auto"/>
          <w:spacing w:val="4"/>
          <w:sz w:val="24"/>
          <w:highlight w:val="none"/>
        </w:rPr>
        <w:t>工作内容</w:t>
      </w:r>
      <w:r>
        <w:rPr>
          <w:rFonts w:ascii="宋体" w:hAnsi="宋体" w:eastAsia="宋体" w:cs="宋体"/>
          <w:color w:val="auto"/>
          <w:spacing w:val="4"/>
          <w:sz w:val="24"/>
          <w:highlight w:val="none"/>
        </w:rPr>
        <w:t>的</w:t>
      </w:r>
      <w:r>
        <w:rPr>
          <w:rFonts w:hint="eastAsia" w:ascii="宋体" w:hAnsi="宋体" w:eastAsia="宋体" w:cs="宋体"/>
          <w:color w:val="auto"/>
          <w:spacing w:val="4"/>
          <w:sz w:val="24"/>
          <w:highlight w:val="none"/>
        </w:rPr>
        <w:t>样板实施</w:t>
      </w:r>
      <w:r>
        <w:rPr>
          <w:rFonts w:ascii="宋体" w:hAnsi="宋体" w:eastAsia="宋体" w:cs="宋体"/>
          <w:color w:val="auto"/>
          <w:spacing w:val="4"/>
          <w:sz w:val="24"/>
          <w:highlight w:val="none"/>
        </w:rPr>
        <w:t>工作，</w:t>
      </w:r>
      <w:r>
        <w:rPr>
          <w:rFonts w:hint="eastAsia" w:ascii="宋体" w:hAnsi="宋体" w:eastAsia="宋体" w:cs="宋体"/>
          <w:color w:val="auto"/>
          <w:spacing w:val="4"/>
          <w:sz w:val="24"/>
          <w:highlight w:val="none"/>
        </w:rPr>
        <w:t>并</w:t>
      </w:r>
      <w:r>
        <w:rPr>
          <w:rFonts w:ascii="宋体" w:hAnsi="宋体" w:eastAsia="宋体" w:cs="宋体"/>
          <w:color w:val="auto"/>
          <w:spacing w:val="4"/>
          <w:sz w:val="24"/>
          <w:highlight w:val="none"/>
        </w:rPr>
        <w:t>协调管理所需照管的</w:t>
      </w:r>
      <w:r>
        <w:rPr>
          <w:rFonts w:hint="eastAsia" w:ascii="宋体" w:hAnsi="宋体" w:eastAsia="宋体" w:cs="宋体"/>
          <w:color w:val="auto"/>
          <w:spacing w:val="4"/>
          <w:sz w:val="24"/>
          <w:highlight w:val="none"/>
        </w:rPr>
        <w:t>各类专业承包</w:t>
      </w:r>
      <w:r>
        <w:rPr>
          <w:rFonts w:ascii="宋体" w:hAnsi="宋体" w:eastAsia="宋体" w:cs="宋体"/>
          <w:color w:val="auto"/>
          <w:spacing w:val="4"/>
          <w:sz w:val="24"/>
          <w:highlight w:val="none"/>
        </w:rPr>
        <w:t>人的</w:t>
      </w:r>
      <w:r>
        <w:rPr>
          <w:rFonts w:hint="eastAsia" w:ascii="宋体" w:hAnsi="宋体" w:eastAsia="宋体" w:cs="宋体"/>
          <w:color w:val="auto"/>
          <w:spacing w:val="4"/>
          <w:sz w:val="24"/>
          <w:highlight w:val="none"/>
        </w:rPr>
        <w:t>样板实施</w:t>
      </w:r>
      <w:r>
        <w:rPr>
          <w:rFonts w:ascii="宋体" w:hAnsi="宋体" w:eastAsia="宋体" w:cs="宋体"/>
          <w:color w:val="auto"/>
          <w:spacing w:val="4"/>
          <w:sz w:val="24"/>
          <w:highlight w:val="none"/>
        </w:rPr>
        <w:t>工作</w:t>
      </w:r>
      <w:r>
        <w:rPr>
          <w:rFonts w:hint="eastAsia" w:ascii="宋体" w:hAnsi="宋体" w:eastAsia="宋体" w:cs="宋体"/>
          <w:color w:val="auto"/>
          <w:spacing w:val="4"/>
          <w:sz w:val="24"/>
          <w:highlight w:val="none"/>
        </w:rPr>
        <w:t>。</w:t>
      </w:r>
    </w:p>
    <w:p w14:paraId="111F1314">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本项目需要施工的样板清单详见《</w:t>
      </w:r>
      <w:r>
        <w:rPr>
          <w:rFonts w:ascii="宋体" w:hAnsi="宋体" w:eastAsia="宋体" w:cs="宋体"/>
          <w:color w:val="auto"/>
          <w:spacing w:val="4"/>
          <w:sz w:val="24"/>
          <w:highlight w:val="none"/>
        </w:rPr>
        <w:t>样板管理清单</w:t>
      </w:r>
      <w:r>
        <w:rPr>
          <w:rFonts w:hint="eastAsia" w:ascii="宋体" w:hAnsi="宋体" w:eastAsia="宋体" w:cs="宋体"/>
          <w:color w:val="auto"/>
          <w:spacing w:val="4"/>
          <w:sz w:val="24"/>
          <w:highlight w:val="none"/>
        </w:rPr>
        <w:t>》。</w:t>
      </w:r>
    </w:p>
    <w:p w14:paraId="702B8EA6">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参建单位进场后需按照《样板管理清单》编制本项目工程样板计划表并报监理人、发包人审批。</w:t>
      </w:r>
    </w:p>
    <w:p w14:paraId="520C72D6">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大</w:t>
      </w:r>
      <w:r>
        <w:rPr>
          <w:rFonts w:ascii="宋体" w:hAnsi="宋体" w:eastAsia="宋体" w:cs="宋体"/>
          <w:color w:val="auto"/>
          <w:spacing w:val="4"/>
          <w:sz w:val="24"/>
          <w:highlight w:val="none"/>
        </w:rPr>
        <w:t>面积开工前，工艺样板交底完成后，</w:t>
      </w:r>
      <w:r>
        <w:rPr>
          <w:rFonts w:hint="eastAsia" w:ascii="宋体" w:hAnsi="宋体" w:eastAsia="宋体" w:cs="宋体"/>
          <w:color w:val="auto"/>
          <w:spacing w:val="4"/>
          <w:sz w:val="24"/>
          <w:highlight w:val="none"/>
        </w:rPr>
        <w:t>再</w:t>
      </w:r>
      <w:r>
        <w:rPr>
          <w:rFonts w:ascii="宋体" w:hAnsi="宋体" w:eastAsia="宋体" w:cs="宋体"/>
          <w:color w:val="auto"/>
          <w:spacing w:val="4"/>
          <w:sz w:val="24"/>
          <w:highlight w:val="none"/>
        </w:rPr>
        <w:t>实体制作施工样板，施工样板经</w:t>
      </w:r>
      <w:r>
        <w:rPr>
          <w:rFonts w:hint="eastAsia" w:ascii="宋体" w:hAnsi="宋体" w:eastAsia="宋体" w:cs="宋体"/>
          <w:color w:val="auto"/>
          <w:spacing w:val="4"/>
          <w:sz w:val="24"/>
          <w:highlight w:val="none"/>
        </w:rPr>
        <w:t>监理人/发包人</w:t>
      </w:r>
      <w:r>
        <w:rPr>
          <w:rFonts w:ascii="宋体" w:hAnsi="宋体" w:eastAsia="宋体" w:cs="宋体"/>
          <w:color w:val="auto"/>
          <w:spacing w:val="4"/>
          <w:sz w:val="24"/>
          <w:highlight w:val="none"/>
        </w:rPr>
        <w:t>验收合格后，再进行大面积施工</w:t>
      </w:r>
      <w:r>
        <w:rPr>
          <w:rFonts w:hint="eastAsia" w:ascii="宋体" w:hAnsi="宋体" w:eastAsia="宋体" w:cs="宋体"/>
          <w:color w:val="auto"/>
          <w:spacing w:val="4"/>
          <w:sz w:val="24"/>
          <w:highlight w:val="none"/>
        </w:rPr>
        <w:t>，样板审核表格式详见《</w:t>
      </w:r>
      <w:r>
        <w:rPr>
          <w:rFonts w:ascii="宋体" w:hAnsi="宋体" w:eastAsia="宋体" w:cs="宋体"/>
          <w:color w:val="auto"/>
          <w:spacing w:val="4"/>
          <w:sz w:val="24"/>
          <w:highlight w:val="none"/>
        </w:rPr>
        <w:t>样板管理清单</w:t>
      </w:r>
      <w:r>
        <w:rPr>
          <w:rFonts w:hint="eastAsia" w:ascii="宋体" w:hAnsi="宋体" w:eastAsia="宋体" w:cs="宋体"/>
          <w:color w:val="auto"/>
          <w:spacing w:val="4"/>
          <w:sz w:val="24"/>
          <w:highlight w:val="none"/>
        </w:rPr>
        <w:t>》。</w:t>
      </w:r>
    </w:p>
    <w:p w14:paraId="429E5163">
      <w:pPr>
        <w:pStyle w:val="63"/>
        <w:numPr>
          <w:ilvl w:val="1"/>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样板管理要求</w:t>
      </w:r>
    </w:p>
    <w:p w14:paraId="4EA50E0B">
      <w:pPr>
        <w:snapToGrid/>
        <w:spacing w:before="0" w:after="0" w:line="360" w:lineRule="auto"/>
        <w:ind w:firstLine="42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本项目样板设置主要分为：</w:t>
      </w:r>
    </w:p>
    <w:p w14:paraId="2D1895FD">
      <w:pPr>
        <w:pStyle w:val="63"/>
        <w:numPr>
          <w:ilvl w:val="0"/>
          <w:numId w:val="33"/>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材料样板：要求设置材料封样间，样板间尺寸要符合发包人要求，保证所有主控材料百分百封样，达到材料品控管理的目的。</w:t>
      </w:r>
    </w:p>
    <w:p w14:paraId="233EC428">
      <w:pPr>
        <w:pStyle w:val="63"/>
        <w:numPr>
          <w:ilvl w:val="0"/>
          <w:numId w:val="33"/>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工艺展示样板;为工艺实体样板，项目主要工艺做法、重点控制节点，以节点模型的方式统一放置于户外的“展示样板区”，节点模型比例尺可根据实际情况进行调整；</w:t>
      </w:r>
    </w:p>
    <w:p w14:paraId="39F803AE">
      <w:pPr>
        <w:pStyle w:val="63"/>
        <w:numPr>
          <w:ilvl w:val="0"/>
          <w:numId w:val="33"/>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实体工序样板：每道工序开始施工的第一块区域，严格按照规范、图纸设计要求及交底进行施工。施工完成后由承包人、设计人、监理人、发包人共同进行验收，验收合格后按照样板标准进行大面积施工。有条件的情况下还需要保留工序工艺做法，形成工序样板展示间。</w:t>
      </w:r>
    </w:p>
    <w:p w14:paraId="7AB1F92F">
      <w:pPr>
        <w:pStyle w:val="63"/>
        <w:numPr>
          <w:ilvl w:val="0"/>
          <w:numId w:val="33"/>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大货样板：指在工序施工完成后，明确交付标准且无质量问题的建筑结构区域，即地下室、精装、外立面、景观园林大面施工前，按照交付标准首先完成一定范围的施工展示。由承包人、设计人、监理人、发包人共同进行验收，验收合格后按照样板标准进行大面积施工。</w:t>
      </w:r>
    </w:p>
    <w:p w14:paraId="18B16B26">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乙供材料看样定板</w:t>
      </w:r>
    </w:p>
    <w:p w14:paraId="69685A02">
      <w:pPr>
        <w:pStyle w:val="63"/>
        <w:numPr>
          <w:ilvl w:val="0"/>
          <w:numId w:val="34"/>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涉及观感类：承包人按施工进度节点提供样品，经发包人现场看样签认后进行进行封样留存，保证后期进场的材料与封样样品完全一致。</w:t>
      </w:r>
    </w:p>
    <w:p w14:paraId="6351EA52">
      <w:pPr>
        <w:pStyle w:val="63"/>
        <w:numPr>
          <w:ilvl w:val="0"/>
          <w:numId w:val="34"/>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非观感类：承包人采购的材料设备必须符合合同文件约定的规格、质量和性能，材料设备品牌选择范围应等同或相当于《主要设备材料推荐品牌表》并按看样定板制度里的申报附件要求提供资料，并经监理人审议后确定。</w:t>
      </w:r>
    </w:p>
    <w:p w14:paraId="589745B2">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工艺展示样板</w:t>
      </w:r>
    </w:p>
    <w:p w14:paraId="3E59ABCF">
      <w:pPr>
        <w:pStyle w:val="63"/>
        <w:numPr>
          <w:ilvl w:val="0"/>
          <w:numId w:val="35"/>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需按照发包人要求依据本项目设计图纸在现场制作全过程主要工序的工艺样板，根据项目工程特点在施工过程中或在施工现场划出一定范围的区域，做为样板展示区，样板区内的各专业工种细部构造均应以剖断面的形式展示。所有剖断面部位应有施工工艺标准说明、工艺流程说明、工序交接标准说明、常见的质量常见问题防治措施说明等。由此产生的任何费用发包人不另行补偿，且不得因此影响工程进度。</w:t>
      </w:r>
    </w:p>
    <w:p w14:paraId="1120FE7E">
      <w:pPr>
        <w:pStyle w:val="63"/>
        <w:numPr>
          <w:ilvl w:val="0"/>
          <w:numId w:val="35"/>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外墙装饰施工工程将按照要求进行上墙打样，样板位置及区域由发包人指定。承包人报价及施工组织安排时考虑此因素，后期若因外墙装饰上墙打样而产生的进度延误及所需费用均由承包人自行承担，后期不予进行费用调整且不得因此影响工程进度。</w:t>
      </w:r>
    </w:p>
    <w:p w14:paraId="39CFD688">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实体工序样板</w:t>
      </w:r>
    </w:p>
    <w:p w14:paraId="7565E011">
      <w:pPr>
        <w:pStyle w:val="63"/>
        <w:numPr>
          <w:ilvl w:val="0"/>
          <w:numId w:val="3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正式蓝图下发后30日内，承包人需结合项目自身质量管理实际的基础上，就做样类别及范围与发包人充分沟通，编制《工程样板清单及实施计划》，经监理人审核后方可实施。</w:t>
      </w:r>
    </w:p>
    <w:p w14:paraId="6051E303">
      <w:pPr>
        <w:pStyle w:val="63"/>
        <w:numPr>
          <w:ilvl w:val="0"/>
          <w:numId w:val="3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应在施工前为提前了解施工工序，统一施工工艺做法，确保大面积施工按要求顺利展开，应在每一分项工程施工前，进行样板的施工,在施工完成后经监理人验收并签确样板验收确认单，样板确认过程中的整改承包人需无条件配合，工程样板清单内的所有工序均需在样板确认单签确后实施。</w:t>
      </w:r>
    </w:p>
    <w:p w14:paraId="407EC73A">
      <w:pPr>
        <w:pStyle w:val="63"/>
        <w:numPr>
          <w:ilvl w:val="0"/>
          <w:numId w:val="3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实体工序样板包含但不限于：</w:t>
      </w:r>
    </w:p>
    <w:p w14:paraId="5AADCD71">
      <w:pPr>
        <w:pStyle w:val="63"/>
        <w:numPr>
          <w:ilvl w:val="0"/>
          <w:numId w:val="3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 xml:space="preserve">钢筋工程、混凝土工程（含模板工程）、砌体工程、抹灰工程、腻子工程、屋面工程、地下室底板（外墙）防水样板、CMC样板（若有）、室内地坪及楼梯踏步、机电工程、装饰装修工程（包括但不限于一个完整标准层、首层大堂、地下室电梯厅等）、园林工程（包括不限于铺装、乔木灌木草坪、铁艺、灯具、标识、垃圾桶）等。 </w:t>
      </w:r>
    </w:p>
    <w:p w14:paraId="58AF4BEE">
      <w:pPr>
        <w:pStyle w:val="63"/>
        <w:numPr>
          <w:ilvl w:val="0"/>
          <w:numId w:val="3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当每项实体工序样板中存在材料不同将引起工艺改变时，应分不同材料加做样板。特别说明，对于砌体/ALC样板除完成砌体/ALC外，尚应完成样板范围内所有机电专业管线、设备设施的安装工作（包括强弱电线管安装，强弱电箱安装，开关、插座及弱电设备底盒预埋，空调洞口预留，给排水管道安装），当受条件影响不能以实物安装时，应以同规格尺寸的替代物模拟安装完成。</w:t>
      </w:r>
    </w:p>
    <w:p w14:paraId="5800C82B">
      <w:pPr>
        <w:pStyle w:val="63"/>
        <w:numPr>
          <w:ilvl w:val="2"/>
          <w:numId w:val="3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大货样板</w:t>
      </w:r>
    </w:p>
    <w:p w14:paraId="310C0A3D">
      <w:pPr>
        <w:pStyle w:val="63"/>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大货样板主要包含五类：典型户型室内交付标准、大堂装饰交付标准、标准层电梯厅交付标准、外墙装饰样板、综合机电样板（地下室及公共区域）等其他发包人要求的内容。承包人须完成对应合同工程范围内的样板施工。</w:t>
      </w:r>
    </w:p>
    <w:p w14:paraId="35F1A03A">
      <w:pPr>
        <w:pStyle w:val="63"/>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交房标准样板的具体项目及数量如下表所示：</w:t>
      </w:r>
    </w:p>
    <w:tbl>
      <w:tblPr>
        <w:tblStyle w:val="42"/>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8"/>
        <w:gridCol w:w="2430"/>
        <w:gridCol w:w="5957"/>
      </w:tblGrid>
      <w:tr w14:paraId="75DA7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119C9149">
            <w:pPr>
              <w:pStyle w:val="21"/>
              <w:rPr>
                <w:rFonts w:hint="eastAsia"/>
                <w:b/>
                <w:bCs/>
                <w:highlight w:val="none"/>
              </w:rPr>
            </w:pPr>
            <w:r>
              <w:rPr>
                <w:rFonts w:hint="eastAsia"/>
                <w:b/>
                <w:bCs/>
                <w:highlight w:val="none"/>
              </w:rPr>
              <w:t>序号</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3E7E6A8C">
            <w:pPr>
              <w:pStyle w:val="21"/>
              <w:rPr>
                <w:rFonts w:hint="eastAsia"/>
                <w:b/>
                <w:bCs/>
                <w:highlight w:val="none"/>
              </w:rPr>
            </w:pPr>
            <w:r>
              <w:rPr>
                <w:rFonts w:hint="eastAsia"/>
                <w:b/>
                <w:bCs/>
                <w:highlight w:val="none"/>
              </w:rPr>
              <w:t>样板名称</w:t>
            </w:r>
          </w:p>
        </w:tc>
        <w:tc>
          <w:tcPr>
            <w:tcW w:w="3224" w:type="pct"/>
            <w:tcBorders>
              <w:top w:val="single" w:color="auto" w:sz="4" w:space="0"/>
              <w:left w:val="single" w:color="auto" w:sz="4" w:space="0"/>
              <w:bottom w:val="single" w:color="auto" w:sz="4" w:space="0"/>
              <w:right w:val="single" w:color="auto" w:sz="4" w:space="0"/>
            </w:tcBorders>
            <w:shd w:val="clear" w:color="auto" w:fill="auto"/>
            <w:vAlign w:val="center"/>
          </w:tcPr>
          <w:p w14:paraId="12CA4C36">
            <w:pPr>
              <w:pStyle w:val="21"/>
              <w:rPr>
                <w:rFonts w:hint="eastAsia"/>
                <w:b/>
                <w:bCs/>
                <w:highlight w:val="none"/>
              </w:rPr>
            </w:pPr>
            <w:r>
              <w:rPr>
                <w:rFonts w:hint="eastAsia"/>
                <w:b/>
                <w:bCs/>
                <w:highlight w:val="none"/>
              </w:rPr>
              <w:t>验收要点</w:t>
            </w:r>
          </w:p>
        </w:tc>
      </w:tr>
      <w:tr w14:paraId="115D7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58BFDDB9">
            <w:pPr>
              <w:pStyle w:val="21"/>
              <w:rPr>
                <w:rFonts w:hint="eastAsia"/>
                <w:highlight w:val="none"/>
              </w:rPr>
            </w:pPr>
            <w:r>
              <w:rPr>
                <w:highlight w:val="none"/>
              </w:rPr>
              <w:t>1</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53A9E8C8">
            <w:pPr>
              <w:pStyle w:val="21"/>
              <w:rPr>
                <w:rFonts w:hint="eastAsia"/>
                <w:highlight w:val="none"/>
              </w:rPr>
            </w:pPr>
            <w:r>
              <w:rPr>
                <w:rFonts w:hint="eastAsia"/>
                <w:highlight w:val="none"/>
              </w:rPr>
              <w:t>典型户型室内交付标准</w:t>
            </w:r>
          </w:p>
        </w:tc>
        <w:tc>
          <w:tcPr>
            <w:tcW w:w="3224" w:type="pct"/>
            <w:vMerge w:val="restart"/>
            <w:tcBorders>
              <w:top w:val="single" w:color="auto" w:sz="4" w:space="0"/>
              <w:left w:val="single" w:color="auto" w:sz="4" w:space="0"/>
              <w:right w:val="single" w:color="auto" w:sz="4" w:space="0"/>
            </w:tcBorders>
            <w:shd w:val="clear" w:color="auto" w:fill="auto"/>
            <w:vAlign w:val="center"/>
          </w:tcPr>
          <w:p w14:paraId="3854340C">
            <w:pPr>
              <w:pStyle w:val="21"/>
              <w:rPr>
                <w:rFonts w:hint="eastAsia"/>
                <w:highlight w:val="none"/>
              </w:rPr>
            </w:pPr>
            <w:r>
              <w:rPr>
                <w:highlight w:val="none"/>
              </w:rPr>
              <w:t>1</w:t>
            </w:r>
            <w:r>
              <w:rPr>
                <w:rFonts w:hint="eastAsia"/>
                <w:highlight w:val="none"/>
              </w:rPr>
              <w:t>、与交付标准是否相符；</w:t>
            </w:r>
            <w:r>
              <w:rPr>
                <w:highlight w:val="none"/>
              </w:rPr>
              <w:t>2</w:t>
            </w:r>
            <w:r>
              <w:rPr>
                <w:rFonts w:hint="eastAsia"/>
                <w:highlight w:val="none"/>
              </w:rPr>
              <w:t>、使用功能是否合理；</w:t>
            </w:r>
            <w:r>
              <w:rPr>
                <w:highlight w:val="none"/>
              </w:rPr>
              <w:t>3</w:t>
            </w:r>
            <w:r>
              <w:rPr>
                <w:rFonts w:hint="eastAsia"/>
                <w:highlight w:val="none"/>
              </w:rPr>
              <w:t>、施工图纸是否合理；</w:t>
            </w:r>
            <w:r>
              <w:rPr>
                <w:highlight w:val="none"/>
              </w:rPr>
              <w:t>4</w:t>
            </w:r>
            <w:r>
              <w:rPr>
                <w:rFonts w:hint="eastAsia"/>
                <w:highlight w:val="none"/>
              </w:rPr>
              <w:t>、界面分判是否合理；</w:t>
            </w:r>
            <w:r>
              <w:rPr>
                <w:highlight w:val="none"/>
              </w:rPr>
              <w:t>5</w:t>
            </w:r>
            <w:r>
              <w:rPr>
                <w:rFonts w:hint="eastAsia"/>
                <w:highlight w:val="none"/>
              </w:rPr>
              <w:t>、感观标准是否满足要求</w:t>
            </w:r>
          </w:p>
        </w:tc>
      </w:tr>
      <w:tr w14:paraId="7836D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4AF92A4E">
            <w:pPr>
              <w:pStyle w:val="21"/>
              <w:rPr>
                <w:rFonts w:hint="eastAsia"/>
                <w:highlight w:val="none"/>
              </w:rPr>
            </w:pPr>
            <w:r>
              <w:rPr>
                <w:highlight w:val="none"/>
              </w:rPr>
              <w:t>2</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53D8CD39">
            <w:pPr>
              <w:pStyle w:val="21"/>
              <w:rPr>
                <w:rFonts w:hint="eastAsia"/>
                <w:highlight w:val="none"/>
              </w:rPr>
            </w:pPr>
            <w:r>
              <w:rPr>
                <w:rFonts w:hint="eastAsia"/>
                <w:highlight w:val="none"/>
              </w:rPr>
              <w:t>大堂装饰交付标准</w:t>
            </w:r>
          </w:p>
        </w:tc>
        <w:tc>
          <w:tcPr>
            <w:tcW w:w="3224" w:type="pct"/>
            <w:vMerge w:val="continue"/>
            <w:tcBorders>
              <w:left w:val="single" w:color="auto" w:sz="4" w:space="0"/>
              <w:right w:val="single" w:color="auto" w:sz="4" w:space="0"/>
            </w:tcBorders>
            <w:shd w:val="clear" w:color="auto" w:fill="auto"/>
            <w:vAlign w:val="center"/>
          </w:tcPr>
          <w:p w14:paraId="3F45EA36">
            <w:pPr>
              <w:pStyle w:val="21"/>
              <w:rPr>
                <w:rFonts w:hint="eastAsia"/>
                <w:highlight w:val="none"/>
              </w:rPr>
            </w:pPr>
          </w:p>
        </w:tc>
      </w:tr>
      <w:tr w14:paraId="08F6B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6C2FC351">
            <w:pPr>
              <w:pStyle w:val="21"/>
              <w:rPr>
                <w:rFonts w:hint="eastAsia"/>
                <w:highlight w:val="none"/>
              </w:rPr>
            </w:pPr>
            <w:r>
              <w:rPr>
                <w:highlight w:val="none"/>
              </w:rPr>
              <w:t>3</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7F64E1C0">
            <w:pPr>
              <w:pStyle w:val="21"/>
              <w:rPr>
                <w:rFonts w:hint="eastAsia"/>
                <w:highlight w:val="none"/>
              </w:rPr>
            </w:pPr>
            <w:r>
              <w:rPr>
                <w:rFonts w:hint="eastAsia"/>
                <w:highlight w:val="none"/>
              </w:rPr>
              <w:t>标准层电梯厅交付标准</w:t>
            </w:r>
          </w:p>
        </w:tc>
        <w:tc>
          <w:tcPr>
            <w:tcW w:w="3224" w:type="pct"/>
            <w:vMerge w:val="continue"/>
            <w:tcBorders>
              <w:left w:val="single" w:color="auto" w:sz="4" w:space="0"/>
              <w:right w:val="single" w:color="auto" w:sz="4" w:space="0"/>
            </w:tcBorders>
            <w:shd w:val="clear" w:color="auto" w:fill="auto"/>
            <w:vAlign w:val="center"/>
          </w:tcPr>
          <w:p w14:paraId="5C356F2B">
            <w:pPr>
              <w:pStyle w:val="21"/>
              <w:rPr>
                <w:rFonts w:hint="eastAsia"/>
                <w:highlight w:val="none"/>
              </w:rPr>
            </w:pPr>
          </w:p>
        </w:tc>
      </w:tr>
      <w:tr w14:paraId="5A181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7CF82F2F">
            <w:pPr>
              <w:pStyle w:val="21"/>
              <w:rPr>
                <w:rFonts w:hint="eastAsia"/>
                <w:highlight w:val="none"/>
              </w:rPr>
            </w:pPr>
            <w:r>
              <w:rPr>
                <w:highlight w:val="none"/>
              </w:rPr>
              <w:t>4</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58371EBA">
            <w:pPr>
              <w:pStyle w:val="21"/>
              <w:rPr>
                <w:rFonts w:hint="eastAsia"/>
                <w:highlight w:val="none"/>
              </w:rPr>
            </w:pPr>
            <w:r>
              <w:rPr>
                <w:rFonts w:hint="eastAsia"/>
                <w:highlight w:val="none"/>
              </w:rPr>
              <w:t>外墙装饰样板</w:t>
            </w:r>
          </w:p>
        </w:tc>
        <w:tc>
          <w:tcPr>
            <w:tcW w:w="3224" w:type="pct"/>
            <w:vMerge w:val="continue"/>
            <w:tcBorders>
              <w:left w:val="single" w:color="auto" w:sz="4" w:space="0"/>
              <w:right w:val="single" w:color="auto" w:sz="4" w:space="0"/>
            </w:tcBorders>
            <w:shd w:val="clear" w:color="auto" w:fill="auto"/>
            <w:vAlign w:val="center"/>
          </w:tcPr>
          <w:p w14:paraId="55A29AC3">
            <w:pPr>
              <w:pStyle w:val="21"/>
              <w:rPr>
                <w:rFonts w:hint="eastAsia"/>
                <w:highlight w:val="none"/>
              </w:rPr>
            </w:pPr>
          </w:p>
        </w:tc>
      </w:tr>
      <w:tr w14:paraId="0B947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697D9618">
            <w:pPr>
              <w:pStyle w:val="21"/>
              <w:rPr>
                <w:rFonts w:hint="eastAsia"/>
                <w:highlight w:val="none"/>
              </w:rPr>
            </w:pPr>
            <w:r>
              <w:rPr>
                <w:highlight w:val="none"/>
              </w:rPr>
              <w:t>5</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11F3F415">
            <w:pPr>
              <w:pStyle w:val="21"/>
              <w:rPr>
                <w:rFonts w:hint="eastAsia"/>
                <w:highlight w:val="none"/>
              </w:rPr>
            </w:pPr>
            <w:r>
              <w:rPr>
                <w:rFonts w:hint="eastAsia"/>
                <w:highlight w:val="none"/>
              </w:rPr>
              <w:t>综合机电样板</w:t>
            </w:r>
          </w:p>
        </w:tc>
        <w:tc>
          <w:tcPr>
            <w:tcW w:w="3224" w:type="pct"/>
            <w:vMerge w:val="continue"/>
            <w:tcBorders>
              <w:left w:val="single" w:color="auto" w:sz="4" w:space="0"/>
              <w:right w:val="single" w:color="auto" w:sz="4" w:space="0"/>
            </w:tcBorders>
            <w:shd w:val="clear" w:color="auto" w:fill="auto"/>
            <w:vAlign w:val="center"/>
          </w:tcPr>
          <w:p w14:paraId="56E7898B">
            <w:pPr>
              <w:pStyle w:val="21"/>
              <w:rPr>
                <w:rFonts w:hint="eastAsia"/>
                <w:highlight w:val="none"/>
              </w:rPr>
            </w:pPr>
          </w:p>
        </w:tc>
      </w:tr>
      <w:tr w14:paraId="2733F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9" w:type="pct"/>
            <w:tcBorders>
              <w:top w:val="single" w:color="auto" w:sz="4" w:space="0"/>
              <w:left w:val="single" w:color="auto" w:sz="4" w:space="0"/>
              <w:bottom w:val="single" w:color="auto" w:sz="4" w:space="0"/>
              <w:right w:val="single" w:color="auto" w:sz="4" w:space="0"/>
            </w:tcBorders>
            <w:shd w:val="clear" w:color="auto" w:fill="auto"/>
            <w:vAlign w:val="center"/>
          </w:tcPr>
          <w:p w14:paraId="58C05FEC">
            <w:pPr>
              <w:pStyle w:val="21"/>
              <w:rPr>
                <w:rFonts w:hint="eastAsia"/>
                <w:highlight w:val="none"/>
              </w:rPr>
            </w:pPr>
            <w:r>
              <w:rPr>
                <w:rFonts w:hint="eastAsia"/>
                <w:highlight w:val="none"/>
              </w:rPr>
              <w:t>6</w:t>
            </w:r>
          </w:p>
        </w:tc>
        <w:tc>
          <w:tcPr>
            <w:tcW w:w="1315" w:type="pct"/>
            <w:tcBorders>
              <w:top w:val="single" w:color="auto" w:sz="4" w:space="0"/>
              <w:left w:val="single" w:color="auto" w:sz="4" w:space="0"/>
              <w:bottom w:val="single" w:color="auto" w:sz="4" w:space="0"/>
              <w:right w:val="single" w:color="auto" w:sz="4" w:space="0"/>
            </w:tcBorders>
            <w:shd w:val="clear" w:color="auto" w:fill="auto"/>
            <w:vAlign w:val="center"/>
          </w:tcPr>
          <w:p w14:paraId="672CC6C9">
            <w:pPr>
              <w:pStyle w:val="21"/>
              <w:rPr>
                <w:rFonts w:hint="eastAsia"/>
                <w:highlight w:val="none"/>
              </w:rPr>
            </w:pPr>
            <w:r>
              <w:rPr>
                <w:rFonts w:hint="eastAsia"/>
                <w:highlight w:val="none"/>
              </w:rPr>
              <w:t>景观样板</w:t>
            </w:r>
          </w:p>
        </w:tc>
        <w:tc>
          <w:tcPr>
            <w:tcW w:w="3224" w:type="pct"/>
            <w:vMerge w:val="continue"/>
            <w:tcBorders>
              <w:left w:val="single" w:color="auto" w:sz="4" w:space="0"/>
              <w:bottom w:val="single" w:color="auto" w:sz="4" w:space="0"/>
              <w:right w:val="single" w:color="auto" w:sz="4" w:space="0"/>
            </w:tcBorders>
            <w:shd w:val="clear" w:color="auto" w:fill="auto"/>
            <w:vAlign w:val="center"/>
          </w:tcPr>
          <w:p w14:paraId="3BD2F5FF">
            <w:pPr>
              <w:pStyle w:val="21"/>
              <w:rPr>
                <w:rFonts w:hint="eastAsia"/>
                <w:highlight w:val="none"/>
              </w:rPr>
            </w:pPr>
          </w:p>
        </w:tc>
      </w:tr>
    </w:tbl>
    <w:p w14:paraId="108FC986">
      <w:pPr>
        <w:pStyle w:val="63"/>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功能样板的工序质量要求按实地工序样板点评意见执行。</w:t>
      </w:r>
      <w:bookmarkEnd w:id="599"/>
    </w:p>
    <w:p w14:paraId="7732E6DA">
      <w:pPr>
        <w:pStyle w:val="6"/>
        <w:keepNext w:val="0"/>
        <w:keepLines w:val="0"/>
        <w:widowControl/>
        <w:snapToGrid/>
        <w:spacing w:line="360" w:lineRule="auto"/>
        <w:ind w:left="403"/>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14、交付示范区要求</w:t>
      </w:r>
    </w:p>
    <w:p w14:paraId="76CF3CD7">
      <w:pPr>
        <w:pStyle w:val="63"/>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施工蓝图下发后120天内，承包人应完成交付样板示范区专项策划，在场内合适区域打造示范区，示范区包括但不限于大货样板展示、示范区围蔽、示范区物料、示范区展板展牌等。具体示范区选址及展示时间以发包人要求为准。示范区专项策划应对交付样板间以及示范区展示范围进行详尽的施工组织与时间安排，总承包人应负责项目整体示范区策划工作并统筹各专业承包</w:t>
      </w:r>
      <w:r>
        <w:rPr>
          <w:rFonts w:ascii="宋体" w:hAnsi="宋体" w:eastAsia="宋体" w:cs="宋体"/>
          <w:color w:val="auto"/>
          <w:spacing w:val="4"/>
          <w:sz w:val="24"/>
          <w:highlight w:val="none"/>
        </w:rPr>
        <w:t>人</w:t>
      </w:r>
      <w:r>
        <w:rPr>
          <w:rFonts w:hint="eastAsia" w:ascii="宋体" w:hAnsi="宋体" w:eastAsia="宋体" w:cs="宋体"/>
          <w:color w:val="auto"/>
          <w:spacing w:val="4"/>
          <w:sz w:val="24"/>
          <w:highlight w:val="none"/>
        </w:rPr>
        <w:t>深化设计工作，以汇报形式经发包人确认后按策划实施，示范区打造产生的包括成品保护、保洁、施工便道的拆除及修建、临时围蔽的搭拆等措施费用发包人投标报价中综合考虑，不另行计取，且不得因此影响工程进度。</w:t>
      </w:r>
    </w:p>
    <w:p w14:paraId="075E09DB">
      <w:pPr>
        <w:pStyle w:val="63"/>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交付样板示范区可分阶段进行展示：</w:t>
      </w:r>
    </w:p>
    <w:p w14:paraId="3DACD2E0">
      <w:pPr>
        <w:pStyle w:val="63"/>
        <w:numPr>
          <w:ilvl w:val="1"/>
          <w:numId w:val="3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户内交付标准：</w:t>
      </w:r>
    </w:p>
    <w:p w14:paraId="2A22BDAF">
      <w:pPr>
        <w:pStyle w:val="63"/>
        <w:numPr>
          <w:ilvl w:val="0"/>
          <w:numId w:val="38"/>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展示内容：户内交付标准</w:t>
      </w:r>
    </w:p>
    <w:p w14:paraId="11D3A20B">
      <w:pPr>
        <w:pStyle w:val="63"/>
        <w:numPr>
          <w:ilvl w:val="0"/>
          <w:numId w:val="38"/>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展示条件：</w:t>
      </w:r>
    </w:p>
    <w:p w14:paraId="7EFC2DB3">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①室内按交付标准完成所有构造做法。</w:t>
      </w:r>
    </w:p>
    <w:p w14:paraId="2B722497">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②自工地大门至展示楼栋具备全硬化车型道路及人行道路。</w:t>
      </w:r>
    </w:p>
    <w:p w14:paraId="54F2725F">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③若室外人行通道处于塔吊覆盖范围，则需设置双层防护人行通道。</w:t>
      </w:r>
    </w:p>
    <w:p w14:paraId="741A8538">
      <w:pPr>
        <w:pStyle w:val="63"/>
        <w:numPr>
          <w:ilvl w:val="0"/>
          <w:numId w:val="38"/>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完成时间：交付样板所在楼栋出±0.00m以后5个月（或按发包人另行要求）。</w:t>
      </w:r>
    </w:p>
    <w:p w14:paraId="3875A5F6">
      <w:pPr>
        <w:pStyle w:val="63"/>
        <w:numPr>
          <w:ilvl w:val="1"/>
          <w:numId w:val="3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公共区域：</w:t>
      </w:r>
    </w:p>
    <w:p w14:paraId="146CA882">
      <w:pPr>
        <w:pStyle w:val="63"/>
        <w:numPr>
          <w:ilvl w:val="0"/>
          <w:numId w:val="39"/>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展示内容：标准层公区交付标准、水电管井交付标准、外立面效果呈现</w:t>
      </w:r>
    </w:p>
    <w:p w14:paraId="27894A69">
      <w:pPr>
        <w:pStyle w:val="63"/>
        <w:numPr>
          <w:ilvl w:val="0"/>
          <w:numId w:val="39"/>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展示条件：</w:t>
      </w:r>
    </w:p>
    <w:p w14:paraId="58F8670C">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①示范区内楼栋交付样板所在楼层公区所有精装修完成、灯具安装完成。</w:t>
      </w:r>
    </w:p>
    <w:p w14:paraId="4C962D72">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②第一道悬挑架拆除完成，水平硬防护设置完成，第一道悬挑架范围内外立面铺贴完成（不含入户大堂）</w:t>
      </w:r>
    </w:p>
    <w:p w14:paraId="385A5272">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③公区通电（临电）</w:t>
      </w:r>
    </w:p>
    <w:p w14:paraId="7C19A5B2">
      <w:pPr>
        <w:pStyle w:val="63"/>
        <w:numPr>
          <w:ilvl w:val="0"/>
          <w:numId w:val="39"/>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完成时间：示范区内主楼出±0.00m后6个月（或按发包人另行要求）（视情况拆除第一道悬挑外架并设置水平悬挑硬防护）。</w:t>
      </w:r>
    </w:p>
    <w:p w14:paraId="7EF68609">
      <w:pPr>
        <w:pStyle w:val="63"/>
        <w:numPr>
          <w:ilvl w:val="1"/>
          <w:numId w:val="3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整体示范区：</w:t>
      </w:r>
    </w:p>
    <w:p w14:paraId="52810885">
      <w:pPr>
        <w:pStyle w:val="63"/>
        <w:numPr>
          <w:ilvl w:val="0"/>
          <w:numId w:val="40"/>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展示内容：户内交付标准、公区及首层大堂交付标准、外立面及景观效果呈现</w:t>
      </w:r>
    </w:p>
    <w:p w14:paraId="3B30BCE5">
      <w:pPr>
        <w:pStyle w:val="63"/>
        <w:numPr>
          <w:ilvl w:val="0"/>
          <w:numId w:val="40"/>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展示条件：</w:t>
      </w:r>
    </w:p>
    <w:p w14:paraId="57CB6A37">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①示范区主体结构外立面完成、塔吊、外架拆除。（视情况第一道悬挑外架拆除完成，水平硬防护设置完成）</w:t>
      </w:r>
    </w:p>
    <w:p w14:paraId="31B6B5B2">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②示范区内楼栋首层标准层公区精装修完成。</w:t>
      </w:r>
    </w:p>
    <w:p w14:paraId="49652EDA">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③示范区内楼栋首层大堂精装修完成。</w:t>
      </w:r>
    </w:p>
    <w:p w14:paraId="49C33C15">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④示范区内所有园林景观完成。</w:t>
      </w:r>
    </w:p>
    <w:p w14:paraId="61E4D821">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⑤示范区园林景观与邻近施工区围蔽完成。</w:t>
      </w:r>
    </w:p>
    <w:p w14:paraId="23445669">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⑥参观动线与非参观区域围蔽完成。</w:t>
      </w:r>
    </w:p>
    <w:p w14:paraId="0FB3CD9E">
      <w:pPr>
        <w:pStyle w:val="63"/>
        <w:snapToGrid/>
        <w:spacing w:before="0" w:after="0" w:line="360" w:lineRule="auto"/>
        <w:ind w:left="488" w:firstLine="0" w:firstLineChars="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⑦户内通水通电（临水临电）</w:t>
      </w:r>
    </w:p>
    <w:p w14:paraId="7FE3E735">
      <w:pPr>
        <w:pStyle w:val="63"/>
        <w:numPr>
          <w:ilvl w:val="0"/>
          <w:numId w:val="40"/>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完成时间：示范区内主楼出±0.00m后8个月（或按发包人另行要求）（视情况拆除第一道悬挑外架并设置水平悬挑硬防护）。</w:t>
      </w:r>
    </w:p>
    <w:p w14:paraId="6529E106">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15、竣工移交前深度清洁工作要求</w:t>
      </w:r>
    </w:p>
    <w:p w14:paraId="12AA9E4A">
      <w:pPr>
        <w:snapToGrid/>
        <w:spacing w:before="0" w:after="0" w:line="360" w:lineRule="auto"/>
        <w:ind w:firstLine="426"/>
        <w:rPr>
          <w:rFonts w:hint="eastAsia" w:ascii="宋体" w:hAnsi="宋体" w:eastAsia="宋体" w:cs="宋体"/>
          <w:color w:val="auto"/>
          <w:highlight w:val="none"/>
        </w:rPr>
      </w:pPr>
      <w:r>
        <w:rPr>
          <w:rFonts w:hint="eastAsia" w:ascii="宋体" w:hAnsi="宋体" w:eastAsia="宋体" w:cs="宋体"/>
          <w:color w:val="auto"/>
          <w:spacing w:val="4"/>
          <w:sz w:val="24"/>
          <w:highlight w:val="none"/>
        </w:rPr>
        <w:t>本项目在竣工验收后移交前需对施工区域进行不限次数全面的深度清洁工作/精开荒，相关费用在投标报价中综合考虑，发包人不再另行支付。深度清洁要求如下：</w:t>
      </w:r>
    </w:p>
    <w:p w14:paraId="36874112">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15.1 建筑物室内（墙面、柱面、墙裙；玻璃、金属结构框；门等）表面干净、整洁，无灰尘、污垢、污渍、水迹、水渍、手印迹及其他印迹。</w:t>
      </w:r>
    </w:p>
    <w:p w14:paraId="7DD80E40">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15.2 建筑物室内涂料表面无灰尘、污渍、污垢、印迹，涂料色泽鲜艳、无色差、质感强。</w:t>
      </w:r>
    </w:p>
    <w:p w14:paraId="64A7AEB9">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15.3 建筑物室内（天花板、通风口、内嵌式灯饰）表面干净、整洁，不得有灰尘、污垢，天花板不得有缺块、掉块现象。</w:t>
      </w:r>
    </w:p>
    <w:p w14:paraId="0FE6EA9E">
      <w:pPr>
        <w:snapToGrid/>
        <w:spacing w:before="0" w:after="0" w:line="360" w:lineRule="auto"/>
        <w:ind w:firstLine="496" w:firstLineChars="20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15.4 卫生间（坐厕器、小便器、洗脸盆、地板、墙面、门、门套等）干净、整洁，无灰尘、污渍、污垢、水渍、水迹、印迹。</w:t>
      </w:r>
    </w:p>
    <w:p w14:paraId="28C36918">
      <w:pPr>
        <w:snapToGrid/>
        <w:spacing w:before="0" w:after="0" w:line="360" w:lineRule="auto"/>
        <w:ind w:firstLine="496" w:firstLineChars="20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15.5 公共区域（电梯间、楼梯间、屋面、架空层、地下室、设备间及园林景观区域）深度清洁：干净、整洁、无灰尘、垃圾杂物。</w:t>
      </w:r>
    </w:p>
    <w:p w14:paraId="6BA3924F">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16、验收、移交及结算管理要求</w:t>
      </w:r>
    </w:p>
    <w:p w14:paraId="7D30E3AC">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16.1 工程验收管理要求：</w:t>
      </w:r>
    </w:p>
    <w:p w14:paraId="579B2ACE">
      <w:pPr>
        <w:snapToGrid/>
        <w:spacing w:before="0" w:after="0" w:line="360" w:lineRule="auto"/>
        <w:ind w:firstLine="426"/>
        <w:rPr>
          <w:rFonts w:hint="eastAsia" w:ascii="宋体" w:hAnsi="宋体" w:eastAsia="宋体" w:cs="宋体"/>
          <w:color w:val="auto"/>
          <w:highlight w:val="none"/>
        </w:rPr>
      </w:pPr>
      <w:r>
        <w:rPr>
          <w:rFonts w:hint="eastAsia" w:ascii="宋体" w:hAnsi="宋体" w:eastAsia="宋体" w:cs="宋体"/>
          <w:color w:val="auto"/>
          <w:spacing w:val="4"/>
          <w:sz w:val="24"/>
          <w:highlight w:val="none"/>
        </w:rPr>
        <w:t>16.1.1 承包人必须在工程具备验收条件时的3周前编制验收计划（包括专业工程验收计划、消防等专项验收计划等），按工程竣工验收有关规定及验收计划分阶段逐项申报验收，确保工程一次验收合格。</w:t>
      </w:r>
    </w:p>
    <w:p w14:paraId="76C5FB45">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16.1.2 竣工验收执行《房屋建筑和市政基础设施工程竣工验收规定》（建质〔2013〕171号）和《关于规范广州市房屋建筑工程和市政基础设施工程竣工验收程序的通知》（穗建质监字〔2014〕53号）、《广州市房屋建筑和市政基础设施工程竣工联合验收工作方案》（穗建质[2020]446号）（注：如有新规定则按新规定执行）。</w:t>
      </w:r>
    </w:p>
    <w:p w14:paraId="24458F7D">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16.1.3 承包人严格按招标单位《工程验收及备案管理实施细则》执行。</w:t>
      </w:r>
    </w:p>
    <w:p w14:paraId="1B9E66FC">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16.1.4 经验收评定，工程质量不合格或工程内容有尚未完成者，由承包人在商定的期限内进行修补后，再进行竣工验收，直至达到完全符合合同要求为止，并按最后验收合格的日期作为竣工日期，由此产生的一切费用均由承包人负责。</w:t>
      </w:r>
    </w:p>
    <w:p w14:paraId="26E18A58">
      <w:pPr>
        <w:snapToGrid/>
        <w:spacing w:before="0" w:after="0" w:line="360" w:lineRule="auto"/>
        <w:ind w:firstLine="496" w:firstLineChars="200"/>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16.1.5竣工验收完成后承包人须向发包人提供完整竣工资料（包含竣工图）及竣工验收报告；并做好竣工档案、竣工备案等工作。工程验收的其他要求按合同约定执行。</w:t>
      </w:r>
    </w:p>
    <w:p w14:paraId="35851FAC">
      <w:pPr>
        <w:pStyle w:val="24"/>
        <w:ind w:firstLine="480"/>
        <w:rPr>
          <w:rFonts w:hint="eastAsia" w:hAnsi="宋体" w:cs="宋体"/>
          <w:spacing w:val="4"/>
          <w:highlight w:val="none"/>
        </w:rPr>
      </w:pPr>
      <w:r>
        <w:rPr>
          <w:rFonts w:hint="eastAsia"/>
          <w:highlight w:val="none"/>
        </w:rPr>
        <w:t>16.1.6在模块化建筑建造过程中，应及时开展相关技术试验工作，在项目竣工验收前完成关键技术试验论证工作。本项目因模块化建造产生的在建造技术、工艺等方面突破的相关论文、研究成果发表、奖项申报应与发包人共享。</w:t>
      </w:r>
    </w:p>
    <w:p w14:paraId="4F1CCAD2">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16.2工程移交管理要求：</w:t>
      </w:r>
    </w:p>
    <w:p w14:paraId="1E9DC31E">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16.2.1移交范围</w:t>
      </w:r>
    </w:p>
    <w:p w14:paraId="25530DCC">
      <w:pPr>
        <w:snapToGrid/>
        <w:spacing w:before="0" w:after="0" w:line="360" w:lineRule="auto"/>
        <w:ind w:firstLine="426"/>
        <w:rPr>
          <w:rFonts w:hint="eastAsia" w:ascii="宋体" w:hAnsi="宋体" w:eastAsia="宋体" w:cs="宋体"/>
          <w:color w:val="auto"/>
          <w:highlight w:val="none"/>
        </w:rPr>
      </w:pPr>
      <w:r>
        <w:rPr>
          <w:rFonts w:hint="eastAsia" w:ascii="宋体" w:hAnsi="宋体" w:eastAsia="宋体" w:cs="宋体"/>
          <w:color w:val="auto"/>
          <w:spacing w:val="4"/>
          <w:sz w:val="24"/>
          <w:highlight w:val="none"/>
        </w:rPr>
        <w:t>工程项目移交的范围包括工程资料移交、工程实体移交（含备品备件）和使用维护管理移交（含设备维护培训及交底）。</w:t>
      </w:r>
    </w:p>
    <w:p w14:paraId="7E4511EA">
      <w:pPr>
        <w:snapToGrid/>
        <w:spacing w:before="0" w:after="0" w:line="360" w:lineRule="auto"/>
        <w:ind w:firstLine="426"/>
        <w:rPr>
          <w:rFonts w:hint="eastAsia" w:ascii="宋体" w:hAnsi="宋体" w:eastAsia="宋体" w:cs="宋体"/>
          <w:color w:val="auto"/>
          <w:highlight w:val="none"/>
        </w:rPr>
      </w:pPr>
      <w:r>
        <w:rPr>
          <w:rFonts w:hint="eastAsia" w:ascii="宋体" w:hAnsi="宋体" w:eastAsia="宋体" w:cs="宋体"/>
          <w:color w:val="auto"/>
          <w:spacing w:val="4"/>
          <w:sz w:val="24"/>
          <w:highlight w:val="none"/>
        </w:rPr>
        <w:t>■工程资料移交</w:t>
      </w:r>
    </w:p>
    <w:p w14:paraId="3ACD30CC">
      <w:pPr>
        <w:snapToGrid/>
        <w:spacing w:before="0" w:after="0" w:line="360" w:lineRule="auto"/>
        <w:ind w:firstLine="426"/>
        <w:rPr>
          <w:rFonts w:hint="eastAsia" w:ascii="宋体" w:hAnsi="宋体" w:eastAsia="宋体" w:cs="宋体"/>
          <w:color w:val="auto"/>
          <w:highlight w:val="none"/>
        </w:rPr>
      </w:pPr>
      <w:r>
        <w:rPr>
          <w:rFonts w:hint="eastAsia" w:ascii="宋体" w:hAnsi="宋体" w:eastAsia="宋体" w:cs="宋体"/>
          <w:color w:val="auto"/>
          <w:spacing w:val="4"/>
          <w:sz w:val="24"/>
          <w:highlight w:val="none"/>
        </w:rPr>
        <w:t>工程竣工资料包括工程建设前期有关资料、工程技术管理资料、竣工验收备案资料等。承包人在工程实施过程中及工程竣工后，应对各类工程文件档案进行收集、整理和查验，确保向发包人移交的工程文件档案资料是真实的、完整的。</w:t>
      </w:r>
    </w:p>
    <w:p w14:paraId="6CD5E670">
      <w:pPr>
        <w:snapToGrid/>
        <w:spacing w:before="0" w:after="0" w:line="360" w:lineRule="auto"/>
        <w:ind w:firstLine="426"/>
        <w:rPr>
          <w:rFonts w:hint="eastAsia" w:ascii="宋体" w:hAnsi="宋体" w:eastAsia="宋体" w:cs="宋体"/>
          <w:color w:val="auto"/>
          <w:highlight w:val="none"/>
        </w:rPr>
      </w:pPr>
      <w:r>
        <w:rPr>
          <w:rFonts w:hint="eastAsia" w:ascii="宋体" w:hAnsi="宋体" w:eastAsia="宋体" w:cs="宋体"/>
          <w:color w:val="auto"/>
          <w:spacing w:val="4"/>
          <w:sz w:val="24"/>
          <w:highlight w:val="none"/>
        </w:rPr>
        <w:t>■工程实体移交</w:t>
      </w:r>
    </w:p>
    <w:p w14:paraId="64F638D7">
      <w:pPr>
        <w:snapToGrid/>
        <w:spacing w:before="0" w:after="0" w:line="360" w:lineRule="auto"/>
        <w:ind w:firstLine="426"/>
        <w:rPr>
          <w:rFonts w:hint="eastAsia" w:ascii="宋体" w:hAnsi="宋体" w:eastAsia="宋体" w:cs="宋体"/>
          <w:color w:val="auto"/>
          <w:highlight w:val="none"/>
        </w:rPr>
      </w:pPr>
      <w:r>
        <w:rPr>
          <w:rFonts w:hint="eastAsia" w:ascii="宋体" w:hAnsi="宋体" w:eastAsia="宋体" w:cs="宋体"/>
          <w:color w:val="auto"/>
          <w:spacing w:val="4"/>
          <w:sz w:val="24"/>
          <w:highlight w:val="none"/>
        </w:rPr>
        <w:t>承包人在工程移交前，应编制完整的《工程实体移交清单》（含设备材料移交清单、备品备件移交清单），并提供给发包人、监理单位和工程接收单位审核并盖章确认。</w:t>
      </w:r>
    </w:p>
    <w:p w14:paraId="54EF8E82">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16.2.2 移交前维护</w:t>
      </w:r>
    </w:p>
    <w:p w14:paraId="053AFB7B">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在工程竣工验收后至工程移交之前，承包人必须保障：智能化工程、机电工程的正常运行及维护，如在此期间发现工程或工程设备损坏或存在缺陷的，由承包人按质量保证期服务要求的约定进行修复。有关机电设备（含智能化设备）的检测、登记、使用、运行、维护、耗材、水电气等费用已包含在合同总价中，发包人不另支付；如承包人拒绝维护，且经发包人书面催告后仍未维护的，发包人有权委托第三方维护，所需费用由承包人承担。</w:t>
      </w:r>
    </w:p>
    <w:p w14:paraId="42CE4087">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16.2.3 移交计划</w:t>
      </w:r>
    </w:p>
    <w:p w14:paraId="7D8E4046">
      <w:pPr>
        <w:snapToGrid/>
        <w:spacing w:before="0" w:after="0" w:line="360" w:lineRule="auto"/>
        <w:ind w:firstLine="426"/>
        <w:rPr>
          <w:rFonts w:hint="eastAsia" w:ascii="宋体" w:hAnsi="宋体" w:eastAsia="宋体" w:cs="宋体"/>
          <w:color w:val="auto"/>
          <w:highlight w:val="none"/>
        </w:rPr>
      </w:pPr>
      <w:r>
        <w:rPr>
          <w:rFonts w:hint="eastAsia" w:ascii="宋体" w:hAnsi="宋体" w:eastAsia="宋体" w:cs="宋体"/>
          <w:color w:val="auto"/>
          <w:spacing w:val="4"/>
          <w:sz w:val="24"/>
          <w:highlight w:val="none"/>
        </w:rPr>
        <w:t>承包人应在进行移交工作前编写工程项目移交计划，且移交计划需报发包人及监理单位审核，在经发包人及监理单位审核同意后按计划进行移交。</w:t>
      </w:r>
    </w:p>
    <w:p w14:paraId="5544B756">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16.2.4 工程移交</w:t>
      </w:r>
    </w:p>
    <w:p w14:paraId="483A4C76">
      <w:pPr>
        <w:snapToGrid/>
        <w:spacing w:before="0" w:after="0" w:line="360" w:lineRule="auto"/>
        <w:ind w:firstLine="426"/>
        <w:rPr>
          <w:rFonts w:hint="eastAsia" w:ascii="宋体" w:hAnsi="宋体" w:eastAsia="宋体" w:cs="宋体"/>
          <w:color w:val="auto"/>
          <w:highlight w:val="none"/>
        </w:rPr>
      </w:pPr>
      <w:r>
        <w:rPr>
          <w:rFonts w:hint="eastAsia" w:ascii="宋体" w:hAnsi="宋体" w:eastAsia="宋体" w:cs="宋体"/>
          <w:color w:val="auto"/>
          <w:spacing w:val="4"/>
          <w:sz w:val="24"/>
          <w:highlight w:val="none"/>
        </w:rPr>
        <w:t>工程项目移交原则上力争在工程竣工验收备案后一个月之内完成。承包人应在发包人组织的工程移交中向使用单位办理好工程移交，并做好相关的保障、维修及服务。承包人负责对工程竣工验收及工程移交中提出的质量及工程资料问题进行整改，完成整改后向监理单位提交《工程整改完工报告》申请整改后正式移交。工程移交工作的相关要求具体按发包人的《建设项目工程移交管理办法（试行）》的规定执行。</w:t>
      </w:r>
    </w:p>
    <w:p w14:paraId="7F942C1F">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16.3 工程造价（结算）管理要求：</w:t>
      </w:r>
    </w:p>
    <w:p w14:paraId="726D989F">
      <w:pPr>
        <w:spacing w:before="0" w:after="0" w:line="360" w:lineRule="auto"/>
        <w:ind w:firstLine="438" w:firstLineChars="177"/>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 xml:space="preserve">16.3.1 </w:t>
      </w:r>
      <w:r>
        <w:rPr>
          <w:rFonts w:hint="eastAsia" w:ascii="宋体" w:hAnsi="宋体" w:eastAsia="宋体" w:cs="宋体"/>
          <w:color w:val="auto"/>
          <w:sz w:val="24"/>
          <w:highlight w:val="none"/>
        </w:rPr>
        <w:t>承包人须在施工图纸审定后一个月内编制施工图预算，提出施工图预算工程量与招标清单工程量之间的差异，并报监理单位和发包人审核备案。</w:t>
      </w:r>
    </w:p>
    <w:p w14:paraId="7184F33C">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16.3.2 承包人应按发包人要求派出足够的、有能力的造价人员负责结算工作。若派出的造价人员不足或不能胜任结算工作，承包人应按发包人的要求及时更换，直至满足要求为止。</w:t>
      </w:r>
    </w:p>
    <w:p w14:paraId="14743F28">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16.3.3 承包人执行发包人下发的结算编制指引及与结算有关的文件规定。</w:t>
      </w:r>
    </w:p>
    <w:p w14:paraId="4AA7ACD5">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16.3.4 承包人须协助发包人加强投资控制，每期申请进度款的计量计价应准确，进度款的申请应与主要材料设备采购计划相匹配，严禁虚报计量或超前计量，否则严格按合同约定承担违约责任。</w:t>
      </w:r>
    </w:p>
    <w:p w14:paraId="1D9E5646">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16.3.5 在施工过程中发生的工程变更、工程签证等引起合同价款调增事件后，承包人未按合同约定办理变更工程预算审批的，则发包人有权根据实际情况决定是否调整合同价款以及调整的金额。</w:t>
      </w:r>
    </w:p>
    <w:p w14:paraId="5E608EAC">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16.3.6 本项目总承包管理及配合服务费按承包人实际完成的总承包管理及配合服务工作进行计量支付，具体按合同约定执行。</w:t>
      </w:r>
    </w:p>
    <w:p w14:paraId="394E551F">
      <w:pPr>
        <w:snapToGrid/>
        <w:spacing w:before="0" w:after="0" w:line="360" w:lineRule="auto"/>
        <w:ind w:firstLine="496" w:firstLineChars="200"/>
        <w:rPr>
          <w:rFonts w:hint="eastAsia" w:ascii="宋体" w:hAnsi="宋体" w:eastAsia="宋体" w:cs="宋体"/>
          <w:color w:val="auto"/>
          <w:highlight w:val="none"/>
        </w:rPr>
      </w:pPr>
      <w:r>
        <w:rPr>
          <w:rFonts w:hint="eastAsia" w:ascii="宋体" w:hAnsi="宋体" w:eastAsia="宋体" w:cs="宋体"/>
          <w:color w:val="auto"/>
          <w:spacing w:val="4"/>
          <w:sz w:val="24"/>
          <w:highlight w:val="none"/>
        </w:rPr>
        <w:t>16.3.7 根据项目的实际情况，如承包人需另行租用场地用于临设之用，属于承包人自行考虑范畴，相关的费用投标时综合考虑，不再另行计量、支付。</w:t>
      </w:r>
    </w:p>
    <w:p w14:paraId="0D244AAD">
      <w:pPr>
        <w:snapToGrid/>
        <w:spacing w:before="0" w:after="0" w:line="240" w:lineRule="auto"/>
        <w:ind w:right="11"/>
        <w:jc w:val="center"/>
        <w:rPr>
          <w:rFonts w:hint="eastAsia" w:ascii="宋体" w:hAnsi="宋体" w:eastAsia="宋体" w:cs="宋体"/>
          <w:color w:val="auto"/>
          <w:highlight w:val="none"/>
        </w:rPr>
      </w:pPr>
      <w:r>
        <w:rPr>
          <w:rFonts w:hint="eastAsia" w:ascii="宋体" w:hAnsi="宋体" w:eastAsia="宋体" w:cs="宋体"/>
          <w:b/>
          <w:color w:val="auto"/>
          <w:sz w:val="28"/>
          <w:szCs w:val="21"/>
          <w:highlight w:val="none"/>
        </w:rPr>
        <w:t>结算送审资料移交清单</w:t>
      </w:r>
    </w:p>
    <w:tbl>
      <w:tblPr>
        <w:tblStyle w:val="42"/>
        <w:tblW w:w="0" w:type="auto"/>
        <w:jc w:val="center"/>
        <w:tblLayout w:type="fixed"/>
        <w:tblCellMar>
          <w:top w:w="0" w:type="dxa"/>
          <w:left w:w="108" w:type="dxa"/>
          <w:bottom w:w="0" w:type="dxa"/>
          <w:right w:w="108" w:type="dxa"/>
        </w:tblCellMar>
      </w:tblPr>
      <w:tblGrid>
        <w:gridCol w:w="1460"/>
        <w:gridCol w:w="6915"/>
      </w:tblGrid>
      <w:tr w14:paraId="4123D21E">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4517C1B">
            <w:pPr>
              <w:tabs>
                <w:tab w:val="left" w:pos="379"/>
                <w:tab w:val="center" w:pos="682"/>
              </w:tabs>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序号</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512E690">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资料名称</w:t>
            </w:r>
          </w:p>
        </w:tc>
      </w:tr>
      <w:tr w14:paraId="26C8DE9D">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6409E65">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80945D5">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工程结算书及其电子文档</w:t>
            </w:r>
          </w:p>
        </w:tc>
      </w:tr>
      <w:tr w14:paraId="21004169">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310E589">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A426A99">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合同文件</w:t>
            </w:r>
          </w:p>
        </w:tc>
      </w:tr>
      <w:tr w14:paraId="261A8173">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1DA0AC0">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4DB24AB">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工程竣工图纸（及其电子文档）</w:t>
            </w:r>
          </w:p>
        </w:tc>
      </w:tr>
      <w:tr w14:paraId="3693DF8B">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1E4DDA2">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4178D49">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招标文件</w:t>
            </w:r>
          </w:p>
        </w:tc>
      </w:tr>
      <w:tr w14:paraId="76076B79">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1F3AFE9">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5</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CB0645F">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投标文件</w:t>
            </w:r>
          </w:p>
        </w:tc>
      </w:tr>
      <w:tr w14:paraId="01123246">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5B2EE6E">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6</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C71B3FA">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中标通知书</w:t>
            </w:r>
          </w:p>
        </w:tc>
      </w:tr>
      <w:tr w14:paraId="6E8FB038">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21F609A">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7</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8C9BE1F">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工程开工报告</w:t>
            </w:r>
          </w:p>
        </w:tc>
      </w:tr>
      <w:tr w14:paraId="5ADFF081">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9684DCE">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8</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17D9C3F">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竣工验收报告</w:t>
            </w:r>
          </w:p>
        </w:tc>
      </w:tr>
      <w:tr w14:paraId="16DE5C68">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C1A79FA">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9</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EC641FC">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工程设计变更</w:t>
            </w:r>
          </w:p>
        </w:tc>
      </w:tr>
      <w:tr w14:paraId="71575D7A">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B8BBEFF">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10</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B2B25D5">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工程签证</w:t>
            </w:r>
          </w:p>
        </w:tc>
      </w:tr>
      <w:tr w14:paraId="2DE27EB5">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FAA1053">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11</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A41157E">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工程量计算书（含钢筋抽料表）及其电子文档</w:t>
            </w:r>
          </w:p>
        </w:tc>
      </w:tr>
      <w:tr w14:paraId="7E8A12B4">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523AA03">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12</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43E2123">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工程预（概）算批复文件</w:t>
            </w:r>
          </w:p>
        </w:tc>
      </w:tr>
      <w:tr w14:paraId="1E6CAFAC">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1FC7F2D">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13</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EA79786">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相关资金安排（批复）文件</w:t>
            </w:r>
          </w:p>
        </w:tc>
      </w:tr>
      <w:tr w14:paraId="4E83FD3E">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A9C119B">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14</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05C4305">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招标图</w:t>
            </w:r>
          </w:p>
        </w:tc>
      </w:tr>
      <w:tr w14:paraId="5750D0F2">
        <w:tblPrEx>
          <w:tblCellMar>
            <w:top w:w="0" w:type="dxa"/>
            <w:left w:w="108" w:type="dxa"/>
            <w:bottom w:w="0" w:type="dxa"/>
            <w:right w:w="108" w:type="dxa"/>
          </w:tblCellMar>
        </w:tblPrEx>
        <w:trPr>
          <w:trHeight w:val="437"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89718FA">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15</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7A6066A">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图纸会审记录</w:t>
            </w:r>
          </w:p>
        </w:tc>
      </w:tr>
      <w:tr w14:paraId="3724229A">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26CB5D8">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16</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F8908D2">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工程洽商记录</w:t>
            </w:r>
          </w:p>
        </w:tc>
      </w:tr>
      <w:tr w14:paraId="20E4C694">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0503E46">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17</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171AC1E">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监理合同</w:t>
            </w:r>
          </w:p>
        </w:tc>
      </w:tr>
      <w:tr w14:paraId="3A183FFA">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3A2EF2A">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18</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CBDD81B">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监理工程师通知或发包人施工指令</w:t>
            </w:r>
          </w:p>
        </w:tc>
      </w:tr>
      <w:tr w14:paraId="5F96AF8C">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F5B2E30">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19</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807D581">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会议纪要</w:t>
            </w:r>
          </w:p>
        </w:tc>
      </w:tr>
      <w:tr w14:paraId="2F6FD04B">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2D9671A">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20</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95510BC">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材料、设备单价呈批审核单</w:t>
            </w:r>
          </w:p>
        </w:tc>
      </w:tr>
      <w:tr w14:paraId="4440528B">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F969879">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21</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F6441E1">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综合单价呈批审核单及电子版</w:t>
            </w:r>
          </w:p>
        </w:tc>
      </w:tr>
      <w:tr w14:paraId="412A8FDC">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2AB776F">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22</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711CE78">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甲供材料证明</w:t>
            </w:r>
          </w:p>
        </w:tc>
      </w:tr>
      <w:tr w14:paraId="34BB0227">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18DDC297">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23</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E7EE244">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施工组织设计</w:t>
            </w:r>
          </w:p>
        </w:tc>
      </w:tr>
      <w:tr w14:paraId="4B1EBD3F">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054E5588">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24</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9340133">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工程地质勘察报告及水文资料</w:t>
            </w:r>
          </w:p>
        </w:tc>
      </w:tr>
      <w:tr w14:paraId="71CD02FF">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54EEACE">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25</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F92E7A1">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城建档案</w:t>
            </w:r>
          </w:p>
        </w:tc>
      </w:tr>
      <w:tr w14:paraId="1EE8B04D">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0F8E60C">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26</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79E4C7A">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工期逾期情况说明</w:t>
            </w:r>
          </w:p>
        </w:tc>
      </w:tr>
      <w:tr w14:paraId="0AEE04E5">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FC0347D">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27</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BAA9A4A">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合同条款修改说明</w:t>
            </w:r>
          </w:p>
        </w:tc>
      </w:tr>
      <w:tr w14:paraId="3EA37791">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83E69FB">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28</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D74A324">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隐蔽工程验收记录</w:t>
            </w:r>
          </w:p>
        </w:tc>
      </w:tr>
      <w:tr w14:paraId="40BE05A7">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202EC733">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29</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3D9CBAFB">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工程质量验收评定证书</w:t>
            </w:r>
          </w:p>
        </w:tc>
      </w:tr>
      <w:tr w14:paraId="3477FF98">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54EBA2AC">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30</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6ECC7381">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涉及税金等调整的工程款支付明细</w:t>
            </w:r>
          </w:p>
        </w:tc>
      </w:tr>
      <w:tr w14:paraId="29756CEC">
        <w:tblPrEx>
          <w:tblCellMar>
            <w:top w:w="0" w:type="dxa"/>
            <w:left w:w="108" w:type="dxa"/>
            <w:bottom w:w="0" w:type="dxa"/>
            <w:right w:w="108" w:type="dxa"/>
          </w:tblCellMar>
        </w:tblPrEx>
        <w:trPr>
          <w:trHeight w:val="454" w:hRule="atLeast"/>
          <w:jc w:val="center"/>
        </w:trPr>
        <w:tc>
          <w:tcPr>
            <w:tcW w:w="1460"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7A953B10">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31</w:t>
            </w:r>
          </w:p>
        </w:tc>
        <w:tc>
          <w:tcPr>
            <w:tcW w:w="691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14:paraId="4A07D4A4">
            <w:pPr>
              <w:spacing w:before="0" w:after="0" w:line="269"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其它结算资料</w:t>
            </w:r>
          </w:p>
        </w:tc>
      </w:tr>
    </w:tbl>
    <w:p w14:paraId="18E06F4E">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17、质保期服务管理要求</w:t>
      </w:r>
    </w:p>
    <w:p w14:paraId="751AC771">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在质量保证期内，承包人须做好以下工作：</w:t>
      </w:r>
    </w:p>
    <w:p w14:paraId="1F623E87">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17.1 培训工作</w:t>
      </w:r>
    </w:p>
    <w:p w14:paraId="170579EB">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17.1.1 竣工验收合格后3个月内，承包人须针对各系统特点及项目实际情况编制使用手册、培训手册以及培训计划，并组织专人（包括主要设备供货商）对业主管理人员的进行培训工作，培训内容包括系统的功能介绍、性能介绍、操作要求、维护要求等，直至业主管理人员能熟练掌握及正常使用系统。</w:t>
      </w:r>
    </w:p>
    <w:p w14:paraId="4822DAAD">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17.1.2 用户培训费在措施项目清单计价表中已开列，由投标自行填报，培训期间产生的所有费用已包含在该项费用中，发包人不在另行支付其他费用。</w:t>
      </w:r>
    </w:p>
    <w:p w14:paraId="7C2C026D">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 质量保证期和售后服务</w:t>
      </w:r>
    </w:p>
    <w:p w14:paraId="3F65F8CC">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17.2.1 在质量保证期内，承包人按保修协议约定免费提供设备的维修及保养服务。</w:t>
      </w:r>
    </w:p>
    <w:p w14:paraId="460684D9">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17.2.2 质保期内须免费提供设备的维修及保养服务，定期派工程师到现场巡查，并配合对各系统进行每年一次的年检且提供年检报告。</w:t>
      </w:r>
    </w:p>
    <w:p w14:paraId="03235167">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17.2.3 质保期内设备本身质量出现问题或由于设备本身质量原因造成的任何损伤或损坏，承包人应及时给予免费维修或免费更换，由此引起的施工费、人工费、材料费等其他一切费用由承包人负责。新更换的零部件的质保期则从更换之日起计。</w:t>
      </w:r>
    </w:p>
    <w:p w14:paraId="7CF6845A">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17.2.4承包人在故障保修响应方面应做到：承包人须在接到业主通知的1小时内予以答复；在业主要求时，承包人的技术人员须在收到业主通知后3小时之内到现场进行修理，相关的维修必须连续进行，直至故障完全修复为止。若在24小时内不能排除故障，承包人应立即采取切实有效的补救措施（包括免费提供应急设备），全力防止损失的扩大。</w:t>
      </w:r>
    </w:p>
    <w:p w14:paraId="184069C9">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17.2.5从工程竣工验收合格正式运行之日起的质量保证期（含潜在缺陷质量保证期）内，由于设备材料因素造成的损坏，均由承包人免费维修、更换，由于人为（非承包人人员）和自然灾害造成的损坏，收取成本费用。</w:t>
      </w:r>
    </w:p>
    <w:p w14:paraId="7A26FC96">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17.2.6 在质量保证期结束前，承包人须与业主代表对合同项下设备进行全面的检查，对任何缺陷由承包人负责修理。在修理之后，承包人须将缺陷原因、修理的内容、完成修理及恢复正常的时间和日期等情况报告给业主。</w:t>
      </w:r>
    </w:p>
    <w:p w14:paraId="44B50C04">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17.2.7 承包人必提供满足质量保证期内正常运行的备品备件和易损、易耗件，并随时优惠提供易损件，优惠提供产品更新、改造服务。</w:t>
      </w:r>
    </w:p>
    <w:p w14:paraId="709AC34D">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17.2.8 在质量保证期内，以下主要设备提供原厂售后保修服务，若本项目的质量保证期比主要设备供应商规定的售后保修服务期长的，须相应延长主要设备的原厂售后保修服务期，所发生的相关费用由承包人承担，发包人不另行增加费用。</w:t>
      </w:r>
    </w:p>
    <w:p w14:paraId="7C43569B">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原厂提供售后保修服务的主要设备包括不限于：空调、水泵、电气元器件、控制器、智能化设备等。</w:t>
      </w:r>
    </w:p>
    <w:p w14:paraId="3E5E7F68">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17.2.9 质保期满，由承包人提出退还质量保证金申请，按要求提交《工程质量保修责任期终止证书》，经监理单位、使用单位和发包人确认后按合同要求退还。</w:t>
      </w:r>
    </w:p>
    <w:p w14:paraId="4A4A7F70">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17.2.10 建设项目通过验收后，在使用过程中发现的较大质量隐患，发包人有权将合同质保期延长至隐患消除为止。</w:t>
      </w:r>
    </w:p>
    <w:p w14:paraId="2707D08B">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17.2.11本项目的质量保修金的支付与缺陷责任期内防水工程的质量情况挂钩。具体详见合同约定。</w:t>
      </w:r>
    </w:p>
    <w:p w14:paraId="71D82AB4">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18、调价机制</w:t>
      </w:r>
    </w:p>
    <w:p w14:paraId="0CEB1CCD">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18.1 人工费及材料价差的调整和结算方式</w:t>
      </w:r>
    </w:p>
    <w:p w14:paraId="32BC9D0B">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具体调价方法按合同条款约定执行。</w:t>
      </w:r>
    </w:p>
    <w:p w14:paraId="08E18E29">
      <w:pPr>
        <w:snapToGrid/>
        <w:spacing w:before="0" w:after="0"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rPr>
        <w:t>18.2承包人应认真阅读合同，合理预计报价风险，中标后将不以承包人未正确理解或未合理预计风险为由要求增加任何费用。</w:t>
      </w:r>
    </w:p>
    <w:p w14:paraId="7AE4F53F">
      <w:pPr>
        <w:pStyle w:val="6"/>
        <w:keepNext w:val="0"/>
        <w:keepLines w:val="0"/>
        <w:widowControl/>
        <w:snapToGrid/>
        <w:spacing w:line="360" w:lineRule="auto"/>
        <w:ind w:firstLine="480" w:firstLineChars="200"/>
        <w:rPr>
          <w:rFonts w:ascii="宋体" w:hAnsi="宋体" w:eastAsia="宋体" w:cs="宋体"/>
          <w:b w:val="0"/>
          <w:bCs w:val="0"/>
          <w:snapToGrid w:val="0"/>
          <w:color w:val="auto"/>
          <w:kern w:val="0"/>
          <w:sz w:val="24"/>
          <w:szCs w:val="24"/>
          <w:highlight w:val="none"/>
        </w:rPr>
      </w:pPr>
      <w:bookmarkStart w:id="600" w:name="OLE_LINK7"/>
      <w:r>
        <w:rPr>
          <w:rFonts w:hint="eastAsia" w:ascii="宋体" w:hAnsi="宋体" w:eastAsia="宋体" w:cs="宋体"/>
          <w:b w:val="0"/>
          <w:bCs w:val="0"/>
          <w:snapToGrid w:val="0"/>
          <w:color w:val="auto"/>
          <w:kern w:val="0"/>
          <w:sz w:val="24"/>
          <w:szCs w:val="24"/>
          <w:highlight w:val="none"/>
        </w:rPr>
        <w:t>19、档案管理要求</w:t>
      </w:r>
    </w:p>
    <w:p w14:paraId="3CA16102">
      <w:pPr>
        <w:pStyle w:val="63"/>
        <w:numPr>
          <w:ilvl w:val="1"/>
          <w:numId w:val="41"/>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项目档案工作总体要求</w:t>
      </w:r>
    </w:p>
    <w:p w14:paraId="16134B97">
      <w:pPr>
        <w:pStyle w:val="63"/>
        <w:numPr>
          <w:ilvl w:val="0"/>
          <w:numId w:val="4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应将项目档案工作纳入项目建设管理程序；与项目建设实行同步管理，建立项目档案工作领导责任制和相关人员岗位责任制，配备不少于两名专职档案管理人员，配合发包人开展档案管理工作；应接受国家、省、市档案局、广州城建档案馆及发包人的监督、指导，并按要求组织人员参加相关档案上岗及业务培训。</w:t>
      </w:r>
    </w:p>
    <w:p w14:paraId="7D47ACBA">
      <w:pPr>
        <w:pStyle w:val="63"/>
        <w:numPr>
          <w:ilvl w:val="0"/>
          <w:numId w:val="4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档案验收是项目验收的重要组成部分，未经档案验收或档案验收不合格的项目，不得通过验收；档案验收必须与工程实体验收同步进行。</w:t>
      </w:r>
    </w:p>
    <w:p w14:paraId="41BA69B6">
      <w:pPr>
        <w:pStyle w:val="63"/>
        <w:numPr>
          <w:ilvl w:val="0"/>
          <w:numId w:val="4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除负责自行施工部分的档案工作外，还应负责督促各分包单位按分包范围完成项目档案管理工作，负责审核、汇总、整理各分包单位归档、移交的档案，确保所承包范围内全部项目档案的完整、准确、系统。</w:t>
      </w:r>
    </w:p>
    <w:p w14:paraId="277634A0">
      <w:pPr>
        <w:pStyle w:val="63"/>
        <w:numPr>
          <w:ilvl w:val="0"/>
          <w:numId w:val="4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验收范围：全部应归档保存的各种载体的文件材料，包括纸质、电子、声像档案等；项目档案组织管理情况；档案信息化情况；项目档案安全等；国家、省、市档案行政管理部门或上级管理部门要求的验收范围。</w:t>
      </w:r>
    </w:p>
    <w:p w14:paraId="7CCD98DE">
      <w:pPr>
        <w:pStyle w:val="63"/>
        <w:numPr>
          <w:ilvl w:val="0"/>
          <w:numId w:val="42"/>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承包人应按发包人要求的时间向发包人移交符合要求的承包范围内的项目档案。在项目档案移交之前，承包人应做好档案保管、保密工作，并根据发包人需求提供及时、良好的档案利用服务。</w:t>
      </w:r>
    </w:p>
    <w:p w14:paraId="766E6612">
      <w:pPr>
        <w:pStyle w:val="63"/>
        <w:numPr>
          <w:ilvl w:val="1"/>
          <w:numId w:val="41"/>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项目档案的整理及质量要求</w:t>
      </w:r>
    </w:p>
    <w:p w14:paraId="044EB043">
      <w:pPr>
        <w:pStyle w:val="63"/>
        <w:numPr>
          <w:ilvl w:val="0"/>
          <w:numId w:val="43"/>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按照DA/T 28《建设项目档案管理规范》、GB/T 50328《建设工程文件归档规范》及发包人相关档案管理制度，结合项目产生文件材料的实际情况，确保本项目竣工档案的齐全、完整、准确、系统。</w:t>
      </w:r>
    </w:p>
    <w:p w14:paraId="59CCA738">
      <w:pPr>
        <w:pStyle w:val="63"/>
        <w:numPr>
          <w:ilvl w:val="0"/>
          <w:numId w:val="43"/>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项目文件材料的收集、整理、归档和项目档案的整理与移交，须符合DA/T 28《国家重大建设项目文件归档要求与档案整理规范》、GB/T 50328《建设工程文件归档规范》、GB/T 11822《科学技术档案案卷构成的一般要求》及发包人相关档案管理制度要求。</w:t>
      </w:r>
    </w:p>
    <w:p w14:paraId="1B3807FB">
      <w:pPr>
        <w:pStyle w:val="63"/>
        <w:numPr>
          <w:ilvl w:val="1"/>
          <w:numId w:val="41"/>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项目档案的安全要求</w:t>
      </w:r>
    </w:p>
    <w:p w14:paraId="4F96EC98">
      <w:pPr>
        <w:pStyle w:val="63"/>
        <w:numPr>
          <w:ilvl w:val="0"/>
          <w:numId w:val="44"/>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项目档案库房须采取防火、防盗、防有害生物和温湿度控制措施，确保档案安全保管</w:t>
      </w:r>
    </w:p>
    <w:p w14:paraId="6BFF56D6">
      <w:pPr>
        <w:pStyle w:val="63"/>
        <w:numPr>
          <w:ilvl w:val="0"/>
          <w:numId w:val="44"/>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档案柜架、卷盒、卷皮等档案装具符合标准要求</w:t>
      </w:r>
    </w:p>
    <w:p w14:paraId="3DB344DB">
      <w:pPr>
        <w:pStyle w:val="63"/>
        <w:numPr>
          <w:ilvl w:val="0"/>
          <w:numId w:val="44"/>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归档文件材料的制成材料符合耐久性要求</w:t>
      </w:r>
    </w:p>
    <w:p w14:paraId="21655BCE">
      <w:pPr>
        <w:pStyle w:val="63"/>
        <w:numPr>
          <w:ilvl w:val="0"/>
          <w:numId w:val="44"/>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须采取有效措施保证档案实体和信息安全。</w:t>
      </w:r>
    </w:p>
    <w:p w14:paraId="487FA3EF">
      <w:pPr>
        <w:pStyle w:val="63"/>
        <w:numPr>
          <w:ilvl w:val="1"/>
          <w:numId w:val="41"/>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档案验收要求</w:t>
      </w:r>
    </w:p>
    <w:p w14:paraId="63C0E735">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承包人应负责档案验收全过程相关工作，包括但不限于：</w:t>
      </w:r>
    </w:p>
    <w:p w14:paraId="7A72BEDB">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19.4.1施工阶段</w:t>
      </w:r>
    </w:p>
    <w:p w14:paraId="1F10D943">
      <w:pPr>
        <w:pStyle w:val="63"/>
        <w:numPr>
          <w:ilvl w:val="0"/>
          <w:numId w:val="45"/>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按照国家、省、市档案法律法规和发包人工程项目档案规章制度和标准规范收集、整理工程项目档案（包括纸质、电子、声像档案等）,若前述法律法规和制度规范没有明确的，按发包人工程项目主办部门意见执行。</w:t>
      </w:r>
    </w:p>
    <w:p w14:paraId="646BA300">
      <w:pPr>
        <w:pStyle w:val="63"/>
        <w:numPr>
          <w:ilvl w:val="0"/>
          <w:numId w:val="45"/>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承包人按照单位工程配备专职档案管理人员，持证上岗；同时按照发包人工程项目档案管理要求配置档案归档所需的设备和档案库房。</w:t>
      </w:r>
    </w:p>
    <w:p w14:paraId="105911AB">
      <w:pPr>
        <w:pStyle w:val="63"/>
        <w:numPr>
          <w:ilvl w:val="0"/>
          <w:numId w:val="45"/>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国家建设工程验收法律法规和广州市相关要求，组织分部工程档案验收和单位（子单位）工程档案预验收，及时通知发包人工程项目主办部门派人参加验收，分部工程档案整理质量达不到发包人要求的验收标准，须在规定的时间内完成整改，否则不予通过验收。</w:t>
      </w:r>
    </w:p>
    <w:p w14:paraId="4407785B">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19.4.2单位工程验收阶段</w:t>
      </w:r>
    </w:p>
    <w:p w14:paraId="6DA10D7A">
      <w:pPr>
        <w:pStyle w:val="63"/>
        <w:numPr>
          <w:ilvl w:val="0"/>
          <w:numId w:val="4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国家、省、市档案行政管理部门、上级管理部门工程项目档案验收相关法律法规、发包人规章制度及通用合同条款中档案验收的有关要求，在发包人的监督指导下，配合组织单位工程档案验收管理，配合发包人验收工作。</w:t>
      </w:r>
    </w:p>
    <w:p w14:paraId="568EFA07">
      <w:pPr>
        <w:pStyle w:val="63"/>
        <w:numPr>
          <w:ilvl w:val="0"/>
          <w:numId w:val="4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单位工程验收前须按国家、省、市档案行政管理部门、上级管理部门及发包人档案管理的要求，完成各类档案（包括纸质、电子、声像档案等）的整理、立卷、编目、汇总等工作。</w:t>
      </w:r>
    </w:p>
    <w:p w14:paraId="461AD05C">
      <w:pPr>
        <w:pStyle w:val="63"/>
        <w:numPr>
          <w:ilvl w:val="0"/>
          <w:numId w:val="46"/>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单位工程验收后按时完成整改，并及时将整改完成情况向发包人档案管理部门报备。</w:t>
      </w:r>
    </w:p>
    <w:p w14:paraId="0DB82FE4">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19.4.3档案专项验收阶段</w:t>
      </w:r>
    </w:p>
    <w:p w14:paraId="6E1208D4">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国家、省、市档案行政管理部门、上级管理部门工程项目档案验收相关法律法规、发包人规章制度，在发包人的监督指导下，配合组织各参建单位完成全部档案（包括纸质、电子、声像档案等）收集、整理、分类、组卷、汇总、目录册编制等工作。</w:t>
      </w:r>
    </w:p>
    <w:p w14:paraId="44E9A666">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国家、省、市档案行政管理部门重大建设项目验收的规定和要求，编制档案验收相关报告，收集、汇编见证材料，编制项目档案工作专题视频、专题画册、建设大事记等编研材料，配合组织监理单位、设计单位完成各专业档案质量报告。</w:t>
      </w:r>
    </w:p>
    <w:p w14:paraId="52A17AC9">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国家、省、市档案行政管理部门、上级管理部门工程项目档案验收相关法律法规、发包人规章制度，在发包人的监督下，配合上级档案行政管理部门组织档案验收会议，负责会务组织工作；确保建设单位、参建单位等相关主体参加档案验收会议及现场检查，组织各专业人员配合档案验收组检查档案。</w:t>
      </w:r>
    </w:p>
    <w:p w14:paraId="17F041CC">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依照档案行政管理部门专项验收意见，开展整改工作，按时完成整改，并及时将整改完成情况向上级档案行政管理部门、发包人档案管理部门报备。</w:t>
      </w:r>
    </w:p>
    <w:p w14:paraId="7718DB3D">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按照项目档案验收相关法律法规及国家、省、市档案行政管理部门的要求，完成全部验收程序，取得档案行政管理部门出具的正式验收意见。</w:t>
      </w:r>
    </w:p>
    <w:p w14:paraId="0F9FB2D7">
      <w:pPr>
        <w:pStyle w:val="63"/>
        <w:numPr>
          <w:ilvl w:val="0"/>
          <w:numId w:val="47"/>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按照发包人一体化平台信息管理要求上传档案目录数据、电子文件及相关材料。</w:t>
      </w:r>
    </w:p>
    <w:p w14:paraId="7C9CA95C">
      <w:pPr>
        <w:pStyle w:val="63"/>
        <w:numPr>
          <w:ilvl w:val="1"/>
          <w:numId w:val="41"/>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项目档案移交套数要求</w:t>
      </w:r>
    </w:p>
    <w:p w14:paraId="211A24A9">
      <w:pPr>
        <w:pStyle w:val="63"/>
        <w:numPr>
          <w:ilvl w:val="0"/>
          <w:numId w:val="48"/>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应按广州市城建档案馆要求在工程竣工验收后6个月内移交一套符合规定的项目档案（包括纸质档案、电子档案、声像档案）。</w:t>
      </w:r>
    </w:p>
    <w:p w14:paraId="2652F154">
      <w:pPr>
        <w:pStyle w:val="63"/>
        <w:numPr>
          <w:ilvl w:val="0"/>
          <w:numId w:val="48"/>
        </w:numPr>
        <w:snapToGrid/>
        <w:spacing w:before="0" w:after="0" w:line="360" w:lineRule="auto"/>
        <w:ind w:firstLine="49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应按发包人相关档案管理要求移交指定套数的项目档案（包括纸质档案、电子档案、声像档案）。</w:t>
      </w:r>
      <w:bookmarkEnd w:id="600"/>
    </w:p>
    <w:p w14:paraId="5017623B">
      <w:pPr>
        <w:pStyle w:val="6"/>
        <w:keepNext w:val="0"/>
        <w:keepLines w:val="0"/>
        <w:widowControl/>
        <w:snapToGrid/>
        <w:spacing w:line="360" w:lineRule="auto"/>
        <w:ind w:firstLine="480" w:firstLineChars="200"/>
        <w:rPr>
          <w:rFonts w:hint="eastAsia" w:ascii="宋体" w:hAnsi="宋体" w:eastAsia="宋体" w:cs="宋体"/>
          <w:b w:val="0"/>
          <w:bCs w:val="0"/>
          <w:snapToGrid w:val="0"/>
          <w:color w:val="auto"/>
          <w:kern w:val="0"/>
          <w:sz w:val="24"/>
          <w:szCs w:val="24"/>
          <w:highlight w:val="none"/>
        </w:rPr>
      </w:pPr>
      <w:r>
        <w:rPr>
          <w:rFonts w:hint="eastAsia" w:ascii="宋体" w:hAnsi="宋体" w:eastAsia="宋体" w:cs="宋体"/>
          <w:b w:val="0"/>
          <w:bCs w:val="0"/>
          <w:snapToGrid w:val="0"/>
          <w:color w:val="auto"/>
          <w:kern w:val="0"/>
          <w:sz w:val="24"/>
          <w:szCs w:val="24"/>
          <w:highlight w:val="none"/>
        </w:rPr>
        <w:t>20、指挥部建设要求</w:t>
      </w:r>
    </w:p>
    <w:p w14:paraId="2C205923">
      <w:pPr>
        <w:snapToGrid/>
        <w:spacing w:before="0" w:after="0"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rPr>
        <w:t>根据项目建设总体部署，拟计划将本项目幼儿园先建设为环五山创新策源区城中村改造项目总指挥部，承包人应综合考虑此部分内容所产生的相关费用（包括但不限于总承包管理服务费、抢工费等），其费用已包含在投标报价中，不再另行计取。</w:t>
      </w:r>
    </w:p>
    <w:p w14:paraId="7008562C">
      <w:pPr>
        <w:pStyle w:val="2"/>
        <w:snapToGrid/>
        <w:spacing w:line="360" w:lineRule="auto"/>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四、BIM技术运用要求</w:t>
      </w:r>
    </w:p>
    <w:p w14:paraId="0ADEDA9C">
      <w:pPr>
        <w:snapToGrid/>
        <w:spacing w:before="0" w:after="0" w:line="360" w:lineRule="auto"/>
        <w:ind w:firstLine="426"/>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包括但不限于以下要求：</w:t>
      </w:r>
    </w:p>
    <w:p w14:paraId="227559A2">
      <w:pPr>
        <w:spacing w:before="0" w:after="0" w:line="360" w:lineRule="auto"/>
        <w:ind w:firstLine="480" w:firstLineChars="200"/>
        <w:jc w:val="both"/>
        <w:rPr>
          <w:rFonts w:hint="eastAsia" w:ascii="宋体" w:hAnsi="宋体" w:eastAsia="宋体" w:cs="宋体"/>
          <w:color w:val="auto"/>
          <w:sz w:val="24"/>
          <w:highlight w:val="none"/>
        </w:rPr>
      </w:pPr>
      <w:r>
        <w:rPr>
          <w:rFonts w:hint="eastAsia" w:ascii="宋体" w:hAnsi="宋体" w:eastAsia="宋体" w:cs="宋体"/>
          <w:color w:val="auto"/>
          <w:sz w:val="24"/>
          <w:highlight w:val="none"/>
        </w:rPr>
        <w:t>本项目要求充分运用BIM技术，利用BIM技术实现施工全过程的精细化管理。为保证BIM模型的延续使用原则，施工阶段的BIM模型必须建立在设计阶段BIM模型基础上进行深化，直至形成竣工模型。施工过程BIM应用包括但不限于施工虚拟建造、方案优化、施工安全模拟、进度控制、造价分析、现场巡检、施工风险预案模拟、工程变更管理、工程自动化、供应链管理、场地布局规划等。</w:t>
      </w:r>
    </w:p>
    <w:p w14:paraId="0AFC4FDB">
      <w:pPr>
        <w:spacing w:before="0" w:after="0" w:line="360" w:lineRule="auto"/>
        <w:ind w:firstLine="480" w:firstLineChars="200"/>
        <w:jc w:val="both"/>
        <w:rPr>
          <w:rFonts w:hint="eastAsia" w:ascii="宋体" w:hAnsi="宋体" w:eastAsia="宋体" w:cs="宋体"/>
          <w:color w:val="auto"/>
          <w:sz w:val="24"/>
          <w:highlight w:val="none"/>
        </w:rPr>
      </w:pPr>
      <w:r>
        <w:rPr>
          <w:rFonts w:hint="eastAsia" w:ascii="宋体" w:hAnsi="宋体" w:eastAsia="宋体" w:cs="宋体"/>
          <w:color w:val="auto"/>
          <w:sz w:val="24"/>
          <w:highlight w:val="none"/>
        </w:rPr>
        <w:t>承包人需在设计、施工和运营维护等全过程中运用BIM技术，达到工程建设项目全生命周期各参与方在同一多维建筑信息9模型基础上的协同工作、数据共享、信息化管理以及数据更改可追溯的，同时能做到设计、生产、施工、设备供应、专业分包、项目管理等单位的无缝对接，实现项目全寿命周期内成本节约化。</w:t>
      </w:r>
    </w:p>
    <w:p w14:paraId="0C903A49">
      <w:pPr>
        <w:spacing w:before="0" w:after="0" w:line="360" w:lineRule="auto"/>
        <w:ind w:firstLine="480" w:firstLineChars="200"/>
        <w:jc w:val="both"/>
        <w:rPr>
          <w:rFonts w:hint="eastAsia" w:ascii="宋体" w:hAnsi="宋体" w:eastAsia="宋体" w:cs="宋体"/>
          <w:color w:val="auto"/>
          <w:highlight w:val="none"/>
        </w:rPr>
      </w:pPr>
      <w:r>
        <w:rPr>
          <w:rFonts w:hint="eastAsia" w:ascii="宋体" w:hAnsi="宋体" w:eastAsia="宋体" w:cs="宋体"/>
          <w:color w:val="auto"/>
          <w:sz w:val="24"/>
          <w:highlight w:val="none"/>
        </w:rPr>
        <w:t>承包人必须按照本招标文件、项目合同的要求提交完整的项目BIM成果，包含但不限于最终完整的与竣工建筑实物一致的BIM竣工模型、施工场布模型、施工场地周边道路地下管网模型、碰撞检查报告、施工深化模型（建筑、结构、钢结构、幕墙、机电、医疗专项、智能化、消防、装修、人防、设备机房、场地、园林、市政）及图纸（平面图、立面图、剖面图、大样图、材料表等）、施工方案模拟动画及优化报告、4D进度模拟动画及优化报告、工程量清单等。竣工验收模型需按照广州市三维数字化竣工验收模型交付标准的相关要求完成竣工图三维数字化备案。</w:t>
      </w:r>
    </w:p>
    <w:p w14:paraId="1418BF11">
      <w:pPr>
        <w:pStyle w:val="2"/>
        <w:snapToGrid/>
        <w:spacing w:line="360" w:lineRule="auto"/>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五、建筑总承包管理内容</w:t>
      </w:r>
    </w:p>
    <w:p w14:paraId="146699AA">
      <w:pPr>
        <w:snapToGrid/>
        <w:spacing w:before="0" w:after="0" w:line="360" w:lineRule="auto"/>
        <w:ind w:left="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1、施工总承包管理内容，主要包括但不限于以下工作内容：</w:t>
      </w:r>
    </w:p>
    <w:p w14:paraId="3F21C1DC">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1.1 负责项目总进度计划管理和总体协调；</w:t>
      </w:r>
    </w:p>
    <w:p w14:paraId="0D16EA1E">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1.2 负责施工总平面布置及维护管理；</w:t>
      </w:r>
    </w:p>
    <w:p w14:paraId="43204888">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1.3 负责日常水电、通道和道路的管理、维护和保洁；</w:t>
      </w:r>
    </w:p>
    <w:p w14:paraId="488B55C2">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1.4 负责现场安全保卫（包括且不限于办公区、生活区、现场门禁、视频监控等）、社区周边关系（包括且不限于环保、环卫、城管、街道、安监、公安、交警等部门）协调等现场综合管理；</w:t>
      </w:r>
    </w:p>
    <w:p w14:paraId="2465D0D7">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1.5 负责项目竣工移交以前项目的安全文明施工、环境及职业健康管理及协调；</w:t>
      </w:r>
    </w:p>
    <w:p w14:paraId="71098804">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1.6 组织办理验收、移交、竣工结算、竣工资料和竣工备案及其它管理工作；</w:t>
      </w:r>
    </w:p>
    <w:p w14:paraId="15B3FF56">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2、为保证施工单位在完成本项目主体结构施工后，仍然能够保质保量地履行施工总承包管理，承包人承诺施工总承包配合服务的具体时间、人员和具体内容等。</w:t>
      </w:r>
    </w:p>
    <w:p w14:paraId="35573FB7">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3、承包单位中标后，立即成立专门的团队负责本项目的总承包管理。</w:t>
      </w:r>
    </w:p>
    <w:p w14:paraId="6F340F2B">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4、施工单位将总承包管理内容进行梳理细化，根据施工进度情况和专业单位进场情况排出配合服务工作计划，报监理单位和我司审批后实施。</w:t>
      </w:r>
    </w:p>
    <w:p w14:paraId="3B36CD99">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5、总承包服务内容:</w:t>
      </w:r>
    </w:p>
    <w:p w14:paraId="407A2C7E">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5.1 向专业工程承包人提供施工用水、用电接驳点；</w:t>
      </w:r>
    </w:p>
    <w:p w14:paraId="2A09A34F">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5.2 向专业工程承包人提供生产、生活设施搭建场地；</w:t>
      </w:r>
    </w:p>
    <w:p w14:paraId="4ECAD6C1">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5.3 提供垂直运输设施、设备及管理服务；</w:t>
      </w:r>
    </w:p>
    <w:p w14:paraId="569D87C6">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5.4 提供脚手架满足各专业施工要求；</w:t>
      </w:r>
    </w:p>
    <w:p w14:paraId="746E92B7">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5.5 提供公共临时设施（包括且不限于应急发电机、施工临时消防设施、施工临时排水等）、公共安全防护和文明施工设施供专业单位使用，并负责管理及维护；</w:t>
      </w:r>
    </w:p>
    <w:p w14:paraId="50FF63E0">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 xml:space="preserve">5.6 提供施工测量控制基准点，随楼层向其它专业承包单位提供施工控制轴线、标高； </w:t>
      </w:r>
    </w:p>
    <w:p w14:paraId="70A769B4">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5.7 配合办理专项验收备案等手续。</w:t>
      </w:r>
    </w:p>
    <w:p w14:paraId="618F1CB8">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5.8 第三方检测、监测配合服务。</w:t>
      </w:r>
    </w:p>
    <w:p w14:paraId="4A4DA246">
      <w:pPr>
        <w:snapToGrid/>
        <w:spacing w:before="0" w:after="0" w:line="360" w:lineRule="auto"/>
        <w:ind w:firstLine="426"/>
        <w:jc w:val="both"/>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5.9 合同约定的其他总承包管理服务内容。</w:t>
      </w:r>
    </w:p>
    <w:p w14:paraId="1F5732B2">
      <w:pPr>
        <w:snapToGrid/>
        <w:spacing w:before="0" w:after="0" w:line="360" w:lineRule="auto"/>
        <w:ind w:firstLine="426"/>
        <w:jc w:val="both"/>
        <w:rPr>
          <w:rFonts w:hint="eastAsia" w:ascii="宋体" w:hAnsi="宋体" w:cs="宋体"/>
          <w:color w:val="auto"/>
          <w:spacing w:val="4"/>
          <w:sz w:val="24"/>
          <w:highlight w:val="none"/>
        </w:rPr>
      </w:pPr>
      <w:r>
        <w:rPr>
          <w:rFonts w:hint="eastAsia" w:ascii="宋体" w:hAnsi="宋体" w:eastAsia="宋体" w:cs="宋体"/>
          <w:color w:val="auto"/>
          <w:spacing w:val="4"/>
          <w:sz w:val="24"/>
          <w:highlight w:val="none"/>
        </w:rPr>
        <w:t>5.10配合相关方调研、活动组织等工作</w:t>
      </w:r>
      <w:r>
        <w:rPr>
          <w:rFonts w:hint="eastAsia"/>
          <w:color w:val="auto"/>
          <w:highlight w:val="none"/>
        </w:rPr>
        <w:t>。</w:t>
      </w:r>
    </w:p>
    <w:p w14:paraId="6F409347">
      <w:pPr>
        <w:keepNext/>
        <w:keepLines/>
        <w:tabs>
          <w:tab w:val="left" w:pos="0"/>
        </w:tabs>
        <w:spacing w:line="360" w:lineRule="auto"/>
        <w:outlineLvl w:val="0"/>
        <w:rPr>
          <w:rFonts w:hint="eastAsia" w:ascii="宋体" w:hAnsi="宋体" w:eastAsia="宋体" w:cs="宋体"/>
          <w:b/>
          <w:color w:val="auto"/>
          <w:kern w:val="44"/>
          <w:sz w:val="24"/>
          <w:szCs w:val="24"/>
          <w:highlight w:val="none"/>
        </w:rPr>
      </w:pPr>
      <w:r>
        <w:rPr>
          <w:rFonts w:hint="eastAsia" w:ascii="宋体" w:hAnsi="宋体" w:eastAsia="宋体" w:cs="宋体"/>
          <w:b/>
          <w:color w:val="auto"/>
          <w:kern w:val="44"/>
          <w:sz w:val="24"/>
          <w:szCs w:val="24"/>
          <w:highlight w:val="none"/>
        </w:rPr>
        <w:t>六、总体施工要求</w:t>
      </w:r>
    </w:p>
    <w:p w14:paraId="1B5F08FA">
      <w:pPr>
        <w:spacing w:line="360" w:lineRule="auto"/>
        <w:ind w:firstLine="480" w:firstLineChars="200"/>
        <w:rPr>
          <w:rFonts w:hint="eastAsia" w:ascii="宋体" w:hAnsi="宋体" w:eastAsia="宋体" w:cs="宋体"/>
          <w:color w:val="auto"/>
          <w:sz w:val="24"/>
          <w:highlight w:val="none"/>
        </w:rPr>
      </w:pPr>
      <w:bookmarkStart w:id="601" w:name="_Toc3951"/>
      <w:r>
        <w:rPr>
          <w:rFonts w:hint="eastAsia" w:ascii="宋体" w:hAnsi="宋体" w:eastAsia="宋体" w:cs="宋体"/>
          <w:color w:val="auto"/>
          <w:sz w:val="24"/>
          <w:highlight w:val="none"/>
        </w:rPr>
        <w:t xml:space="preserve">1. </w:t>
      </w:r>
      <w:bookmarkEnd w:id="601"/>
      <w:bookmarkStart w:id="602" w:name="_Toc35083128"/>
      <w:bookmarkStart w:id="603" w:name="_Toc87991291"/>
      <w:bookmarkStart w:id="604" w:name="_Toc106729782"/>
      <w:bookmarkStart w:id="605" w:name="_Toc104979715"/>
      <w:r>
        <w:rPr>
          <w:rFonts w:hint="eastAsia" w:ascii="宋体" w:hAnsi="宋体" w:eastAsia="宋体" w:cs="宋体"/>
          <w:color w:val="auto"/>
          <w:sz w:val="24"/>
          <w:highlight w:val="none"/>
        </w:rPr>
        <w:t>拟投入本项目</w:t>
      </w:r>
      <w:bookmarkEnd w:id="602"/>
      <w:bookmarkEnd w:id="603"/>
      <w:r>
        <w:rPr>
          <w:rFonts w:hint="eastAsia" w:ascii="宋体" w:hAnsi="宋体" w:eastAsia="宋体" w:cs="宋体"/>
          <w:color w:val="auto"/>
          <w:sz w:val="24"/>
          <w:highlight w:val="none"/>
        </w:rPr>
        <w:t>主要人员</w:t>
      </w:r>
      <w:bookmarkEnd w:id="604"/>
      <w:bookmarkEnd w:id="605"/>
      <w:r>
        <w:rPr>
          <w:rFonts w:hint="eastAsia" w:ascii="宋体" w:hAnsi="宋体" w:eastAsia="宋体" w:cs="宋体"/>
          <w:color w:val="auto"/>
          <w:sz w:val="24"/>
          <w:highlight w:val="none"/>
        </w:rPr>
        <w:t>要求</w:t>
      </w:r>
    </w:p>
    <w:p w14:paraId="27E80DCD">
      <w:pPr>
        <w:spacing w:line="360" w:lineRule="auto"/>
        <w:ind w:firstLine="480" w:firstLineChars="200"/>
        <w:rPr>
          <w:rFonts w:hint="eastAsia" w:ascii="宋体" w:hAnsi="宋体" w:eastAsia="宋体" w:cs="宋体"/>
          <w:color w:val="auto"/>
          <w:sz w:val="24"/>
          <w:highlight w:val="none"/>
        </w:rPr>
      </w:pPr>
      <w:r>
        <w:rPr>
          <w:rFonts w:ascii="宋体" w:hAnsi="宋体" w:eastAsia="宋体" w:cs="宋体"/>
          <w:color w:val="auto"/>
          <w:sz w:val="24"/>
          <w:highlight w:val="none"/>
        </w:rPr>
        <w:t>1</w:t>
      </w:r>
      <w:r>
        <w:rPr>
          <w:rFonts w:hint="eastAsia" w:ascii="宋体" w:hAnsi="宋体" w:eastAsia="宋体" w:cs="宋体"/>
          <w:color w:val="auto"/>
          <w:sz w:val="24"/>
          <w:highlight w:val="none"/>
        </w:rPr>
        <w:t xml:space="preserve">.1 </w:t>
      </w:r>
      <w:r>
        <w:rPr>
          <w:rFonts w:ascii="宋体" w:hAnsi="宋体" w:eastAsia="宋体" w:cs="宋体"/>
          <w:color w:val="auto"/>
          <w:sz w:val="24"/>
          <w:highlight w:val="none"/>
        </w:rPr>
        <w:t>投标所报的全部技术和管理人员均为</w:t>
      </w:r>
      <w:r>
        <w:rPr>
          <w:rFonts w:hint="eastAsia" w:ascii="宋体" w:hAnsi="宋体" w:eastAsia="宋体" w:cs="宋体"/>
          <w:color w:val="auto"/>
          <w:sz w:val="24"/>
          <w:highlight w:val="none"/>
        </w:rPr>
        <w:t>承包人的</w:t>
      </w:r>
      <w:r>
        <w:rPr>
          <w:rFonts w:ascii="宋体" w:hAnsi="宋体" w:eastAsia="宋体" w:cs="宋体"/>
          <w:color w:val="auto"/>
          <w:sz w:val="24"/>
          <w:highlight w:val="none"/>
        </w:rPr>
        <w:t>员工；</w:t>
      </w:r>
    </w:p>
    <w:p w14:paraId="0C66470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highlight w:val="none"/>
        </w:rPr>
        <w:t>1.2 项目指挥长【（</w:t>
      </w:r>
      <w:r>
        <w:rPr>
          <w:rFonts w:ascii="宋体" w:hAnsi="宋体" w:eastAsia="宋体" w:cs="宋体"/>
          <w:color w:val="auto"/>
          <w:sz w:val="24"/>
          <w:highlight w:val="none"/>
        </w:rPr>
        <w:t>1</w:t>
      </w:r>
      <w:r>
        <w:rPr>
          <w:rFonts w:hint="eastAsia" w:ascii="宋体" w:hAnsi="宋体" w:eastAsia="宋体" w:cs="宋体"/>
          <w:color w:val="auto"/>
          <w:sz w:val="24"/>
          <w:highlight w:val="none"/>
        </w:rPr>
        <w:t>）设计指挥长应由设计方现任单位领导班子副职或以上级别的领导担任，且应已任该职务满半年或以上；（</w:t>
      </w:r>
      <w:r>
        <w:rPr>
          <w:rFonts w:ascii="宋体" w:hAnsi="宋体" w:eastAsia="宋体" w:cs="宋体"/>
          <w:color w:val="auto"/>
          <w:sz w:val="24"/>
          <w:highlight w:val="none"/>
        </w:rPr>
        <w:t>2</w:t>
      </w:r>
      <w:r>
        <w:rPr>
          <w:rFonts w:hint="eastAsia" w:ascii="宋体" w:hAnsi="宋体" w:eastAsia="宋体" w:cs="宋体"/>
          <w:color w:val="auto"/>
          <w:sz w:val="24"/>
          <w:highlight w:val="none"/>
        </w:rPr>
        <w:t>）施工指挥长应由施工方现任单位董事长（或总经理）担任；（</w:t>
      </w:r>
      <w:r>
        <w:rPr>
          <w:rFonts w:ascii="宋体" w:hAnsi="宋体" w:eastAsia="宋体" w:cs="宋体"/>
          <w:color w:val="auto"/>
          <w:sz w:val="24"/>
          <w:highlight w:val="none"/>
        </w:rPr>
        <w:t>3</w:t>
      </w:r>
      <w:r>
        <w:rPr>
          <w:rFonts w:hint="eastAsia" w:ascii="宋体" w:hAnsi="宋体" w:eastAsia="宋体" w:cs="宋体"/>
          <w:color w:val="auto"/>
          <w:sz w:val="24"/>
          <w:highlight w:val="none"/>
        </w:rPr>
        <w:t>）施工副指挥长应由施工方现任单位领</w:t>
      </w:r>
      <w:r>
        <w:rPr>
          <w:rFonts w:hint="eastAsia" w:ascii="宋体" w:hAnsi="宋体" w:eastAsia="宋体" w:cs="宋体"/>
          <w:color w:val="auto"/>
          <w:sz w:val="24"/>
          <w:szCs w:val="24"/>
          <w:highlight w:val="none"/>
        </w:rPr>
        <w:t>导班子副职或以上级别的领导担任，且应已任该职务满半年或以上。】、项目经理（按招标公告要求）、设计负责人（按招标公告要求）、专业设计人员、施工技术负责人（按招标文件要求）、专业负责人及相关专业人员的条件完全满足招标文件和工程现场的要求；</w:t>
      </w:r>
    </w:p>
    <w:p w14:paraId="4AC0351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1.3 项目现场如出现质量、进度、安全等问题时，指挥长或副指挥长必须按发包人通知要求常驻现场，直到问题解决为止。发包人或发包人的上级主管部门要求指挥长或副指挥长出席现场会议的必须到场；</w:t>
      </w:r>
    </w:p>
    <w:p w14:paraId="4AC22AE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1.4 </w:t>
      </w:r>
      <w:r>
        <w:rPr>
          <w:rFonts w:ascii="宋体" w:hAnsi="宋体" w:eastAsia="宋体" w:cs="宋体"/>
          <w:color w:val="auto"/>
          <w:sz w:val="24"/>
          <w:szCs w:val="24"/>
          <w:highlight w:val="none"/>
        </w:rPr>
        <w:t>在收到发包人进场通知的3天内全部到位，</w:t>
      </w:r>
      <w:r>
        <w:rPr>
          <w:rFonts w:hint="eastAsia" w:ascii="宋体" w:hAnsi="宋体" w:eastAsia="宋体" w:cs="宋体"/>
          <w:color w:val="auto"/>
          <w:sz w:val="24"/>
          <w:szCs w:val="24"/>
          <w:highlight w:val="none"/>
        </w:rPr>
        <w:t>项目经理、项目总工、项目副经理、项目技术负责人、项目设计负责人等主要人员每月驻场天数不得少于</w:t>
      </w:r>
      <w:r>
        <w:rPr>
          <w:rFonts w:ascii="宋体" w:hAnsi="宋体" w:eastAsia="宋体" w:cs="宋体"/>
          <w:color w:val="auto"/>
          <w:sz w:val="24"/>
          <w:szCs w:val="24"/>
          <w:highlight w:val="none"/>
        </w:rPr>
        <w:t>20天，请假天数不得超过5天；</w:t>
      </w:r>
      <w:r>
        <w:rPr>
          <w:rFonts w:hint="eastAsia" w:ascii="宋体" w:hAnsi="宋体" w:eastAsia="宋体" w:cs="宋体"/>
          <w:color w:val="auto"/>
          <w:sz w:val="24"/>
          <w:szCs w:val="24"/>
          <w:highlight w:val="none"/>
        </w:rPr>
        <w:t>项目主要专业（建筑、结构、给排水、电气、暖通五个专业之一）的设计负责人作为设计代表常驻现场，服务于项目建设的始终。</w:t>
      </w:r>
    </w:p>
    <w:p w14:paraId="15F5589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 主要人员每月驻场天数不应少于20天、请假天数不应超过5天，技术或管理人员需按投标承诺的人员和时间到位。</w:t>
      </w:r>
    </w:p>
    <w:p w14:paraId="005506FB">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1.6</w:t>
      </w:r>
      <w:bookmarkStart w:id="606" w:name="_Toc35083131"/>
      <w:bookmarkStart w:id="607" w:name="_Toc87991294"/>
      <w:bookmarkStart w:id="608" w:name="_Toc104979716"/>
      <w:r>
        <w:rPr>
          <w:rFonts w:hint="eastAsia" w:ascii="宋体" w:hAnsi="宋体" w:eastAsia="宋体" w:cs="宋体"/>
          <w:color w:val="auto"/>
          <w:sz w:val="24"/>
          <w:szCs w:val="24"/>
          <w:highlight w:val="none"/>
        </w:rPr>
        <w:t>按不低于《发包人要求》施工管理主要人员配置要求（工程总承包项目管理团队人员信息表人员除外）配置现场管理人员，根据项目实际进展情况和招标人的实际要求按规定时间分批次到位。</w:t>
      </w:r>
    </w:p>
    <w:p w14:paraId="58F98866">
      <w:pPr>
        <w:spacing w:line="360" w:lineRule="auto"/>
        <w:ind w:firstLine="480" w:firstLineChars="200"/>
        <w:rPr>
          <w:rFonts w:hint="eastAsia" w:ascii="宋体" w:hAnsi="宋体" w:eastAsia="宋体" w:cs="宋体"/>
          <w:color w:val="auto"/>
          <w:sz w:val="24"/>
          <w:szCs w:val="24"/>
          <w:highlight w:val="none"/>
        </w:rPr>
      </w:pPr>
      <w:bookmarkStart w:id="609" w:name="_Toc106729785"/>
      <w:r>
        <w:rPr>
          <w:rFonts w:hint="eastAsia" w:ascii="宋体" w:hAnsi="宋体" w:eastAsia="宋体" w:cs="宋体"/>
          <w:color w:val="auto"/>
          <w:sz w:val="24"/>
          <w:szCs w:val="24"/>
          <w:highlight w:val="none"/>
        </w:rPr>
        <w:t>2. 材料</w:t>
      </w:r>
      <w:bookmarkEnd w:id="606"/>
      <w:bookmarkEnd w:id="607"/>
      <w:r>
        <w:rPr>
          <w:rFonts w:hint="eastAsia" w:ascii="宋体" w:hAnsi="宋体" w:eastAsia="宋体" w:cs="宋体"/>
          <w:color w:val="auto"/>
          <w:sz w:val="24"/>
          <w:szCs w:val="24"/>
          <w:highlight w:val="none"/>
        </w:rPr>
        <w:t>设备投入要求</w:t>
      </w:r>
      <w:bookmarkEnd w:id="608"/>
      <w:bookmarkEnd w:id="609"/>
    </w:p>
    <w:p w14:paraId="77F29A41">
      <w:pPr>
        <w:spacing w:line="360" w:lineRule="auto"/>
        <w:ind w:firstLine="480" w:firstLineChars="200"/>
        <w:rPr>
          <w:rFonts w:hint="eastAsia" w:ascii="宋体" w:hAnsi="宋体" w:eastAsia="宋体" w:cs="宋体"/>
          <w:color w:val="auto"/>
          <w:sz w:val="24"/>
          <w:szCs w:val="24"/>
          <w:highlight w:val="none"/>
        </w:rPr>
      </w:pPr>
      <w:r>
        <w:rPr>
          <w:rFonts w:ascii="宋体" w:hAnsi="宋体" w:eastAsia="宋体" w:cs="宋体"/>
          <w:color w:val="auto"/>
          <w:sz w:val="24"/>
          <w:szCs w:val="24"/>
          <w:highlight w:val="none"/>
        </w:rPr>
        <w:t>2.1</w:t>
      </w:r>
      <w:r>
        <w:rPr>
          <w:rFonts w:hint="eastAsia" w:ascii="宋体" w:hAnsi="宋体" w:eastAsia="宋体" w:cs="宋体"/>
          <w:color w:val="auto"/>
          <w:sz w:val="24"/>
          <w:szCs w:val="24"/>
          <w:highlight w:val="none"/>
        </w:rPr>
        <w:t xml:space="preserve"> 所有的材料设备完全符合招标文件规定的规格、质量和性能、检验标准和方法；如招标文件中没有提及使用标准，其性能应符合中华人民共和国行业标准、验收规范要求，并保证提供材料设备参数的真实性、有效性，所有的主要材料设备在国内有成功运用业绩，保证其在正确安装、正常使用和保养条件下，在其寿命周期内，不会因为任何潜在缺陷发生安全事故，若由于承包人所提供的材料设备的潜在缺陷导致安全事故，所造成发包人直接损失由承包人负责赔偿。</w:t>
      </w:r>
    </w:p>
    <w:p w14:paraId="311498B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2.2 按不低于招标文件中的主要设备材料推荐品牌表中的生产厂家和品牌，且在选定后经发包人审查同意方可进场。如发生材料设备货不对板、或以低品质材料设备冒充高品质材料设备、或以低技术档次的产品冒充高技术档次产品的情况，该材料设备不得在本工程使用，发包人有权按照对项目最有利原则要求承包人更换为满足设计要求且产品质量、技术性能不低于投标时所报品牌的产品，且价格不调整，承包人愿承担有关违约责任，同时保留发包人追究承包人法律责任的权利。</w:t>
      </w:r>
    </w:p>
    <w:p w14:paraId="7E345E8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2.3 如确实需要使用替代材料设备时，应经发包人和工程师认可并办理变更手续后才能使用，并保证所选用的替代材料设备技术档次不低于招标文件的技术要求，并能满足招标文件和设计文件所要求的性能及功能。由此增加的费用由承包人承担，减少的费用由发包人从合同价款中相应扣减。</w:t>
      </w:r>
    </w:p>
    <w:p w14:paraId="3A1A5E8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2.4 充分了解工程严格的材料设备投入和工期要求及工程需要实施全面开工所需的设备投入要求。承包人保证在收到发包人通知后</w:t>
      </w:r>
      <w:r>
        <w:rPr>
          <w:rFonts w:ascii="宋体" w:hAnsi="宋体" w:eastAsia="宋体" w:cs="宋体"/>
          <w:color w:val="auto"/>
          <w:sz w:val="24"/>
          <w:szCs w:val="24"/>
          <w:highlight w:val="none"/>
        </w:rPr>
        <w:t>3</w:t>
      </w:r>
      <w:r>
        <w:rPr>
          <w:rFonts w:hint="eastAsia" w:ascii="宋体" w:hAnsi="宋体" w:eastAsia="宋体" w:cs="宋体"/>
          <w:color w:val="auto"/>
          <w:sz w:val="24"/>
          <w:szCs w:val="24"/>
          <w:highlight w:val="none"/>
        </w:rPr>
        <w:t>天内及施工过程中，准备并供应充足的材料设备，按投标承诺的时间全部按时到位，完全满足施工进度要求，并保证不因任何材料设备因素阻碍工期而影响投标承诺的竣工日期。若因材料设备未按投标承诺的时间投入或发包人要求时间投入，在收到书面通知后，不挑剔、不争辩，也不要求出具证明，</w:t>
      </w:r>
      <w:r>
        <w:rPr>
          <w:rFonts w:ascii="宋体" w:hAnsi="宋体" w:eastAsia="宋体" w:cs="宋体"/>
          <w:color w:val="auto"/>
          <w:sz w:val="24"/>
          <w:szCs w:val="24"/>
          <w:highlight w:val="none"/>
        </w:rPr>
        <w:t>5</w:t>
      </w:r>
      <w:r>
        <w:rPr>
          <w:rFonts w:hint="eastAsia" w:ascii="宋体" w:hAnsi="宋体" w:eastAsia="宋体" w:cs="宋体"/>
          <w:color w:val="auto"/>
          <w:sz w:val="24"/>
          <w:szCs w:val="24"/>
          <w:highlight w:val="none"/>
        </w:rPr>
        <w:t>天内整改并征得发包人批复同意，否则承包人需承担合同及工期承诺书的违约责任。</w:t>
      </w:r>
    </w:p>
    <w:p w14:paraId="20A8DE46">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2.5 从发包人发出开工令起</w:t>
      </w:r>
      <w:r>
        <w:rPr>
          <w:rFonts w:ascii="宋体" w:hAnsi="宋体" w:eastAsia="宋体" w:cs="宋体"/>
          <w:color w:val="auto"/>
          <w:sz w:val="24"/>
          <w:szCs w:val="24"/>
          <w:highlight w:val="none"/>
        </w:rPr>
        <w:t>3</w:t>
      </w:r>
      <w:r>
        <w:rPr>
          <w:rFonts w:hint="eastAsia" w:ascii="宋体" w:hAnsi="宋体" w:eastAsia="宋体" w:cs="宋体"/>
          <w:color w:val="auto"/>
          <w:sz w:val="24"/>
          <w:szCs w:val="24"/>
          <w:highlight w:val="none"/>
        </w:rPr>
        <w:t>个月内完成大宗装饰装修材料（包括且不限于石材、铝合金门窗、玻璃、幕墙大理石、外墙砖、地板砖、内墙饰面砖、入户门、户内门、防火门等）和水电安装材料（包括且不限于电缆电线、灯具、开关插座、卫生洁具、配电箱等）的看样定板及签订供货协议，并完成各项专业深化图纸设计（包括且不限于铝合金门窗深化图、室内装修深化图等）。</w:t>
      </w:r>
    </w:p>
    <w:p w14:paraId="0963E1A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2.6 主要设备材料推荐品牌表（详见合同）</w:t>
      </w:r>
    </w:p>
    <w:p w14:paraId="57D3617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2.7</w:t>
      </w:r>
      <w:bookmarkStart w:id="610" w:name="_Toc87991295"/>
      <w:bookmarkStart w:id="611" w:name="_Toc35083132"/>
      <w:bookmarkStart w:id="612" w:name="_Toc104979717"/>
      <w:bookmarkStart w:id="613" w:name="_Toc106729786"/>
      <w:r>
        <w:rPr>
          <w:rFonts w:hint="eastAsia" w:ascii="宋体" w:hAnsi="宋体" w:eastAsia="宋体" w:cs="宋体"/>
          <w:color w:val="auto"/>
          <w:sz w:val="24"/>
          <w:szCs w:val="24"/>
          <w:highlight w:val="none"/>
        </w:rPr>
        <w:t xml:space="preserve"> 主要施工机械及周转</w:t>
      </w:r>
      <w:bookmarkEnd w:id="610"/>
      <w:bookmarkEnd w:id="611"/>
      <w:r>
        <w:rPr>
          <w:rFonts w:hint="eastAsia" w:ascii="宋体" w:hAnsi="宋体" w:eastAsia="宋体" w:cs="宋体"/>
          <w:color w:val="auto"/>
          <w:sz w:val="24"/>
          <w:szCs w:val="24"/>
          <w:highlight w:val="none"/>
        </w:rPr>
        <w:t>材料投入</w:t>
      </w:r>
      <w:bookmarkEnd w:id="612"/>
      <w:bookmarkEnd w:id="613"/>
      <w:r>
        <w:rPr>
          <w:rFonts w:hint="eastAsia" w:ascii="宋体" w:hAnsi="宋体" w:eastAsia="宋体" w:cs="宋体"/>
          <w:color w:val="auto"/>
          <w:sz w:val="24"/>
          <w:szCs w:val="24"/>
          <w:highlight w:val="none"/>
        </w:rPr>
        <w:t>要求</w:t>
      </w:r>
    </w:p>
    <w:p w14:paraId="634EB765">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2.7.1.按</w:t>
      </w:r>
      <w:bookmarkStart w:id="614" w:name="_Hlk117845609"/>
      <w:r>
        <w:rPr>
          <w:rFonts w:hint="eastAsia" w:ascii="宋体" w:hAnsi="宋体" w:eastAsia="宋体" w:cs="宋体"/>
          <w:color w:val="auto"/>
          <w:sz w:val="24"/>
          <w:szCs w:val="24"/>
          <w:highlight w:val="none"/>
        </w:rPr>
        <w:t>“三、项目管理要求”1</w:t>
      </w:r>
      <w:r>
        <w:rPr>
          <w:rFonts w:ascii="宋体" w:hAnsi="宋体" w:eastAsia="宋体" w:cs="宋体"/>
          <w:color w:val="auto"/>
          <w:sz w:val="24"/>
          <w:szCs w:val="24"/>
          <w:highlight w:val="none"/>
        </w:rPr>
        <w:t>1.1</w:t>
      </w:r>
      <w:r>
        <w:rPr>
          <w:rFonts w:hint="eastAsia" w:ascii="宋体" w:hAnsi="宋体" w:eastAsia="宋体" w:cs="宋体"/>
          <w:color w:val="auto"/>
          <w:sz w:val="24"/>
          <w:szCs w:val="24"/>
          <w:highlight w:val="none"/>
        </w:rPr>
        <w:t>中《主要施工机械设备要求》</w:t>
      </w:r>
      <w:bookmarkEnd w:id="614"/>
      <w:r>
        <w:rPr>
          <w:rFonts w:hint="eastAsia" w:ascii="宋体" w:hAnsi="宋体" w:eastAsia="宋体" w:cs="宋体"/>
          <w:color w:val="auto"/>
          <w:sz w:val="24"/>
          <w:szCs w:val="24"/>
          <w:highlight w:val="none"/>
        </w:rPr>
        <w:t>要求投入。</w:t>
      </w:r>
    </w:p>
    <w:p w14:paraId="5DDE7B2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若经发包人审查所投入的主要机械及材料未能满足本项目的要求，发包人有权提出调整设备投入以满足本项目的需要，施工机械、周转材料及配套施工人员需按审批进度计划开始施工前3天内到位。</w:t>
      </w:r>
    </w:p>
    <w:p w14:paraId="3B2667DF">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 工期要求</w:t>
      </w:r>
    </w:p>
    <w:p w14:paraId="4B6BA968">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3.1 承包人保证尽一切力量确保投标承诺的竣工日期，并充分了解在以后施工过程中，本工程会存在比正常项目更多的阻碍工期的情况出现，但是保证严格按照招标文件的内容执行。</w:t>
      </w:r>
    </w:p>
    <w:p w14:paraId="7C4EDAFC">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3.2 对于承包人原因造成的工期延误，工期一概不得顺延；对于非承包人原因造成的工期延误，一般节点工期相应顺延，但该项顺延以不对关键节点工期和总工期构成不利影响为限。关键节点工期一般不予调整，承包人要采取合理有效的赶工措施予以消化。</w:t>
      </w:r>
    </w:p>
    <w:p w14:paraId="7833FE70">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3.3 配合发包人工期计划安排，按投标工期及关键节点工期完成招标范围内的各项工作。</w:t>
      </w:r>
    </w:p>
    <w:p w14:paraId="7DB5097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 若政府要求提前竣工，提前不超过</w:t>
      </w:r>
      <w:r>
        <w:rPr>
          <w:rFonts w:ascii="宋体" w:hAnsi="宋体" w:eastAsia="宋体" w:cs="宋体"/>
          <w:color w:val="auto"/>
          <w:sz w:val="24"/>
          <w:szCs w:val="24"/>
          <w:highlight w:val="none"/>
        </w:rPr>
        <w:t>100</w:t>
      </w:r>
      <w:r>
        <w:rPr>
          <w:rFonts w:hint="eastAsia" w:ascii="宋体" w:hAnsi="宋体" w:eastAsia="宋体" w:cs="宋体"/>
          <w:color w:val="auto"/>
          <w:sz w:val="24"/>
          <w:szCs w:val="24"/>
          <w:highlight w:val="none"/>
        </w:rPr>
        <w:t>天的，承包人无条件响应政府的要求而调整工期，加大人材机投入，优化施工方案，以满足提前竣工要求。</w:t>
      </w:r>
    </w:p>
    <w:p w14:paraId="253A1BE3">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执行上述内容而需赶工的费用已综合考虑到投标总报价中，除非发包人同意，否则不再向发包人申请赶工费。</w:t>
      </w:r>
    </w:p>
    <w:p w14:paraId="414CA9B5">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4. 施工强度要求</w:t>
      </w:r>
    </w:p>
    <w:tbl>
      <w:tblPr>
        <w:tblStyle w:val="42"/>
        <w:tblpPr w:leftFromText="180" w:rightFromText="180" w:vertAnchor="text" w:horzAnchor="page" w:tblpX="1707" w:tblpY="972"/>
        <w:tblOverlap w:val="never"/>
        <w:tblW w:w="8804" w:type="dxa"/>
        <w:tblInd w:w="0" w:type="dxa"/>
        <w:tblLayout w:type="fixed"/>
        <w:tblCellMar>
          <w:top w:w="0" w:type="dxa"/>
          <w:left w:w="108" w:type="dxa"/>
          <w:bottom w:w="0" w:type="dxa"/>
          <w:right w:w="108" w:type="dxa"/>
        </w:tblCellMar>
      </w:tblPr>
      <w:tblGrid>
        <w:gridCol w:w="846"/>
        <w:gridCol w:w="2430"/>
        <w:gridCol w:w="1417"/>
        <w:gridCol w:w="1276"/>
        <w:gridCol w:w="2835"/>
      </w:tblGrid>
      <w:tr w14:paraId="76C14D72">
        <w:tblPrEx>
          <w:tblCellMar>
            <w:top w:w="0" w:type="dxa"/>
            <w:left w:w="108" w:type="dxa"/>
            <w:bottom w:w="0" w:type="dxa"/>
            <w:right w:w="108" w:type="dxa"/>
          </w:tblCellMar>
        </w:tblPrEx>
        <w:trPr>
          <w:trHeight w:val="270" w:hRule="atLeast"/>
        </w:trPr>
        <w:tc>
          <w:tcPr>
            <w:tcW w:w="846" w:type="dxa"/>
            <w:tcBorders>
              <w:top w:val="single" w:color="auto" w:sz="4" w:space="0"/>
              <w:left w:val="single" w:color="auto" w:sz="4" w:space="0"/>
              <w:bottom w:val="single" w:color="auto" w:sz="4" w:space="0"/>
              <w:right w:val="single" w:color="auto" w:sz="4" w:space="0"/>
            </w:tcBorders>
            <w:vAlign w:val="center"/>
          </w:tcPr>
          <w:p w14:paraId="35176137">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序号</w:t>
            </w:r>
          </w:p>
        </w:tc>
        <w:tc>
          <w:tcPr>
            <w:tcW w:w="2430" w:type="dxa"/>
            <w:tcBorders>
              <w:top w:val="single" w:color="auto" w:sz="4" w:space="0"/>
              <w:left w:val="nil"/>
              <w:bottom w:val="single" w:color="auto" w:sz="4" w:space="0"/>
              <w:right w:val="single" w:color="auto" w:sz="4" w:space="0"/>
            </w:tcBorders>
            <w:vAlign w:val="center"/>
          </w:tcPr>
          <w:p w14:paraId="5CF95A5D">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项目名称</w:t>
            </w:r>
          </w:p>
        </w:tc>
        <w:tc>
          <w:tcPr>
            <w:tcW w:w="1417" w:type="dxa"/>
            <w:tcBorders>
              <w:top w:val="single" w:color="auto" w:sz="4" w:space="0"/>
              <w:left w:val="nil"/>
              <w:bottom w:val="single" w:color="auto" w:sz="4" w:space="0"/>
              <w:right w:val="single" w:color="auto" w:sz="4" w:space="0"/>
            </w:tcBorders>
            <w:vAlign w:val="center"/>
          </w:tcPr>
          <w:p w14:paraId="650C8464">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日工作量</w:t>
            </w:r>
          </w:p>
        </w:tc>
        <w:tc>
          <w:tcPr>
            <w:tcW w:w="1276" w:type="dxa"/>
            <w:tcBorders>
              <w:top w:val="single" w:color="auto" w:sz="4" w:space="0"/>
              <w:left w:val="nil"/>
              <w:bottom w:val="single" w:color="auto" w:sz="4" w:space="0"/>
              <w:right w:val="single" w:color="auto" w:sz="4" w:space="0"/>
            </w:tcBorders>
            <w:vAlign w:val="center"/>
          </w:tcPr>
          <w:p w14:paraId="2C3FCBAB">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单位</w:t>
            </w:r>
          </w:p>
        </w:tc>
        <w:tc>
          <w:tcPr>
            <w:tcW w:w="2835" w:type="dxa"/>
            <w:tcBorders>
              <w:top w:val="single" w:color="auto" w:sz="4" w:space="0"/>
              <w:left w:val="nil"/>
              <w:bottom w:val="single" w:color="auto" w:sz="4" w:space="0"/>
              <w:right w:val="single" w:color="auto" w:sz="4" w:space="0"/>
            </w:tcBorders>
            <w:vAlign w:val="center"/>
          </w:tcPr>
          <w:p w14:paraId="267522B5">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备注</w:t>
            </w:r>
          </w:p>
        </w:tc>
      </w:tr>
      <w:tr w14:paraId="7D3E75A0">
        <w:tblPrEx>
          <w:tblCellMar>
            <w:top w:w="0" w:type="dxa"/>
            <w:left w:w="108" w:type="dxa"/>
            <w:bottom w:w="0" w:type="dxa"/>
            <w:right w:w="108" w:type="dxa"/>
          </w:tblCellMar>
        </w:tblPrEx>
        <w:trPr>
          <w:trHeight w:val="330" w:hRule="atLeast"/>
        </w:trPr>
        <w:tc>
          <w:tcPr>
            <w:tcW w:w="846" w:type="dxa"/>
            <w:tcBorders>
              <w:top w:val="single" w:color="auto" w:sz="4" w:space="0"/>
              <w:left w:val="single" w:color="auto" w:sz="4" w:space="0"/>
              <w:bottom w:val="single" w:color="auto" w:sz="4" w:space="0"/>
              <w:right w:val="single" w:color="auto" w:sz="4" w:space="0"/>
            </w:tcBorders>
            <w:vAlign w:val="center"/>
          </w:tcPr>
          <w:p w14:paraId="70C50A7E">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1</w:t>
            </w:r>
          </w:p>
        </w:tc>
        <w:tc>
          <w:tcPr>
            <w:tcW w:w="2430" w:type="dxa"/>
            <w:tcBorders>
              <w:top w:val="single" w:color="auto" w:sz="4" w:space="0"/>
              <w:left w:val="nil"/>
              <w:bottom w:val="single" w:color="auto" w:sz="4" w:space="0"/>
              <w:right w:val="single" w:color="auto" w:sz="4" w:space="0"/>
            </w:tcBorders>
            <w:vAlign w:val="center"/>
          </w:tcPr>
          <w:p w14:paraId="52307C2F">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静压桩（工程桩）</w:t>
            </w:r>
          </w:p>
        </w:tc>
        <w:tc>
          <w:tcPr>
            <w:tcW w:w="1417" w:type="dxa"/>
            <w:tcBorders>
              <w:top w:val="single" w:color="auto" w:sz="4" w:space="0"/>
              <w:left w:val="nil"/>
              <w:bottom w:val="single" w:color="auto" w:sz="4" w:space="0"/>
              <w:right w:val="single" w:color="auto" w:sz="4" w:space="0"/>
            </w:tcBorders>
            <w:vAlign w:val="center"/>
          </w:tcPr>
          <w:p w14:paraId="2918ED05">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30</w:t>
            </w:r>
          </w:p>
        </w:tc>
        <w:tc>
          <w:tcPr>
            <w:tcW w:w="1276" w:type="dxa"/>
            <w:tcBorders>
              <w:top w:val="single" w:color="auto" w:sz="4" w:space="0"/>
              <w:left w:val="nil"/>
              <w:bottom w:val="single" w:color="auto" w:sz="4" w:space="0"/>
              <w:right w:val="single" w:color="auto" w:sz="4" w:space="0"/>
            </w:tcBorders>
            <w:vAlign w:val="center"/>
          </w:tcPr>
          <w:p w14:paraId="3C499968">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根</w:t>
            </w:r>
          </w:p>
        </w:tc>
        <w:tc>
          <w:tcPr>
            <w:tcW w:w="2835" w:type="dxa"/>
            <w:tcBorders>
              <w:top w:val="single" w:color="auto" w:sz="4" w:space="0"/>
              <w:left w:val="nil"/>
              <w:bottom w:val="single" w:color="auto" w:sz="4" w:space="0"/>
              <w:right w:val="single" w:color="auto" w:sz="4" w:space="0"/>
            </w:tcBorders>
            <w:vAlign w:val="center"/>
          </w:tcPr>
          <w:p w14:paraId="6E8EF449">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满足阶段性进度需求</w:t>
            </w:r>
          </w:p>
        </w:tc>
      </w:tr>
      <w:tr w14:paraId="6FE03594">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6033648C">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2</w:t>
            </w:r>
          </w:p>
        </w:tc>
        <w:tc>
          <w:tcPr>
            <w:tcW w:w="2430" w:type="dxa"/>
            <w:tcBorders>
              <w:top w:val="nil"/>
              <w:left w:val="nil"/>
              <w:bottom w:val="single" w:color="auto" w:sz="4" w:space="0"/>
              <w:right w:val="single" w:color="auto" w:sz="4" w:space="0"/>
            </w:tcBorders>
            <w:vAlign w:val="center"/>
          </w:tcPr>
          <w:p w14:paraId="2EA53E94">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灌注桩（工程桩）</w:t>
            </w:r>
          </w:p>
        </w:tc>
        <w:tc>
          <w:tcPr>
            <w:tcW w:w="1417" w:type="dxa"/>
            <w:tcBorders>
              <w:top w:val="nil"/>
              <w:left w:val="nil"/>
              <w:bottom w:val="single" w:color="auto" w:sz="4" w:space="0"/>
              <w:right w:val="single" w:color="auto" w:sz="4" w:space="0"/>
            </w:tcBorders>
            <w:vAlign w:val="center"/>
          </w:tcPr>
          <w:p w14:paraId="145E86F0">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4</w:t>
            </w:r>
          </w:p>
        </w:tc>
        <w:tc>
          <w:tcPr>
            <w:tcW w:w="1276" w:type="dxa"/>
            <w:tcBorders>
              <w:top w:val="nil"/>
              <w:left w:val="nil"/>
              <w:bottom w:val="single" w:color="auto" w:sz="4" w:space="0"/>
              <w:right w:val="single" w:color="auto" w:sz="4" w:space="0"/>
            </w:tcBorders>
            <w:vAlign w:val="center"/>
          </w:tcPr>
          <w:p w14:paraId="096B707E">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根</w:t>
            </w:r>
          </w:p>
        </w:tc>
        <w:tc>
          <w:tcPr>
            <w:tcW w:w="2835" w:type="dxa"/>
            <w:tcBorders>
              <w:top w:val="nil"/>
              <w:left w:val="nil"/>
              <w:bottom w:val="single" w:color="auto" w:sz="4" w:space="0"/>
              <w:right w:val="single" w:color="auto" w:sz="4" w:space="0"/>
            </w:tcBorders>
            <w:vAlign w:val="center"/>
          </w:tcPr>
          <w:p w14:paraId="79C75A4D">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满足阶段性进度需求</w:t>
            </w:r>
          </w:p>
        </w:tc>
      </w:tr>
      <w:tr w14:paraId="68E38552">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0774677B">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3</w:t>
            </w:r>
          </w:p>
        </w:tc>
        <w:tc>
          <w:tcPr>
            <w:tcW w:w="2430" w:type="dxa"/>
            <w:tcBorders>
              <w:top w:val="nil"/>
              <w:left w:val="nil"/>
              <w:bottom w:val="single" w:color="auto" w:sz="4" w:space="0"/>
              <w:right w:val="single" w:color="auto" w:sz="4" w:space="0"/>
            </w:tcBorders>
            <w:vAlign w:val="center"/>
          </w:tcPr>
          <w:p w14:paraId="17B27EC7">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旋挖灌注桩（支护桩）</w:t>
            </w:r>
          </w:p>
        </w:tc>
        <w:tc>
          <w:tcPr>
            <w:tcW w:w="1417" w:type="dxa"/>
            <w:tcBorders>
              <w:top w:val="nil"/>
              <w:left w:val="nil"/>
              <w:bottom w:val="single" w:color="auto" w:sz="4" w:space="0"/>
              <w:right w:val="single" w:color="auto" w:sz="4" w:space="0"/>
            </w:tcBorders>
            <w:vAlign w:val="center"/>
          </w:tcPr>
          <w:p w14:paraId="35B64866">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2</w:t>
            </w:r>
          </w:p>
        </w:tc>
        <w:tc>
          <w:tcPr>
            <w:tcW w:w="1276" w:type="dxa"/>
            <w:tcBorders>
              <w:top w:val="nil"/>
              <w:left w:val="nil"/>
              <w:bottom w:val="single" w:color="auto" w:sz="4" w:space="0"/>
              <w:right w:val="single" w:color="auto" w:sz="4" w:space="0"/>
            </w:tcBorders>
            <w:vAlign w:val="center"/>
          </w:tcPr>
          <w:p w14:paraId="2D043C0F">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根</w:t>
            </w:r>
          </w:p>
        </w:tc>
        <w:tc>
          <w:tcPr>
            <w:tcW w:w="2835" w:type="dxa"/>
            <w:tcBorders>
              <w:top w:val="nil"/>
              <w:left w:val="nil"/>
              <w:bottom w:val="single" w:color="auto" w:sz="4" w:space="0"/>
              <w:right w:val="single" w:color="auto" w:sz="4" w:space="0"/>
            </w:tcBorders>
            <w:vAlign w:val="center"/>
          </w:tcPr>
          <w:p w14:paraId="1680DE79">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满足阶段性进度需求</w:t>
            </w:r>
          </w:p>
        </w:tc>
      </w:tr>
      <w:tr w14:paraId="4CFEAAAD">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7B7E91EC">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4</w:t>
            </w:r>
          </w:p>
        </w:tc>
        <w:tc>
          <w:tcPr>
            <w:tcW w:w="2430" w:type="dxa"/>
            <w:tcBorders>
              <w:top w:val="nil"/>
              <w:left w:val="nil"/>
              <w:bottom w:val="single" w:color="auto" w:sz="4" w:space="0"/>
              <w:right w:val="single" w:color="auto" w:sz="4" w:space="0"/>
            </w:tcBorders>
            <w:vAlign w:val="center"/>
          </w:tcPr>
          <w:p w14:paraId="41B10398">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三轴搅拌桩（支护桩）</w:t>
            </w:r>
          </w:p>
        </w:tc>
        <w:tc>
          <w:tcPr>
            <w:tcW w:w="1417" w:type="dxa"/>
            <w:tcBorders>
              <w:top w:val="nil"/>
              <w:left w:val="nil"/>
              <w:bottom w:val="single" w:color="auto" w:sz="4" w:space="0"/>
              <w:right w:val="single" w:color="auto" w:sz="4" w:space="0"/>
            </w:tcBorders>
            <w:vAlign w:val="center"/>
          </w:tcPr>
          <w:p w14:paraId="3EE3B79C">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300</w:t>
            </w:r>
          </w:p>
        </w:tc>
        <w:tc>
          <w:tcPr>
            <w:tcW w:w="1276" w:type="dxa"/>
            <w:tcBorders>
              <w:top w:val="nil"/>
              <w:left w:val="nil"/>
              <w:bottom w:val="single" w:color="auto" w:sz="4" w:space="0"/>
              <w:right w:val="single" w:color="auto" w:sz="4" w:space="0"/>
            </w:tcBorders>
            <w:vAlign w:val="center"/>
          </w:tcPr>
          <w:p w14:paraId="4107A9E6">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米</w:t>
            </w:r>
          </w:p>
        </w:tc>
        <w:tc>
          <w:tcPr>
            <w:tcW w:w="2835" w:type="dxa"/>
            <w:tcBorders>
              <w:top w:val="nil"/>
              <w:left w:val="nil"/>
              <w:bottom w:val="single" w:color="auto" w:sz="4" w:space="0"/>
              <w:right w:val="single" w:color="auto" w:sz="4" w:space="0"/>
            </w:tcBorders>
            <w:vAlign w:val="center"/>
          </w:tcPr>
          <w:p w14:paraId="5E0DA84E">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满足阶段性进度需求</w:t>
            </w:r>
          </w:p>
        </w:tc>
      </w:tr>
      <w:tr w14:paraId="0C56513A">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60E68FBA">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5</w:t>
            </w:r>
          </w:p>
        </w:tc>
        <w:tc>
          <w:tcPr>
            <w:tcW w:w="2430" w:type="dxa"/>
            <w:tcBorders>
              <w:top w:val="nil"/>
              <w:left w:val="nil"/>
              <w:bottom w:val="single" w:color="auto" w:sz="4" w:space="0"/>
              <w:right w:val="single" w:color="auto" w:sz="4" w:space="0"/>
            </w:tcBorders>
            <w:vAlign w:val="center"/>
          </w:tcPr>
          <w:p w14:paraId="0824CD75">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水泥搅拌桩（支护桩）</w:t>
            </w:r>
          </w:p>
        </w:tc>
        <w:tc>
          <w:tcPr>
            <w:tcW w:w="1417" w:type="dxa"/>
            <w:tcBorders>
              <w:top w:val="nil"/>
              <w:left w:val="nil"/>
              <w:bottom w:val="single" w:color="auto" w:sz="4" w:space="0"/>
              <w:right w:val="single" w:color="auto" w:sz="4" w:space="0"/>
            </w:tcBorders>
            <w:vAlign w:val="center"/>
          </w:tcPr>
          <w:p w14:paraId="06EAB0CA">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400</w:t>
            </w:r>
          </w:p>
        </w:tc>
        <w:tc>
          <w:tcPr>
            <w:tcW w:w="1276" w:type="dxa"/>
            <w:tcBorders>
              <w:top w:val="nil"/>
              <w:left w:val="nil"/>
              <w:bottom w:val="single" w:color="auto" w:sz="4" w:space="0"/>
              <w:right w:val="single" w:color="auto" w:sz="4" w:space="0"/>
            </w:tcBorders>
            <w:vAlign w:val="center"/>
          </w:tcPr>
          <w:p w14:paraId="748CDA18">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米</w:t>
            </w:r>
          </w:p>
        </w:tc>
        <w:tc>
          <w:tcPr>
            <w:tcW w:w="2835" w:type="dxa"/>
            <w:tcBorders>
              <w:top w:val="nil"/>
              <w:left w:val="nil"/>
              <w:bottom w:val="single" w:color="auto" w:sz="4" w:space="0"/>
              <w:right w:val="single" w:color="auto" w:sz="4" w:space="0"/>
            </w:tcBorders>
            <w:vAlign w:val="center"/>
          </w:tcPr>
          <w:p w14:paraId="5A97CB12">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满足阶段性进度需求</w:t>
            </w:r>
          </w:p>
        </w:tc>
      </w:tr>
      <w:tr w14:paraId="4FC3948C">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6676CFD2">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6</w:t>
            </w:r>
          </w:p>
        </w:tc>
        <w:tc>
          <w:tcPr>
            <w:tcW w:w="2430" w:type="dxa"/>
            <w:tcBorders>
              <w:top w:val="nil"/>
              <w:left w:val="nil"/>
              <w:bottom w:val="single" w:color="auto" w:sz="4" w:space="0"/>
              <w:right w:val="single" w:color="auto" w:sz="4" w:space="0"/>
            </w:tcBorders>
            <w:vAlign w:val="center"/>
          </w:tcPr>
          <w:p w14:paraId="770F9C81">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土方开挖及外运</w:t>
            </w:r>
          </w:p>
        </w:tc>
        <w:tc>
          <w:tcPr>
            <w:tcW w:w="1417" w:type="dxa"/>
            <w:tcBorders>
              <w:top w:val="nil"/>
              <w:left w:val="nil"/>
              <w:bottom w:val="single" w:color="auto" w:sz="4" w:space="0"/>
              <w:right w:val="single" w:color="auto" w:sz="4" w:space="0"/>
            </w:tcBorders>
            <w:vAlign w:val="center"/>
          </w:tcPr>
          <w:p w14:paraId="2CF3EC50">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3</w:t>
            </w:r>
            <w:r>
              <w:rPr>
                <w:rFonts w:ascii="宋体" w:hAnsi="宋体" w:eastAsia="宋体"/>
                <w:color w:val="auto"/>
                <w:sz w:val="21"/>
                <w:szCs w:val="21"/>
                <w:highlight w:val="none"/>
              </w:rPr>
              <w:t>000</w:t>
            </w:r>
          </w:p>
        </w:tc>
        <w:tc>
          <w:tcPr>
            <w:tcW w:w="1276" w:type="dxa"/>
            <w:tcBorders>
              <w:top w:val="nil"/>
              <w:left w:val="nil"/>
              <w:bottom w:val="single" w:color="auto" w:sz="4" w:space="0"/>
              <w:right w:val="single" w:color="auto" w:sz="4" w:space="0"/>
            </w:tcBorders>
            <w:vAlign w:val="center"/>
          </w:tcPr>
          <w:p w14:paraId="24BD7ED3">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立方米</w:t>
            </w:r>
          </w:p>
        </w:tc>
        <w:tc>
          <w:tcPr>
            <w:tcW w:w="2835" w:type="dxa"/>
            <w:tcBorders>
              <w:top w:val="nil"/>
              <w:left w:val="nil"/>
              <w:bottom w:val="single" w:color="auto" w:sz="4" w:space="0"/>
              <w:right w:val="single" w:color="auto" w:sz="4" w:space="0"/>
            </w:tcBorders>
            <w:vAlign w:val="center"/>
          </w:tcPr>
          <w:p w14:paraId="14B71C41">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满足阶段性进度需求</w:t>
            </w:r>
          </w:p>
        </w:tc>
      </w:tr>
      <w:tr w14:paraId="63D251AA">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1D269BC6">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7</w:t>
            </w:r>
          </w:p>
        </w:tc>
        <w:tc>
          <w:tcPr>
            <w:tcW w:w="2430" w:type="dxa"/>
            <w:tcBorders>
              <w:top w:val="nil"/>
              <w:left w:val="nil"/>
              <w:bottom w:val="single" w:color="auto" w:sz="4" w:space="0"/>
              <w:right w:val="single" w:color="auto" w:sz="4" w:space="0"/>
            </w:tcBorders>
            <w:vAlign w:val="center"/>
          </w:tcPr>
          <w:p w14:paraId="6D32B765">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溶洞注浆预处理（如有）</w:t>
            </w:r>
          </w:p>
        </w:tc>
        <w:tc>
          <w:tcPr>
            <w:tcW w:w="1417" w:type="dxa"/>
            <w:tcBorders>
              <w:top w:val="nil"/>
              <w:left w:val="nil"/>
              <w:bottom w:val="single" w:color="auto" w:sz="4" w:space="0"/>
              <w:right w:val="single" w:color="auto" w:sz="4" w:space="0"/>
            </w:tcBorders>
            <w:vAlign w:val="center"/>
          </w:tcPr>
          <w:p w14:paraId="4DB28DEF">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1555.6</w:t>
            </w:r>
          </w:p>
        </w:tc>
        <w:tc>
          <w:tcPr>
            <w:tcW w:w="1276" w:type="dxa"/>
            <w:tcBorders>
              <w:top w:val="nil"/>
              <w:left w:val="nil"/>
              <w:bottom w:val="single" w:color="auto" w:sz="4" w:space="0"/>
              <w:right w:val="single" w:color="auto" w:sz="4" w:space="0"/>
            </w:tcBorders>
            <w:vAlign w:val="center"/>
          </w:tcPr>
          <w:p w14:paraId="55FBE78F">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立方米</w:t>
            </w:r>
          </w:p>
        </w:tc>
        <w:tc>
          <w:tcPr>
            <w:tcW w:w="2835" w:type="dxa"/>
            <w:tcBorders>
              <w:top w:val="nil"/>
              <w:left w:val="nil"/>
              <w:bottom w:val="single" w:color="auto" w:sz="4" w:space="0"/>
              <w:right w:val="single" w:color="auto" w:sz="4" w:space="0"/>
            </w:tcBorders>
            <w:vAlign w:val="center"/>
          </w:tcPr>
          <w:p w14:paraId="3BEF3BB5">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满足阶段性进度需求</w:t>
            </w:r>
          </w:p>
        </w:tc>
      </w:tr>
      <w:tr w14:paraId="38850FD4">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1693C878">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8</w:t>
            </w:r>
          </w:p>
        </w:tc>
        <w:tc>
          <w:tcPr>
            <w:tcW w:w="2430" w:type="dxa"/>
            <w:tcBorders>
              <w:top w:val="nil"/>
              <w:left w:val="nil"/>
              <w:bottom w:val="single" w:color="auto" w:sz="4" w:space="0"/>
              <w:right w:val="single" w:color="auto" w:sz="4" w:space="0"/>
            </w:tcBorders>
            <w:vAlign w:val="center"/>
          </w:tcPr>
          <w:p w14:paraId="3E7E51AD">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锚索</w:t>
            </w:r>
          </w:p>
        </w:tc>
        <w:tc>
          <w:tcPr>
            <w:tcW w:w="1417" w:type="dxa"/>
            <w:tcBorders>
              <w:top w:val="nil"/>
              <w:left w:val="nil"/>
              <w:bottom w:val="single" w:color="auto" w:sz="4" w:space="0"/>
              <w:right w:val="single" w:color="auto" w:sz="4" w:space="0"/>
            </w:tcBorders>
            <w:vAlign w:val="center"/>
          </w:tcPr>
          <w:p w14:paraId="0F102887">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20</w:t>
            </w:r>
          </w:p>
        </w:tc>
        <w:tc>
          <w:tcPr>
            <w:tcW w:w="1276" w:type="dxa"/>
            <w:tcBorders>
              <w:top w:val="nil"/>
              <w:left w:val="nil"/>
              <w:bottom w:val="single" w:color="auto" w:sz="4" w:space="0"/>
              <w:right w:val="single" w:color="auto" w:sz="4" w:space="0"/>
            </w:tcBorders>
            <w:vAlign w:val="center"/>
          </w:tcPr>
          <w:p w14:paraId="79EF6BE0">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根</w:t>
            </w:r>
          </w:p>
        </w:tc>
        <w:tc>
          <w:tcPr>
            <w:tcW w:w="2835" w:type="dxa"/>
            <w:tcBorders>
              <w:top w:val="nil"/>
              <w:left w:val="nil"/>
              <w:bottom w:val="single" w:color="auto" w:sz="4" w:space="0"/>
              <w:right w:val="single" w:color="auto" w:sz="4" w:space="0"/>
            </w:tcBorders>
          </w:tcPr>
          <w:p w14:paraId="710A705A">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满足阶段性进度需求</w:t>
            </w:r>
          </w:p>
        </w:tc>
      </w:tr>
      <w:tr w14:paraId="3DC051C2">
        <w:tblPrEx>
          <w:tblCellMar>
            <w:top w:w="0" w:type="dxa"/>
            <w:left w:w="108" w:type="dxa"/>
            <w:bottom w:w="0" w:type="dxa"/>
            <w:right w:w="108" w:type="dxa"/>
          </w:tblCellMar>
        </w:tblPrEx>
        <w:trPr>
          <w:trHeight w:val="330" w:hRule="atLeast"/>
        </w:trPr>
        <w:tc>
          <w:tcPr>
            <w:tcW w:w="846" w:type="dxa"/>
            <w:tcBorders>
              <w:top w:val="nil"/>
              <w:left w:val="single" w:color="auto" w:sz="4" w:space="0"/>
              <w:bottom w:val="single" w:color="auto" w:sz="4" w:space="0"/>
              <w:right w:val="single" w:color="auto" w:sz="4" w:space="0"/>
            </w:tcBorders>
            <w:vAlign w:val="center"/>
          </w:tcPr>
          <w:p w14:paraId="63BCF77A">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9</w:t>
            </w:r>
          </w:p>
        </w:tc>
        <w:tc>
          <w:tcPr>
            <w:tcW w:w="2430" w:type="dxa"/>
            <w:tcBorders>
              <w:top w:val="nil"/>
              <w:left w:val="nil"/>
              <w:bottom w:val="single" w:color="auto" w:sz="4" w:space="0"/>
              <w:right w:val="single" w:color="auto" w:sz="4" w:space="0"/>
            </w:tcBorders>
            <w:vAlign w:val="center"/>
          </w:tcPr>
          <w:p w14:paraId="636EFDC0">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喷锚</w:t>
            </w:r>
          </w:p>
        </w:tc>
        <w:tc>
          <w:tcPr>
            <w:tcW w:w="1417" w:type="dxa"/>
            <w:tcBorders>
              <w:top w:val="nil"/>
              <w:left w:val="nil"/>
              <w:bottom w:val="single" w:color="auto" w:sz="4" w:space="0"/>
              <w:right w:val="single" w:color="auto" w:sz="4" w:space="0"/>
            </w:tcBorders>
            <w:vAlign w:val="center"/>
          </w:tcPr>
          <w:p w14:paraId="3409A750">
            <w:pPr>
              <w:spacing w:line="240" w:lineRule="auto"/>
              <w:jc w:val="center"/>
              <w:rPr>
                <w:rFonts w:hint="eastAsia" w:ascii="宋体" w:hAnsi="宋体" w:eastAsia="宋体"/>
                <w:color w:val="auto"/>
                <w:sz w:val="21"/>
                <w:szCs w:val="21"/>
                <w:highlight w:val="none"/>
              </w:rPr>
            </w:pPr>
            <w:r>
              <w:rPr>
                <w:rFonts w:ascii="宋体" w:hAnsi="宋体" w:eastAsia="宋体"/>
                <w:color w:val="auto"/>
                <w:sz w:val="21"/>
                <w:szCs w:val="21"/>
                <w:highlight w:val="none"/>
              </w:rPr>
              <w:t>1000</w:t>
            </w:r>
          </w:p>
        </w:tc>
        <w:tc>
          <w:tcPr>
            <w:tcW w:w="1276" w:type="dxa"/>
            <w:tcBorders>
              <w:top w:val="nil"/>
              <w:left w:val="nil"/>
              <w:bottom w:val="single" w:color="auto" w:sz="4" w:space="0"/>
              <w:right w:val="single" w:color="auto" w:sz="4" w:space="0"/>
            </w:tcBorders>
            <w:vAlign w:val="center"/>
          </w:tcPr>
          <w:p w14:paraId="71646580">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平方米</w:t>
            </w:r>
          </w:p>
        </w:tc>
        <w:tc>
          <w:tcPr>
            <w:tcW w:w="2835" w:type="dxa"/>
            <w:tcBorders>
              <w:top w:val="nil"/>
              <w:left w:val="nil"/>
              <w:bottom w:val="single" w:color="auto" w:sz="4" w:space="0"/>
              <w:right w:val="single" w:color="auto" w:sz="4" w:space="0"/>
            </w:tcBorders>
            <w:vAlign w:val="center"/>
          </w:tcPr>
          <w:p w14:paraId="3396DD9B">
            <w:pPr>
              <w:spacing w:line="240" w:lineRule="auto"/>
              <w:jc w:val="center"/>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满足阶段性进度需求</w:t>
            </w:r>
          </w:p>
        </w:tc>
      </w:tr>
    </w:tbl>
    <w:p w14:paraId="160D6023">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4.1 严格按照本工程工期的要求，保证投入足够的人力、物力满足招标文件和工程现场的工期要求，并达到以下的施工强度。</w:t>
      </w:r>
    </w:p>
    <w:p w14:paraId="1A2DDE55">
      <w:pPr>
        <w:pStyle w:val="4"/>
        <w:rPr>
          <w:highlight w:val="none"/>
        </w:rPr>
      </w:pPr>
    </w:p>
    <w:p w14:paraId="6CB71E85">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若未能完成承诺的日工作量，在收到书面通知后，不挑剔、不争辩，也不要求出具证明，</w:t>
      </w:r>
      <w:r>
        <w:rPr>
          <w:rFonts w:ascii="宋体" w:hAnsi="宋体" w:eastAsia="宋体"/>
          <w:color w:val="auto"/>
          <w:sz w:val="24"/>
          <w:szCs w:val="24"/>
          <w:highlight w:val="none"/>
        </w:rPr>
        <w:t>2</w:t>
      </w:r>
      <w:r>
        <w:rPr>
          <w:rFonts w:hint="eastAsia" w:ascii="宋体" w:hAnsi="宋体" w:eastAsia="宋体"/>
          <w:color w:val="auto"/>
          <w:sz w:val="24"/>
          <w:szCs w:val="24"/>
          <w:highlight w:val="none"/>
        </w:rPr>
        <w:t>天内整改并征得发包人批复同意。</w:t>
      </w:r>
    </w:p>
    <w:p w14:paraId="481AC4A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5. 施工交叉作业要求</w:t>
      </w:r>
    </w:p>
    <w:p w14:paraId="45F65F7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承包人施工过程中要调查现场，充分预计到各种因素影响，可能导致现场交叉作业，并按发包人要求，一旦有工作面能及时分批次组织人员、材料、设备等进行施工。</w:t>
      </w:r>
    </w:p>
    <w:p w14:paraId="17B9C95A">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与其他承包人交叉作业时，如发生有工作面，经发包人协调仍未施工的情况，发包人有权指定其他承包人完成该项工程，并按发包人要求移交场地。</w:t>
      </w:r>
      <w:r>
        <w:rPr>
          <w:rFonts w:ascii="宋体" w:hAnsi="宋体" w:eastAsia="宋体"/>
          <w:color w:val="auto"/>
          <w:sz w:val="24"/>
          <w:szCs w:val="24"/>
          <w:highlight w:val="none"/>
        </w:rPr>
        <w:t xml:space="preserve"> </w:t>
      </w:r>
    </w:p>
    <w:p w14:paraId="4D6E491A">
      <w:pPr>
        <w:spacing w:line="360" w:lineRule="auto"/>
        <w:ind w:firstLine="424" w:firstLineChars="177"/>
        <w:rPr>
          <w:rFonts w:hint="eastAsia" w:ascii="宋体" w:hAnsi="宋体" w:eastAsia="宋体"/>
          <w:color w:val="auto"/>
          <w:sz w:val="24"/>
          <w:szCs w:val="24"/>
          <w:highlight w:val="none"/>
        </w:rPr>
      </w:pPr>
    </w:p>
    <w:p w14:paraId="1AF7484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6. 溶洞处理体积与质量换算要求（如有）</w:t>
      </w:r>
    </w:p>
    <w:tbl>
      <w:tblPr>
        <w:tblStyle w:val="42"/>
        <w:tblpPr w:leftFromText="180" w:rightFromText="180" w:vertAnchor="text" w:horzAnchor="page" w:tblpX="1161" w:tblpY="1982"/>
        <w:tblOverlap w:val="never"/>
        <w:tblW w:w="0" w:type="auto"/>
        <w:tblInd w:w="0" w:type="dxa"/>
        <w:tblLayout w:type="fixed"/>
        <w:tblCellMar>
          <w:top w:w="15" w:type="dxa"/>
          <w:left w:w="15" w:type="dxa"/>
          <w:bottom w:w="15" w:type="dxa"/>
          <w:right w:w="15" w:type="dxa"/>
        </w:tblCellMar>
      </w:tblPr>
      <w:tblGrid>
        <w:gridCol w:w="9287"/>
      </w:tblGrid>
      <w:tr w14:paraId="436DFB65">
        <w:tblPrEx>
          <w:tblCellMar>
            <w:top w:w="15" w:type="dxa"/>
            <w:left w:w="15" w:type="dxa"/>
            <w:bottom w:w="15" w:type="dxa"/>
            <w:right w:w="15" w:type="dxa"/>
          </w:tblCellMar>
        </w:tblPrEx>
        <w:trPr>
          <w:trHeight w:val="285" w:hRule="atLeast"/>
        </w:trPr>
        <w:tc>
          <w:tcPr>
            <w:tcW w:w="9287" w:type="dxa"/>
            <w:noWrap/>
            <w:vAlign w:val="center"/>
          </w:tcPr>
          <w:p w14:paraId="1B9BCF57">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溶洞处理体积与质量换算表</w:t>
            </w:r>
          </w:p>
        </w:tc>
      </w:tr>
    </w:tbl>
    <w:p w14:paraId="6D5233C5">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保证尽一切力量确保投标承诺的施工目标，充分解在本工程溶洞处理施工过程中可能出现的不利情况；且在投标报价中已综合考虑到本工程溶洞处理可能因项目实际情况调整变动，无论工程实际情况如何变化，本工程溶洞处理材料工程量均按下表溶洞处理体积与质量换算表换算计量：</w:t>
      </w:r>
    </w:p>
    <w:tbl>
      <w:tblPr>
        <w:tblStyle w:val="42"/>
        <w:tblpPr w:leftFromText="180" w:rightFromText="180" w:vertAnchor="text" w:horzAnchor="page" w:tblpX="944" w:tblpY="73"/>
        <w:tblOverlap w:val="never"/>
        <w:tblW w:w="9987" w:type="dxa"/>
        <w:tblInd w:w="0" w:type="dxa"/>
        <w:tblLayout w:type="fixed"/>
        <w:tblCellMar>
          <w:top w:w="15" w:type="dxa"/>
          <w:left w:w="15" w:type="dxa"/>
          <w:bottom w:w="15" w:type="dxa"/>
          <w:right w:w="15" w:type="dxa"/>
        </w:tblCellMar>
      </w:tblPr>
      <w:tblGrid>
        <w:gridCol w:w="704"/>
        <w:gridCol w:w="1701"/>
        <w:gridCol w:w="2621"/>
        <w:gridCol w:w="1206"/>
        <w:gridCol w:w="1276"/>
        <w:gridCol w:w="1270"/>
        <w:gridCol w:w="1209"/>
      </w:tblGrid>
      <w:tr w14:paraId="0E65F232">
        <w:tblPrEx>
          <w:tblCellMar>
            <w:top w:w="15" w:type="dxa"/>
            <w:left w:w="15" w:type="dxa"/>
            <w:bottom w:w="15" w:type="dxa"/>
            <w:right w:w="15" w:type="dxa"/>
          </w:tblCellMar>
        </w:tblPrEx>
        <w:trPr>
          <w:trHeight w:val="283" w:hRule="atLeast"/>
        </w:trPr>
        <w:tc>
          <w:tcPr>
            <w:tcW w:w="704" w:type="dxa"/>
            <w:tcBorders>
              <w:top w:val="single" w:color="000000" w:sz="4" w:space="0"/>
              <w:left w:val="single" w:color="000000" w:sz="4" w:space="0"/>
              <w:bottom w:val="single" w:color="000000" w:sz="4" w:space="0"/>
              <w:right w:val="single" w:color="000000" w:sz="4" w:space="0"/>
            </w:tcBorders>
            <w:noWrap/>
            <w:vAlign w:val="center"/>
          </w:tcPr>
          <w:p w14:paraId="059903DB">
            <w:pPr>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序号</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A35A2A0">
            <w:pPr>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名称</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56ACCB8F">
            <w:pPr>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规格</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3E0A1B52">
            <w:pPr>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密度（</w:t>
            </w:r>
            <w:r>
              <w:rPr>
                <w:rFonts w:ascii="宋体" w:hAnsi="宋体" w:eastAsia="宋体"/>
                <w:color w:val="auto"/>
                <w:sz w:val="24"/>
                <w:szCs w:val="24"/>
                <w:highlight w:val="none"/>
              </w:rPr>
              <w:t>kg/m</w:t>
            </w:r>
            <w:r>
              <w:rPr>
                <w:rFonts w:hint="eastAsia" w:ascii="宋体" w:hAnsi="宋体" w:eastAsia="宋体"/>
                <w:color w:val="auto"/>
                <w:sz w:val="24"/>
                <w:szCs w:val="24"/>
                <w:highlight w:val="none"/>
              </w:rPr>
              <w:t>³</w:t>
            </w:r>
            <w:r>
              <w:rPr>
                <w:rFonts w:ascii="宋体" w:hAnsi="宋体" w:eastAsia="宋体"/>
                <w:color w:val="auto"/>
                <w:sz w:val="24"/>
                <w:szCs w:val="24"/>
                <w:highlight w:val="none"/>
              </w:rPr>
              <w:t>）</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24C6E19F">
            <w:pPr>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每吨用量折算立方米</w:t>
            </w:r>
          </w:p>
          <w:p w14:paraId="7CCA5984">
            <w:pPr>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w:t>
            </w:r>
            <w:r>
              <w:rPr>
                <w:rFonts w:ascii="宋体" w:hAnsi="宋体" w:eastAsia="宋体"/>
                <w:color w:val="auto"/>
                <w:sz w:val="24"/>
                <w:szCs w:val="24"/>
                <w:highlight w:val="none"/>
              </w:rPr>
              <w:t>m</w:t>
            </w:r>
            <w:r>
              <w:rPr>
                <w:rFonts w:hint="eastAsia" w:ascii="宋体" w:hAnsi="宋体" w:eastAsia="宋体"/>
                <w:color w:val="auto"/>
                <w:sz w:val="24"/>
                <w:szCs w:val="24"/>
                <w:highlight w:val="none"/>
              </w:rPr>
              <w:t>³</w:t>
            </w:r>
            <w:r>
              <w:rPr>
                <w:rFonts w:ascii="宋体" w:hAnsi="宋体" w:eastAsia="宋体"/>
                <w:color w:val="auto"/>
                <w:sz w:val="24"/>
                <w:szCs w:val="24"/>
                <w:highlight w:val="none"/>
              </w:rPr>
              <w:t>/t</w:t>
            </w:r>
            <w:r>
              <w:rPr>
                <w:rFonts w:hint="eastAsia" w:ascii="宋体" w:hAnsi="宋体" w:eastAsia="宋体"/>
                <w:color w:val="auto"/>
                <w:sz w:val="24"/>
                <w:szCs w:val="24"/>
                <w:highlight w:val="none"/>
              </w:rPr>
              <w:t>）</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79D9051A">
            <w:pPr>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每立方米浆液用量（</w:t>
            </w:r>
            <w:r>
              <w:rPr>
                <w:rFonts w:ascii="宋体" w:hAnsi="宋体" w:eastAsia="宋体"/>
                <w:color w:val="auto"/>
                <w:sz w:val="24"/>
                <w:szCs w:val="24"/>
                <w:highlight w:val="none"/>
              </w:rPr>
              <w:t>kg/m</w:t>
            </w:r>
            <w:r>
              <w:rPr>
                <w:rFonts w:hint="eastAsia" w:ascii="宋体" w:hAnsi="宋体" w:eastAsia="宋体"/>
                <w:color w:val="auto"/>
                <w:sz w:val="24"/>
                <w:szCs w:val="24"/>
                <w:highlight w:val="none"/>
              </w:rPr>
              <w:t>³）</w:t>
            </w:r>
          </w:p>
        </w:tc>
        <w:tc>
          <w:tcPr>
            <w:tcW w:w="1209" w:type="dxa"/>
            <w:tcBorders>
              <w:top w:val="single" w:color="000000" w:sz="4" w:space="0"/>
              <w:left w:val="single" w:color="000000" w:sz="4" w:space="0"/>
              <w:bottom w:val="single" w:color="000000" w:sz="4" w:space="0"/>
              <w:right w:val="single" w:color="000000" w:sz="4" w:space="0"/>
            </w:tcBorders>
            <w:noWrap/>
            <w:vAlign w:val="center"/>
          </w:tcPr>
          <w:p w14:paraId="15A5A2DF">
            <w:pPr>
              <w:spacing w:line="240" w:lineRule="auto"/>
              <w:jc w:val="center"/>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备注</w:t>
            </w:r>
          </w:p>
        </w:tc>
      </w:tr>
      <w:tr w14:paraId="56355EED">
        <w:tblPrEx>
          <w:tblCellMar>
            <w:top w:w="15" w:type="dxa"/>
            <w:left w:w="15" w:type="dxa"/>
            <w:bottom w:w="15" w:type="dxa"/>
            <w:right w:w="15" w:type="dxa"/>
          </w:tblCellMar>
        </w:tblPrEx>
        <w:trPr>
          <w:trHeight w:val="283" w:hRule="atLeast"/>
        </w:trPr>
        <w:tc>
          <w:tcPr>
            <w:tcW w:w="704" w:type="dxa"/>
            <w:vMerge w:val="restart"/>
            <w:tcBorders>
              <w:top w:val="single" w:color="000000" w:sz="4" w:space="0"/>
              <w:left w:val="single" w:color="000000" w:sz="4" w:space="0"/>
              <w:right w:val="single" w:color="000000" w:sz="4" w:space="0"/>
            </w:tcBorders>
            <w:noWrap/>
            <w:vAlign w:val="center"/>
          </w:tcPr>
          <w:p w14:paraId="78092FF1">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3813135">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水泥浆（单液浆）</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5E496D15">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质量比（</w:t>
            </w:r>
            <w:r>
              <w:rPr>
                <w:rFonts w:ascii="宋体" w:hAnsi="宋体" w:eastAsia="宋体"/>
                <w:color w:val="auto"/>
                <w:sz w:val="24"/>
                <w:szCs w:val="24"/>
                <w:highlight w:val="none"/>
              </w:rPr>
              <w:t>1</w:t>
            </w:r>
            <w:r>
              <w:rPr>
                <w:rFonts w:hint="eastAsia" w:ascii="宋体" w:hAnsi="宋体" w:eastAsia="宋体"/>
                <w:color w:val="auto"/>
                <w:sz w:val="24"/>
                <w:szCs w:val="24"/>
                <w:highlight w:val="none"/>
              </w:rPr>
              <w:t>：</w:t>
            </w:r>
            <w:r>
              <w:rPr>
                <w:rFonts w:ascii="宋体" w:hAnsi="宋体" w:eastAsia="宋体"/>
                <w:color w:val="auto"/>
                <w:sz w:val="24"/>
                <w:szCs w:val="24"/>
                <w:highlight w:val="none"/>
              </w:rPr>
              <w:t>1</w:t>
            </w:r>
            <w:r>
              <w:rPr>
                <w:rFonts w:hint="eastAsia" w:ascii="宋体" w:hAnsi="宋体" w:eastAsia="宋体"/>
                <w:color w:val="auto"/>
                <w:sz w:val="24"/>
                <w:szCs w:val="24"/>
                <w:highlight w:val="none"/>
              </w:rPr>
              <w:t>）</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41EAACA0">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1512</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62ED427A">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0.661</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431C1FAE">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w:t>
            </w:r>
          </w:p>
        </w:tc>
        <w:tc>
          <w:tcPr>
            <w:tcW w:w="1209" w:type="dxa"/>
            <w:vMerge w:val="restart"/>
            <w:tcBorders>
              <w:top w:val="single" w:color="000000" w:sz="4" w:space="0"/>
              <w:left w:val="single" w:color="000000" w:sz="4" w:space="0"/>
              <w:right w:val="single" w:color="000000" w:sz="4" w:space="0"/>
            </w:tcBorders>
            <w:noWrap/>
            <w:vAlign w:val="center"/>
          </w:tcPr>
          <w:p w14:paraId="28F83C7D">
            <w:pPr>
              <w:spacing w:line="240" w:lineRule="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质量比（</w:t>
            </w:r>
            <w:r>
              <w:rPr>
                <w:rFonts w:ascii="宋体" w:hAnsi="宋体" w:eastAsia="宋体"/>
                <w:color w:val="auto"/>
                <w:sz w:val="24"/>
                <w:szCs w:val="24"/>
                <w:highlight w:val="none"/>
              </w:rPr>
              <w:t>1</w:t>
            </w:r>
            <w:r>
              <w:rPr>
                <w:rFonts w:hint="eastAsia" w:ascii="宋体" w:hAnsi="宋体" w:eastAsia="宋体"/>
                <w:color w:val="auto"/>
                <w:sz w:val="24"/>
                <w:szCs w:val="24"/>
                <w:highlight w:val="none"/>
              </w:rPr>
              <w:t>：</w:t>
            </w:r>
            <w:r>
              <w:rPr>
                <w:rFonts w:ascii="宋体" w:hAnsi="宋体" w:eastAsia="宋体"/>
                <w:color w:val="auto"/>
                <w:sz w:val="24"/>
                <w:szCs w:val="24"/>
                <w:highlight w:val="none"/>
              </w:rPr>
              <w:t>1</w:t>
            </w:r>
            <w:r>
              <w:rPr>
                <w:rFonts w:hint="eastAsia" w:ascii="宋体" w:hAnsi="宋体" w:eastAsia="宋体"/>
                <w:color w:val="auto"/>
                <w:sz w:val="24"/>
                <w:szCs w:val="24"/>
                <w:highlight w:val="none"/>
              </w:rPr>
              <w:t>）</w:t>
            </w:r>
          </w:p>
        </w:tc>
      </w:tr>
      <w:tr w14:paraId="39F463B4">
        <w:tblPrEx>
          <w:tblCellMar>
            <w:top w:w="15" w:type="dxa"/>
            <w:left w:w="15" w:type="dxa"/>
            <w:bottom w:w="15" w:type="dxa"/>
            <w:right w:w="15" w:type="dxa"/>
          </w:tblCellMar>
        </w:tblPrEx>
        <w:trPr>
          <w:trHeight w:val="283" w:hRule="atLeast"/>
        </w:trPr>
        <w:tc>
          <w:tcPr>
            <w:tcW w:w="704" w:type="dxa"/>
            <w:vMerge w:val="continue"/>
            <w:tcBorders>
              <w:left w:val="single" w:color="000000" w:sz="4" w:space="0"/>
              <w:bottom w:val="single" w:color="000000" w:sz="4" w:space="0"/>
              <w:right w:val="single" w:color="000000" w:sz="4" w:space="0"/>
            </w:tcBorders>
            <w:noWrap/>
            <w:vAlign w:val="center"/>
          </w:tcPr>
          <w:p w14:paraId="588789EE">
            <w:pPr>
              <w:spacing w:line="240" w:lineRule="auto"/>
              <w:jc w:val="center"/>
              <w:rPr>
                <w:rFonts w:hint="eastAsia" w:ascii="宋体" w:hAnsi="宋体" w:eastAsia="宋体"/>
                <w:color w:val="auto"/>
                <w:sz w:val="24"/>
                <w:szCs w:val="24"/>
                <w:highlight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2C35583">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水泥</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7AB46B90">
            <w:pPr>
              <w:spacing w:line="240" w:lineRule="auto"/>
              <w:jc w:val="both"/>
              <w:rPr>
                <w:rFonts w:hint="eastAsia" w:ascii="宋体" w:hAnsi="宋体" w:eastAsia="宋体"/>
                <w:color w:val="auto"/>
                <w:sz w:val="24"/>
                <w:szCs w:val="24"/>
                <w:highlight w:val="none"/>
              </w:rPr>
            </w:pPr>
            <w:r>
              <w:rPr>
                <w:rFonts w:ascii="宋体" w:hAnsi="宋体" w:eastAsia="宋体"/>
                <w:color w:val="auto"/>
                <w:sz w:val="24"/>
                <w:szCs w:val="24"/>
                <w:highlight w:val="none"/>
              </w:rPr>
              <w:t>42.5</w:t>
            </w:r>
            <w:r>
              <w:rPr>
                <w:rFonts w:hint="eastAsia" w:ascii="宋体" w:hAnsi="宋体" w:eastAsia="宋体"/>
                <w:color w:val="auto"/>
                <w:sz w:val="24"/>
                <w:szCs w:val="24"/>
                <w:highlight w:val="none"/>
              </w:rPr>
              <w:t>硅酸盐</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768F5F82">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3100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754FE327">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0.323</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14CA42C9">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756</w:t>
            </w:r>
          </w:p>
        </w:tc>
        <w:tc>
          <w:tcPr>
            <w:tcW w:w="1209" w:type="dxa"/>
            <w:vMerge w:val="continue"/>
            <w:tcBorders>
              <w:top w:val="single" w:color="000000" w:sz="4" w:space="0"/>
              <w:left w:val="single" w:color="000000" w:sz="4" w:space="0"/>
              <w:right w:val="single" w:color="000000" w:sz="4" w:space="0"/>
            </w:tcBorders>
            <w:noWrap/>
            <w:vAlign w:val="center"/>
          </w:tcPr>
          <w:p w14:paraId="2E70D6FD">
            <w:pPr>
              <w:spacing w:line="240" w:lineRule="auto"/>
              <w:jc w:val="both"/>
              <w:rPr>
                <w:rFonts w:hint="eastAsia" w:ascii="宋体" w:hAnsi="宋体" w:eastAsia="宋体"/>
                <w:color w:val="auto"/>
                <w:sz w:val="24"/>
                <w:szCs w:val="24"/>
                <w:highlight w:val="none"/>
              </w:rPr>
            </w:pPr>
          </w:p>
        </w:tc>
      </w:tr>
      <w:tr w14:paraId="6086693E">
        <w:tblPrEx>
          <w:tblCellMar>
            <w:top w:w="15" w:type="dxa"/>
            <w:left w:w="15" w:type="dxa"/>
            <w:bottom w:w="15" w:type="dxa"/>
            <w:right w:w="15" w:type="dxa"/>
          </w:tblCellMar>
        </w:tblPrEx>
        <w:trPr>
          <w:trHeight w:val="283" w:hRule="atLeast"/>
        </w:trPr>
        <w:tc>
          <w:tcPr>
            <w:tcW w:w="704" w:type="dxa"/>
            <w:vMerge w:val="restart"/>
            <w:tcBorders>
              <w:top w:val="single" w:color="000000" w:sz="4" w:space="0"/>
              <w:left w:val="single" w:color="000000" w:sz="4" w:space="0"/>
              <w:right w:val="single" w:color="000000" w:sz="4" w:space="0"/>
            </w:tcBorders>
            <w:noWrap/>
            <w:vAlign w:val="center"/>
          </w:tcPr>
          <w:p w14:paraId="6FA1C847">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C8D4E78">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水玻璃浆液</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4408230A">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水玻璃浆液为水玻璃原液：水</w:t>
            </w:r>
            <w:r>
              <w:rPr>
                <w:rFonts w:ascii="宋体" w:hAnsi="宋体" w:eastAsia="宋体"/>
                <w:color w:val="auto"/>
                <w:sz w:val="24"/>
                <w:szCs w:val="24"/>
                <w:highlight w:val="none"/>
              </w:rPr>
              <w:t>=1</w:t>
            </w:r>
            <w:r>
              <w:rPr>
                <w:rFonts w:hint="eastAsia" w:ascii="宋体" w:hAnsi="宋体" w:eastAsia="宋体"/>
                <w:color w:val="auto"/>
                <w:sz w:val="24"/>
                <w:szCs w:val="24"/>
                <w:highlight w:val="none"/>
              </w:rPr>
              <w:t>：</w:t>
            </w:r>
            <w:r>
              <w:rPr>
                <w:rFonts w:ascii="宋体" w:hAnsi="宋体" w:eastAsia="宋体"/>
                <w:color w:val="auto"/>
                <w:sz w:val="24"/>
                <w:szCs w:val="24"/>
                <w:highlight w:val="none"/>
              </w:rPr>
              <w:t>1</w:t>
            </w:r>
            <w:r>
              <w:rPr>
                <w:rFonts w:hint="eastAsia" w:ascii="宋体" w:hAnsi="宋体" w:eastAsia="宋体"/>
                <w:color w:val="auto"/>
                <w:sz w:val="24"/>
                <w:szCs w:val="24"/>
                <w:highlight w:val="none"/>
              </w:rPr>
              <w:t>（体积比）</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0735217C">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1210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1C524646">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0.826</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1B5EB610">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w:t>
            </w:r>
          </w:p>
        </w:tc>
        <w:tc>
          <w:tcPr>
            <w:tcW w:w="1209" w:type="dxa"/>
            <w:vMerge w:val="restart"/>
            <w:tcBorders>
              <w:top w:val="single" w:color="000000" w:sz="4" w:space="0"/>
              <w:left w:val="single" w:color="000000" w:sz="4" w:space="0"/>
              <w:bottom w:val="single" w:color="000000" w:sz="4" w:space="0"/>
              <w:right w:val="single" w:color="000000" w:sz="4" w:space="0"/>
            </w:tcBorders>
            <w:noWrap/>
            <w:vAlign w:val="center"/>
          </w:tcPr>
          <w:p w14:paraId="1B7B33FE">
            <w:pPr>
              <w:spacing w:line="240" w:lineRule="auto"/>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水玻璃原液</w:t>
            </w:r>
            <w:r>
              <w:rPr>
                <w:rFonts w:ascii="宋体" w:hAnsi="宋体" w:eastAsia="宋体"/>
                <w:color w:val="auto"/>
                <w:sz w:val="24"/>
                <w:szCs w:val="24"/>
                <w:highlight w:val="none"/>
              </w:rPr>
              <w:t>Be=38-43</w:t>
            </w:r>
            <w:r>
              <w:rPr>
                <w:rFonts w:hint="eastAsia" w:ascii="宋体" w:hAnsi="宋体" w:eastAsia="宋体"/>
                <w:color w:val="auto"/>
                <w:sz w:val="24"/>
                <w:szCs w:val="24"/>
                <w:highlight w:val="none"/>
              </w:rPr>
              <w:t>，水玻璃浆液为水玻璃原液：水</w:t>
            </w:r>
            <w:r>
              <w:rPr>
                <w:rFonts w:ascii="宋体" w:hAnsi="宋体" w:eastAsia="宋体"/>
                <w:color w:val="auto"/>
                <w:sz w:val="24"/>
                <w:szCs w:val="24"/>
                <w:highlight w:val="none"/>
              </w:rPr>
              <w:t>=1</w:t>
            </w:r>
            <w:r>
              <w:rPr>
                <w:rFonts w:hint="eastAsia" w:ascii="宋体" w:hAnsi="宋体" w:eastAsia="宋体"/>
                <w:color w:val="auto"/>
                <w:sz w:val="24"/>
                <w:szCs w:val="24"/>
                <w:highlight w:val="none"/>
              </w:rPr>
              <w:t>：</w:t>
            </w:r>
            <w:r>
              <w:rPr>
                <w:rFonts w:ascii="宋体" w:hAnsi="宋体" w:eastAsia="宋体"/>
                <w:color w:val="auto"/>
                <w:sz w:val="24"/>
                <w:szCs w:val="24"/>
                <w:highlight w:val="none"/>
              </w:rPr>
              <w:t>1</w:t>
            </w:r>
            <w:r>
              <w:rPr>
                <w:rFonts w:hint="eastAsia" w:ascii="宋体" w:hAnsi="宋体" w:eastAsia="宋体"/>
                <w:color w:val="auto"/>
                <w:sz w:val="24"/>
                <w:szCs w:val="24"/>
                <w:highlight w:val="none"/>
              </w:rPr>
              <w:t>（体积比）</w:t>
            </w:r>
          </w:p>
        </w:tc>
      </w:tr>
      <w:tr w14:paraId="709BCAC2">
        <w:tblPrEx>
          <w:tblCellMar>
            <w:top w:w="15" w:type="dxa"/>
            <w:left w:w="15" w:type="dxa"/>
            <w:bottom w:w="15" w:type="dxa"/>
            <w:right w:w="15" w:type="dxa"/>
          </w:tblCellMar>
        </w:tblPrEx>
        <w:trPr>
          <w:trHeight w:val="283" w:hRule="atLeast"/>
        </w:trPr>
        <w:tc>
          <w:tcPr>
            <w:tcW w:w="704" w:type="dxa"/>
            <w:vMerge w:val="continue"/>
            <w:tcBorders>
              <w:left w:val="single" w:color="000000" w:sz="4" w:space="0"/>
              <w:bottom w:val="single" w:color="000000" w:sz="4" w:space="0"/>
              <w:right w:val="single" w:color="000000" w:sz="4" w:space="0"/>
            </w:tcBorders>
            <w:noWrap/>
            <w:vAlign w:val="center"/>
          </w:tcPr>
          <w:p w14:paraId="1F8064CA">
            <w:pPr>
              <w:spacing w:line="240" w:lineRule="auto"/>
              <w:jc w:val="center"/>
              <w:rPr>
                <w:rFonts w:hint="eastAsia" w:ascii="宋体" w:hAnsi="宋体" w:eastAsia="宋体"/>
                <w:color w:val="auto"/>
                <w:sz w:val="24"/>
                <w:szCs w:val="24"/>
                <w:highlight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BA75720">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水玻璃原液</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7DC633DF">
            <w:pPr>
              <w:spacing w:line="240" w:lineRule="auto"/>
              <w:jc w:val="both"/>
              <w:rPr>
                <w:rFonts w:hint="eastAsia" w:ascii="宋体" w:hAnsi="宋体" w:eastAsia="宋体"/>
                <w:color w:val="auto"/>
                <w:sz w:val="24"/>
                <w:szCs w:val="24"/>
                <w:highlight w:val="none"/>
              </w:rPr>
            </w:pPr>
            <w:r>
              <w:rPr>
                <w:rFonts w:ascii="宋体" w:hAnsi="宋体" w:eastAsia="宋体"/>
                <w:color w:val="auto"/>
                <w:sz w:val="24"/>
                <w:szCs w:val="24"/>
                <w:highlight w:val="none"/>
              </w:rPr>
              <w:t>Be=38~43</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37C0FCA1">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1420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01A887D4">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0.704</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396F939A">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710</w:t>
            </w:r>
          </w:p>
        </w:tc>
        <w:tc>
          <w:tcPr>
            <w:tcW w:w="1209" w:type="dxa"/>
            <w:vMerge w:val="continue"/>
            <w:tcBorders>
              <w:top w:val="single" w:color="000000" w:sz="4" w:space="0"/>
              <w:left w:val="single" w:color="000000" w:sz="4" w:space="0"/>
              <w:bottom w:val="single" w:color="000000" w:sz="4" w:space="0"/>
              <w:right w:val="single" w:color="000000" w:sz="4" w:space="0"/>
            </w:tcBorders>
            <w:noWrap/>
            <w:vAlign w:val="center"/>
          </w:tcPr>
          <w:p w14:paraId="087E4EA5">
            <w:pPr>
              <w:spacing w:line="240" w:lineRule="auto"/>
              <w:jc w:val="both"/>
              <w:rPr>
                <w:rFonts w:hint="eastAsia" w:ascii="宋体" w:hAnsi="宋体" w:eastAsia="宋体"/>
                <w:color w:val="auto"/>
                <w:sz w:val="24"/>
                <w:szCs w:val="24"/>
                <w:highlight w:val="none"/>
              </w:rPr>
            </w:pPr>
          </w:p>
        </w:tc>
      </w:tr>
      <w:tr w14:paraId="65A5EAE7">
        <w:tblPrEx>
          <w:tblCellMar>
            <w:top w:w="15" w:type="dxa"/>
            <w:left w:w="15" w:type="dxa"/>
            <w:bottom w:w="15" w:type="dxa"/>
            <w:right w:w="15" w:type="dxa"/>
          </w:tblCellMar>
        </w:tblPrEx>
        <w:trPr>
          <w:trHeight w:val="283" w:hRule="atLeast"/>
        </w:trPr>
        <w:tc>
          <w:tcPr>
            <w:tcW w:w="704" w:type="dxa"/>
            <w:vMerge w:val="restart"/>
            <w:tcBorders>
              <w:top w:val="single" w:color="000000" w:sz="4" w:space="0"/>
              <w:left w:val="single" w:color="000000" w:sz="4" w:space="0"/>
              <w:right w:val="single" w:color="000000" w:sz="4" w:space="0"/>
            </w:tcBorders>
            <w:noWrap/>
            <w:vAlign w:val="center"/>
          </w:tcPr>
          <w:p w14:paraId="23BE64DF">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A30842B">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双液浆</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124B5890">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单液浆：水玻璃溶液</w:t>
            </w:r>
            <w:r>
              <w:rPr>
                <w:rFonts w:ascii="宋体" w:hAnsi="宋体" w:eastAsia="宋体"/>
                <w:color w:val="auto"/>
                <w:sz w:val="24"/>
                <w:szCs w:val="24"/>
                <w:highlight w:val="none"/>
              </w:rPr>
              <w:t>=1:1（</w:t>
            </w:r>
            <w:r>
              <w:rPr>
                <w:rFonts w:hint="eastAsia" w:ascii="宋体" w:hAnsi="宋体" w:eastAsia="宋体"/>
                <w:color w:val="auto"/>
                <w:sz w:val="24"/>
                <w:szCs w:val="24"/>
                <w:highlight w:val="none"/>
              </w:rPr>
              <w:t>体积比）</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6F915836">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1361</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35F20FE5">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0.735</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22589CD5">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w:t>
            </w:r>
          </w:p>
        </w:tc>
        <w:tc>
          <w:tcPr>
            <w:tcW w:w="1209" w:type="dxa"/>
            <w:vMerge w:val="continue"/>
            <w:tcBorders>
              <w:top w:val="single" w:color="000000" w:sz="4" w:space="0"/>
              <w:left w:val="single" w:color="000000" w:sz="4" w:space="0"/>
              <w:bottom w:val="single" w:color="000000" w:sz="4" w:space="0"/>
              <w:right w:val="single" w:color="000000" w:sz="4" w:space="0"/>
            </w:tcBorders>
            <w:noWrap/>
            <w:vAlign w:val="center"/>
          </w:tcPr>
          <w:p w14:paraId="3C856CA6">
            <w:pPr>
              <w:spacing w:line="240" w:lineRule="auto"/>
              <w:jc w:val="both"/>
              <w:rPr>
                <w:rFonts w:hint="eastAsia" w:ascii="宋体" w:hAnsi="宋体" w:eastAsia="宋体"/>
                <w:color w:val="auto"/>
                <w:sz w:val="24"/>
                <w:szCs w:val="24"/>
                <w:highlight w:val="none"/>
              </w:rPr>
            </w:pPr>
          </w:p>
        </w:tc>
      </w:tr>
      <w:tr w14:paraId="37C9D2C2">
        <w:tblPrEx>
          <w:tblCellMar>
            <w:top w:w="15" w:type="dxa"/>
            <w:left w:w="15" w:type="dxa"/>
            <w:bottom w:w="15" w:type="dxa"/>
            <w:right w:w="15" w:type="dxa"/>
          </w:tblCellMar>
        </w:tblPrEx>
        <w:trPr>
          <w:trHeight w:val="283" w:hRule="atLeast"/>
        </w:trPr>
        <w:tc>
          <w:tcPr>
            <w:tcW w:w="704" w:type="dxa"/>
            <w:vMerge w:val="continue"/>
            <w:tcBorders>
              <w:left w:val="single" w:color="000000" w:sz="4" w:space="0"/>
              <w:right w:val="single" w:color="000000" w:sz="4" w:space="0"/>
            </w:tcBorders>
            <w:noWrap/>
            <w:vAlign w:val="center"/>
          </w:tcPr>
          <w:p w14:paraId="29318E84">
            <w:pPr>
              <w:spacing w:line="240" w:lineRule="auto"/>
              <w:jc w:val="center"/>
              <w:rPr>
                <w:rFonts w:hint="eastAsia" w:ascii="宋体" w:hAnsi="宋体" w:eastAsia="宋体"/>
                <w:color w:val="auto"/>
                <w:sz w:val="24"/>
                <w:szCs w:val="24"/>
                <w:highlight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D351553">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水泥</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287FF3E9">
            <w:pPr>
              <w:spacing w:line="240" w:lineRule="auto"/>
              <w:jc w:val="both"/>
              <w:rPr>
                <w:rFonts w:hint="eastAsia" w:ascii="宋体" w:hAnsi="宋体" w:eastAsia="宋体"/>
                <w:color w:val="auto"/>
                <w:sz w:val="24"/>
                <w:szCs w:val="24"/>
                <w:highlight w:val="none"/>
              </w:rPr>
            </w:pPr>
            <w:r>
              <w:rPr>
                <w:rFonts w:ascii="宋体" w:hAnsi="宋体" w:eastAsia="宋体"/>
                <w:color w:val="auto"/>
                <w:sz w:val="24"/>
                <w:szCs w:val="24"/>
                <w:highlight w:val="none"/>
              </w:rPr>
              <w:t>42.5</w:t>
            </w:r>
            <w:r>
              <w:rPr>
                <w:rFonts w:hint="eastAsia" w:ascii="宋体" w:hAnsi="宋体" w:eastAsia="宋体"/>
                <w:color w:val="auto"/>
                <w:sz w:val="24"/>
                <w:szCs w:val="24"/>
                <w:highlight w:val="none"/>
              </w:rPr>
              <w:t>硅酸盐</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4FBCF4B4">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3100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1F048D09">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0.323</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0CA35E7A">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378</w:t>
            </w:r>
          </w:p>
        </w:tc>
        <w:tc>
          <w:tcPr>
            <w:tcW w:w="1209" w:type="dxa"/>
            <w:vMerge w:val="continue"/>
            <w:tcBorders>
              <w:top w:val="single" w:color="000000" w:sz="4" w:space="0"/>
              <w:left w:val="single" w:color="000000" w:sz="4" w:space="0"/>
              <w:bottom w:val="single" w:color="000000" w:sz="4" w:space="0"/>
              <w:right w:val="single" w:color="000000" w:sz="4" w:space="0"/>
            </w:tcBorders>
            <w:noWrap/>
            <w:vAlign w:val="center"/>
          </w:tcPr>
          <w:p w14:paraId="726C1761">
            <w:pPr>
              <w:spacing w:line="240" w:lineRule="auto"/>
              <w:jc w:val="both"/>
              <w:rPr>
                <w:rFonts w:hint="eastAsia" w:ascii="宋体" w:hAnsi="宋体" w:eastAsia="宋体"/>
                <w:color w:val="auto"/>
                <w:sz w:val="24"/>
                <w:szCs w:val="24"/>
                <w:highlight w:val="none"/>
              </w:rPr>
            </w:pPr>
          </w:p>
        </w:tc>
      </w:tr>
      <w:tr w14:paraId="4C779C20">
        <w:tblPrEx>
          <w:tblCellMar>
            <w:top w:w="15" w:type="dxa"/>
            <w:left w:w="15" w:type="dxa"/>
            <w:bottom w:w="15" w:type="dxa"/>
            <w:right w:w="15" w:type="dxa"/>
          </w:tblCellMar>
        </w:tblPrEx>
        <w:trPr>
          <w:trHeight w:val="283" w:hRule="atLeast"/>
        </w:trPr>
        <w:tc>
          <w:tcPr>
            <w:tcW w:w="704" w:type="dxa"/>
            <w:vMerge w:val="continue"/>
            <w:tcBorders>
              <w:left w:val="single" w:color="000000" w:sz="4" w:space="0"/>
              <w:bottom w:val="single" w:color="000000" w:sz="4" w:space="0"/>
              <w:right w:val="single" w:color="000000" w:sz="4" w:space="0"/>
            </w:tcBorders>
            <w:noWrap/>
            <w:vAlign w:val="center"/>
          </w:tcPr>
          <w:p w14:paraId="54A73351">
            <w:pPr>
              <w:spacing w:line="240" w:lineRule="auto"/>
              <w:jc w:val="center"/>
              <w:rPr>
                <w:rFonts w:hint="eastAsia" w:ascii="宋体" w:hAnsi="宋体" w:eastAsia="宋体"/>
                <w:color w:val="auto"/>
                <w:sz w:val="24"/>
                <w:szCs w:val="24"/>
                <w:highlight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D689846">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水玻璃原液</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20A673D9">
            <w:pPr>
              <w:spacing w:line="240" w:lineRule="auto"/>
              <w:jc w:val="both"/>
              <w:rPr>
                <w:rFonts w:hint="eastAsia" w:ascii="宋体" w:hAnsi="宋体" w:eastAsia="宋体"/>
                <w:color w:val="auto"/>
                <w:sz w:val="24"/>
                <w:szCs w:val="24"/>
                <w:highlight w:val="none"/>
              </w:rPr>
            </w:pPr>
            <w:r>
              <w:rPr>
                <w:rFonts w:ascii="宋体" w:hAnsi="宋体" w:eastAsia="宋体"/>
                <w:color w:val="auto"/>
                <w:sz w:val="24"/>
                <w:szCs w:val="24"/>
                <w:highlight w:val="none"/>
              </w:rPr>
              <w:t>Be=38</w:t>
            </w:r>
            <w:r>
              <w:rPr>
                <w:rFonts w:hint="eastAsia" w:ascii="宋体" w:hAnsi="宋体" w:eastAsia="宋体"/>
                <w:color w:val="auto"/>
                <w:sz w:val="24"/>
                <w:szCs w:val="24"/>
                <w:highlight w:val="none"/>
              </w:rPr>
              <w:t>～</w:t>
            </w:r>
            <w:r>
              <w:rPr>
                <w:rFonts w:ascii="宋体" w:hAnsi="宋体" w:eastAsia="宋体"/>
                <w:color w:val="auto"/>
                <w:sz w:val="24"/>
                <w:szCs w:val="24"/>
                <w:highlight w:val="none"/>
              </w:rPr>
              <w:t>43</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2CB70B13">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1420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05309712">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0.704</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342045BD">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355</w:t>
            </w:r>
          </w:p>
        </w:tc>
        <w:tc>
          <w:tcPr>
            <w:tcW w:w="1209" w:type="dxa"/>
            <w:vMerge w:val="continue"/>
            <w:tcBorders>
              <w:top w:val="single" w:color="000000" w:sz="4" w:space="0"/>
              <w:left w:val="single" w:color="000000" w:sz="4" w:space="0"/>
              <w:bottom w:val="single" w:color="000000" w:sz="4" w:space="0"/>
              <w:right w:val="single" w:color="000000" w:sz="4" w:space="0"/>
            </w:tcBorders>
            <w:noWrap/>
            <w:vAlign w:val="center"/>
          </w:tcPr>
          <w:p w14:paraId="55201FFA">
            <w:pPr>
              <w:spacing w:line="240" w:lineRule="auto"/>
              <w:jc w:val="both"/>
              <w:rPr>
                <w:rFonts w:hint="eastAsia" w:ascii="宋体" w:hAnsi="宋体" w:eastAsia="宋体"/>
                <w:color w:val="auto"/>
                <w:sz w:val="24"/>
                <w:szCs w:val="24"/>
                <w:highlight w:val="none"/>
              </w:rPr>
            </w:pPr>
          </w:p>
        </w:tc>
      </w:tr>
      <w:tr w14:paraId="7797A8DD">
        <w:tblPrEx>
          <w:tblCellMar>
            <w:top w:w="15" w:type="dxa"/>
            <w:left w:w="15" w:type="dxa"/>
            <w:bottom w:w="15" w:type="dxa"/>
            <w:right w:w="15" w:type="dxa"/>
          </w:tblCellMar>
        </w:tblPrEx>
        <w:trPr>
          <w:trHeight w:val="283" w:hRule="atLeast"/>
        </w:trPr>
        <w:tc>
          <w:tcPr>
            <w:tcW w:w="704" w:type="dxa"/>
            <w:tcBorders>
              <w:top w:val="single" w:color="000000" w:sz="4" w:space="0"/>
              <w:left w:val="single" w:color="000000" w:sz="4" w:space="0"/>
              <w:bottom w:val="single" w:color="000000" w:sz="4" w:space="0"/>
              <w:right w:val="single" w:color="000000" w:sz="4" w:space="0"/>
            </w:tcBorders>
            <w:noWrap/>
            <w:vAlign w:val="center"/>
          </w:tcPr>
          <w:p w14:paraId="23AD5D74">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CE6FF36">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片石</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54D98CD0">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花岗岩</w:t>
            </w:r>
            <w:r>
              <w:rPr>
                <w:rFonts w:ascii="宋体" w:hAnsi="宋体" w:eastAsia="宋体"/>
                <w:color w:val="auto"/>
                <w:sz w:val="24"/>
                <w:szCs w:val="24"/>
                <w:highlight w:val="none"/>
              </w:rPr>
              <w:t>300Mpa</w:t>
            </w:r>
            <w:r>
              <w:rPr>
                <w:rFonts w:hint="eastAsia" w:ascii="宋体" w:hAnsi="宋体" w:eastAsia="宋体"/>
                <w:color w:val="auto"/>
                <w:sz w:val="24"/>
                <w:szCs w:val="24"/>
                <w:highlight w:val="none"/>
              </w:rPr>
              <w:t>以上</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38FBEB5E">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1520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33814CE4">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0.658</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026F9535">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w:t>
            </w:r>
          </w:p>
        </w:tc>
        <w:tc>
          <w:tcPr>
            <w:tcW w:w="1209" w:type="dxa"/>
            <w:tcBorders>
              <w:top w:val="single" w:color="000000" w:sz="4" w:space="0"/>
              <w:left w:val="single" w:color="000000" w:sz="4" w:space="0"/>
              <w:bottom w:val="single" w:color="000000" w:sz="4" w:space="0"/>
              <w:right w:val="single" w:color="000000" w:sz="4" w:space="0"/>
            </w:tcBorders>
            <w:noWrap/>
            <w:vAlign w:val="center"/>
          </w:tcPr>
          <w:p w14:paraId="0DBBC595">
            <w:pPr>
              <w:spacing w:line="240" w:lineRule="auto"/>
              <w:jc w:val="both"/>
              <w:rPr>
                <w:rFonts w:hint="eastAsia" w:ascii="宋体" w:hAnsi="宋体" w:eastAsia="宋体"/>
                <w:color w:val="auto"/>
                <w:sz w:val="24"/>
                <w:szCs w:val="24"/>
                <w:highlight w:val="none"/>
              </w:rPr>
            </w:pPr>
          </w:p>
        </w:tc>
      </w:tr>
      <w:tr w14:paraId="00BC2FBD">
        <w:trPr>
          <w:trHeight w:val="283" w:hRule="atLeast"/>
        </w:trPr>
        <w:tc>
          <w:tcPr>
            <w:tcW w:w="704" w:type="dxa"/>
            <w:tcBorders>
              <w:top w:val="single" w:color="000000" w:sz="4" w:space="0"/>
              <w:left w:val="single" w:color="000000" w:sz="4" w:space="0"/>
              <w:bottom w:val="single" w:color="000000" w:sz="4" w:space="0"/>
              <w:right w:val="single" w:color="000000" w:sz="4" w:space="0"/>
            </w:tcBorders>
            <w:noWrap/>
            <w:vAlign w:val="center"/>
          </w:tcPr>
          <w:p w14:paraId="10361EEC">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74D084C">
            <w:pPr>
              <w:spacing w:line="240" w:lineRule="auto"/>
              <w:jc w:val="both"/>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水泥</w:t>
            </w:r>
          </w:p>
        </w:tc>
        <w:tc>
          <w:tcPr>
            <w:tcW w:w="2621" w:type="dxa"/>
            <w:tcBorders>
              <w:top w:val="single" w:color="000000" w:sz="4" w:space="0"/>
              <w:left w:val="single" w:color="000000" w:sz="4" w:space="0"/>
              <w:bottom w:val="single" w:color="000000" w:sz="4" w:space="0"/>
              <w:right w:val="single" w:color="000000" w:sz="4" w:space="0"/>
            </w:tcBorders>
            <w:noWrap/>
            <w:vAlign w:val="center"/>
          </w:tcPr>
          <w:p w14:paraId="314406CE">
            <w:pPr>
              <w:spacing w:line="240" w:lineRule="auto"/>
              <w:jc w:val="both"/>
              <w:rPr>
                <w:rFonts w:hint="eastAsia" w:ascii="宋体" w:hAnsi="宋体" w:eastAsia="宋体"/>
                <w:color w:val="auto"/>
                <w:sz w:val="24"/>
                <w:szCs w:val="24"/>
                <w:highlight w:val="none"/>
              </w:rPr>
            </w:pPr>
            <w:r>
              <w:rPr>
                <w:rFonts w:ascii="宋体" w:hAnsi="宋体" w:eastAsia="宋体"/>
                <w:color w:val="auto"/>
                <w:sz w:val="24"/>
                <w:szCs w:val="24"/>
                <w:highlight w:val="none"/>
              </w:rPr>
              <w:t>42.5</w:t>
            </w:r>
            <w:r>
              <w:rPr>
                <w:rFonts w:hint="eastAsia" w:ascii="宋体" w:hAnsi="宋体" w:eastAsia="宋体"/>
                <w:color w:val="auto"/>
                <w:sz w:val="24"/>
                <w:szCs w:val="24"/>
                <w:highlight w:val="none"/>
              </w:rPr>
              <w:t>硅酸盐</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19C5D359">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3100</w:t>
            </w:r>
          </w:p>
        </w:tc>
        <w:tc>
          <w:tcPr>
            <w:tcW w:w="1276" w:type="dxa"/>
            <w:tcBorders>
              <w:top w:val="single" w:color="000000" w:sz="4" w:space="0"/>
              <w:left w:val="single" w:color="000000" w:sz="4" w:space="0"/>
              <w:bottom w:val="single" w:color="000000" w:sz="4" w:space="0"/>
              <w:right w:val="single" w:color="000000" w:sz="4" w:space="0"/>
            </w:tcBorders>
            <w:noWrap/>
            <w:vAlign w:val="center"/>
          </w:tcPr>
          <w:p w14:paraId="5549ADE2">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0.323</w:t>
            </w:r>
          </w:p>
        </w:tc>
        <w:tc>
          <w:tcPr>
            <w:tcW w:w="1270" w:type="dxa"/>
            <w:tcBorders>
              <w:top w:val="single" w:color="000000" w:sz="4" w:space="0"/>
              <w:left w:val="single" w:color="000000" w:sz="4" w:space="0"/>
              <w:bottom w:val="single" w:color="000000" w:sz="4" w:space="0"/>
              <w:right w:val="single" w:color="000000" w:sz="4" w:space="0"/>
            </w:tcBorders>
            <w:noWrap/>
            <w:vAlign w:val="center"/>
          </w:tcPr>
          <w:p w14:paraId="06A0ABEB">
            <w:pPr>
              <w:spacing w:line="240" w:lineRule="auto"/>
              <w:jc w:val="center"/>
              <w:rPr>
                <w:rFonts w:hint="eastAsia" w:ascii="宋体" w:hAnsi="宋体" w:eastAsia="宋体"/>
                <w:color w:val="auto"/>
                <w:sz w:val="24"/>
                <w:szCs w:val="24"/>
                <w:highlight w:val="none"/>
              </w:rPr>
            </w:pPr>
            <w:r>
              <w:rPr>
                <w:rFonts w:ascii="宋体" w:hAnsi="宋体" w:eastAsia="宋体"/>
                <w:color w:val="auto"/>
                <w:sz w:val="24"/>
                <w:szCs w:val="24"/>
                <w:highlight w:val="none"/>
              </w:rPr>
              <w:t>--</w:t>
            </w:r>
          </w:p>
        </w:tc>
        <w:tc>
          <w:tcPr>
            <w:tcW w:w="1209" w:type="dxa"/>
            <w:tcBorders>
              <w:top w:val="single" w:color="000000" w:sz="4" w:space="0"/>
              <w:left w:val="single" w:color="000000" w:sz="4" w:space="0"/>
              <w:bottom w:val="single" w:color="000000" w:sz="4" w:space="0"/>
              <w:right w:val="single" w:color="000000" w:sz="4" w:space="0"/>
            </w:tcBorders>
            <w:noWrap/>
            <w:vAlign w:val="center"/>
          </w:tcPr>
          <w:p w14:paraId="5CF010AA">
            <w:pPr>
              <w:spacing w:line="240" w:lineRule="auto"/>
              <w:jc w:val="both"/>
              <w:rPr>
                <w:rFonts w:hint="eastAsia" w:ascii="宋体" w:hAnsi="宋体" w:eastAsia="宋体"/>
                <w:color w:val="auto"/>
                <w:sz w:val="24"/>
                <w:szCs w:val="24"/>
                <w:highlight w:val="none"/>
              </w:rPr>
            </w:pPr>
          </w:p>
        </w:tc>
      </w:tr>
    </w:tbl>
    <w:p w14:paraId="4E80214D">
      <w:pPr>
        <w:spacing w:line="360" w:lineRule="auto"/>
        <w:ind w:firstLine="424" w:firstLineChars="177"/>
        <w:rPr>
          <w:rFonts w:hint="eastAsia" w:ascii="宋体" w:hAnsi="宋体" w:eastAsia="宋体"/>
          <w:color w:val="auto"/>
          <w:sz w:val="24"/>
          <w:szCs w:val="24"/>
          <w:highlight w:val="none"/>
        </w:rPr>
      </w:pPr>
    </w:p>
    <w:p w14:paraId="248A774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7. 基坑支护及桩基础施工投入要求</w:t>
      </w:r>
    </w:p>
    <w:p w14:paraId="6F0F41E6">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保证尽一切力量确保投标承诺的质量及工期目标，在以后基坑支护及桩基础施工过程中，本工程会存在比正常项目更多困难或事件（如溶洞、土洞等）阻碍工期的情况出现，严格按照招标文件的内容执行。</w:t>
      </w:r>
      <w:r>
        <w:rPr>
          <w:rFonts w:ascii="宋体" w:hAnsi="宋体" w:eastAsia="宋体"/>
          <w:color w:val="auto"/>
          <w:sz w:val="24"/>
          <w:szCs w:val="24"/>
          <w:highlight w:val="none"/>
        </w:rPr>
        <w:t xml:space="preserve"> </w:t>
      </w:r>
    </w:p>
    <w:p w14:paraId="37600399">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7.1 进场时，如因临时施工用电不足，要投入发电机等措施正常施工，不能因此理由拒绝或推迟开工和延长工期，所投入的发电机功率应满足施工的需求，且投标报价中已综合考虑到采取自行发电等措施所增加的费用。</w:t>
      </w:r>
    </w:p>
    <w:p w14:paraId="7976E5E9">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如因临水、临电、临建搭设等造成工期延误，在收到书面通知后，</w:t>
      </w:r>
      <w:r>
        <w:rPr>
          <w:rFonts w:ascii="宋体" w:hAnsi="宋体" w:eastAsia="宋体"/>
          <w:color w:val="auto"/>
          <w:sz w:val="24"/>
          <w:szCs w:val="24"/>
          <w:highlight w:val="none"/>
        </w:rPr>
        <w:t>7</w:t>
      </w:r>
      <w:r>
        <w:rPr>
          <w:rFonts w:hint="eastAsia" w:ascii="宋体" w:hAnsi="宋体" w:eastAsia="宋体"/>
          <w:color w:val="auto"/>
          <w:sz w:val="24"/>
          <w:szCs w:val="24"/>
          <w:highlight w:val="none"/>
        </w:rPr>
        <w:t>天内整改并征得发包人批复同意。</w:t>
      </w:r>
    </w:p>
    <w:p w14:paraId="615F19F9">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7.2 确保施工进场，在施工条件允许情况下</w:t>
      </w:r>
      <w:r>
        <w:rPr>
          <w:rFonts w:ascii="宋体" w:hAnsi="宋体" w:eastAsia="宋体"/>
          <w:color w:val="auto"/>
          <w:sz w:val="24"/>
          <w:szCs w:val="24"/>
          <w:highlight w:val="none"/>
        </w:rPr>
        <w:t>2</w:t>
      </w:r>
      <w:r>
        <w:rPr>
          <w:rFonts w:hint="eastAsia" w:ascii="宋体" w:hAnsi="宋体" w:eastAsia="宋体"/>
          <w:color w:val="auto"/>
          <w:sz w:val="24"/>
          <w:szCs w:val="24"/>
          <w:highlight w:val="none"/>
        </w:rPr>
        <w:t>周内一次性投入钢护筒</w:t>
      </w:r>
      <w:r>
        <w:rPr>
          <w:rFonts w:ascii="宋体" w:hAnsi="宋体" w:eastAsia="宋体"/>
          <w:color w:val="auto"/>
          <w:sz w:val="24"/>
          <w:szCs w:val="24"/>
          <w:highlight w:val="none"/>
        </w:rPr>
        <w:t>100</w:t>
      </w:r>
      <w:r>
        <w:rPr>
          <w:rFonts w:hint="eastAsia" w:ascii="宋体" w:hAnsi="宋体" w:eastAsia="宋体"/>
          <w:color w:val="auto"/>
          <w:sz w:val="24"/>
          <w:szCs w:val="24"/>
          <w:highlight w:val="none"/>
        </w:rPr>
        <w:t>吨，并满足桩基础施工的工程需要，不得因钢护筒周转不足影响工程进度，未一次性投入足够的钢护筒造成的工期延误，在收到书面通知后，不挑剔、不争辩，也不要求出具证明，</w:t>
      </w:r>
      <w:r>
        <w:rPr>
          <w:rFonts w:ascii="宋体" w:hAnsi="宋体" w:eastAsia="宋体"/>
          <w:color w:val="auto"/>
          <w:sz w:val="24"/>
          <w:szCs w:val="24"/>
          <w:highlight w:val="none"/>
        </w:rPr>
        <w:t>7</w:t>
      </w:r>
      <w:r>
        <w:rPr>
          <w:rFonts w:hint="eastAsia" w:ascii="宋体" w:hAnsi="宋体" w:eastAsia="宋体"/>
          <w:color w:val="auto"/>
          <w:sz w:val="24"/>
          <w:szCs w:val="24"/>
          <w:highlight w:val="none"/>
        </w:rPr>
        <w:t>天内整改并征得发包人批复同意。</w:t>
      </w:r>
    </w:p>
    <w:p w14:paraId="187448E4">
      <w:pPr>
        <w:spacing w:line="360" w:lineRule="auto"/>
        <w:ind w:firstLine="424" w:firstLineChars="177"/>
        <w:rPr>
          <w:rFonts w:hint="eastAsia"/>
          <w:color w:val="auto"/>
          <w:highlight w:val="none"/>
        </w:rPr>
      </w:pPr>
      <w:r>
        <w:rPr>
          <w:rFonts w:hint="eastAsia" w:ascii="宋体" w:hAnsi="宋体" w:eastAsia="宋体"/>
          <w:color w:val="auto"/>
          <w:sz w:val="24"/>
          <w:szCs w:val="24"/>
          <w:highlight w:val="none"/>
        </w:rPr>
        <w:t>7.3按施工设备配置表要求配置满足现场施工进度要求的施工机械，机械设备及配套施工人员开工前7天内到位，现场配备杂工人数不少于100人，配合桩基础施工的杂工人数不少于20人。如未能完成承诺，5天内整改并征得发包人批复同意。</w:t>
      </w:r>
    </w:p>
    <w:p w14:paraId="401D07BA">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8 土石方运输要求</w:t>
      </w:r>
    </w:p>
    <w:p w14:paraId="34BE4D8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严格按照本工程土石方运输施工要求，土石方运输包括且不限于：办理余泥排放证全部费用、余泥外运、弃土（含消纳费用）、购土填方（含购土费用）、泥浆外运、石方外运等。保证尽一切力量确保投标承诺的施工目标：</w:t>
      </w:r>
    </w:p>
    <w:p w14:paraId="03B1F20B">
      <w:pPr>
        <w:spacing w:line="360" w:lineRule="auto"/>
        <w:ind w:firstLine="424" w:firstLineChars="177"/>
        <w:rPr>
          <w:rFonts w:hint="eastAsia" w:ascii="宋体" w:hAnsi="宋体" w:eastAsia="宋体"/>
          <w:color w:val="auto"/>
          <w:sz w:val="24"/>
          <w:szCs w:val="24"/>
          <w:highlight w:val="none"/>
        </w:rPr>
      </w:pPr>
      <w:r>
        <w:rPr>
          <w:rFonts w:ascii="宋体" w:hAnsi="宋体" w:eastAsia="宋体"/>
          <w:color w:val="auto"/>
          <w:sz w:val="24"/>
          <w:szCs w:val="24"/>
          <w:highlight w:val="none"/>
        </w:rPr>
        <w:t xml:space="preserve"> </w:t>
      </w:r>
      <w:r>
        <w:rPr>
          <w:rFonts w:hint="eastAsia" w:ascii="宋体" w:hAnsi="宋体" w:eastAsia="宋体"/>
          <w:color w:val="auto"/>
          <w:sz w:val="24"/>
          <w:szCs w:val="24"/>
          <w:highlight w:val="none"/>
        </w:rPr>
        <w:t>8.1、场内土石方运输：承包人</w:t>
      </w:r>
      <w:r>
        <w:rPr>
          <w:rFonts w:ascii="宋体" w:hAnsi="宋体" w:eastAsia="宋体"/>
          <w:color w:val="auto"/>
          <w:sz w:val="24"/>
          <w:szCs w:val="24"/>
          <w:highlight w:val="none"/>
        </w:rPr>
        <w:t>在投标报价中</w:t>
      </w:r>
      <w:r>
        <w:rPr>
          <w:rFonts w:hint="eastAsia" w:ascii="宋体" w:hAnsi="宋体" w:eastAsia="宋体"/>
          <w:color w:val="auto"/>
          <w:sz w:val="24"/>
          <w:szCs w:val="24"/>
          <w:highlight w:val="none"/>
        </w:rPr>
        <w:t>已综合考虑到土石方场内运输距离、转运次数等因素可能造成项目实际情况变动，无论工程实际情况如何变化，本工程土石方场内运输（包括但不限于挖、装、运、卸、堆平土石方、分层填埋及不可预见费等一切费用及风险，已在投标清单综合单价中综合考虑），按中标价格综合包干。（结算时综合单价不另作调整，发包人原因除外。）</w:t>
      </w:r>
    </w:p>
    <w:p w14:paraId="5C9F3EFA">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8.2场外土石方弃置运输</w:t>
      </w:r>
    </w:p>
    <w:p w14:paraId="643FD263">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（1）本项目的土石方弃置选择合法消纳场，土石方的支付（含消纳费）以财政部门认可的合法有效的凭证为依据，按清单相应的综合单价执行。</w:t>
      </w:r>
    </w:p>
    <w:p w14:paraId="7F770A6F">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w:t>
      </w:r>
      <w:r>
        <w:rPr>
          <w:rFonts w:ascii="宋体" w:hAnsi="宋体" w:eastAsia="宋体"/>
          <w:color w:val="auto"/>
          <w:sz w:val="24"/>
          <w:szCs w:val="24"/>
          <w:highlight w:val="none"/>
        </w:rPr>
        <w:t>应严格按照经监理单位及发包人审批的土方转</w:t>
      </w:r>
      <w:r>
        <w:rPr>
          <w:rFonts w:hint="eastAsia" w:ascii="宋体" w:hAnsi="宋体" w:eastAsia="宋体"/>
          <w:color w:val="auto"/>
          <w:sz w:val="24"/>
          <w:szCs w:val="24"/>
          <w:highlight w:val="none"/>
        </w:rPr>
        <w:t>堆方案处置土方堆放及外运，发包人对本工程范围内多余土方拥有优先处置权，本工程与其它工程间的土方的调配要服从发包人安排。</w:t>
      </w:r>
    </w:p>
    <w:p w14:paraId="14D848C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8.3 场外土方外购运输</w:t>
      </w:r>
    </w:p>
    <w:p w14:paraId="486D9958">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本项目的土方外购选择合法消纳场，土方的支付（含取土费）以财政部门认可的合法有效的凭证为依据，按清单相应的综合单价执行，最终以有权审核结算部门审定为准。</w:t>
      </w:r>
    </w:p>
    <w:p w14:paraId="2FA099A4">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8.4 </w:t>
      </w:r>
      <w:r>
        <w:rPr>
          <w:rFonts w:ascii="宋体" w:hAnsi="宋体" w:eastAsia="宋体"/>
          <w:color w:val="auto"/>
          <w:sz w:val="24"/>
          <w:szCs w:val="24"/>
          <w:highlight w:val="none"/>
        </w:rPr>
        <w:t>现场土石方服从且严格按照发包人的土方转</w:t>
      </w:r>
      <w:r>
        <w:rPr>
          <w:rFonts w:hint="eastAsia" w:ascii="宋体" w:hAnsi="宋体" w:eastAsia="宋体"/>
          <w:color w:val="auto"/>
          <w:sz w:val="24"/>
          <w:szCs w:val="24"/>
          <w:highlight w:val="none"/>
        </w:rPr>
        <w:t>堆方案处置土方堆放及外运，发包人对本工程范围内多余土石方拥有优先处置权，本工程与其它工程间的土方的调配要服从发包人安排。若因发包人调配原因造成土石方外运的，按如下原则调整综合单价。</w:t>
      </w:r>
    </w:p>
    <w:p w14:paraId="3F32E5C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调整办法如下：</w:t>
      </w:r>
    </w:p>
    <w:p w14:paraId="1EA685F3">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（1）因发包人调配原因，按相应的中标综合单价按实结算，最终结算价以广州市财政投资评审中心审定为准。</w:t>
      </w:r>
    </w:p>
    <w:p w14:paraId="756D6FA6">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（2）发包人对本工程范围内多余土方拥有优先处置权，本工程与其他工程间的土方调配要服从发包人安排。</w:t>
      </w:r>
    </w:p>
    <w:p w14:paraId="0261323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9. 第三方检测、监测配合要求</w:t>
      </w:r>
    </w:p>
    <w:p w14:paraId="65D0F63F">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9.1 提供有关该工程检测、监测所需的相关工程技术资料；</w:t>
      </w:r>
    </w:p>
    <w:p w14:paraId="1C83AF8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9.2 现场保障足够的安全措施，符合安全施工要求，保障检测、监测人员及设备的安全；</w:t>
      </w:r>
    </w:p>
    <w:p w14:paraId="02F2647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9.3 协助检测、监测单位的设备进退场，包括但不限于提供场内小型机械设备吊运，安排专人协助检测、监测单位主要检测、监测设备场内搬运等，安排必须的人员配合检测、监测单位工作；</w:t>
      </w:r>
    </w:p>
    <w:p w14:paraId="28057543">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9.4 负责协调相关方的关系，及时解决现场检测、监测作业时与相关方产生的矛盾。对由于未能协调好相关方关系而影响检测、监测工作的顺利进行，造成相应的经济损失承担责任；</w:t>
      </w:r>
    </w:p>
    <w:p w14:paraId="7470561E">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9.5 现场配合工作：</w:t>
      </w:r>
    </w:p>
    <w:p w14:paraId="14A4B86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收到进场检测通知后，根据检测、监测单位要求做好配合工作，包括且不限于：</w:t>
      </w:r>
    </w:p>
    <w:p w14:paraId="0E424845">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提供场地、水、电，修筑满足检测、监测要求的临时施工便道、检测用反力板、桩帽，做好挖土方、换填、检测用梯子、门式架、排水等工作；</w:t>
      </w:r>
    </w:p>
    <w:p w14:paraId="1FDB292E">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9.6 检测过程中可能造成桩头钢筋、砖胎模、垫层、承台钢筋等损坏，我司负责修复，所产生的费用我司已在投标报价中综合考虑。</w:t>
      </w:r>
    </w:p>
    <w:p w14:paraId="35C78056">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10. 冲孔灌注桩处理要求</w:t>
      </w:r>
    </w:p>
    <w:p w14:paraId="419326AE">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10.1 在接到通知</w:t>
      </w:r>
      <w:r>
        <w:rPr>
          <w:rFonts w:ascii="宋体" w:hAnsi="宋体" w:eastAsia="宋体"/>
          <w:color w:val="auto"/>
          <w:sz w:val="24"/>
          <w:szCs w:val="24"/>
          <w:highlight w:val="none"/>
        </w:rPr>
        <w:t>2</w:t>
      </w:r>
      <w:r>
        <w:rPr>
          <w:rFonts w:hint="eastAsia" w:ascii="宋体" w:hAnsi="宋体" w:eastAsia="宋体"/>
          <w:color w:val="auto"/>
          <w:sz w:val="24"/>
          <w:szCs w:val="24"/>
          <w:highlight w:val="none"/>
        </w:rPr>
        <w:t>天内投入设备，</w:t>
      </w:r>
      <w:r>
        <w:rPr>
          <w:rFonts w:ascii="宋体" w:hAnsi="宋体" w:eastAsia="宋体"/>
          <w:color w:val="auto"/>
          <w:sz w:val="24"/>
          <w:szCs w:val="24"/>
          <w:highlight w:val="none"/>
        </w:rPr>
        <w:t>4</w:t>
      </w:r>
      <w:r>
        <w:rPr>
          <w:rFonts w:hint="eastAsia" w:ascii="宋体" w:hAnsi="宋体" w:eastAsia="宋体"/>
          <w:color w:val="auto"/>
          <w:sz w:val="24"/>
          <w:szCs w:val="24"/>
          <w:highlight w:val="none"/>
        </w:rPr>
        <w:t>天内完成补强处理工作；</w:t>
      </w:r>
    </w:p>
    <w:p w14:paraId="453FA6F8">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10.2 无论何种原因造成补强处理，所产生的费用已在投标总价中综合考虑，不要求发包人现场签证、增加工程量。</w:t>
      </w:r>
    </w:p>
    <w:p w14:paraId="35F5560E">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11. 防水工程质量问题处理要求</w:t>
      </w:r>
    </w:p>
    <w:p w14:paraId="1FF32863">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若在质保期内出现渗水、漏水等影响正常办公、生活的情况，在收到通知后</w:t>
      </w:r>
      <w:r>
        <w:rPr>
          <w:rFonts w:ascii="宋体" w:hAnsi="宋体" w:eastAsia="宋体"/>
          <w:color w:val="auto"/>
          <w:sz w:val="24"/>
          <w:szCs w:val="24"/>
          <w:highlight w:val="none"/>
        </w:rPr>
        <w:t>24</w:t>
      </w:r>
      <w:r>
        <w:rPr>
          <w:rFonts w:hint="eastAsia" w:ascii="宋体" w:hAnsi="宋体" w:eastAsia="宋体"/>
          <w:color w:val="auto"/>
          <w:sz w:val="24"/>
          <w:szCs w:val="24"/>
          <w:highlight w:val="none"/>
        </w:rPr>
        <w:t>小时内必须赶到现场并及时进行维修，并赔偿由此引起的所有损失；未在约定期限内派人维修，发包人有权指定其他人员维修，费用按实际发生费用的</w:t>
      </w:r>
      <w:r>
        <w:rPr>
          <w:rFonts w:ascii="宋体" w:hAnsi="宋体" w:eastAsia="宋体"/>
          <w:color w:val="auto"/>
          <w:sz w:val="24"/>
          <w:szCs w:val="24"/>
          <w:highlight w:val="none"/>
        </w:rPr>
        <w:t>1.5</w:t>
      </w:r>
      <w:r>
        <w:rPr>
          <w:rFonts w:hint="eastAsia" w:ascii="宋体" w:hAnsi="宋体" w:eastAsia="宋体"/>
          <w:color w:val="auto"/>
          <w:sz w:val="24"/>
          <w:szCs w:val="24"/>
          <w:highlight w:val="none"/>
        </w:rPr>
        <w:t>倍从我司质保金中扣除，并赔偿由此引起的所有损失。若有出现维修项目，本工程防水项目质保期延长</w:t>
      </w:r>
      <w:r>
        <w:rPr>
          <w:rFonts w:ascii="宋体" w:hAnsi="宋体" w:eastAsia="宋体"/>
          <w:color w:val="auto"/>
          <w:sz w:val="24"/>
          <w:szCs w:val="24"/>
          <w:highlight w:val="none"/>
        </w:rPr>
        <w:t>6</w:t>
      </w:r>
      <w:r>
        <w:rPr>
          <w:rFonts w:hint="eastAsia" w:ascii="宋体" w:hAnsi="宋体" w:eastAsia="宋体"/>
          <w:color w:val="auto"/>
          <w:sz w:val="24"/>
          <w:szCs w:val="24"/>
          <w:highlight w:val="none"/>
        </w:rPr>
        <w:t>个月。</w:t>
      </w:r>
    </w:p>
    <w:p w14:paraId="4E611483">
      <w:pPr>
        <w:spacing w:line="360" w:lineRule="auto"/>
        <w:ind w:firstLine="424" w:firstLineChars="177"/>
        <w:rPr>
          <w:rFonts w:hint="eastAsia" w:ascii="宋体" w:hAnsi="宋体" w:eastAsia="宋体"/>
          <w:color w:val="auto"/>
          <w:sz w:val="24"/>
          <w:szCs w:val="24"/>
          <w:highlight w:val="none"/>
        </w:rPr>
      </w:pPr>
      <w:r>
        <w:rPr>
          <w:rFonts w:ascii="宋体" w:hAnsi="宋体" w:eastAsia="宋体"/>
          <w:color w:val="auto"/>
          <w:sz w:val="24"/>
          <w:szCs w:val="24"/>
          <w:highlight w:val="none"/>
        </w:rPr>
        <w:t>1</w:t>
      </w:r>
      <w:r>
        <w:rPr>
          <w:rFonts w:hint="eastAsia" w:ascii="宋体" w:hAnsi="宋体" w:eastAsia="宋体"/>
          <w:color w:val="auto"/>
          <w:sz w:val="24"/>
          <w:szCs w:val="24"/>
          <w:highlight w:val="none"/>
        </w:rPr>
        <w:t>2. 成品保护及卫生保洁要求</w:t>
      </w:r>
    </w:p>
    <w:p w14:paraId="7D5CC86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在工程整体交付使用前，负责成品保护及项目红线范围内卫生保洁工作、精开荒（不限次数）。</w:t>
      </w:r>
    </w:p>
    <w:p w14:paraId="6B81A11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13. 周边管线及地下管线保护要求</w:t>
      </w:r>
    </w:p>
    <w:p w14:paraId="670EB345">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对周边管线及地下管线采取有效的保护措施，若造成周边管线及地下管线等损坏的，由承包人负责修复，并承担所造成的所有损失。权属单位提出的施工配合费等一切费用均由承包人承担。</w:t>
      </w:r>
    </w:p>
    <w:p w14:paraId="3A0040E6">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14. 施工班组投入要求</w:t>
      </w:r>
    </w:p>
    <w:p w14:paraId="36C6816F">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承包人保证按以下“施工班组人员投入表”投入使用。</w:t>
      </w:r>
    </w:p>
    <w:p w14:paraId="78605CE8">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表</w:t>
      </w:r>
      <w:r>
        <w:rPr>
          <w:rFonts w:ascii="宋体" w:hAnsi="宋体" w:eastAsia="宋体"/>
          <w:color w:val="auto"/>
          <w:sz w:val="24"/>
          <w:szCs w:val="24"/>
          <w:highlight w:val="none"/>
        </w:rPr>
        <w:t>1</w:t>
      </w:r>
      <w:r>
        <w:rPr>
          <w:rFonts w:hint="eastAsia" w:ascii="宋体" w:hAnsi="宋体" w:eastAsia="宋体"/>
          <w:color w:val="auto"/>
          <w:sz w:val="24"/>
          <w:szCs w:val="24"/>
          <w:highlight w:val="none"/>
        </w:rPr>
        <w:t>：主要施工班组人员投入要求表（满足阶段性进度需求）</w:t>
      </w:r>
    </w:p>
    <w:tbl>
      <w:tblPr>
        <w:tblStyle w:val="4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1"/>
        <w:gridCol w:w="2076"/>
        <w:gridCol w:w="1185"/>
        <w:gridCol w:w="1316"/>
        <w:gridCol w:w="1778"/>
        <w:gridCol w:w="1416"/>
      </w:tblGrid>
      <w:tr w14:paraId="5D653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6"/>
            <w:tcBorders>
              <w:top w:val="single" w:color="auto" w:sz="4" w:space="0"/>
              <w:left w:val="single" w:color="auto" w:sz="4" w:space="0"/>
              <w:bottom w:val="single" w:color="auto" w:sz="4" w:space="0"/>
              <w:right w:val="single" w:color="auto" w:sz="4" w:space="0"/>
            </w:tcBorders>
          </w:tcPr>
          <w:p w14:paraId="23D92B77">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基坑支护及桩基础阶段施工班组人员投入</w:t>
            </w:r>
          </w:p>
        </w:tc>
      </w:tr>
      <w:tr w14:paraId="279D2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103D7390">
            <w:pPr>
              <w:spacing w:line="240" w:lineRule="auto"/>
              <w:ind w:firstLine="21" w:firstLineChars="10"/>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序号</w:t>
            </w:r>
          </w:p>
        </w:tc>
        <w:tc>
          <w:tcPr>
            <w:tcW w:w="2076" w:type="dxa"/>
            <w:tcBorders>
              <w:top w:val="single" w:color="auto" w:sz="4" w:space="0"/>
              <w:left w:val="single" w:color="auto" w:sz="4" w:space="0"/>
              <w:bottom w:val="single" w:color="auto" w:sz="4" w:space="0"/>
              <w:right w:val="single" w:color="auto" w:sz="4" w:space="0"/>
            </w:tcBorders>
          </w:tcPr>
          <w:p w14:paraId="20871070">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工种</w:t>
            </w:r>
          </w:p>
        </w:tc>
        <w:tc>
          <w:tcPr>
            <w:tcW w:w="1185" w:type="dxa"/>
            <w:tcBorders>
              <w:top w:val="single" w:color="auto" w:sz="4" w:space="0"/>
              <w:left w:val="single" w:color="auto" w:sz="4" w:space="0"/>
              <w:bottom w:val="single" w:color="auto" w:sz="4" w:space="0"/>
              <w:right w:val="single" w:color="auto" w:sz="4" w:space="0"/>
            </w:tcBorders>
          </w:tcPr>
          <w:p w14:paraId="788E6A35">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班组数量</w:t>
            </w:r>
          </w:p>
        </w:tc>
        <w:tc>
          <w:tcPr>
            <w:tcW w:w="1316" w:type="dxa"/>
            <w:tcBorders>
              <w:top w:val="single" w:color="auto" w:sz="4" w:space="0"/>
              <w:left w:val="single" w:color="auto" w:sz="4" w:space="0"/>
              <w:bottom w:val="single" w:color="auto" w:sz="4" w:space="0"/>
              <w:right w:val="single" w:color="auto" w:sz="4" w:space="0"/>
            </w:tcBorders>
          </w:tcPr>
          <w:p w14:paraId="0A8D6513">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人数（人）</w:t>
            </w:r>
          </w:p>
        </w:tc>
        <w:tc>
          <w:tcPr>
            <w:tcW w:w="1778" w:type="dxa"/>
            <w:tcBorders>
              <w:top w:val="single" w:color="auto" w:sz="4" w:space="0"/>
              <w:left w:val="single" w:color="auto" w:sz="4" w:space="0"/>
              <w:bottom w:val="single" w:color="auto" w:sz="4" w:space="0"/>
              <w:right w:val="single" w:color="auto" w:sz="4" w:space="0"/>
            </w:tcBorders>
          </w:tcPr>
          <w:p w14:paraId="6D6B3A14">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进场日期</w:t>
            </w:r>
          </w:p>
        </w:tc>
        <w:tc>
          <w:tcPr>
            <w:tcW w:w="1416" w:type="dxa"/>
            <w:tcBorders>
              <w:top w:val="single" w:color="auto" w:sz="4" w:space="0"/>
              <w:left w:val="single" w:color="auto" w:sz="4" w:space="0"/>
              <w:bottom w:val="single" w:color="auto" w:sz="4" w:space="0"/>
              <w:right w:val="single" w:color="auto" w:sz="4" w:space="0"/>
            </w:tcBorders>
          </w:tcPr>
          <w:p w14:paraId="45A0099A">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备注</w:t>
            </w:r>
          </w:p>
        </w:tc>
      </w:tr>
      <w:tr w14:paraId="79301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53142D50">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w:t>
            </w:r>
          </w:p>
        </w:tc>
        <w:tc>
          <w:tcPr>
            <w:tcW w:w="2076" w:type="dxa"/>
            <w:tcBorders>
              <w:top w:val="single" w:color="auto" w:sz="4" w:space="0"/>
              <w:left w:val="single" w:color="auto" w:sz="4" w:space="0"/>
              <w:bottom w:val="single" w:color="auto" w:sz="4" w:space="0"/>
              <w:right w:val="single" w:color="auto" w:sz="4" w:space="0"/>
            </w:tcBorders>
          </w:tcPr>
          <w:p w14:paraId="481B416F">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冲孔机</w:t>
            </w:r>
          </w:p>
        </w:tc>
        <w:tc>
          <w:tcPr>
            <w:tcW w:w="1185" w:type="dxa"/>
            <w:tcBorders>
              <w:top w:val="single" w:color="auto" w:sz="4" w:space="0"/>
              <w:left w:val="single" w:color="auto" w:sz="4" w:space="0"/>
              <w:bottom w:val="single" w:color="auto" w:sz="4" w:space="0"/>
              <w:right w:val="single" w:color="auto" w:sz="4" w:space="0"/>
            </w:tcBorders>
          </w:tcPr>
          <w:p w14:paraId="58AA2454">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20</w:t>
            </w:r>
          </w:p>
        </w:tc>
        <w:tc>
          <w:tcPr>
            <w:tcW w:w="1316" w:type="dxa"/>
            <w:tcBorders>
              <w:top w:val="single" w:color="auto" w:sz="4" w:space="0"/>
              <w:left w:val="single" w:color="auto" w:sz="4" w:space="0"/>
              <w:bottom w:val="single" w:color="auto" w:sz="4" w:space="0"/>
              <w:right w:val="single" w:color="auto" w:sz="4" w:space="0"/>
            </w:tcBorders>
          </w:tcPr>
          <w:p w14:paraId="12407EAA">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80</w:t>
            </w:r>
          </w:p>
        </w:tc>
        <w:tc>
          <w:tcPr>
            <w:tcW w:w="1778" w:type="dxa"/>
            <w:tcBorders>
              <w:top w:val="single" w:color="auto" w:sz="4" w:space="0"/>
              <w:left w:val="single" w:color="auto" w:sz="4" w:space="0"/>
              <w:bottom w:val="single" w:color="auto" w:sz="4" w:space="0"/>
              <w:right w:val="single" w:color="auto" w:sz="4" w:space="0"/>
            </w:tcBorders>
          </w:tcPr>
          <w:p w14:paraId="4F47F28F">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163137A3">
            <w:pPr>
              <w:spacing w:line="240" w:lineRule="auto"/>
              <w:ind w:firstLine="371" w:firstLineChars="177"/>
              <w:rPr>
                <w:rFonts w:hint="eastAsia" w:ascii="宋体" w:hAnsi="宋体" w:eastAsia="宋体"/>
                <w:color w:val="auto"/>
                <w:sz w:val="21"/>
                <w:szCs w:val="21"/>
                <w:highlight w:val="none"/>
              </w:rPr>
            </w:pPr>
          </w:p>
        </w:tc>
      </w:tr>
      <w:tr w14:paraId="5EEBC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456109F2">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2</w:t>
            </w:r>
          </w:p>
        </w:tc>
        <w:tc>
          <w:tcPr>
            <w:tcW w:w="2076" w:type="dxa"/>
            <w:tcBorders>
              <w:top w:val="single" w:color="auto" w:sz="4" w:space="0"/>
              <w:left w:val="single" w:color="auto" w:sz="4" w:space="0"/>
              <w:bottom w:val="single" w:color="auto" w:sz="4" w:space="0"/>
              <w:right w:val="single" w:color="auto" w:sz="4" w:space="0"/>
            </w:tcBorders>
          </w:tcPr>
          <w:p w14:paraId="36C77470">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静压桩机</w:t>
            </w:r>
          </w:p>
        </w:tc>
        <w:tc>
          <w:tcPr>
            <w:tcW w:w="1185" w:type="dxa"/>
            <w:tcBorders>
              <w:top w:val="single" w:color="auto" w:sz="4" w:space="0"/>
              <w:left w:val="single" w:color="auto" w:sz="4" w:space="0"/>
              <w:bottom w:val="single" w:color="auto" w:sz="4" w:space="0"/>
              <w:right w:val="single" w:color="auto" w:sz="4" w:space="0"/>
            </w:tcBorders>
          </w:tcPr>
          <w:p w14:paraId="1CCAB944">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10</w:t>
            </w:r>
          </w:p>
        </w:tc>
        <w:tc>
          <w:tcPr>
            <w:tcW w:w="1316" w:type="dxa"/>
            <w:tcBorders>
              <w:top w:val="single" w:color="auto" w:sz="4" w:space="0"/>
              <w:left w:val="single" w:color="auto" w:sz="4" w:space="0"/>
              <w:bottom w:val="single" w:color="auto" w:sz="4" w:space="0"/>
              <w:right w:val="single" w:color="auto" w:sz="4" w:space="0"/>
            </w:tcBorders>
          </w:tcPr>
          <w:p w14:paraId="2832319B">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40</w:t>
            </w:r>
          </w:p>
        </w:tc>
        <w:tc>
          <w:tcPr>
            <w:tcW w:w="1778" w:type="dxa"/>
            <w:tcBorders>
              <w:top w:val="single" w:color="auto" w:sz="4" w:space="0"/>
              <w:left w:val="single" w:color="auto" w:sz="4" w:space="0"/>
              <w:bottom w:val="single" w:color="auto" w:sz="4" w:space="0"/>
              <w:right w:val="single" w:color="auto" w:sz="4" w:space="0"/>
            </w:tcBorders>
          </w:tcPr>
          <w:p w14:paraId="28A5E139">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7EBE2058">
            <w:pPr>
              <w:spacing w:line="240" w:lineRule="auto"/>
              <w:ind w:firstLine="371" w:firstLineChars="177"/>
              <w:rPr>
                <w:rFonts w:hint="eastAsia" w:ascii="宋体" w:hAnsi="宋体" w:eastAsia="宋体"/>
                <w:color w:val="auto"/>
                <w:sz w:val="21"/>
                <w:szCs w:val="21"/>
                <w:highlight w:val="none"/>
              </w:rPr>
            </w:pPr>
          </w:p>
        </w:tc>
      </w:tr>
      <w:tr w14:paraId="1DF32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16EEA1B3">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3</w:t>
            </w:r>
          </w:p>
        </w:tc>
        <w:tc>
          <w:tcPr>
            <w:tcW w:w="2076" w:type="dxa"/>
            <w:tcBorders>
              <w:top w:val="single" w:color="auto" w:sz="4" w:space="0"/>
              <w:left w:val="single" w:color="auto" w:sz="4" w:space="0"/>
              <w:bottom w:val="single" w:color="auto" w:sz="4" w:space="0"/>
              <w:right w:val="single" w:color="auto" w:sz="4" w:space="0"/>
            </w:tcBorders>
          </w:tcPr>
          <w:p w14:paraId="5BBDFFD5">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搅拌桩</w:t>
            </w:r>
          </w:p>
        </w:tc>
        <w:tc>
          <w:tcPr>
            <w:tcW w:w="1185" w:type="dxa"/>
            <w:tcBorders>
              <w:top w:val="single" w:color="auto" w:sz="4" w:space="0"/>
              <w:left w:val="single" w:color="auto" w:sz="4" w:space="0"/>
              <w:bottom w:val="single" w:color="auto" w:sz="4" w:space="0"/>
              <w:right w:val="single" w:color="auto" w:sz="4" w:space="0"/>
            </w:tcBorders>
          </w:tcPr>
          <w:p w14:paraId="230C63E0">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5</w:t>
            </w:r>
          </w:p>
        </w:tc>
        <w:tc>
          <w:tcPr>
            <w:tcW w:w="1316" w:type="dxa"/>
            <w:tcBorders>
              <w:top w:val="single" w:color="auto" w:sz="4" w:space="0"/>
              <w:left w:val="single" w:color="auto" w:sz="4" w:space="0"/>
              <w:bottom w:val="single" w:color="auto" w:sz="4" w:space="0"/>
              <w:right w:val="single" w:color="auto" w:sz="4" w:space="0"/>
            </w:tcBorders>
          </w:tcPr>
          <w:p w14:paraId="2D604585">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20</w:t>
            </w:r>
          </w:p>
        </w:tc>
        <w:tc>
          <w:tcPr>
            <w:tcW w:w="1778" w:type="dxa"/>
            <w:tcBorders>
              <w:top w:val="single" w:color="auto" w:sz="4" w:space="0"/>
              <w:left w:val="single" w:color="auto" w:sz="4" w:space="0"/>
              <w:bottom w:val="single" w:color="auto" w:sz="4" w:space="0"/>
              <w:right w:val="single" w:color="auto" w:sz="4" w:space="0"/>
            </w:tcBorders>
          </w:tcPr>
          <w:p w14:paraId="6157BB2F">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7DB4D8EE">
            <w:pPr>
              <w:spacing w:line="240" w:lineRule="auto"/>
              <w:ind w:firstLine="371" w:firstLineChars="177"/>
              <w:rPr>
                <w:rFonts w:hint="eastAsia" w:ascii="宋体" w:hAnsi="宋体" w:eastAsia="宋体"/>
                <w:color w:val="auto"/>
                <w:sz w:val="21"/>
                <w:szCs w:val="21"/>
                <w:highlight w:val="none"/>
              </w:rPr>
            </w:pPr>
          </w:p>
        </w:tc>
      </w:tr>
      <w:tr w14:paraId="6D533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1346685A">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4</w:t>
            </w:r>
          </w:p>
        </w:tc>
        <w:tc>
          <w:tcPr>
            <w:tcW w:w="2076" w:type="dxa"/>
            <w:tcBorders>
              <w:top w:val="single" w:color="auto" w:sz="4" w:space="0"/>
              <w:left w:val="single" w:color="auto" w:sz="4" w:space="0"/>
              <w:bottom w:val="single" w:color="auto" w:sz="4" w:space="0"/>
              <w:right w:val="single" w:color="auto" w:sz="4" w:space="0"/>
            </w:tcBorders>
          </w:tcPr>
          <w:p w14:paraId="0F1E0CA1">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三轴搅拌桩机</w:t>
            </w:r>
          </w:p>
        </w:tc>
        <w:tc>
          <w:tcPr>
            <w:tcW w:w="1185" w:type="dxa"/>
            <w:tcBorders>
              <w:top w:val="single" w:color="auto" w:sz="4" w:space="0"/>
              <w:left w:val="single" w:color="auto" w:sz="4" w:space="0"/>
              <w:bottom w:val="single" w:color="auto" w:sz="4" w:space="0"/>
              <w:right w:val="single" w:color="auto" w:sz="4" w:space="0"/>
            </w:tcBorders>
          </w:tcPr>
          <w:p w14:paraId="0ED73E5B">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5</w:t>
            </w:r>
          </w:p>
        </w:tc>
        <w:tc>
          <w:tcPr>
            <w:tcW w:w="1316" w:type="dxa"/>
            <w:tcBorders>
              <w:top w:val="single" w:color="auto" w:sz="4" w:space="0"/>
              <w:left w:val="single" w:color="auto" w:sz="4" w:space="0"/>
              <w:bottom w:val="single" w:color="auto" w:sz="4" w:space="0"/>
              <w:right w:val="single" w:color="auto" w:sz="4" w:space="0"/>
            </w:tcBorders>
          </w:tcPr>
          <w:p w14:paraId="727FCF92">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20</w:t>
            </w:r>
          </w:p>
        </w:tc>
        <w:tc>
          <w:tcPr>
            <w:tcW w:w="1778" w:type="dxa"/>
            <w:tcBorders>
              <w:top w:val="single" w:color="auto" w:sz="4" w:space="0"/>
              <w:left w:val="single" w:color="auto" w:sz="4" w:space="0"/>
              <w:bottom w:val="single" w:color="auto" w:sz="4" w:space="0"/>
              <w:right w:val="single" w:color="auto" w:sz="4" w:space="0"/>
            </w:tcBorders>
          </w:tcPr>
          <w:p w14:paraId="2C4AFBD1">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3CF7A48F">
            <w:pPr>
              <w:spacing w:line="240" w:lineRule="auto"/>
              <w:ind w:firstLine="371" w:firstLineChars="177"/>
              <w:rPr>
                <w:rFonts w:hint="eastAsia" w:ascii="宋体" w:hAnsi="宋体" w:eastAsia="宋体"/>
                <w:color w:val="auto"/>
                <w:sz w:val="21"/>
                <w:szCs w:val="21"/>
                <w:highlight w:val="none"/>
              </w:rPr>
            </w:pPr>
          </w:p>
        </w:tc>
      </w:tr>
      <w:tr w14:paraId="74D2C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2DA7589A">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5</w:t>
            </w:r>
          </w:p>
        </w:tc>
        <w:tc>
          <w:tcPr>
            <w:tcW w:w="2076" w:type="dxa"/>
            <w:tcBorders>
              <w:top w:val="single" w:color="auto" w:sz="4" w:space="0"/>
              <w:left w:val="single" w:color="auto" w:sz="4" w:space="0"/>
              <w:bottom w:val="single" w:color="auto" w:sz="4" w:space="0"/>
              <w:right w:val="single" w:color="auto" w:sz="4" w:space="0"/>
            </w:tcBorders>
          </w:tcPr>
          <w:p w14:paraId="07FED54E">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挖掘机司机</w:t>
            </w:r>
          </w:p>
        </w:tc>
        <w:tc>
          <w:tcPr>
            <w:tcW w:w="1185" w:type="dxa"/>
            <w:tcBorders>
              <w:top w:val="single" w:color="auto" w:sz="4" w:space="0"/>
              <w:left w:val="single" w:color="auto" w:sz="4" w:space="0"/>
              <w:bottom w:val="single" w:color="auto" w:sz="4" w:space="0"/>
              <w:right w:val="single" w:color="auto" w:sz="4" w:space="0"/>
            </w:tcBorders>
          </w:tcPr>
          <w:p w14:paraId="5649BE24">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30</w:t>
            </w:r>
          </w:p>
        </w:tc>
        <w:tc>
          <w:tcPr>
            <w:tcW w:w="1316" w:type="dxa"/>
            <w:tcBorders>
              <w:top w:val="single" w:color="auto" w:sz="4" w:space="0"/>
              <w:left w:val="single" w:color="auto" w:sz="4" w:space="0"/>
              <w:bottom w:val="single" w:color="auto" w:sz="4" w:space="0"/>
              <w:right w:val="single" w:color="auto" w:sz="4" w:space="0"/>
            </w:tcBorders>
          </w:tcPr>
          <w:p w14:paraId="66105CBE">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60</w:t>
            </w:r>
          </w:p>
        </w:tc>
        <w:tc>
          <w:tcPr>
            <w:tcW w:w="1778" w:type="dxa"/>
            <w:tcBorders>
              <w:top w:val="single" w:color="auto" w:sz="4" w:space="0"/>
              <w:left w:val="single" w:color="auto" w:sz="4" w:space="0"/>
              <w:bottom w:val="single" w:color="auto" w:sz="4" w:space="0"/>
              <w:right w:val="single" w:color="auto" w:sz="4" w:space="0"/>
            </w:tcBorders>
          </w:tcPr>
          <w:p w14:paraId="1CC2D3EB">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7948B19D">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包括</w:t>
            </w:r>
            <w:r>
              <w:rPr>
                <w:rFonts w:ascii="宋体" w:hAnsi="宋体" w:eastAsia="宋体"/>
                <w:color w:val="auto"/>
                <w:sz w:val="21"/>
                <w:szCs w:val="21"/>
                <w:highlight w:val="none"/>
              </w:rPr>
              <w:t>5台</w:t>
            </w:r>
            <w:r>
              <w:rPr>
                <w:rFonts w:hint="eastAsia" w:ascii="宋体" w:hAnsi="宋体" w:eastAsia="宋体"/>
                <w:color w:val="auto"/>
                <w:sz w:val="21"/>
                <w:szCs w:val="21"/>
                <w:highlight w:val="none"/>
              </w:rPr>
              <w:t>小挖机</w:t>
            </w:r>
          </w:p>
        </w:tc>
      </w:tr>
      <w:tr w14:paraId="039AF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5602A70B">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6</w:t>
            </w:r>
          </w:p>
        </w:tc>
        <w:tc>
          <w:tcPr>
            <w:tcW w:w="2076" w:type="dxa"/>
            <w:tcBorders>
              <w:top w:val="single" w:color="auto" w:sz="4" w:space="0"/>
              <w:left w:val="single" w:color="auto" w:sz="4" w:space="0"/>
              <w:bottom w:val="single" w:color="auto" w:sz="4" w:space="0"/>
              <w:right w:val="single" w:color="auto" w:sz="4" w:space="0"/>
            </w:tcBorders>
          </w:tcPr>
          <w:p w14:paraId="3ECF32A1">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普工</w:t>
            </w:r>
          </w:p>
        </w:tc>
        <w:tc>
          <w:tcPr>
            <w:tcW w:w="1185" w:type="dxa"/>
            <w:tcBorders>
              <w:top w:val="single" w:color="auto" w:sz="4" w:space="0"/>
              <w:left w:val="single" w:color="auto" w:sz="4" w:space="0"/>
              <w:bottom w:val="single" w:color="auto" w:sz="4" w:space="0"/>
              <w:right w:val="single" w:color="auto" w:sz="4" w:space="0"/>
            </w:tcBorders>
          </w:tcPr>
          <w:p w14:paraId="2DD617F7">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8</w:t>
            </w:r>
          </w:p>
        </w:tc>
        <w:tc>
          <w:tcPr>
            <w:tcW w:w="1316" w:type="dxa"/>
            <w:tcBorders>
              <w:top w:val="single" w:color="auto" w:sz="4" w:space="0"/>
              <w:left w:val="single" w:color="auto" w:sz="4" w:space="0"/>
              <w:bottom w:val="single" w:color="auto" w:sz="4" w:space="0"/>
              <w:right w:val="single" w:color="auto" w:sz="4" w:space="0"/>
            </w:tcBorders>
          </w:tcPr>
          <w:p w14:paraId="09623188">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96</w:t>
            </w:r>
          </w:p>
        </w:tc>
        <w:tc>
          <w:tcPr>
            <w:tcW w:w="1778" w:type="dxa"/>
            <w:tcBorders>
              <w:top w:val="single" w:color="auto" w:sz="4" w:space="0"/>
              <w:left w:val="single" w:color="auto" w:sz="4" w:space="0"/>
              <w:bottom w:val="single" w:color="auto" w:sz="4" w:space="0"/>
              <w:right w:val="single" w:color="auto" w:sz="4" w:space="0"/>
            </w:tcBorders>
          </w:tcPr>
          <w:p w14:paraId="1712D6DF">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48C9DFC9">
            <w:pPr>
              <w:spacing w:line="240" w:lineRule="auto"/>
              <w:ind w:firstLine="371" w:firstLineChars="177"/>
              <w:rPr>
                <w:rFonts w:hint="eastAsia" w:ascii="宋体" w:hAnsi="宋体" w:eastAsia="宋体"/>
                <w:color w:val="auto"/>
                <w:sz w:val="21"/>
                <w:szCs w:val="21"/>
                <w:highlight w:val="none"/>
              </w:rPr>
            </w:pPr>
          </w:p>
        </w:tc>
      </w:tr>
      <w:tr w14:paraId="5E013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51" w:type="dxa"/>
            <w:tcBorders>
              <w:top w:val="single" w:color="auto" w:sz="4" w:space="0"/>
              <w:left w:val="single" w:color="auto" w:sz="4" w:space="0"/>
              <w:bottom w:val="single" w:color="auto" w:sz="4" w:space="0"/>
              <w:right w:val="single" w:color="auto" w:sz="4" w:space="0"/>
            </w:tcBorders>
          </w:tcPr>
          <w:p w14:paraId="6A782735">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7</w:t>
            </w:r>
          </w:p>
        </w:tc>
        <w:tc>
          <w:tcPr>
            <w:tcW w:w="2076" w:type="dxa"/>
            <w:tcBorders>
              <w:top w:val="single" w:color="auto" w:sz="4" w:space="0"/>
              <w:left w:val="single" w:color="auto" w:sz="4" w:space="0"/>
              <w:bottom w:val="single" w:color="auto" w:sz="4" w:space="0"/>
              <w:right w:val="single" w:color="auto" w:sz="4" w:space="0"/>
            </w:tcBorders>
          </w:tcPr>
          <w:p w14:paraId="1E84FAF7">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电工</w:t>
            </w:r>
          </w:p>
        </w:tc>
        <w:tc>
          <w:tcPr>
            <w:tcW w:w="1185" w:type="dxa"/>
            <w:tcBorders>
              <w:top w:val="single" w:color="auto" w:sz="4" w:space="0"/>
              <w:left w:val="single" w:color="auto" w:sz="4" w:space="0"/>
              <w:bottom w:val="single" w:color="auto" w:sz="4" w:space="0"/>
              <w:right w:val="single" w:color="auto" w:sz="4" w:space="0"/>
            </w:tcBorders>
          </w:tcPr>
          <w:p w14:paraId="6E9C9FFB">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5</w:t>
            </w:r>
          </w:p>
        </w:tc>
        <w:tc>
          <w:tcPr>
            <w:tcW w:w="1316" w:type="dxa"/>
            <w:tcBorders>
              <w:top w:val="single" w:color="auto" w:sz="4" w:space="0"/>
              <w:left w:val="single" w:color="auto" w:sz="4" w:space="0"/>
              <w:bottom w:val="single" w:color="auto" w:sz="4" w:space="0"/>
              <w:right w:val="single" w:color="auto" w:sz="4" w:space="0"/>
            </w:tcBorders>
          </w:tcPr>
          <w:p w14:paraId="09B2609D">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25</w:t>
            </w:r>
          </w:p>
        </w:tc>
        <w:tc>
          <w:tcPr>
            <w:tcW w:w="1778" w:type="dxa"/>
            <w:tcBorders>
              <w:top w:val="single" w:color="auto" w:sz="4" w:space="0"/>
              <w:left w:val="single" w:color="auto" w:sz="4" w:space="0"/>
              <w:bottom w:val="single" w:color="auto" w:sz="4" w:space="0"/>
              <w:right w:val="single" w:color="auto" w:sz="4" w:space="0"/>
            </w:tcBorders>
          </w:tcPr>
          <w:p w14:paraId="1B312767">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47C14F04">
            <w:pPr>
              <w:spacing w:line="240" w:lineRule="auto"/>
              <w:ind w:firstLine="371" w:firstLineChars="177"/>
              <w:rPr>
                <w:rFonts w:hint="eastAsia" w:ascii="宋体" w:hAnsi="宋体" w:eastAsia="宋体"/>
                <w:color w:val="auto"/>
                <w:sz w:val="21"/>
                <w:szCs w:val="21"/>
                <w:highlight w:val="none"/>
              </w:rPr>
            </w:pPr>
          </w:p>
        </w:tc>
      </w:tr>
      <w:tr w14:paraId="6C054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7017FB08">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8</w:t>
            </w:r>
          </w:p>
        </w:tc>
        <w:tc>
          <w:tcPr>
            <w:tcW w:w="2076" w:type="dxa"/>
            <w:tcBorders>
              <w:top w:val="single" w:color="auto" w:sz="4" w:space="0"/>
              <w:left w:val="single" w:color="auto" w:sz="4" w:space="0"/>
              <w:bottom w:val="single" w:color="auto" w:sz="4" w:space="0"/>
              <w:right w:val="single" w:color="auto" w:sz="4" w:space="0"/>
            </w:tcBorders>
          </w:tcPr>
          <w:p w14:paraId="63065C1D">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焊工</w:t>
            </w:r>
          </w:p>
        </w:tc>
        <w:tc>
          <w:tcPr>
            <w:tcW w:w="1185" w:type="dxa"/>
            <w:tcBorders>
              <w:top w:val="single" w:color="auto" w:sz="4" w:space="0"/>
              <w:left w:val="single" w:color="auto" w:sz="4" w:space="0"/>
              <w:bottom w:val="single" w:color="auto" w:sz="4" w:space="0"/>
              <w:right w:val="single" w:color="auto" w:sz="4" w:space="0"/>
            </w:tcBorders>
          </w:tcPr>
          <w:p w14:paraId="0608A845">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10</w:t>
            </w:r>
          </w:p>
        </w:tc>
        <w:tc>
          <w:tcPr>
            <w:tcW w:w="1316" w:type="dxa"/>
            <w:tcBorders>
              <w:top w:val="single" w:color="auto" w:sz="4" w:space="0"/>
              <w:left w:val="single" w:color="auto" w:sz="4" w:space="0"/>
              <w:bottom w:val="single" w:color="auto" w:sz="4" w:space="0"/>
              <w:right w:val="single" w:color="auto" w:sz="4" w:space="0"/>
            </w:tcBorders>
          </w:tcPr>
          <w:p w14:paraId="152C097B">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50</w:t>
            </w:r>
          </w:p>
        </w:tc>
        <w:tc>
          <w:tcPr>
            <w:tcW w:w="1778" w:type="dxa"/>
            <w:tcBorders>
              <w:top w:val="single" w:color="auto" w:sz="4" w:space="0"/>
              <w:left w:val="single" w:color="auto" w:sz="4" w:space="0"/>
              <w:bottom w:val="single" w:color="auto" w:sz="4" w:space="0"/>
              <w:right w:val="single" w:color="auto" w:sz="4" w:space="0"/>
            </w:tcBorders>
          </w:tcPr>
          <w:p w14:paraId="55745FD1">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6C8CAE3D">
            <w:pPr>
              <w:spacing w:line="240" w:lineRule="auto"/>
              <w:ind w:firstLine="371" w:firstLineChars="177"/>
              <w:rPr>
                <w:rFonts w:hint="eastAsia" w:ascii="宋体" w:hAnsi="宋体" w:eastAsia="宋体"/>
                <w:color w:val="auto"/>
                <w:sz w:val="21"/>
                <w:szCs w:val="21"/>
                <w:highlight w:val="none"/>
              </w:rPr>
            </w:pPr>
          </w:p>
        </w:tc>
      </w:tr>
      <w:tr w14:paraId="3B7FC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219F939B">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9</w:t>
            </w:r>
          </w:p>
        </w:tc>
        <w:tc>
          <w:tcPr>
            <w:tcW w:w="2076" w:type="dxa"/>
            <w:tcBorders>
              <w:top w:val="single" w:color="auto" w:sz="4" w:space="0"/>
              <w:left w:val="single" w:color="auto" w:sz="4" w:space="0"/>
              <w:bottom w:val="single" w:color="auto" w:sz="4" w:space="0"/>
              <w:right w:val="single" w:color="auto" w:sz="4" w:space="0"/>
            </w:tcBorders>
          </w:tcPr>
          <w:p w14:paraId="01EE73F5">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喷锚</w:t>
            </w:r>
          </w:p>
        </w:tc>
        <w:tc>
          <w:tcPr>
            <w:tcW w:w="1185" w:type="dxa"/>
            <w:tcBorders>
              <w:top w:val="single" w:color="auto" w:sz="4" w:space="0"/>
              <w:left w:val="single" w:color="auto" w:sz="4" w:space="0"/>
              <w:bottom w:val="single" w:color="auto" w:sz="4" w:space="0"/>
              <w:right w:val="single" w:color="auto" w:sz="4" w:space="0"/>
            </w:tcBorders>
          </w:tcPr>
          <w:p w14:paraId="33E33EE5">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8</w:t>
            </w:r>
          </w:p>
        </w:tc>
        <w:tc>
          <w:tcPr>
            <w:tcW w:w="1316" w:type="dxa"/>
            <w:tcBorders>
              <w:top w:val="single" w:color="auto" w:sz="4" w:space="0"/>
              <w:left w:val="single" w:color="auto" w:sz="4" w:space="0"/>
              <w:bottom w:val="single" w:color="auto" w:sz="4" w:space="0"/>
              <w:right w:val="single" w:color="auto" w:sz="4" w:space="0"/>
            </w:tcBorders>
          </w:tcPr>
          <w:p w14:paraId="2FF09636">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32</w:t>
            </w:r>
          </w:p>
        </w:tc>
        <w:tc>
          <w:tcPr>
            <w:tcW w:w="1778" w:type="dxa"/>
            <w:tcBorders>
              <w:top w:val="single" w:color="auto" w:sz="4" w:space="0"/>
              <w:left w:val="single" w:color="auto" w:sz="4" w:space="0"/>
              <w:bottom w:val="single" w:color="auto" w:sz="4" w:space="0"/>
              <w:right w:val="single" w:color="auto" w:sz="4" w:space="0"/>
            </w:tcBorders>
          </w:tcPr>
          <w:p w14:paraId="3BBF56E1">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3674D798">
            <w:pPr>
              <w:spacing w:line="240" w:lineRule="auto"/>
              <w:ind w:firstLine="371" w:firstLineChars="177"/>
              <w:rPr>
                <w:rFonts w:hint="eastAsia" w:ascii="宋体" w:hAnsi="宋体" w:eastAsia="宋体"/>
                <w:color w:val="auto"/>
                <w:sz w:val="21"/>
                <w:szCs w:val="21"/>
                <w:highlight w:val="none"/>
              </w:rPr>
            </w:pPr>
          </w:p>
        </w:tc>
      </w:tr>
      <w:tr w14:paraId="70378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2FA60E61">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10</w:t>
            </w:r>
          </w:p>
        </w:tc>
        <w:tc>
          <w:tcPr>
            <w:tcW w:w="2076" w:type="dxa"/>
            <w:tcBorders>
              <w:top w:val="single" w:color="auto" w:sz="4" w:space="0"/>
              <w:left w:val="single" w:color="auto" w:sz="4" w:space="0"/>
              <w:bottom w:val="single" w:color="auto" w:sz="4" w:space="0"/>
              <w:right w:val="single" w:color="auto" w:sz="4" w:space="0"/>
            </w:tcBorders>
          </w:tcPr>
          <w:p w14:paraId="10826F31">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运土汽车司机</w:t>
            </w:r>
          </w:p>
        </w:tc>
        <w:tc>
          <w:tcPr>
            <w:tcW w:w="1185" w:type="dxa"/>
            <w:tcBorders>
              <w:top w:val="single" w:color="auto" w:sz="4" w:space="0"/>
              <w:left w:val="single" w:color="auto" w:sz="4" w:space="0"/>
              <w:bottom w:val="single" w:color="auto" w:sz="4" w:space="0"/>
              <w:right w:val="single" w:color="auto" w:sz="4" w:space="0"/>
            </w:tcBorders>
          </w:tcPr>
          <w:p w14:paraId="76F05701">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120</w:t>
            </w:r>
          </w:p>
        </w:tc>
        <w:tc>
          <w:tcPr>
            <w:tcW w:w="1316" w:type="dxa"/>
            <w:tcBorders>
              <w:top w:val="single" w:color="auto" w:sz="4" w:space="0"/>
              <w:left w:val="single" w:color="auto" w:sz="4" w:space="0"/>
              <w:bottom w:val="single" w:color="auto" w:sz="4" w:space="0"/>
              <w:right w:val="single" w:color="auto" w:sz="4" w:space="0"/>
            </w:tcBorders>
          </w:tcPr>
          <w:p w14:paraId="7D46C802">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240</w:t>
            </w:r>
          </w:p>
        </w:tc>
        <w:tc>
          <w:tcPr>
            <w:tcW w:w="1778" w:type="dxa"/>
            <w:tcBorders>
              <w:top w:val="single" w:color="auto" w:sz="4" w:space="0"/>
              <w:left w:val="single" w:color="auto" w:sz="4" w:space="0"/>
              <w:bottom w:val="single" w:color="auto" w:sz="4" w:space="0"/>
              <w:right w:val="single" w:color="auto" w:sz="4" w:space="0"/>
            </w:tcBorders>
          </w:tcPr>
          <w:p w14:paraId="1F73DE4E">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3B240744">
            <w:pPr>
              <w:spacing w:line="240" w:lineRule="auto"/>
              <w:ind w:firstLine="371" w:firstLineChars="177"/>
              <w:rPr>
                <w:rFonts w:hint="eastAsia" w:ascii="宋体" w:hAnsi="宋体" w:eastAsia="宋体"/>
                <w:color w:val="auto"/>
                <w:sz w:val="21"/>
                <w:szCs w:val="21"/>
                <w:highlight w:val="none"/>
              </w:rPr>
            </w:pPr>
          </w:p>
        </w:tc>
      </w:tr>
      <w:tr w14:paraId="0BD94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8522" w:type="dxa"/>
            <w:gridSpan w:val="6"/>
            <w:tcBorders>
              <w:top w:val="single" w:color="auto" w:sz="4" w:space="0"/>
              <w:left w:val="single" w:color="auto" w:sz="4" w:space="0"/>
              <w:bottom w:val="single" w:color="auto" w:sz="4" w:space="0"/>
              <w:right w:val="single" w:color="auto" w:sz="4" w:space="0"/>
            </w:tcBorders>
            <w:vAlign w:val="center"/>
          </w:tcPr>
          <w:p w14:paraId="1D34C0E8">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主体阶段施工班组人员投入</w:t>
            </w:r>
          </w:p>
        </w:tc>
      </w:tr>
      <w:tr w14:paraId="6D799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295946D6">
            <w:pPr>
              <w:spacing w:line="240" w:lineRule="auto"/>
              <w:ind w:firstLine="21" w:firstLineChars="10"/>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序号</w:t>
            </w:r>
          </w:p>
        </w:tc>
        <w:tc>
          <w:tcPr>
            <w:tcW w:w="2076" w:type="dxa"/>
            <w:tcBorders>
              <w:top w:val="single" w:color="auto" w:sz="4" w:space="0"/>
              <w:left w:val="single" w:color="auto" w:sz="4" w:space="0"/>
              <w:bottom w:val="single" w:color="auto" w:sz="4" w:space="0"/>
              <w:right w:val="single" w:color="auto" w:sz="4" w:space="0"/>
            </w:tcBorders>
          </w:tcPr>
          <w:p w14:paraId="60FF51A3">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工种</w:t>
            </w:r>
          </w:p>
        </w:tc>
        <w:tc>
          <w:tcPr>
            <w:tcW w:w="1185" w:type="dxa"/>
            <w:tcBorders>
              <w:top w:val="single" w:color="auto" w:sz="4" w:space="0"/>
              <w:left w:val="single" w:color="auto" w:sz="4" w:space="0"/>
              <w:bottom w:val="single" w:color="auto" w:sz="4" w:space="0"/>
              <w:right w:val="single" w:color="auto" w:sz="4" w:space="0"/>
            </w:tcBorders>
          </w:tcPr>
          <w:p w14:paraId="3DEBC882">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班组数量</w:t>
            </w:r>
          </w:p>
        </w:tc>
        <w:tc>
          <w:tcPr>
            <w:tcW w:w="1316" w:type="dxa"/>
            <w:tcBorders>
              <w:top w:val="single" w:color="auto" w:sz="4" w:space="0"/>
              <w:left w:val="single" w:color="auto" w:sz="4" w:space="0"/>
              <w:bottom w:val="single" w:color="auto" w:sz="4" w:space="0"/>
              <w:right w:val="single" w:color="auto" w:sz="4" w:space="0"/>
            </w:tcBorders>
          </w:tcPr>
          <w:p w14:paraId="19780B74">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人数（人）</w:t>
            </w:r>
          </w:p>
        </w:tc>
        <w:tc>
          <w:tcPr>
            <w:tcW w:w="1778" w:type="dxa"/>
            <w:tcBorders>
              <w:top w:val="single" w:color="auto" w:sz="4" w:space="0"/>
              <w:left w:val="single" w:color="auto" w:sz="4" w:space="0"/>
              <w:bottom w:val="single" w:color="auto" w:sz="4" w:space="0"/>
              <w:right w:val="single" w:color="auto" w:sz="4" w:space="0"/>
            </w:tcBorders>
          </w:tcPr>
          <w:p w14:paraId="2D5C2E05">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进场日期</w:t>
            </w:r>
          </w:p>
        </w:tc>
        <w:tc>
          <w:tcPr>
            <w:tcW w:w="1416" w:type="dxa"/>
            <w:tcBorders>
              <w:top w:val="single" w:color="auto" w:sz="4" w:space="0"/>
              <w:left w:val="single" w:color="auto" w:sz="4" w:space="0"/>
              <w:bottom w:val="single" w:color="auto" w:sz="4" w:space="0"/>
              <w:right w:val="single" w:color="auto" w:sz="4" w:space="0"/>
            </w:tcBorders>
          </w:tcPr>
          <w:p w14:paraId="445E373B">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备注</w:t>
            </w:r>
          </w:p>
        </w:tc>
      </w:tr>
      <w:tr w14:paraId="2F42C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6D5D476C">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w:t>
            </w:r>
          </w:p>
        </w:tc>
        <w:tc>
          <w:tcPr>
            <w:tcW w:w="2076" w:type="dxa"/>
            <w:tcBorders>
              <w:top w:val="single" w:color="auto" w:sz="4" w:space="0"/>
              <w:left w:val="single" w:color="auto" w:sz="4" w:space="0"/>
              <w:bottom w:val="single" w:color="auto" w:sz="4" w:space="0"/>
              <w:right w:val="single" w:color="auto" w:sz="4" w:space="0"/>
            </w:tcBorders>
          </w:tcPr>
          <w:p w14:paraId="2E89E7DB">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普工</w:t>
            </w:r>
          </w:p>
        </w:tc>
        <w:tc>
          <w:tcPr>
            <w:tcW w:w="1185" w:type="dxa"/>
            <w:tcBorders>
              <w:top w:val="single" w:color="auto" w:sz="4" w:space="0"/>
              <w:left w:val="single" w:color="auto" w:sz="4" w:space="0"/>
              <w:bottom w:val="single" w:color="auto" w:sz="4" w:space="0"/>
              <w:right w:val="single" w:color="auto" w:sz="4" w:space="0"/>
            </w:tcBorders>
          </w:tcPr>
          <w:p w14:paraId="7B908C81">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w:t>
            </w:r>
            <w:r>
              <w:rPr>
                <w:rFonts w:hint="eastAsia" w:ascii="宋体" w:hAnsi="宋体" w:eastAsia="宋体"/>
                <w:color w:val="auto"/>
                <w:sz w:val="21"/>
                <w:szCs w:val="21"/>
                <w:highlight w:val="none"/>
              </w:rPr>
              <w:t>4</w:t>
            </w:r>
          </w:p>
        </w:tc>
        <w:tc>
          <w:tcPr>
            <w:tcW w:w="1316" w:type="dxa"/>
            <w:tcBorders>
              <w:top w:val="single" w:color="auto" w:sz="4" w:space="0"/>
              <w:left w:val="single" w:color="auto" w:sz="4" w:space="0"/>
              <w:bottom w:val="single" w:color="auto" w:sz="4" w:space="0"/>
              <w:right w:val="single" w:color="auto" w:sz="4" w:space="0"/>
            </w:tcBorders>
          </w:tcPr>
          <w:p w14:paraId="736B29CB">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w:t>
            </w:r>
            <w:r>
              <w:rPr>
                <w:rFonts w:hint="eastAsia" w:ascii="宋体" w:hAnsi="宋体" w:eastAsia="宋体"/>
                <w:color w:val="auto"/>
                <w:sz w:val="21"/>
                <w:szCs w:val="21"/>
                <w:highlight w:val="none"/>
              </w:rPr>
              <w:t>4</w:t>
            </w:r>
            <w:r>
              <w:rPr>
                <w:rFonts w:ascii="宋体" w:hAnsi="宋体" w:eastAsia="宋体"/>
                <w:color w:val="auto"/>
                <w:sz w:val="21"/>
                <w:szCs w:val="21"/>
                <w:highlight w:val="none"/>
              </w:rPr>
              <w:t>0</w:t>
            </w:r>
          </w:p>
        </w:tc>
        <w:tc>
          <w:tcPr>
            <w:tcW w:w="1778" w:type="dxa"/>
            <w:tcBorders>
              <w:top w:val="single" w:color="auto" w:sz="4" w:space="0"/>
              <w:left w:val="single" w:color="auto" w:sz="4" w:space="0"/>
              <w:bottom w:val="single" w:color="auto" w:sz="4" w:space="0"/>
              <w:right w:val="single" w:color="auto" w:sz="4" w:space="0"/>
            </w:tcBorders>
          </w:tcPr>
          <w:p w14:paraId="712F578A">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403E40A5">
            <w:pPr>
              <w:spacing w:line="240" w:lineRule="auto"/>
              <w:ind w:firstLine="371" w:firstLineChars="177"/>
              <w:rPr>
                <w:rFonts w:hint="eastAsia" w:ascii="宋体" w:hAnsi="宋体" w:eastAsia="宋体"/>
                <w:color w:val="auto"/>
                <w:sz w:val="21"/>
                <w:szCs w:val="21"/>
                <w:highlight w:val="none"/>
              </w:rPr>
            </w:pPr>
          </w:p>
        </w:tc>
      </w:tr>
      <w:tr w14:paraId="0CFAB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302583F4">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2</w:t>
            </w:r>
          </w:p>
        </w:tc>
        <w:tc>
          <w:tcPr>
            <w:tcW w:w="2076" w:type="dxa"/>
            <w:tcBorders>
              <w:top w:val="single" w:color="auto" w:sz="4" w:space="0"/>
              <w:left w:val="single" w:color="auto" w:sz="4" w:space="0"/>
              <w:bottom w:val="single" w:color="auto" w:sz="4" w:space="0"/>
              <w:right w:val="single" w:color="auto" w:sz="4" w:space="0"/>
            </w:tcBorders>
          </w:tcPr>
          <w:p w14:paraId="2A43ECA7">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砌砖</w:t>
            </w:r>
          </w:p>
        </w:tc>
        <w:tc>
          <w:tcPr>
            <w:tcW w:w="1185" w:type="dxa"/>
            <w:tcBorders>
              <w:top w:val="single" w:color="auto" w:sz="4" w:space="0"/>
              <w:left w:val="single" w:color="auto" w:sz="4" w:space="0"/>
              <w:bottom w:val="single" w:color="auto" w:sz="4" w:space="0"/>
              <w:right w:val="single" w:color="auto" w:sz="4" w:space="0"/>
            </w:tcBorders>
          </w:tcPr>
          <w:p w14:paraId="0ADA8150">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w:t>
            </w:r>
            <w:r>
              <w:rPr>
                <w:rFonts w:hint="eastAsia" w:ascii="宋体" w:hAnsi="宋体" w:eastAsia="宋体"/>
                <w:color w:val="auto"/>
                <w:sz w:val="21"/>
                <w:szCs w:val="21"/>
                <w:highlight w:val="none"/>
              </w:rPr>
              <w:t>4</w:t>
            </w:r>
          </w:p>
        </w:tc>
        <w:tc>
          <w:tcPr>
            <w:tcW w:w="1316" w:type="dxa"/>
            <w:tcBorders>
              <w:top w:val="single" w:color="auto" w:sz="4" w:space="0"/>
              <w:left w:val="single" w:color="auto" w:sz="4" w:space="0"/>
              <w:bottom w:val="single" w:color="auto" w:sz="4" w:space="0"/>
              <w:right w:val="single" w:color="auto" w:sz="4" w:space="0"/>
            </w:tcBorders>
          </w:tcPr>
          <w:p w14:paraId="7B9F87D7">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w:t>
            </w:r>
            <w:r>
              <w:rPr>
                <w:rFonts w:hint="eastAsia" w:ascii="宋体" w:hAnsi="宋体" w:eastAsia="宋体"/>
                <w:color w:val="auto"/>
                <w:sz w:val="21"/>
                <w:szCs w:val="21"/>
                <w:highlight w:val="none"/>
              </w:rPr>
              <w:t>4</w:t>
            </w:r>
            <w:r>
              <w:rPr>
                <w:rFonts w:ascii="宋体" w:hAnsi="宋体" w:eastAsia="宋体"/>
                <w:color w:val="auto"/>
                <w:sz w:val="21"/>
                <w:szCs w:val="21"/>
                <w:highlight w:val="none"/>
              </w:rPr>
              <w:t>0</w:t>
            </w:r>
          </w:p>
        </w:tc>
        <w:tc>
          <w:tcPr>
            <w:tcW w:w="1778" w:type="dxa"/>
            <w:tcBorders>
              <w:top w:val="single" w:color="auto" w:sz="4" w:space="0"/>
              <w:left w:val="single" w:color="auto" w:sz="4" w:space="0"/>
              <w:bottom w:val="single" w:color="auto" w:sz="4" w:space="0"/>
              <w:right w:val="single" w:color="auto" w:sz="4" w:space="0"/>
            </w:tcBorders>
          </w:tcPr>
          <w:p w14:paraId="322B42A2">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40A820AF">
            <w:pPr>
              <w:spacing w:line="240" w:lineRule="auto"/>
              <w:ind w:firstLine="371" w:firstLineChars="177"/>
              <w:rPr>
                <w:rFonts w:hint="eastAsia" w:ascii="宋体" w:hAnsi="宋体" w:eastAsia="宋体"/>
                <w:color w:val="auto"/>
                <w:sz w:val="21"/>
                <w:szCs w:val="21"/>
                <w:highlight w:val="none"/>
              </w:rPr>
            </w:pPr>
          </w:p>
        </w:tc>
      </w:tr>
      <w:tr w14:paraId="41D9B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0A96461A">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3</w:t>
            </w:r>
          </w:p>
        </w:tc>
        <w:tc>
          <w:tcPr>
            <w:tcW w:w="2076" w:type="dxa"/>
            <w:tcBorders>
              <w:top w:val="single" w:color="auto" w:sz="4" w:space="0"/>
              <w:left w:val="single" w:color="auto" w:sz="4" w:space="0"/>
              <w:bottom w:val="single" w:color="auto" w:sz="4" w:space="0"/>
              <w:right w:val="single" w:color="auto" w:sz="4" w:space="0"/>
            </w:tcBorders>
          </w:tcPr>
          <w:p w14:paraId="420C1947">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模板工</w:t>
            </w:r>
          </w:p>
        </w:tc>
        <w:tc>
          <w:tcPr>
            <w:tcW w:w="1185" w:type="dxa"/>
            <w:tcBorders>
              <w:top w:val="single" w:color="auto" w:sz="4" w:space="0"/>
              <w:left w:val="single" w:color="auto" w:sz="4" w:space="0"/>
              <w:bottom w:val="single" w:color="auto" w:sz="4" w:space="0"/>
              <w:right w:val="single" w:color="auto" w:sz="4" w:space="0"/>
            </w:tcBorders>
          </w:tcPr>
          <w:p w14:paraId="65329DB8">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w:t>
            </w:r>
            <w:r>
              <w:rPr>
                <w:rFonts w:hint="eastAsia" w:ascii="宋体" w:hAnsi="宋体" w:eastAsia="宋体"/>
                <w:color w:val="auto"/>
                <w:sz w:val="21"/>
                <w:szCs w:val="21"/>
                <w:highlight w:val="none"/>
              </w:rPr>
              <w:t>4</w:t>
            </w:r>
          </w:p>
        </w:tc>
        <w:tc>
          <w:tcPr>
            <w:tcW w:w="1316" w:type="dxa"/>
            <w:tcBorders>
              <w:top w:val="single" w:color="auto" w:sz="4" w:space="0"/>
              <w:left w:val="single" w:color="auto" w:sz="4" w:space="0"/>
              <w:bottom w:val="single" w:color="auto" w:sz="4" w:space="0"/>
              <w:right w:val="single" w:color="auto" w:sz="4" w:space="0"/>
            </w:tcBorders>
          </w:tcPr>
          <w:p w14:paraId="61D98F62">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48</w:t>
            </w:r>
            <w:r>
              <w:rPr>
                <w:rFonts w:ascii="宋体" w:hAnsi="宋体" w:eastAsia="宋体"/>
                <w:color w:val="auto"/>
                <w:sz w:val="21"/>
                <w:szCs w:val="21"/>
                <w:highlight w:val="none"/>
              </w:rPr>
              <w:t>0</w:t>
            </w:r>
          </w:p>
        </w:tc>
        <w:tc>
          <w:tcPr>
            <w:tcW w:w="1778" w:type="dxa"/>
            <w:tcBorders>
              <w:top w:val="single" w:color="auto" w:sz="4" w:space="0"/>
              <w:left w:val="single" w:color="auto" w:sz="4" w:space="0"/>
              <w:bottom w:val="single" w:color="auto" w:sz="4" w:space="0"/>
              <w:right w:val="single" w:color="auto" w:sz="4" w:space="0"/>
            </w:tcBorders>
          </w:tcPr>
          <w:p w14:paraId="725E7FE2">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2E5D06C6">
            <w:pPr>
              <w:spacing w:line="240" w:lineRule="auto"/>
              <w:ind w:firstLine="371" w:firstLineChars="177"/>
              <w:rPr>
                <w:rFonts w:hint="eastAsia" w:ascii="宋体" w:hAnsi="宋体" w:eastAsia="宋体"/>
                <w:color w:val="auto"/>
                <w:sz w:val="21"/>
                <w:szCs w:val="21"/>
                <w:highlight w:val="none"/>
              </w:rPr>
            </w:pPr>
          </w:p>
        </w:tc>
      </w:tr>
      <w:tr w14:paraId="6843A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58175B22">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4</w:t>
            </w:r>
          </w:p>
        </w:tc>
        <w:tc>
          <w:tcPr>
            <w:tcW w:w="2076" w:type="dxa"/>
            <w:tcBorders>
              <w:top w:val="single" w:color="auto" w:sz="4" w:space="0"/>
              <w:left w:val="single" w:color="auto" w:sz="4" w:space="0"/>
              <w:bottom w:val="single" w:color="auto" w:sz="4" w:space="0"/>
              <w:right w:val="single" w:color="auto" w:sz="4" w:space="0"/>
            </w:tcBorders>
          </w:tcPr>
          <w:p w14:paraId="131010EE">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钢筋工</w:t>
            </w:r>
          </w:p>
        </w:tc>
        <w:tc>
          <w:tcPr>
            <w:tcW w:w="1185" w:type="dxa"/>
            <w:tcBorders>
              <w:top w:val="single" w:color="auto" w:sz="4" w:space="0"/>
              <w:left w:val="single" w:color="auto" w:sz="4" w:space="0"/>
              <w:bottom w:val="single" w:color="auto" w:sz="4" w:space="0"/>
              <w:right w:val="single" w:color="auto" w:sz="4" w:space="0"/>
            </w:tcBorders>
          </w:tcPr>
          <w:p w14:paraId="6A662B50">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w:t>
            </w:r>
            <w:r>
              <w:rPr>
                <w:rFonts w:hint="eastAsia" w:ascii="宋体" w:hAnsi="宋体" w:eastAsia="宋体"/>
                <w:color w:val="auto"/>
                <w:sz w:val="21"/>
                <w:szCs w:val="21"/>
                <w:highlight w:val="none"/>
              </w:rPr>
              <w:t>4</w:t>
            </w:r>
          </w:p>
        </w:tc>
        <w:tc>
          <w:tcPr>
            <w:tcW w:w="1316" w:type="dxa"/>
            <w:tcBorders>
              <w:top w:val="single" w:color="auto" w:sz="4" w:space="0"/>
              <w:left w:val="single" w:color="auto" w:sz="4" w:space="0"/>
              <w:bottom w:val="single" w:color="auto" w:sz="4" w:space="0"/>
              <w:right w:val="single" w:color="auto" w:sz="4" w:space="0"/>
            </w:tcBorders>
          </w:tcPr>
          <w:p w14:paraId="6C988662">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3</w:t>
            </w:r>
            <w:r>
              <w:rPr>
                <w:rFonts w:hint="eastAsia" w:ascii="宋体" w:hAnsi="宋体" w:eastAsia="宋体"/>
                <w:color w:val="auto"/>
                <w:sz w:val="21"/>
                <w:szCs w:val="21"/>
                <w:highlight w:val="none"/>
              </w:rPr>
              <w:t>6</w:t>
            </w:r>
            <w:r>
              <w:rPr>
                <w:rFonts w:ascii="宋体" w:hAnsi="宋体" w:eastAsia="宋体"/>
                <w:color w:val="auto"/>
                <w:sz w:val="21"/>
                <w:szCs w:val="21"/>
                <w:highlight w:val="none"/>
              </w:rPr>
              <w:t>0</w:t>
            </w:r>
          </w:p>
        </w:tc>
        <w:tc>
          <w:tcPr>
            <w:tcW w:w="1778" w:type="dxa"/>
            <w:tcBorders>
              <w:top w:val="single" w:color="auto" w:sz="4" w:space="0"/>
              <w:left w:val="single" w:color="auto" w:sz="4" w:space="0"/>
              <w:bottom w:val="single" w:color="auto" w:sz="4" w:space="0"/>
              <w:right w:val="single" w:color="auto" w:sz="4" w:space="0"/>
            </w:tcBorders>
          </w:tcPr>
          <w:p w14:paraId="32685424">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6770AA57">
            <w:pPr>
              <w:spacing w:line="240" w:lineRule="auto"/>
              <w:ind w:firstLine="371" w:firstLineChars="177"/>
              <w:rPr>
                <w:rFonts w:hint="eastAsia" w:ascii="宋体" w:hAnsi="宋体" w:eastAsia="宋体"/>
                <w:color w:val="auto"/>
                <w:sz w:val="21"/>
                <w:szCs w:val="21"/>
                <w:highlight w:val="none"/>
              </w:rPr>
            </w:pPr>
          </w:p>
        </w:tc>
      </w:tr>
      <w:tr w14:paraId="22183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07626A40">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5</w:t>
            </w:r>
          </w:p>
        </w:tc>
        <w:tc>
          <w:tcPr>
            <w:tcW w:w="2076" w:type="dxa"/>
            <w:tcBorders>
              <w:top w:val="single" w:color="auto" w:sz="4" w:space="0"/>
              <w:left w:val="single" w:color="auto" w:sz="4" w:space="0"/>
              <w:bottom w:val="single" w:color="auto" w:sz="4" w:space="0"/>
              <w:right w:val="single" w:color="auto" w:sz="4" w:space="0"/>
            </w:tcBorders>
          </w:tcPr>
          <w:p w14:paraId="6592DFAE">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外架工</w:t>
            </w:r>
          </w:p>
        </w:tc>
        <w:tc>
          <w:tcPr>
            <w:tcW w:w="1185" w:type="dxa"/>
            <w:tcBorders>
              <w:top w:val="single" w:color="auto" w:sz="4" w:space="0"/>
              <w:left w:val="single" w:color="auto" w:sz="4" w:space="0"/>
              <w:bottom w:val="single" w:color="auto" w:sz="4" w:space="0"/>
              <w:right w:val="single" w:color="auto" w:sz="4" w:space="0"/>
            </w:tcBorders>
          </w:tcPr>
          <w:p w14:paraId="4E9C0C86">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w:t>
            </w:r>
            <w:r>
              <w:rPr>
                <w:rFonts w:hint="eastAsia" w:ascii="宋体" w:hAnsi="宋体" w:eastAsia="宋体"/>
                <w:color w:val="auto"/>
                <w:sz w:val="21"/>
                <w:szCs w:val="21"/>
                <w:highlight w:val="none"/>
              </w:rPr>
              <w:t>2</w:t>
            </w:r>
          </w:p>
        </w:tc>
        <w:tc>
          <w:tcPr>
            <w:tcW w:w="1316" w:type="dxa"/>
            <w:tcBorders>
              <w:top w:val="single" w:color="auto" w:sz="4" w:space="0"/>
              <w:left w:val="single" w:color="auto" w:sz="4" w:space="0"/>
              <w:bottom w:val="single" w:color="auto" w:sz="4" w:space="0"/>
              <w:right w:val="single" w:color="auto" w:sz="4" w:space="0"/>
            </w:tcBorders>
          </w:tcPr>
          <w:p w14:paraId="53994340">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w:t>
            </w:r>
            <w:r>
              <w:rPr>
                <w:rFonts w:hint="eastAsia" w:ascii="宋体" w:hAnsi="宋体" w:eastAsia="宋体"/>
                <w:color w:val="auto"/>
                <w:sz w:val="21"/>
                <w:szCs w:val="21"/>
                <w:highlight w:val="none"/>
              </w:rPr>
              <w:t>2</w:t>
            </w:r>
            <w:r>
              <w:rPr>
                <w:rFonts w:ascii="宋体" w:hAnsi="宋体" w:eastAsia="宋体"/>
                <w:color w:val="auto"/>
                <w:sz w:val="21"/>
                <w:szCs w:val="21"/>
                <w:highlight w:val="none"/>
              </w:rPr>
              <w:t>0</w:t>
            </w:r>
          </w:p>
        </w:tc>
        <w:tc>
          <w:tcPr>
            <w:tcW w:w="1778" w:type="dxa"/>
            <w:tcBorders>
              <w:top w:val="single" w:color="auto" w:sz="4" w:space="0"/>
              <w:left w:val="single" w:color="auto" w:sz="4" w:space="0"/>
              <w:bottom w:val="single" w:color="auto" w:sz="4" w:space="0"/>
              <w:right w:val="single" w:color="auto" w:sz="4" w:space="0"/>
            </w:tcBorders>
          </w:tcPr>
          <w:p w14:paraId="39B5CE89">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0EC120E9">
            <w:pPr>
              <w:spacing w:line="240" w:lineRule="auto"/>
              <w:ind w:firstLine="371" w:firstLineChars="177"/>
              <w:rPr>
                <w:rFonts w:hint="eastAsia" w:ascii="宋体" w:hAnsi="宋体" w:eastAsia="宋体"/>
                <w:color w:val="auto"/>
                <w:sz w:val="21"/>
                <w:szCs w:val="21"/>
                <w:highlight w:val="none"/>
              </w:rPr>
            </w:pPr>
          </w:p>
        </w:tc>
      </w:tr>
      <w:tr w14:paraId="0E08C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15A40D7D">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6</w:t>
            </w:r>
          </w:p>
        </w:tc>
        <w:tc>
          <w:tcPr>
            <w:tcW w:w="2076" w:type="dxa"/>
            <w:tcBorders>
              <w:top w:val="single" w:color="auto" w:sz="4" w:space="0"/>
              <w:left w:val="single" w:color="auto" w:sz="4" w:space="0"/>
              <w:bottom w:val="single" w:color="auto" w:sz="4" w:space="0"/>
              <w:right w:val="single" w:color="auto" w:sz="4" w:space="0"/>
            </w:tcBorders>
          </w:tcPr>
          <w:p w14:paraId="51A64435">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砼工</w:t>
            </w:r>
          </w:p>
        </w:tc>
        <w:tc>
          <w:tcPr>
            <w:tcW w:w="1185" w:type="dxa"/>
            <w:tcBorders>
              <w:top w:val="single" w:color="auto" w:sz="4" w:space="0"/>
              <w:left w:val="single" w:color="auto" w:sz="4" w:space="0"/>
              <w:bottom w:val="single" w:color="auto" w:sz="4" w:space="0"/>
              <w:right w:val="single" w:color="auto" w:sz="4" w:space="0"/>
            </w:tcBorders>
          </w:tcPr>
          <w:p w14:paraId="72939040">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w:t>
            </w:r>
            <w:r>
              <w:rPr>
                <w:rFonts w:hint="eastAsia" w:ascii="宋体" w:hAnsi="宋体" w:eastAsia="宋体"/>
                <w:color w:val="auto"/>
                <w:sz w:val="21"/>
                <w:szCs w:val="21"/>
                <w:highlight w:val="none"/>
              </w:rPr>
              <w:t>2</w:t>
            </w:r>
          </w:p>
        </w:tc>
        <w:tc>
          <w:tcPr>
            <w:tcW w:w="1316" w:type="dxa"/>
            <w:tcBorders>
              <w:top w:val="single" w:color="auto" w:sz="4" w:space="0"/>
              <w:left w:val="single" w:color="auto" w:sz="4" w:space="0"/>
              <w:bottom w:val="single" w:color="auto" w:sz="4" w:space="0"/>
              <w:right w:val="single" w:color="auto" w:sz="4" w:space="0"/>
            </w:tcBorders>
          </w:tcPr>
          <w:p w14:paraId="2211CFC7">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w:t>
            </w:r>
            <w:r>
              <w:rPr>
                <w:rFonts w:hint="eastAsia" w:ascii="宋体" w:hAnsi="宋体" w:eastAsia="宋体"/>
                <w:color w:val="auto"/>
                <w:sz w:val="21"/>
                <w:szCs w:val="21"/>
                <w:highlight w:val="none"/>
              </w:rPr>
              <w:t>2</w:t>
            </w:r>
            <w:r>
              <w:rPr>
                <w:rFonts w:ascii="宋体" w:hAnsi="宋体" w:eastAsia="宋体"/>
                <w:color w:val="auto"/>
                <w:sz w:val="21"/>
                <w:szCs w:val="21"/>
                <w:highlight w:val="none"/>
              </w:rPr>
              <w:t>0</w:t>
            </w:r>
          </w:p>
        </w:tc>
        <w:tc>
          <w:tcPr>
            <w:tcW w:w="1778" w:type="dxa"/>
            <w:tcBorders>
              <w:top w:val="single" w:color="auto" w:sz="4" w:space="0"/>
              <w:left w:val="single" w:color="auto" w:sz="4" w:space="0"/>
              <w:bottom w:val="single" w:color="auto" w:sz="4" w:space="0"/>
              <w:right w:val="single" w:color="auto" w:sz="4" w:space="0"/>
            </w:tcBorders>
          </w:tcPr>
          <w:p w14:paraId="205CC7C2">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22681560">
            <w:pPr>
              <w:spacing w:line="240" w:lineRule="auto"/>
              <w:ind w:firstLine="371" w:firstLineChars="177"/>
              <w:rPr>
                <w:rFonts w:hint="eastAsia" w:ascii="宋体" w:hAnsi="宋体" w:eastAsia="宋体"/>
                <w:color w:val="auto"/>
                <w:sz w:val="21"/>
                <w:szCs w:val="21"/>
                <w:highlight w:val="none"/>
              </w:rPr>
            </w:pPr>
          </w:p>
        </w:tc>
      </w:tr>
      <w:tr w14:paraId="65D8C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02546801">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7</w:t>
            </w:r>
          </w:p>
        </w:tc>
        <w:tc>
          <w:tcPr>
            <w:tcW w:w="2076" w:type="dxa"/>
            <w:tcBorders>
              <w:top w:val="single" w:color="auto" w:sz="4" w:space="0"/>
              <w:left w:val="single" w:color="auto" w:sz="4" w:space="0"/>
              <w:bottom w:val="single" w:color="auto" w:sz="4" w:space="0"/>
              <w:right w:val="single" w:color="auto" w:sz="4" w:space="0"/>
            </w:tcBorders>
          </w:tcPr>
          <w:p w14:paraId="7B26AC53">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水电工</w:t>
            </w:r>
          </w:p>
        </w:tc>
        <w:tc>
          <w:tcPr>
            <w:tcW w:w="1185" w:type="dxa"/>
            <w:tcBorders>
              <w:top w:val="single" w:color="auto" w:sz="4" w:space="0"/>
              <w:left w:val="single" w:color="auto" w:sz="4" w:space="0"/>
              <w:bottom w:val="single" w:color="auto" w:sz="4" w:space="0"/>
              <w:right w:val="single" w:color="auto" w:sz="4" w:space="0"/>
            </w:tcBorders>
          </w:tcPr>
          <w:p w14:paraId="15ADF4AD">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w:t>
            </w:r>
            <w:r>
              <w:rPr>
                <w:rFonts w:hint="eastAsia" w:ascii="宋体" w:hAnsi="宋体" w:eastAsia="宋体"/>
                <w:color w:val="auto"/>
                <w:sz w:val="21"/>
                <w:szCs w:val="21"/>
                <w:highlight w:val="none"/>
              </w:rPr>
              <w:t>4</w:t>
            </w:r>
          </w:p>
        </w:tc>
        <w:tc>
          <w:tcPr>
            <w:tcW w:w="1316" w:type="dxa"/>
            <w:tcBorders>
              <w:top w:val="single" w:color="auto" w:sz="4" w:space="0"/>
              <w:left w:val="single" w:color="auto" w:sz="4" w:space="0"/>
              <w:bottom w:val="single" w:color="auto" w:sz="4" w:space="0"/>
              <w:right w:val="single" w:color="auto" w:sz="4" w:space="0"/>
            </w:tcBorders>
          </w:tcPr>
          <w:p w14:paraId="4D905974">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w:t>
            </w:r>
            <w:r>
              <w:rPr>
                <w:rFonts w:hint="eastAsia" w:ascii="宋体" w:hAnsi="宋体" w:eastAsia="宋体"/>
                <w:color w:val="auto"/>
                <w:sz w:val="21"/>
                <w:szCs w:val="21"/>
                <w:highlight w:val="none"/>
              </w:rPr>
              <w:t>4</w:t>
            </w:r>
            <w:r>
              <w:rPr>
                <w:rFonts w:ascii="宋体" w:hAnsi="宋体" w:eastAsia="宋体"/>
                <w:color w:val="auto"/>
                <w:sz w:val="21"/>
                <w:szCs w:val="21"/>
                <w:highlight w:val="none"/>
              </w:rPr>
              <w:t>0</w:t>
            </w:r>
          </w:p>
        </w:tc>
        <w:tc>
          <w:tcPr>
            <w:tcW w:w="1778" w:type="dxa"/>
            <w:tcBorders>
              <w:top w:val="single" w:color="auto" w:sz="4" w:space="0"/>
              <w:left w:val="single" w:color="auto" w:sz="4" w:space="0"/>
              <w:bottom w:val="single" w:color="auto" w:sz="4" w:space="0"/>
              <w:right w:val="single" w:color="auto" w:sz="4" w:space="0"/>
            </w:tcBorders>
          </w:tcPr>
          <w:p w14:paraId="35C4915B">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51091E35">
            <w:pPr>
              <w:spacing w:line="240" w:lineRule="auto"/>
              <w:ind w:firstLine="371" w:firstLineChars="177"/>
              <w:rPr>
                <w:rFonts w:hint="eastAsia" w:ascii="宋体" w:hAnsi="宋体" w:eastAsia="宋体"/>
                <w:color w:val="auto"/>
                <w:sz w:val="21"/>
                <w:szCs w:val="21"/>
                <w:highlight w:val="none"/>
              </w:rPr>
            </w:pPr>
          </w:p>
        </w:tc>
      </w:tr>
      <w:tr w14:paraId="32822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47A6B984">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8</w:t>
            </w:r>
          </w:p>
        </w:tc>
        <w:tc>
          <w:tcPr>
            <w:tcW w:w="2076" w:type="dxa"/>
            <w:tcBorders>
              <w:top w:val="single" w:color="auto" w:sz="4" w:space="0"/>
              <w:left w:val="single" w:color="auto" w:sz="4" w:space="0"/>
              <w:bottom w:val="single" w:color="auto" w:sz="4" w:space="0"/>
              <w:right w:val="single" w:color="auto" w:sz="4" w:space="0"/>
            </w:tcBorders>
          </w:tcPr>
          <w:p w14:paraId="6227DD76">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防水工</w:t>
            </w:r>
          </w:p>
        </w:tc>
        <w:tc>
          <w:tcPr>
            <w:tcW w:w="1185" w:type="dxa"/>
            <w:tcBorders>
              <w:top w:val="single" w:color="auto" w:sz="4" w:space="0"/>
              <w:left w:val="single" w:color="auto" w:sz="4" w:space="0"/>
              <w:bottom w:val="single" w:color="auto" w:sz="4" w:space="0"/>
              <w:right w:val="single" w:color="auto" w:sz="4" w:space="0"/>
            </w:tcBorders>
          </w:tcPr>
          <w:p w14:paraId="2E67CFE9">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5</w:t>
            </w:r>
          </w:p>
        </w:tc>
        <w:tc>
          <w:tcPr>
            <w:tcW w:w="1316" w:type="dxa"/>
            <w:tcBorders>
              <w:top w:val="single" w:color="auto" w:sz="4" w:space="0"/>
              <w:left w:val="single" w:color="auto" w:sz="4" w:space="0"/>
              <w:bottom w:val="single" w:color="auto" w:sz="4" w:space="0"/>
              <w:right w:val="single" w:color="auto" w:sz="4" w:space="0"/>
            </w:tcBorders>
          </w:tcPr>
          <w:p w14:paraId="5F9FE187">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75</w:t>
            </w:r>
          </w:p>
        </w:tc>
        <w:tc>
          <w:tcPr>
            <w:tcW w:w="1778" w:type="dxa"/>
            <w:tcBorders>
              <w:top w:val="single" w:color="auto" w:sz="4" w:space="0"/>
              <w:left w:val="single" w:color="auto" w:sz="4" w:space="0"/>
              <w:bottom w:val="single" w:color="auto" w:sz="4" w:space="0"/>
              <w:right w:val="single" w:color="auto" w:sz="4" w:space="0"/>
            </w:tcBorders>
          </w:tcPr>
          <w:p w14:paraId="139BE79D">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5F113744">
            <w:pPr>
              <w:spacing w:line="240" w:lineRule="auto"/>
              <w:ind w:firstLine="371" w:firstLineChars="177"/>
              <w:rPr>
                <w:rFonts w:hint="eastAsia" w:ascii="宋体" w:hAnsi="宋体" w:eastAsia="宋体"/>
                <w:color w:val="auto"/>
                <w:sz w:val="21"/>
                <w:szCs w:val="21"/>
                <w:highlight w:val="none"/>
              </w:rPr>
            </w:pPr>
          </w:p>
        </w:tc>
      </w:tr>
      <w:tr w14:paraId="272D8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45E9BFD1">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9</w:t>
            </w:r>
          </w:p>
        </w:tc>
        <w:tc>
          <w:tcPr>
            <w:tcW w:w="2076" w:type="dxa"/>
            <w:tcBorders>
              <w:top w:val="single" w:color="auto" w:sz="4" w:space="0"/>
              <w:left w:val="single" w:color="auto" w:sz="4" w:space="0"/>
              <w:bottom w:val="single" w:color="auto" w:sz="4" w:space="0"/>
              <w:right w:val="single" w:color="auto" w:sz="4" w:space="0"/>
            </w:tcBorders>
          </w:tcPr>
          <w:p w14:paraId="33708F37">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栏杆</w:t>
            </w:r>
          </w:p>
        </w:tc>
        <w:tc>
          <w:tcPr>
            <w:tcW w:w="1185" w:type="dxa"/>
            <w:tcBorders>
              <w:top w:val="single" w:color="auto" w:sz="4" w:space="0"/>
              <w:left w:val="single" w:color="auto" w:sz="4" w:space="0"/>
              <w:bottom w:val="single" w:color="auto" w:sz="4" w:space="0"/>
              <w:right w:val="single" w:color="auto" w:sz="4" w:space="0"/>
            </w:tcBorders>
          </w:tcPr>
          <w:p w14:paraId="0033061A">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10</w:t>
            </w:r>
          </w:p>
        </w:tc>
        <w:tc>
          <w:tcPr>
            <w:tcW w:w="1316" w:type="dxa"/>
            <w:tcBorders>
              <w:top w:val="single" w:color="auto" w:sz="4" w:space="0"/>
              <w:left w:val="single" w:color="auto" w:sz="4" w:space="0"/>
              <w:bottom w:val="single" w:color="auto" w:sz="4" w:space="0"/>
              <w:right w:val="single" w:color="auto" w:sz="4" w:space="0"/>
            </w:tcBorders>
          </w:tcPr>
          <w:p w14:paraId="407DD41C">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50</w:t>
            </w:r>
          </w:p>
        </w:tc>
        <w:tc>
          <w:tcPr>
            <w:tcW w:w="1778" w:type="dxa"/>
            <w:tcBorders>
              <w:top w:val="single" w:color="auto" w:sz="4" w:space="0"/>
              <w:left w:val="single" w:color="auto" w:sz="4" w:space="0"/>
              <w:bottom w:val="single" w:color="auto" w:sz="4" w:space="0"/>
              <w:right w:val="single" w:color="auto" w:sz="4" w:space="0"/>
            </w:tcBorders>
          </w:tcPr>
          <w:p w14:paraId="363F06A6">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2AEED351">
            <w:pPr>
              <w:spacing w:line="240" w:lineRule="auto"/>
              <w:ind w:firstLine="371" w:firstLineChars="177"/>
              <w:rPr>
                <w:rFonts w:hint="eastAsia" w:ascii="宋体" w:hAnsi="宋体" w:eastAsia="宋体"/>
                <w:color w:val="auto"/>
                <w:sz w:val="21"/>
                <w:szCs w:val="21"/>
                <w:highlight w:val="none"/>
              </w:rPr>
            </w:pPr>
          </w:p>
        </w:tc>
      </w:tr>
      <w:tr w14:paraId="3D256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18F02553">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10</w:t>
            </w:r>
          </w:p>
        </w:tc>
        <w:tc>
          <w:tcPr>
            <w:tcW w:w="2076" w:type="dxa"/>
            <w:tcBorders>
              <w:top w:val="single" w:color="auto" w:sz="4" w:space="0"/>
              <w:left w:val="single" w:color="auto" w:sz="4" w:space="0"/>
              <w:bottom w:val="single" w:color="auto" w:sz="4" w:space="0"/>
              <w:right w:val="single" w:color="auto" w:sz="4" w:space="0"/>
            </w:tcBorders>
          </w:tcPr>
          <w:p w14:paraId="4FD493F4">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铝合金门窗</w:t>
            </w:r>
          </w:p>
        </w:tc>
        <w:tc>
          <w:tcPr>
            <w:tcW w:w="1185" w:type="dxa"/>
            <w:tcBorders>
              <w:top w:val="single" w:color="auto" w:sz="4" w:space="0"/>
              <w:left w:val="single" w:color="auto" w:sz="4" w:space="0"/>
              <w:bottom w:val="single" w:color="auto" w:sz="4" w:space="0"/>
              <w:right w:val="single" w:color="auto" w:sz="4" w:space="0"/>
            </w:tcBorders>
          </w:tcPr>
          <w:p w14:paraId="293CD753">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10</w:t>
            </w:r>
          </w:p>
        </w:tc>
        <w:tc>
          <w:tcPr>
            <w:tcW w:w="1316" w:type="dxa"/>
            <w:tcBorders>
              <w:top w:val="single" w:color="auto" w:sz="4" w:space="0"/>
              <w:left w:val="single" w:color="auto" w:sz="4" w:space="0"/>
              <w:bottom w:val="single" w:color="auto" w:sz="4" w:space="0"/>
              <w:right w:val="single" w:color="auto" w:sz="4" w:space="0"/>
            </w:tcBorders>
          </w:tcPr>
          <w:p w14:paraId="1E1D6345">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100</w:t>
            </w:r>
          </w:p>
        </w:tc>
        <w:tc>
          <w:tcPr>
            <w:tcW w:w="1778" w:type="dxa"/>
            <w:tcBorders>
              <w:top w:val="single" w:color="auto" w:sz="4" w:space="0"/>
              <w:left w:val="single" w:color="auto" w:sz="4" w:space="0"/>
              <w:bottom w:val="single" w:color="auto" w:sz="4" w:space="0"/>
              <w:right w:val="single" w:color="auto" w:sz="4" w:space="0"/>
            </w:tcBorders>
          </w:tcPr>
          <w:p w14:paraId="687618EB">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15A6DAD2">
            <w:pPr>
              <w:spacing w:line="240" w:lineRule="auto"/>
              <w:ind w:firstLine="371" w:firstLineChars="177"/>
              <w:rPr>
                <w:rFonts w:hint="eastAsia" w:ascii="宋体" w:hAnsi="宋体" w:eastAsia="宋体"/>
                <w:color w:val="auto"/>
                <w:sz w:val="21"/>
                <w:szCs w:val="21"/>
                <w:highlight w:val="none"/>
              </w:rPr>
            </w:pPr>
          </w:p>
        </w:tc>
      </w:tr>
      <w:tr w14:paraId="275A7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60429A94">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11</w:t>
            </w:r>
          </w:p>
        </w:tc>
        <w:tc>
          <w:tcPr>
            <w:tcW w:w="2076" w:type="dxa"/>
            <w:tcBorders>
              <w:top w:val="single" w:color="auto" w:sz="4" w:space="0"/>
              <w:left w:val="single" w:color="auto" w:sz="4" w:space="0"/>
              <w:bottom w:val="single" w:color="auto" w:sz="4" w:space="0"/>
              <w:right w:val="single" w:color="auto" w:sz="4" w:space="0"/>
            </w:tcBorders>
          </w:tcPr>
          <w:p w14:paraId="7630F94D">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钢结构</w:t>
            </w:r>
          </w:p>
        </w:tc>
        <w:tc>
          <w:tcPr>
            <w:tcW w:w="1185" w:type="dxa"/>
            <w:tcBorders>
              <w:top w:val="single" w:color="auto" w:sz="4" w:space="0"/>
              <w:left w:val="single" w:color="auto" w:sz="4" w:space="0"/>
              <w:bottom w:val="single" w:color="auto" w:sz="4" w:space="0"/>
              <w:right w:val="single" w:color="auto" w:sz="4" w:space="0"/>
            </w:tcBorders>
          </w:tcPr>
          <w:p w14:paraId="4FD9017F">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w:t>
            </w:r>
          </w:p>
        </w:tc>
        <w:tc>
          <w:tcPr>
            <w:tcW w:w="1316" w:type="dxa"/>
            <w:tcBorders>
              <w:top w:val="single" w:color="auto" w:sz="4" w:space="0"/>
              <w:left w:val="single" w:color="auto" w:sz="4" w:space="0"/>
              <w:bottom w:val="single" w:color="auto" w:sz="4" w:space="0"/>
              <w:right w:val="single" w:color="auto" w:sz="4" w:space="0"/>
            </w:tcBorders>
          </w:tcPr>
          <w:p w14:paraId="531B4F29">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10</w:t>
            </w:r>
          </w:p>
        </w:tc>
        <w:tc>
          <w:tcPr>
            <w:tcW w:w="1778" w:type="dxa"/>
            <w:tcBorders>
              <w:top w:val="single" w:color="auto" w:sz="4" w:space="0"/>
              <w:left w:val="single" w:color="auto" w:sz="4" w:space="0"/>
              <w:bottom w:val="single" w:color="auto" w:sz="4" w:space="0"/>
              <w:right w:val="single" w:color="auto" w:sz="4" w:space="0"/>
            </w:tcBorders>
          </w:tcPr>
          <w:p w14:paraId="59B8B28E">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1DA6E98C">
            <w:pPr>
              <w:spacing w:line="240" w:lineRule="auto"/>
              <w:ind w:firstLine="371" w:firstLineChars="177"/>
              <w:rPr>
                <w:rFonts w:hint="eastAsia" w:ascii="宋体" w:hAnsi="宋体" w:eastAsia="宋体"/>
                <w:color w:val="auto"/>
                <w:sz w:val="21"/>
                <w:szCs w:val="21"/>
                <w:highlight w:val="none"/>
              </w:rPr>
            </w:pPr>
          </w:p>
        </w:tc>
      </w:tr>
      <w:tr w14:paraId="7D5D6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53DF0680">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12</w:t>
            </w:r>
          </w:p>
        </w:tc>
        <w:tc>
          <w:tcPr>
            <w:tcW w:w="2076" w:type="dxa"/>
            <w:tcBorders>
              <w:top w:val="single" w:color="auto" w:sz="4" w:space="0"/>
              <w:left w:val="single" w:color="auto" w:sz="4" w:space="0"/>
              <w:bottom w:val="single" w:color="auto" w:sz="4" w:space="0"/>
              <w:right w:val="single" w:color="auto" w:sz="4" w:space="0"/>
            </w:tcBorders>
          </w:tcPr>
          <w:p w14:paraId="2E094E3E">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电工</w:t>
            </w:r>
          </w:p>
        </w:tc>
        <w:tc>
          <w:tcPr>
            <w:tcW w:w="1185" w:type="dxa"/>
            <w:tcBorders>
              <w:top w:val="single" w:color="auto" w:sz="4" w:space="0"/>
              <w:left w:val="single" w:color="auto" w:sz="4" w:space="0"/>
              <w:bottom w:val="single" w:color="auto" w:sz="4" w:space="0"/>
              <w:right w:val="single" w:color="auto" w:sz="4" w:space="0"/>
            </w:tcBorders>
          </w:tcPr>
          <w:p w14:paraId="360B7006">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5</w:t>
            </w:r>
          </w:p>
        </w:tc>
        <w:tc>
          <w:tcPr>
            <w:tcW w:w="1316" w:type="dxa"/>
            <w:tcBorders>
              <w:top w:val="single" w:color="auto" w:sz="4" w:space="0"/>
              <w:left w:val="single" w:color="auto" w:sz="4" w:space="0"/>
              <w:bottom w:val="single" w:color="auto" w:sz="4" w:space="0"/>
              <w:right w:val="single" w:color="auto" w:sz="4" w:space="0"/>
            </w:tcBorders>
          </w:tcPr>
          <w:p w14:paraId="6FD5654D">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20</w:t>
            </w:r>
          </w:p>
        </w:tc>
        <w:tc>
          <w:tcPr>
            <w:tcW w:w="1778" w:type="dxa"/>
            <w:tcBorders>
              <w:top w:val="single" w:color="auto" w:sz="4" w:space="0"/>
              <w:left w:val="single" w:color="auto" w:sz="4" w:space="0"/>
              <w:bottom w:val="single" w:color="auto" w:sz="4" w:space="0"/>
              <w:right w:val="single" w:color="auto" w:sz="4" w:space="0"/>
            </w:tcBorders>
          </w:tcPr>
          <w:p w14:paraId="689C33FB">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4B830B82">
            <w:pPr>
              <w:spacing w:line="240" w:lineRule="auto"/>
              <w:ind w:firstLine="371" w:firstLineChars="177"/>
              <w:rPr>
                <w:rFonts w:hint="eastAsia" w:ascii="宋体" w:hAnsi="宋体" w:eastAsia="宋体"/>
                <w:color w:val="auto"/>
                <w:sz w:val="21"/>
                <w:szCs w:val="21"/>
                <w:highlight w:val="none"/>
              </w:rPr>
            </w:pPr>
          </w:p>
        </w:tc>
      </w:tr>
      <w:tr w14:paraId="36A34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0334E1E8">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13</w:t>
            </w:r>
          </w:p>
        </w:tc>
        <w:tc>
          <w:tcPr>
            <w:tcW w:w="2076" w:type="dxa"/>
            <w:tcBorders>
              <w:top w:val="single" w:color="auto" w:sz="4" w:space="0"/>
              <w:left w:val="single" w:color="auto" w:sz="4" w:space="0"/>
              <w:bottom w:val="single" w:color="auto" w:sz="4" w:space="0"/>
              <w:right w:val="single" w:color="auto" w:sz="4" w:space="0"/>
            </w:tcBorders>
          </w:tcPr>
          <w:p w14:paraId="1ECB464B">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装修工</w:t>
            </w:r>
          </w:p>
        </w:tc>
        <w:tc>
          <w:tcPr>
            <w:tcW w:w="1185" w:type="dxa"/>
            <w:tcBorders>
              <w:top w:val="single" w:color="auto" w:sz="4" w:space="0"/>
              <w:left w:val="single" w:color="auto" w:sz="4" w:space="0"/>
              <w:bottom w:val="single" w:color="auto" w:sz="4" w:space="0"/>
              <w:right w:val="single" w:color="auto" w:sz="4" w:space="0"/>
            </w:tcBorders>
          </w:tcPr>
          <w:p w14:paraId="775469E3">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w:t>
            </w:r>
            <w:r>
              <w:rPr>
                <w:rFonts w:hint="eastAsia" w:ascii="宋体" w:hAnsi="宋体" w:eastAsia="宋体"/>
                <w:color w:val="auto"/>
                <w:sz w:val="21"/>
                <w:szCs w:val="21"/>
                <w:highlight w:val="none"/>
              </w:rPr>
              <w:t>4</w:t>
            </w:r>
          </w:p>
        </w:tc>
        <w:tc>
          <w:tcPr>
            <w:tcW w:w="1316" w:type="dxa"/>
            <w:tcBorders>
              <w:top w:val="single" w:color="auto" w:sz="4" w:space="0"/>
              <w:left w:val="single" w:color="auto" w:sz="4" w:space="0"/>
              <w:bottom w:val="single" w:color="auto" w:sz="4" w:space="0"/>
              <w:right w:val="single" w:color="auto" w:sz="4" w:space="0"/>
            </w:tcBorders>
          </w:tcPr>
          <w:p w14:paraId="7C6F149C">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3</w:t>
            </w:r>
            <w:r>
              <w:rPr>
                <w:rFonts w:hint="eastAsia" w:ascii="宋体" w:hAnsi="宋体" w:eastAsia="宋体"/>
                <w:color w:val="auto"/>
                <w:sz w:val="21"/>
                <w:szCs w:val="21"/>
                <w:highlight w:val="none"/>
              </w:rPr>
              <w:t>6</w:t>
            </w:r>
            <w:r>
              <w:rPr>
                <w:rFonts w:ascii="宋体" w:hAnsi="宋体" w:eastAsia="宋体"/>
                <w:color w:val="auto"/>
                <w:sz w:val="21"/>
                <w:szCs w:val="21"/>
                <w:highlight w:val="none"/>
              </w:rPr>
              <w:t>0</w:t>
            </w:r>
          </w:p>
        </w:tc>
        <w:tc>
          <w:tcPr>
            <w:tcW w:w="1778" w:type="dxa"/>
            <w:tcBorders>
              <w:top w:val="single" w:color="auto" w:sz="4" w:space="0"/>
              <w:left w:val="single" w:color="auto" w:sz="4" w:space="0"/>
              <w:bottom w:val="single" w:color="auto" w:sz="4" w:space="0"/>
              <w:right w:val="single" w:color="auto" w:sz="4" w:space="0"/>
            </w:tcBorders>
          </w:tcPr>
          <w:p w14:paraId="4C769B48">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7D3007AC">
            <w:pPr>
              <w:spacing w:line="240" w:lineRule="auto"/>
              <w:ind w:firstLine="371" w:firstLineChars="177"/>
              <w:rPr>
                <w:rFonts w:hint="eastAsia" w:ascii="宋体" w:hAnsi="宋体" w:eastAsia="宋体"/>
                <w:color w:val="auto"/>
                <w:sz w:val="21"/>
                <w:szCs w:val="21"/>
                <w:highlight w:val="none"/>
              </w:rPr>
            </w:pPr>
          </w:p>
        </w:tc>
      </w:tr>
      <w:tr w14:paraId="3434D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320BC410">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14</w:t>
            </w:r>
          </w:p>
        </w:tc>
        <w:tc>
          <w:tcPr>
            <w:tcW w:w="2076" w:type="dxa"/>
            <w:tcBorders>
              <w:top w:val="single" w:color="auto" w:sz="4" w:space="0"/>
              <w:left w:val="single" w:color="auto" w:sz="4" w:space="0"/>
              <w:bottom w:val="single" w:color="auto" w:sz="4" w:space="0"/>
              <w:right w:val="single" w:color="auto" w:sz="4" w:space="0"/>
            </w:tcBorders>
          </w:tcPr>
          <w:p w14:paraId="086D6A4A">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园林绿化</w:t>
            </w:r>
          </w:p>
        </w:tc>
        <w:tc>
          <w:tcPr>
            <w:tcW w:w="1185" w:type="dxa"/>
            <w:tcBorders>
              <w:top w:val="single" w:color="auto" w:sz="4" w:space="0"/>
              <w:left w:val="single" w:color="auto" w:sz="4" w:space="0"/>
              <w:bottom w:val="single" w:color="auto" w:sz="4" w:space="0"/>
              <w:right w:val="single" w:color="auto" w:sz="4" w:space="0"/>
            </w:tcBorders>
          </w:tcPr>
          <w:p w14:paraId="68934F81">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6</w:t>
            </w:r>
          </w:p>
        </w:tc>
        <w:tc>
          <w:tcPr>
            <w:tcW w:w="1316" w:type="dxa"/>
            <w:tcBorders>
              <w:top w:val="single" w:color="auto" w:sz="4" w:space="0"/>
              <w:left w:val="single" w:color="auto" w:sz="4" w:space="0"/>
              <w:bottom w:val="single" w:color="auto" w:sz="4" w:space="0"/>
              <w:right w:val="single" w:color="auto" w:sz="4" w:space="0"/>
            </w:tcBorders>
          </w:tcPr>
          <w:p w14:paraId="765DF1A9">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300</w:t>
            </w:r>
          </w:p>
        </w:tc>
        <w:tc>
          <w:tcPr>
            <w:tcW w:w="1778" w:type="dxa"/>
            <w:tcBorders>
              <w:top w:val="single" w:color="auto" w:sz="4" w:space="0"/>
              <w:left w:val="single" w:color="auto" w:sz="4" w:space="0"/>
              <w:bottom w:val="single" w:color="auto" w:sz="4" w:space="0"/>
              <w:right w:val="single" w:color="auto" w:sz="4" w:space="0"/>
            </w:tcBorders>
          </w:tcPr>
          <w:p w14:paraId="0D0CCC85">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3F0EC1FD">
            <w:pPr>
              <w:spacing w:line="240" w:lineRule="auto"/>
              <w:ind w:firstLine="371" w:firstLineChars="177"/>
              <w:rPr>
                <w:rFonts w:hint="eastAsia" w:ascii="宋体" w:hAnsi="宋体" w:eastAsia="宋体"/>
                <w:color w:val="auto"/>
                <w:sz w:val="21"/>
                <w:szCs w:val="21"/>
                <w:highlight w:val="none"/>
              </w:rPr>
            </w:pPr>
          </w:p>
        </w:tc>
      </w:tr>
      <w:tr w14:paraId="6B5B8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6B629A23">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15</w:t>
            </w:r>
          </w:p>
        </w:tc>
        <w:tc>
          <w:tcPr>
            <w:tcW w:w="2076" w:type="dxa"/>
            <w:tcBorders>
              <w:top w:val="single" w:color="auto" w:sz="4" w:space="0"/>
              <w:left w:val="single" w:color="auto" w:sz="4" w:space="0"/>
              <w:bottom w:val="single" w:color="auto" w:sz="4" w:space="0"/>
              <w:right w:val="single" w:color="auto" w:sz="4" w:space="0"/>
            </w:tcBorders>
          </w:tcPr>
          <w:p w14:paraId="40C013EC">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塔吊司机、司索工</w:t>
            </w:r>
          </w:p>
        </w:tc>
        <w:tc>
          <w:tcPr>
            <w:tcW w:w="1185" w:type="dxa"/>
            <w:tcBorders>
              <w:top w:val="single" w:color="auto" w:sz="4" w:space="0"/>
              <w:left w:val="single" w:color="auto" w:sz="4" w:space="0"/>
              <w:bottom w:val="single" w:color="auto" w:sz="4" w:space="0"/>
              <w:right w:val="single" w:color="auto" w:sz="4" w:space="0"/>
            </w:tcBorders>
          </w:tcPr>
          <w:p w14:paraId="23C90B18">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15</w:t>
            </w:r>
          </w:p>
        </w:tc>
        <w:tc>
          <w:tcPr>
            <w:tcW w:w="1316" w:type="dxa"/>
            <w:tcBorders>
              <w:top w:val="single" w:color="auto" w:sz="4" w:space="0"/>
              <w:left w:val="single" w:color="auto" w:sz="4" w:space="0"/>
              <w:bottom w:val="single" w:color="auto" w:sz="4" w:space="0"/>
              <w:right w:val="single" w:color="auto" w:sz="4" w:space="0"/>
            </w:tcBorders>
          </w:tcPr>
          <w:p w14:paraId="72BB60B2">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90</w:t>
            </w:r>
          </w:p>
        </w:tc>
        <w:tc>
          <w:tcPr>
            <w:tcW w:w="1778" w:type="dxa"/>
            <w:tcBorders>
              <w:top w:val="single" w:color="auto" w:sz="4" w:space="0"/>
              <w:left w:val="single" w:color="auto" w:sz="4" w:space="0"/>
              <w:bottom w:val="single" w:color="auto" w:sz="4" w:space="0"/>
              <w:right w:val="single" w:color="auto" w:sz="4" w:space="0"/>
            </w:tcBorders>
          </w:tcPr>
          <w:p w14:paraId="197989B9">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66A537D3">
            <w:pPr>
              <w:spacing w:line="240" w:lineRule="auto"/>
              <w:ind w:firstLine="371" w:firstLineChars="177"/>
              <w:rPr>
                <w:rFonts w:hint="eastAsia" w:ascii="宋体" w:hAnsi="宋体" w:eastAsia="宋体"/>
                <w:color w:val="auto"/>
                <w:sz w:val="21"/>
                <w:szCs w:val="21"/>
                <w:highlight w:val="none"/>
              </w:rPr>
            </w:pPr>
          </w:p>
        </w:tc>
      </w:tr>
      <w:tr w14:paraId="591FF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751" w:type="dxa"/>
            <w:tcBorders>
              <w:top w:val="single" w:color="auto" w:sz="4" w:space="0"/>
              <w:left w:val="single" w:color="auto" w:sz="4" w:space="0"/>
              <w:bottom w:val="single" w:color="auto" w:sz="4" w:space="0"/>
              <w:right w:val="single" w:color="auto" w:sz="4" w:space="0"/>
            </w:tcBorders>
          </w:tcPr>
          <w:p w14:paraId="3255AD50">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16</w:t>
            </w:r>
          </w:p>
        </w:tc>
        <w:tc>
          <w:tcPr>
            <w:tcW w:w="2076" w:type="dxa"/>
            <w:tcBorders>
              <w:top w:val="single" w:color="auto" w:sz="4" w:space="0"/>
              <w:left w:val="single" w:color="auto" w:sz="4" w:space="0"/>
              <w:bottom w:val="single" w:color="auto" w:sz="4" w:space="0"/>
              <w:right w:val="single" w:color="auto" w:sz="4" w:space="0"/>
            </w:tcBorders>
          </w:tcPr>
          <w:p w14:paraId="1BE69CB9">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施工电梯</w:t>
            </w:r>
          </w:p>
        </w:tc>
        <w:tc>
          <w:tcPr>
            <w:tcW w:w="1185" w:type="dxa"/>
            <w:tcBorders>
              <w:top w:val="single" w:color="auto" w:sz="4" w:space="0"/>
              <w:left w:val="single" w:color="auto" w:sz="4" w:space="0"/>
              <w:bottom w:val="single" w:color="auto" w:sz="4" w:space="0"/>
              <w:right w:val="single" w:color="auto" w:sz="4" w:space="0"/>
            </w:tcBorders>
          </w:tcPr>
          <w:p w14:paraId="791723B2">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24</w:t>
            </w:r>
          </w:p>
        </w:tc>
        <w:tc>
          <w:tcPr>
            <w:tcW w:w="1316" w:type="dxa"/>
            <w:tcBorders>
              <w:top w:val="single" w:color="auto" w:sz="4" w:space="0"/>
              <w:left w:val="single" w:color="auto" w:sz="4" w:space="0"/>
              <w:bottom w:val="single" w:color="auto" w:sz="4" w:space="0"/>
              <w:right w:val="single" w:color="auto" w:sz="4" w:space="0"/>
            </w:tcBorders>
          </w:tcPr>
          <w:p w14:paraId="07C1503D">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72</w:t>
            </w:r>
          </w:p>
        </w:tc>
        <w:tc>
          <w:tcPr>
            <w:tcW w:w="1778" w:type="dxa"/>
            <w:tcBorders>
              <w:top w:val="single" w:color="auto" w:sz="4" w:space="0"/>
              <w:left w:val="single" w:color="auto" w:sz="4" w:space="0"/>
              <w:bottom w:val="single" w:color="auto" w:sz="4" w:space="0"/>
              <w:right w:val="single" w:color="auto" w:sz="4" w:space="0"/>
            </w:tcBorders>
          </w:tcPr>
          <w:p w14:paraId="1E2FEF48">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2FFB5CB2">
            <w:pPr>
              <w:spacing w:line="240" w:lineRule="auto"/>
              <w:ind w:firstLine="371" w:firstLineChars="177"/>
              <w:rPr>
                <w:rFonts w:hint="eastAsia" w:ascii="宋体" w:hAnsi="宋体" w:eastAsia="宋体"/>
                <w:color w:val="auto"/>
                <w:sz w:val="21"/>
                <w:szCs w:val="21"/>
                <w:highlight w:val="none"/>
              </w:rPr>
            </w:pPr>
          </w:p>
        </w:tc>
      </w:tr>
      <w:tr w14:paraId="1FDFA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 w:type="dxa"/>
            <w:tcBorders>
              <w:top w:val="single" w:color="auto" w:sz="4" w:space="0"/>
              <w:left w:val="single" w:color="auto" w:sz="4" w:space="0"/>
              <w:bottom w:val="single" w:color="auto" w:sz="4" w:space="0"/>
              <w:right w:val="single" w:color="auto" w:sz="4" w:space="0"/>
            </w:tcBorders>
          </w:tcPr>
          <w:p w14:paraId="39D50E77">
            <w:pPr>
              <w:spacing w:line="240" w:lineRule="auto"/>
              <w:ind w:firstLine="21" w:firstLineChars="10"/>
              <w:rPr>
                <w:rFonts w:hint="eastAsia" w:ascii="宋体" w:hAnsi="宋体" w:eastAsia="宋体"/>
                <w:color w:val="auto"/>
                <w:sz w:val="21"/>
                <w:szCs w:val="21"/>
                <w:highlight w:val="none"/>
              </w:rPr>
            </w:pPr>
            <w:r>
              <w:rPr>
                <w:rFonts w:ascii="宋体" w:hAnsi="宋体" w:eastAsia="宋体"/>
                <w:color w:val="auto"/>
                <w:sz w:val="21"/>
                <w:szCs w:val="21"/>
                <w:highlight w:val="none"/>
              </w:rPr>
              <w:t>17</w:t>
            </w:r>
          </w:p>
        </w:tc>
        <w:tc>
          <w:tcPr>
            <w:tcW w:w="2076" w:type="dxa"/>
            <w:tcBorders>
              <w:top w:val="single" w:color="auto" w:sz="4" w:space="0"/>
              <w:left w:val="single" w:color="auto" w:sz="4" w:space="0"/>
              <w:bottom w:val="single" w:color="auto" w:sz="4" w:space="0"/>
              <w:right w:val="single" w:color="auto" w:sz="4" w:space="0"/>
            </w:tcBorders>
          </w:tcPr>
          <w:p w14:paraId="3D98CF69">
            <w:pPr>
              <w:spacing w:line="240" w:lineRule="auto"/>
              <w:ind w:firstLine="371" w:firstLineChars="177"/>
              <w:rPr>
                <w:rFonts w:hint="eastAsia" w:ascii="宋体" w:hAnsi="宋体" w:eastAsia="宋体"/>
                <w:color w:val="auto"/>
                <w:sz w:val="21"/>
                <w:szCs w:val="21"/>
                <w:highlight w:val="none"/>
              </w:rPr>
            </w:pPr>
            <w:r>
              <w:rPr>
                <w:rFonts w:hint="eastAsia" w:ascii="宋体" w:hAnsi="宋体" w:eastAsia="宋体"/>
                <w:color w:val="auto"/>
                <w:sz w:val="21"/>
                <w:szCs w:val="21"/>
                <w:highlight w:val="none"/>
              </w:rPr>
              <w:t>焊工</w:t>
            </w:r>
          </w:p>
        </w:tc>
        <w:tc>
          <w:tcPr>
            <w:tcW w:w="1185" w:type="dxa"/>
            <w:tcBorders>
              <w:top w:val="single" w:color="auto" w:sz="4" w:space="0"/>
              <w:left w:val="single" w:color="auto" w:sz="4" w:space="0"/>
              <w:bottom w:val="single" w:color="auto" w:sz="4" w:space="0"/>
              <w:right w:val="single" w:color="auto" w:sz="4" w:space="0"/>
            </w:tcBorders>
          </w:tcPr>
          <w:p w14:paraId="2A59C35E">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2</w:t>
            </w:r>
            <w:r>
              <w:rPr>
                <w:rFonts w:hint="eastAsia" w:ascii="宋体" w:hAnsi="宋体" w:eastAsia="宋体"/>
                <w:color w:val="auto"/>
                <w:sz w:val="21"/>
                <w:szCs w:val="21"/>
                <w:highlight w:val="none"/>
              </w:rPr>
              <w:t>4</w:t>
            </w:r>
          </w:p>
        </w:tc>
        <w:tc>
          <w:tcPr>
            <w:tcW w:w="1316" w:type="dxa"/>
            <w:tcBorders>
              <w:top w:val="single" w:color="auto" w:sz="4" w:space="0"/>
              <w:left w:val="single" w:color="auto" w:sz="4" w:space="0"/>
              <w:bottom w:val="single" w:color="auto" w:sz="4" w:space="0"/>
              <w:right w:val="single" w:color="auto" w:sz="4" w:space="0"/>
            </w:tcBorders>
          </w:tcPr>
          <w:p w14:paraId="50A8A6EB">
            <w:pPr>
              <w:spacing w:line="240" w:lineRule="auto"/>
              <w:ind w:firstLine="371" w:firstLineChars="177"/>
              <w:rPr>
                <w:rFonts w:hint="eastAsia" w:ascii="宋体" w:hAnsi="宋体" w:eastAsia="宋体"/>
                <w:color w:val="auto"/>
                <w:sz w:val="21"/>
                <w:szCs w:val="21"/>
                <w:highlight w:val="none"/>
              </w:rPr>
            </w:pPr>
            <w:r>
              <w:rPr>
                <w:rFonts w:ascii="宋体" w:hAnsi="宋体" w:eastAsia="宋体"/>
                <w:color w:val="auto"/>
                <w:sz w:val="21"/>
                <w:szCs w:val="21"/>
                <w:highlight w:val="none"/>
              </w:rPr>
              <w:t>7</w:t>
            </w:r>
            <w:r>
              <w:rPr>
                <w:rFonts w:hint="eastAsia" w:ascii="宋体" w:hAnsi="宋体" w:eastAsia="宋体"/>
                <w:color w:val="auto"/>
                <w:sz w:val="21"/>
                <w:szCs w:val="21"/>
                <w:highlight w:val="none"/>
              </w:rPr>
              <w:t>2</w:t>
            </w:r>
          </w:p>
        </w:tc>
        <w:tc>
          <w:tcPr>
            <w:tcW w:w="1778" w:type="dxa"/>
            <w:tcBorders>
              <w:top w:val="single" w:color="auto" w:sz="4" w:space="0"/>
              <w:left w:val="single" w:color="auto" w:sz="4" w:space="0"/>
              <w:bottom w:val="single" w:color="auto" w:sz="4" w:space="0"/>
              <w:right w:val="single" w:color="auto" w:sz="4" w:space="0"/>
            </w:tcBorders>
          </w:tcPr>
          <w:p w14:paraId="711860EE">
            <w:pPr>
              <w:spacing w:line="240" w:lineRule="auto"/>
              <w:rPr>
                <w:rFonts w:hint="eastAsia" w:ascii="宋体" w:hAnsi="宋体" w:eastAsia="宋体"/>
                <w:color w:val="auto"/>
                <w:sz w:val="21"/>
                <w:szCs w:val="21"/>
                <w:highlight w:val="none"/>
              </w:rPr>
            </w:pPr>
            <w:r>
              <w:rPr>
                <w:rFonts w:hint="eastAsia" w:ascii="宋体" w:hAnsi="宋体" w:eastAsia="宋体"/>
                <w:color w:val="auto"/>
                <w:sz w:val="21"/>
                <w:szCs w:val="21"/>
                <w:highlight w:val="none"/>
              </w:rPr>
              <w:t>按进度计划进场</w:t>
            </w:r>
          </w:p>
        </w:tc>
        <w:tc>
          <w:tcPr>
            <w:tcW w:w="1416" w:type="dxa"/>
            <w:tcBorders>
              <w:top w:val="single" w:color="auto" w:sz="4" w:space="0"/>
              <w:left w:val="single" w:color="auto" w:sz="4" w:space="0"/>
              <w:bottom w:val="single" w:color="auto" w:sz="4" w:space="0"/>
              <w:right w:val="single" w:color="auto" w:sz="4" w:space="0"/>
            </w:tcBorders>
          </w:tcPr>
          <w:p w14:paraId="4F4B8950">
            <w:pPr>
              <w:spacing w:line="240" w:lineRule="auto"/>
              <w:ind w:firstLine="371" w:firstLineChars="177"/>
              <w:rPr>
                <w:rFonts w:hint="eastAsia" w:ascii="宋体" w:hAnsi="宋体" w:eastAsia="宋体"/>
                <w:color w:val="auto"/>
                <w:sz w:val="21"/>
                <w:szCs w:val="21"/>
                <w:highlight w:val="none"/>
              </w:rPr>
            </w:pPr>
          </w:p>
        </w:tc>
      </w:tr>
    </w:tbl>
    <w:p w14:paraId="63695C30">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增大特殊工种的投入，实现两班制轮班作业，计划安排塔吊司机</w:t>
      </w:r>
      <w:r>
        <w:rPr>
          <w:rFonts w:ascii="宋体" w:hAnsi="宋体" w:eastAsia="宋体"/>
          <w:color w:val="auto"/>
          <w:sz w:val="24"/>
          <w:szCs w:val="24"/>
          <w:highlight w:val="none"/>
        </w:rPr>
        <w:t>2人/台，安排塔吊司索工4人/台，安排施工电梯司机3人/台。</w:t>
      </w:r>
    </w:p>
    <w:p w14:paraId="5C028729">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组建突击班</w:t>
      </w:r>
      <w:r>
        <w:rPr>
          <w:rFonts w:ascii="宋体" w:hAnsi="宋体" w:eastAsia="宋体"/>
          <w:color w:val="auto"/>
          <w:sz w:val="24"/>
          <w:szCs w:val="24"/>
          <w:highlight w:val="none"/>
        </w:rPr>
        <w:t>50～80人（木工20～30、铁工20～30、水电工10～20人）突击队应对滞后区域连续突击。</w:t>
      </w:r>
    </w:p>
    <w:p w14:paraId="6808150C">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15. 周边管线（建筑物、构筑物等）变形监测要求</w:t>
      </w:r>
    </w:p>
    <w:p w14:paraId="191C4F71">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在工程整体交付使用前，承包人需已充分考虑现场周边管线（建筑物、构筑物、高压电塔、城际铁路、燃油管道）等情况，并加强周边管线（建筑物、构筑物、高压电塔、城际铁路、燃油管道等）变形监测和采取有效的保护措施。</w:t>
      </w:r>
    </w:p>
    <w:p w14:paraId="6E2072F9">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16. 基坑、高支模、主体沉降监测要求</w:t>
      </w:r>
    </w:p>
    <w:p w14:paraId="6DE79AE3">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在基坑支护和高大支模施工时，承包人需采用合理科学先进工艺，确保按图施工，确保工程安全，避免出现基坑支护和高大支模、主体沉降监测异常（或到达报警值）需要第三方监测单位增加监测点、加大监测频率（次数）的情况。不得因第三方监测单位进行监测而取消或暂停该项工作，保证与第三方监测单位独立同步实时进行基坑、高支模、主体沉降监测。</w:t>
      </w:r>
    </w:p>
    <w:p w14:paraId="692DEDF9">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17. 工程检测承诺书要求</w:t>
      </w:r>
    </w:p>
    <w:p w14:paraId="220F5EDF">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承包人合理安排批次采购合格的建筑材料和设备，采用合理科学先进工艺，确保按图施工，确保工程质量，不得出现工程检测异常的情况（地质原因造成地基及基础检测结果异常除外）：①检测项目、检测数量超过现行国家、行业、省（市）规范、标准和规定的；②检测结果为不合格（或无效）的；③检测结果为不合格或无效造成复检、扩检或采用其他检测手段检测的。</w:t>
      </w:r>
    </w:p>
    <w:p w14:paraId="42B75CB1">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18. </w:t>
      </w:r>
      <w:r>
        <w:rPr>
          <w:rFonts w:ascii="宋体" w:hAnsi="宋体" w:eastAsia="宋体"/>
          <w:color w:val="auto"/>
          <w:sz w:val="24"/>
          <w:szCs w:val="24"/>
          <w:highlight w:val="none"/>
        </w:rPr>
        <w:t>BIM</w:t>
      </w:r>
      <w:r>
        <w:rPr>
          <w:rFonts w:hint="eastAsia" w:ascii="宋体" w:hAnsi="宋体" w:eastAsia="宋体"/>
          <w:color w:val="auto"/>
          <w:sz w:val="24"/>
          <w:szCs w:val="24"/>
          <w:highlight w:val="none"/>
        </w:rPr>
        <w:t>系统建立与管理要求</w:t>
      </w:r>
    </w:p>
    <w:p w14:paraId="0F6BB750">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承包人应充分阅读施工合同并充分了解本工程的要求,做到：</w:t>
      </w:r>
    </w:p>
    <w:p w14:paraId="326436B4">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18.1 在接到发包人进场通知</w:t>
      </w:r>
      <w:r>
        <w:rPr>
          <w:rFonts w:ascii="宋体" w:hAnsi="宋体" w:eastAsia="宋体"/>
          <w:color w:val="auto"/>
          <w:sz w:val="24"/>
          <w:szCs w:val="24"/>
          <w:highlight w:val="none"/>
        </w:rPr>
        <w:t>5</w:t>
      </w:r>
      <w:r>
        <w:rPr>
          <w:rFonts w:hint="eastAsia" w:ascii="宋体" w:hAnsi="宋体" w:eastAsia="宋体"/>
          <w:color w:val="auto"/>
          <w:sz w:val="24"/>
          <w:szCs w:val="24"/>
          <w:highlight w:val="none"/>
        </w:rPr>
        <w:t>天内组建</w:t>
      </w:r>
      <w:r>
        <w:rPr>
          <w:rFonts w:ascii="宋体" w:hAnsi="宋体" w:eastAsia="宋体"/>
          <w:color w:val="auto"/>
          <w:sz w:val="24"/>
          <w:szCs w:val="24"/>
          <w:highlight w:val="none"/>
        </w:rPr>
        <w:t>BIM</w:t>
      </w:r>
      <w:r>
        <w:rPr>
          <w:rFonts w:hint="eastAsia" w:ascii="宋体" w:hAnsi="宋体" w:eastAsia="宋体"/>
          <w:color w:val="auto"/>
          <w:sz w:val="24"/>
          <w:szCs w:val="24"/>
          <w:highlight w:val="none"/>
        </w:rPr>
        <w:t>系统管理小组，并向发包人提交</w:t>
      </w:r>
      <w:r>
        <w:rPr>
          <w:rFonts w:ascii="宋体" w:hAnsi="宋体" w:eastAsia="宋体"/>
          <w:color w:val="auto"/>
          <w:sz w:val="24"/>
          <w:szCs w:val="24"/>
          <w:highlight w:val="none"/>
        </w:rPr>
        <w:t>BIM</w:t>
      </w:r>
      <w:r>
        <w:rPr>
          <w:rFonts w:hint="eastAsia" w:ascii="宋体" w:hAnsi="宋体" w:eastAsia="宋体"/>
          <w:color w:val="auto"/>
          <w:sz w:val="24"/>
          <w:szCs w:val="24"/>
          <w:highlight w:val="none"/>
        </w:rPr>
        <w:t>组织架构表和执行计划书。</w:t>
      </w:r>
    </w:p>
    <w:p w14:paraId="49936B89">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18.2 确保自身</w:t>
      </w:r>
      <w:r>
        <w:rPr>
          <w:rFonts w:ascii="宋体" w:hAnsi="宋体" w:eastAsia="宋体"/>
          <w:color w:val="auto"/>
          <w:sz w:val="24"/>
          <w:szCs w:val="24"/>
          <w:highlight w:val="none"/>
        </w:rPr>
        <w:t>BIM</w:t>
      </w:r>
      <w:r>
        <w:rPr>
          <w:rFonts w:hint="eastAsia" w:ascii="宋体" w:hAnsi="宋体" w:eastAsia="宋体"/>
          <w:color w:val="auto"/>
          <w:sz w:val="24"/>
          <w:szCs w:val="24"/>
          <w:highlight w:val="none"/>
        </w:rPr>
        <w:t>工作开展，在</w:t>
      </w:r>
      <w:r>
        <w:rPr>
          <w:rFonts w:ascii="宋体" w:hAnsi="宋体" w:eastAsia="宋体"/>
          <w:color w:val="auto"/>
          <w:sz w:val="24"/>
          <w:szCs w:val="24"/>
          <w:highlight w:val="none"/>
        </w:rPr>
        <w:t>BIM</w:t>
      </w:r>
      <w:r>
        <w:rPr>
          <w:rFonts w:hint="eastAsia" w:ascii="宋体" w:hAnsi="宋体" w:eastAsia="宋体"/>
          <w:color w:val="auto"/>
          <w:sz w:val="24"/>
          <w:szCs w:val="24"/>
          <w:highlight w:val="none"/>
        </w:rPr>
        <w:t>系统管理小组成立</w:t>
      </w:r>
      <w:r>
        <w:rPr>
          <w:rFonts w:ascii="宋体" w:hAnsi="宋体" w:eastAsia="宋体"/>
          <w:color w:val="auto"/>
          <w:sz w:val="24"/>
          <w:szCs w:val="24"/>
          <w:highlight w:val="none"/>
        </w:rPr>
        <w:t>3</w:t>
      </w:r>
      <w:r>
        <w:rPr>
          <w:rFonts w:hint="eastAsia" w:ascii="宋体" w:hAnsi="宋体" w:eastAsia="宋体"/>
          <w:color w:val="auto"/>
          <w:sz w:val="24"/>
          <w:szCs w:val="24"/>
          <w:highlight w:val="none"/>
        </w:rPr>
        <w:t>天内准备工作所需的软、硬件工作条件。</w:t>
      </w:r>
    </w:p>
    <w:p w14:paraId="37913FEF">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18.3 在接到发包人进场通知</w:t>
      </w:r>
      <w:r>
        <w:rPr>
          <w:rFonts w:ascii="宋体" w:hAnsi="宋体" w:eastAsia="宋体"/>
          <w:color w:val="auto"/>
          <w:sz w:val="24"/>
          <w:szCs w:val="24"/>
          <w:highlight w:val="none"/>
        </w:rPr>
        <w:t>15</w:t>
      </w:r>
      <w:r>
        <w:rPr>
          <w:rFonts w:hint="eastAsia" w:ascii="宋体" w:hAnsi="宋体" w:eastAsia="宋体"/>
          <w:color w:val="auto"/>
          <w:sz w:val="24"/>
          <w:szCs w:val="24"/>
          <w:highlight w:val="none"/>
        </w:rPr>
        <w:t>天内，完成项目建筑结构及机电管线系统的建模工作。在工程实施的全过程中始终对信息模型进行必要的维护与管理，确保建筑信息模型与现场施工的一致性，直至竣工完成，将模型移交给发包人。</w:t>
      </w:r>
    </w:p>
    <w:p w14:paraId="5A4E938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18.4 在接到发包人进场通知</w:t>
      </w:r>
      <w:r>
        <w:rPr>
          <w:rFonts w:ascii="宋体" w:hAnsi="宋体" w:eastAsia="宋体"/>
          <w:color w:val="auto"/>
          <w:sz w:val="24"/>
          <w:szCs w:val="24"/>
          <w:highlight w:val="none"/>
        </w:rPr>
        <w:t>60</w:t>
      </w:r>
      <w:r>
        <w:rPr>
          <w:rFonts w:hint="eastAsia" w:ascii="宋体" w:hAnsi="宋体" w:eastAsia="宋体"/>
          <w:color w:val="auto"/>
          <w:sz w:val="24"/>
          <w:szCs w:val="24"/>
          <w:highlight w:val="none"/>
        </w:rPr>
        <w:t>天内，根据建筑信息模型完成±</w:t>
      </w:r>
      <w:r>
        <w:rPr>
          <w:rFonts w:ascii="宋体" w:hAnsi="宋体" w:eastAsia="宋体"/>
          <w:color w:val="auto"/>
          <w:sz w:val="24"/>
          <w:szCs w:val="24"/>
          <w:highlight w:val="none"/>
        </w:rPr>
        <w:t>0.00</w:t>
      </w:r>
      <w:r>
        <w:rPr>
          <w:rFonts w:hint="eastAsia" w:ascii="宋体" w:hAnsi="宋体" w:eastAsia="宋体"/>
          <w:color w:val="auto"/>
          <w:sz w:val="24"/>
          <w:szCs w:val="24"/>
          <w:highlight w:val="none"/>
        </w:rPr>
        <w:t>以下合理建筑结构、机电管线系统深化设计及优化建议；在接到发包人进场通知</w:t>
      </w:r>
      <w:r>
        <w:rPr>
          <w:rFonts w:ascii="宋体" w:hAnsi="宋体" w:eastAsia="宋体"/>
          <w:color w:val="auto"/>
          <w:sz w:val="24"/>
          <w:szCs w:val="24"/>
          <w:highlight w:val="none"/>
        </w:rPr>
        <w:t>120</w:t>
      </w:r>
      <w:r>
        <w:rPr>
          <w:rFonts w:hint="eastAsia" w:ascii="宋体" w:hAnsi="宋体" w:eastAsia="宋体"/>
          <w:color w:val="auto"/>
          <w:sz w:val="24"/>
          <w:szCs w:val="24"/>
          <w:highlight w:val="none"/>
        </w:rPr>
        <w:t>天内，根据建筑信息模型完成±</w:t>
      </w:r>
      <w:r>
        <w:rPr>
          <w:rFonts w:ascii="宋体" w:hAnsi="宋体" w:eastAsia="宋体"/>
          <w:color w:val="auto"/>
          <w:sz w:val="24"/>
          <w:szCs w:val="24"/>
          <w:highlight w:val="none"/>
        </w:rPr>
        <w:t>0.00</w:t>
      </w:r>
      <w:r>
        <w:rPr>
          <w:rFonts w:hint="eastAsia" w:ascii="宋体" w:hAnsi="宋体" w:eastAsia="宋体"/>
          <w:color w:val="auto"/>
          <w:sz w:val="24"/>
          <w:szCs w:val="24"/>
          <w:highlight w:val="none"/>
        </w:rPr>
        <w:t>以上合理建筑结构、机电管线系统深化设计及优化建议。</w:t>
      </w:r>
    </w:p>
    <w:p w14:paraId="137DBA58">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18.5 在项目实施服务期间，通过项目管理系统向发包人提供项目的管理过程信息。</w:t>
      </w:r>
    </w:p>
    <w:p w14:paraId="59628CD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18.6 工程竣工后，</w:t>
      </w:r>
      <w:r>
        <w:rPr>
          <w:rFonts w:ascii="宋体" w:hAnsi="宋体" w:eastAsia="宋体"/>
          <w:color w:val="auto"/>
          <w:sz w:val="24"/>
          <w:szCs w:val="24"/>
          <w:highlight w:val="none"/>
        </w:rPr>
        <w:t>60</w:t>
      </w:r>
      <w:r>
        <w:rPr>
          <w:rFonts w:hint="eastAsia" w:ascii="宋体" w:hAnsi="宋体" w:eastAsia="宋体"/>
          <w:color w:val="auto"/>
          <w:sz w:val="24"/>
          <w:szCs w:val="24"/>
          <w:highlight w:val="none"/>
        </w:rPr>
        <w:t>天内完成竣工三维建筑信息模型，并于一年内无偿提供至少</w:t>
      </w:r>
      <w:r>
        <w:rPr>
          <w:rFonts w:ascii="宋体" w:hAnsi="宋体" w:eastAsia="宋体"/>
          <w:color w:val="auto"/>
          <w:sz w:val="24"/>
          <w:szCs w:val="24"/>
          <w:highlight w:val="none"/>
        </w:rPr>
        <w:t>3</w:t>
      </w:r>
      <w:r>
        <w:rPr>
          <w:rFonts w:hint="eastAsia" w:ascii="宋体" w:hAnsi="宋体" w:eastAsia="宋体"/>
          <w:color w:val="auto"/>
          <w:sz w:val="24"/>
          <w:szCs w:val="24"/>
          <w:highlight w:val="none"/>
        </w:rPr>
        <w:t>次培训及服务，以方便物业维护与管理。</w:t>
      </w:r>
    </w:p>
    <w:p w14:paraId="34C13FB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18.7 在BIM投标报价中已综合考虑</w:t>
      </w:r>
      <w:r>
        <w:rPr>
          <w:rFonts w:ascii="宋体" w:hAnsi="宋体" w:eastAsia="宋体"/>
          <w:color w:val="auto"/>
          <w:sz w:val="24"/>
          <w:szCs w:val="24"/>
          <w:highlight w:val="none"/>
        </w:rPr>
        <w:t>BIM</w:t>
      </w:r>
      <w:r>
        <w:rPr>
          <w:rFonts w:hint="eastAsia" w:ascii="宋体" w:hAnsi="宋体" w:eastAsia="宋体"/>
          <w:color w:val="auto"/>
          <w:sz w:val="24"/>
          <w:szCs w:val="24"/>
          <w:highlight w:val="none"/>
        </w:rPr>
        <w:t>系统建立与管理等全部费用。</w:t>
      </w:r>
    </w:p>
    <w:p w14:paraId="74B6FB44">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18.8 施工单位自主进行建模，每个月工程量要求在</w:t>
      </w:r>
      <w:r>
        <w:rPr>
          <w:rFonts w:ascii="宋体" w:hAnsi="宋体" w:eastAsia="宋体"/>
          <w:color w:val="auto"/>
          <w:sz w:val="24"/>
          <w:szCs w:val="24"/>
          <w:highlight w:val="none"/>
        </w:rPr>
        <w:t>BIM</w:t>
      </w:r>
      <w:r>
        <w:rPr>
          <w:rFonts w:hint="eastAsia" w:ascii="宋体" w:hAnsi="宋体" w:eastAsia="宋体"/>
          <w:color w:val="auto"/>
          <w:sz w:val="24"/>
          <w:szCs w:val="24"/>
          <w:highlight w:val="none"/>
        </w:rPr>
        <w:t>系统中体现。</w:t>
      </w:r>
    </w:p>
    <w:p w14:paraId="2AD25617">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19. 及时支付劳动者报酬要求</w:t>
      </w:r>
    </w:p>
    <w:p w14:paraId="623D89E5">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19.1 根据国家和当地劳动法规，需与本项目施工的所有劳动者（含农民工、下同）签订了劳动合同，并严格履行支付劳动报酬等合同义务。</w:t>
      </w:r>
    </w:p>
    <w:p w14:paraId="6DDFF25A">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19.2 工程款应优先用于支付劳动者报酬。</w:t>
      </w:r>
    </w:p>
    <w:p w14:paraId="4361509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19.3 若在本项目上发生拖欠、克扣劳动者报酬行为的，或者因该项目劳动者报酬纠纷使得发包人可能涉及诉讼、仲裁、或其他不利影响时，发包人有权从承包人工程款中扣除相应款项，直接支付给相关的劳动者，并有权解除施工合同，承包人赔偿因此而给发包人造成的一切损失。</w:t>
      </w:r>
    </w:p>
    <w:p w14:paraId="075CBDD8">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20. 专业工程深化设计要求</w:t>
      </w:r>
    </w:p>
    <w:p w14:paraId="0BEBC1E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承包人进场后安排、落实有资质的单位编制专业工程深化设计图，包括但不限于以下（具体详图纸）内容：</w:t>
      </w:r>
      <w:r>
        <w:rPr>
          <w:rFonts w:ascii="宋体" w:hAnsi="宋体" w:eastAsia="宋体"/>
          <w:color w:val="auto"/>
          <w:sz w:val="24"/>
          <w:szCs w:val="24"/>
          <w:highlight w:val="none"/>
        </w:rPr>
        <w:t>1</w:t>
      </w:r>
      <w:r>
        <w:rPr>
          <w:rFonts w:hint="eastAsia" w:ascii="宋体" w:hAnsi="宋体" w:eastAsia="宋体"/>
          <w:color w:val="auto"/>
          <w:sz w:val="24"/>
          <w:szCs w:val="24"/>
          <w:highlight w:val="none"/>
        </w:rPr>
        <w:t>、装配式建筑节点拼装深化图；</w:t>
      </w:r>
      <w:r>
        <w:rPr>
          <w:rFonts w:ascii="宋体" w:hAnsi="宋体" w:eastAsia="宋体"/>
          <w:color w:val="auto"/>
          <w:sz w:val="24"/>
          <w:szCs w:val="24"/>
          <w:highlight w:val="none"/>
        </w:rPr>
        <w:t>2</w:t>
      </w:r>
      <w:r>
        <w:rPr>
          <w:rFonts w:hint="eastAsia" w:ascii="宋体" w:hAnsi="宋体" w:eastAsia="宋体"/>
          <w:color w:val="auto"/>
          <w:sz w:val="24"/>
          <w:szCs w:val="24"/>
          <w:highlight w:val="none"/>
        </w:rPr>
        <w:t>、装饰装修深化图；</w:t>
      </w:r>
      <w:r>
        <w:rPr>
          <w:rFonts w:ascii="宋体" w:hAnsi="宋体" w:eastAsia="宋体"/>
          <w:color w:val="auto"/>
          <w:sz w:val="24"/>
          <w:szCs w:val="24"/>
          <w:highlight w:val="none"/>
        </w:rPr>
        <w:t>3</w:t>
      </w:r>
      <w:r>
        <w:rPr>
          <w:rFonts w:hint="eastAsia" w:ascii="宋体" w:hAnsi="宋体" w:eastAsia="宋体"/>
          <w:color w:val="auto"/>
          <w:sz w:val="24"/>
          <w:szCs w:val="24"/>
          <w:highlight w:val="none"/>
        </w:rPr>
        <w:t>、幕墙深化图；</w:t>
      </w:r>
      <w:r>
        <w:rPr>
          <w:rFonts w:ascii="宋体" w:hAnsi="宋体" w:eastAsia="宋体"/>
          <w:color w:val="auto"/>
          <w:sz w:val="24"/>
          <w:szCs w:val="24"/>
          <w:highlight w:val="none"/>
        </w:rPr>
        <w:t>4</w:t>
      </w:r>
      <w:r>
        <w:rPr>
          <w:rFonts w:hint="eastAsia" w:ascii="宋体" w:hAnsi="宋体" w:eastAsia="宋体"/>
          <w:color w:val="auto"/>
          <w:sz w:val="24"/>
          <w:szCs w:val="24"/>
          <w:highlight w:val="none"/>
        </w:rPr>
        <w:t>、暖通空调及设备安装深化图；</w:t>
      </w:r>
      <w:r>
        <w:rPr>
          <w:rFonts w:ascii="宋体" w:hAnsi="宋体" w:eastAsia="宋体"/>
          <w:color w:val="auto"/>
          <w:sz w:val="24"/>
          <w:szCs w:val="24"/>
          <w:highlight w:val="none"/>
        </w:rPr>
        <w:t>5</w:t>
      </w:r>
      <w:r>
        <w:rPr>
          <w:rFonts w:hint="eastAsia" w:ascii="宋体" w:hAnsi="宋体" w:eastAsia="宋体"/>
          <w:color w:val="auto"/>
          <w:sz w:val="24"/>
          <w:szCs w:val="24"/>
          <w:highlight w:val="none"/>
        </w:rPr>
        <w:t>、钢结构图；</w:t>
      </w:r>
      <w:r>
        <w:rPr>
          <w:rFonts w:ascii="宋体" w:hAnsi="宋体" w:eastAsia="宋体"/>
          <w:color w:val="auto"/>
          <w:sz w:val="24"/>
          <w:szCs w:val="24"/>
          <w:highlight w:val="none"/>
        </w:rPr>
        <w:t>6</w:t>
      </w:r>
      <w:r>
        <w:rPr>
          <w:rFonts w:hint="eastAsia" w:ascii="宋体" w:hAnsi="宋体" w:eastAsia="宋体"/>
          <w:color w:val="auto"/>
          <w:sz w:val="24"/>
          <w:szCs w:val="24"/>
          <w:highlight w:val="none"/>
        </w:rPr>
        <w:t>、厨房专业图；</w:t>
      </w:r>
      <w:r>
        <w:rPr>
          <w:rFonts w:ascii="宋体" w:hAnsi="宋体" w:eastAsia="宋体"/>
          <w:color w:val="auto"/>
          <w:sz w:val="24"/>
          <w:szCs w:val="24"/>
          <w:highlight w:val="none"/>
        </w:rPr>
        <w:t>7</w:t>
      </w:r>
      <w:r>
        <w:rPr>
          <w:rFonts w:hint="eastAsia" w:ascii="宋体" w:hAnsi="宋体" w:eastAsia="宋体"/>
          <w:color w:val="auto"/>
          <w:sz w:val="24"/>
          <w:szCs w:val="24"/>
          <w:highlight w:val="none"/>
        </w:rPr>
        <w:t>、地下室管线综合图、室外管网综合图；</w:t>
      </w:r>
      <w:r>
        <w:rPr>
          <w:rFonts w:ascii="宋体" w:hAnsi="宋体" w:eastAsia="宋体"/>
          <w:color w:val="auto"/>
          <w:sz w:val="24"/>
          <w:szCs w:val="24"/>
          <w:highlight w:val="none"/>
        </w:rPr>
        <w:t>8</w:t>
      </w:r>
      <w:r>
        <w:rPr>
          <w:rFonts w:hint="eastAsia" w:ascii="宋体" w:hAnsi="宋体" w:eastAsia="宋体"/>
          <w:color w:val="auto"/>
          <w:sz w:val="24"/>
          <w:szCs w:val="24"/>
          <w:highlight w:val="none"/>
        </w:rPr>
        <w:t>、电井设施布置图；</w:t>
      </w:r>
      <w:r>
        <w:rPr>
          <w:rFonts w:ascii="宋体" w:hAnsi="宋体" w:eastAsia="宋体"/>
          <w:color w:val="auto"/>
          <w:sz w:val="24"/>
          <w:szCs w:val="24"/>
          <w:highlight w:val="none"/>
        </w:rPr>
        <w:t>9</w:t>
      </w:r>
      <w:r>
        <w:rPr>
          <w:rFonts w:hint="eastAsia" w:ascii="宋体" w:hAnsi="宋体" w:eastAsia="宋体"/>
          <w:color w:val="auto"/>
          <w:sz w:val="24"/>
          <w:szCs w:val="24"/>
          <w:highlight w:val="none"/>
        </w:rPr>
        <w:t>、电梯机房布置图；</w:t>
      </w:r>
      <w:r>
        <w:rPr>
          <w:rFonts w:ascii="宋体" w:hAnsi="宋体" w:eastAsia="宋体"/>
          <w:color w:val="auto"/>
          <w:sz w:val="24"/>
          <w:szCs w:val="24"/>
          <w:highlight w:val="none"/>
        </w:rPr>
        <w:t>10</w:t>
      </w:r>
      <w:r>
        <w:rPr>
          <w:rFonts w:hint="eastAsia" w:ascii="宋体" w:hAnsi="宋体" w:eastAsia="宋体"/>
          <w:color w:val="auto"/>
          <w:sz w:val="24"/>
          <w:szCs w:val="24"/>
          <w:highlight w:val="none"/>
        </w:rPr>
        <w:t>、发电机房及环保设施深化图；</w:t>
      </w:r>
      <w:r>
        <w:rPr>
          <w:rFonts w:ascii="宋体" w:hAnsi="宋体" w:eastAsia="宋体"/>
          <w:color w:val="auto"/>
          <w:sz w:val="24"/>
          <w:szCs w:val="24"/>
          <w:highlight w:val="none"/>
        </w:rPr>
        <w:t>11</w:t>
      </w:r>
      <w:r>
        <w:rPr>
          <w:rFonts w:hint="eastAsia" w:ascii="宋体" w:hAnsi="宋体" w:eastAsia="宋体"/>
          <w:color w:val="auto"/>
          <w:sz w:val="24"/>
          <w:szCs w:val="24"/>
          <w:highlight w:val="none"/>
        </w:rPr>
        <w:t>、高低压配电房深化图（须供电部门认可）；</w:t>
      </w:r>
      <w:r>
        <w:rPr>
          <w:rFonts w:ascii="宋体" w:hAnsi="宋体" w:eastAsia="宋体"/>
          <w:color w:val="auto"/>
          <w:sz w:val="24"/>
          <w:szCs w:val="24"/>
          <w:highlight w:val="none"/>
        </w:rPr>
        <w:t>12</w:t>
      </w:r>
      <w:r>
        <w:rPr>
          <w:rFonts w:hint="eastAsia" w:ascii="宋体" w:hAnsi="宋体" w:eastAsia="宋体"/>
          <w:color w:val="auto"/>
          <w:sz w:val="24"/>
          <w:szCs w:val="24"/>
          <w:highlight w:val="none"/>
        </w:rPr>
        <w:t>、给排水工程及设备机房深化图；</w:t>
      </w:r>
      <w:r>
        <w:rPr>
          <w:rFonts w:ascii="宋体" w:hAnsi="宋体" w:eastAsia="宋体"/>
          <w:color w:val="auto"/>
          <w:sz w:val="24"/>
          <w:szCs w:val="24"/>
          <w:highlight w:val="none"/>
        </w:rPr>
        <w:t>13</w:t>
      </w:r>
      <w:r>
        <w:rPr>
          <w:rFonts w:hint="eastAsia" w:ascii="宋体" w:hAnsi="宋体" w:eastAsia="宋体"/>
          <w:color w:val="auto"/>
          <w:sz w:val="24"/>
          <w:szCs w:val="24"/>
          <w:highlight w:val="none"/>
        </w:rPr>
        <w:t>、智能化系统深化图；</w:t>
      </w:r>
      <w:r>
        <w:rPr>
          <w:rFonts w:ascii="宋体" w:hAnsi="宋体" w:eastAsia="宋体"/>
          <w:color w:val="auto"/>
          <w:sz w:val="24"/>
          <w:szCs w:val="24"/>
          <w:highlight w:val="none"/>
        </w:rPr>
        <w:t>14</w:t>
      </w:r>
      <w:r>
        <w:rPr>
          <w:rFonts w:hint="eastAsia" w:ascii="宋体" w:hAnsi="宋体" w:eastAsia="宋体"/>
          <w:color w:val="auto"/>
          <w:sz w:val="24"/>
          <w:szCs w:val="24"/>
          <w:highlight w:val="none"/>
        </w:rPr>
        <w:t>、精装交房深化图；</w:t>
      </w:r>
      <w:r>
        <w:rPr>
          <w:rFonts w:ascii="宋体" w:hAnsi="宋体" w:eastAsia="宋体"/>
          <w:color w:val="auto"/>
          <w:sz w:val="24"/>
          <w:szCs w:val="24"/>
          <w:highlight w:val="none"/>
        </w:rPr>
        <w:t>15</w:t>
      </w:r>
      <w:r>
        <w:rPr>
          <w:rFonts w:hint="eastAsia" w:ascii="宋体" w:hAnsi="宋体" w:eastAsia="宋体"/>
          <w:color w:val="auto"/>
          <w:sz w:val="24"/>
          <w:szCs w:val="24"/>
          <w:highlight w:val="none"/>
        </w:rPr>
        <w:t>、园林景观深化图；</w:t>
      </w:r>
      <w:r>
        <w:rPr>
          <w:rFonts w:ascii="宋体" w:hAnsi="宋体" w:eastAsia="宋体"/>
          <w:color w:val="auto"/>
          <w:sz w:val="24"/>
          <w:szCs w:val="24"/>
          <w:highlight w:val="none"/>
        </w:rPr>
        <w:t>16</w:t>
      </w:r>
      <w:r>
        <w:rPr>
          <w:rFonts w:hint="eastAsia" w:ascii="宋体" w:hAnsi="宋体" w:eastAsia="宋体"/>
          <w:color w:val="auto"/>
          <w:sz w:val="24"/>
          <w:szCs w:val="24"/>
          <w:highlight w:val="none"/>
        </w:rPr>
        <w:t>、临水和永久用水深化图（须供水部门认可）；</w:t>
      </w:r>
      <w:r>
        <w:rPr>
          <w:rFonts w:ascii="宋体" w:hAnsi="宋体" w:eastAsia="宋体"/>
          <w:color w:val="auto"/>
          <w:sz w:val="24"/>
          <w:szCs w:val="24"/>
          <w:highlight w:val="none"/>
        </w:rPr>
        <w:t>17</w:t>
      </w:r>
      <w:r>
        <w:rPr>
          <w:rFonts w:hint="eastAsia" w:ascii="宋体" w:hAnsi="宋体" w:eastAsia="宋体"/>
          <w:color w:val="auto"/>
          <w:sz w:val="24"/>
          <w:szCs w:val="24"/>
          <w:highlight w:val="none"/>
        </w:rPr>
        <w:t>、临电和永久用电深化图（须供电部门认可）；</w:t>
      </w:r>
      <w:r>
        <w:rPr>
          <w:rFonts w:ascii="宋体" w:hAnsi="宋体" w:eastAsia="宋体"/>
          <w:color w:val="auto"/>
          <w:sz w:val="24"/>
          <w:szCs w:val="24"/>
          <w:highlight w:val="none"/>
        </w:rPr>
        <w:t>18</w:t>
      </w:r>
      <w:r>
        <w:rPr>
          <w:rFonts w:hint="eastAsia" w:ascii="宋体" w:hAnsi="宋体" w:eastAsia="宋体"/>
          <w:color w:val="auto"/>
          <w:sz w:val="24"/>
          <w:szCs w:val="24"/>
          <w:highlight w:val="none"/>
        </w:rPr>
        <w:t>、市政道路及配套设施管线综合平衡图；</w:t>
      </w:r>
      <w:r>
        <w:rPr>
          <w:rFonts w:ascii="宋体" w:hAnsi="宋体" w:eastAsia="宋体"/>
          <w:color w:val="auto"/>
          <w:sz w:val="24"/>
          <w:szCs w:val="24"/>
          <w:highlight w:val="none"/>
        </w:rPr>
        <w:t>19</w:t>
      </w:r>
      <w:r>
        <w:rPr>
          <w:rFonts w:hint="eastAsia" w:ascii="宋体" w:hAnsi="宋体" w:eastAsia="宋体"/>
          <w:color w:val="auto"/>
          <w:sz w:val="24"/>
          <w:szCs w:val="24"/>
          <w:highlight w:val="none"/>
        </w:rPr>
        <w:t>、铝合金门窗等；</w:t>
      </w:r>
      <w:r>
        <w:rPr>
          <w:rFonts w:ascii="宋体" w:hAnsi="宋体" w:eastAsia="宋体"/>
          <w:color w:val="auto"/>
          <w:sz w:val="24"/>
          <w:szCs w:val="24"/>
          <w:highlight w:val="none"/>
        </w:rPr>
        <w:t>20</w:t>
      </w:r>
      <w:r>
        <w:rPr>
          <w:rFonts w:hint="eastAsia" w:ascii="宋体" w:hAnsi="宋体" w:eastAsia="宋体"/>
          <w:color w:val="auto"/>
          <w:sz w:val="24"/>
          <w:szCs w:val="24"/>
          <w:highlight w:val="none"/>
        </w:rPr>
        <w:t>、砌体摆砖编号图；</w:t>
      </w:r>
      <w:r>
        <w:rPr>
          <w:rFonts w:ascii="宋体" w:hAnsi="宋体" w:eastAsia="宋体"/>
          <w:color w:val="auto"/>
          <w:sz w:val="24"/>
          <w:szCs w:val="24"/>
          <w:highlight w:val="none"/>
        </w:rPr>
        <w:t>21</w:t>
      </w:r>
      <w:r>
        <w:rPr>
          <w:rFonts w:hint="eastAsia" w:ascii="宋体" w:hAnsi="宋体" w:eastAsia="宋体"/>
          <w:color w:val="auto"/>
          <w:sz w:val="24"/>
          <w:szCs w:val="24"/>
          <w:highlight w:val="none"/>
        </w:rPr>
        <w:t>、人防工程深化设计图；2</w:t>
      </w:r>
      <w:r>
        <w:rPr>
          <w:rFonts w:ascii="宋体" w:hAnsi="宋体" w:eastAsia="宋体"/>
          <w:color w:val="auto"/>
          <w:sz w:val="24"/>
          <w:szCs w:val="24"/>
          <w:highlight w:val="none"/>
        </w:rPr>
        <w:t>2、燃气工程深化设计图；23、施工期临时交通优化设计图</w:t>
      </w:r>
      <w:r>
        <w:rPr>
          <w:rFonts w:hint="eastAsia" w:ascii="宋体" w:hAnsi="宋体" w:eastAsia="宋体"/>
          <w:color w:val="auto"/>
          <w:sz w:val="24"/>
          <w:szCs w:val="24"/>
          <w:highlight w:val="none"/>
        </w:rPr>
        <w:t>；24、模块化建筑深化图。并于收到开工令后</w:t>
      </w:r>
      <w:r>
        <w:rPr>
          <w:rFonts w:ascii="宋体" w:hAnsi="宋体" w:eastAsia="宋体"/>
          <w:color w:val="auto"/>
          <w:sz w:val="24"/>
          <w:szCs w:val="24"/>
          <w:highlight w:val="none"/>
        </w:rPr>
        <w:t>3</w:t>
      </w:r>
      <w:r>
        <w:rPr>
          <w:rFonts w:hint="eastAsia" w:ascii="宋体" w:hAnsi="宋体" w:eastAsia="宋体"/>
          <w:color w:val="auto"/>
          <w:sz w:val="24"/>
          <w:szCs w:val="24"/>
          <w:highlight w:val="none"/>
        </w:rPr>
        <w:t>个月完成，并完善审批手续。</w:t>
      </w:r>
    </w:p>
    <w:p w14:paraId="6E7AFB8E">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21. 水电空转要求</w:t>
      </w:r>
    </w:p>
    <w:p w14:paraId="7F1176B6">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21.1 </w:t>
      </w:r>
      <w:r>
        <w:rPr>
          <w:rFonts w:ascii="宋体" w:hAnsi="宋体" w:eastAsia="宋体"/>
          <w:color w:val="auto"/>
          <w:sz w:val="24"/>
          <w:szCs w:val="24"/>
          <w:highlight w:val="none"/>
        </w:rPr>
        <w:t>前期的空置（损耗）费用由</w:t>
      </w:r>
      <w:r>
        <w:rPr>
          <w:rFonts w:hint="eastAsia" w:ascii="宋体" w:hAnsi="宋体" w:eastAsia="宋体"/>
          <w:color w:val="auto"/>
          <w:sz w:val="24"/>
          <w:szCs w:val="24"/>
          <w:highlight w:val="none"/>
        </w:rPr>
        <w:t>承包人</w:t>
      </w:r>
      <w:r>
        <w:rPr>
          <w:rFonts w:ascii="宋体" w:hAnsi="宋体" w:eastAsia="宋体"/>
          <w:color w:val="auto"/>
          <w:sz w:val="24"/>
          <w:szCs w:val="24"/>
          <w:highlight w:val="none"/>
        </w:rPr>
        <w:t>自行承担；</w:t>
      </w:r>
    </w:p>
    <w:p w14:paraId="5C041555">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21.2 </w:t>
      </w:r>
      <w:r>
        <w:rPr>
          <w:rFonts w:ascii="宋体" w:hAnsi="宋体" w:eastAsia="宋体"/>
          <w:color w:val="auto"/>
          <w:sz w:val="24"/>
          <w:szCs w:val="24"/>
          <w:highlight w:val="none"/>
        </w:rPr>
        <w:t>所产生的费用已在投标总价中综合考虑，不要求发包人增加；</w:t>
      </w:r>
    </w:p>
    <w:p w14:paraId="23B34967">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22. 地磅磅秤安装配合要求</w:t>
      </w:r>
    </w:p>
    <w:p w14:paraId="3013C0FF">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22.1 承包人应配合工程设计变更、工程量签证确认工作，保证无条件在项目现场安装</w:t>
      </w:r>
      <w:r>
        <w:rPr>
          <w:rFonts w:ascii="宋体" w:hAnsi="宋体" w:eastAsia="宋体"/>
          <w:color w:val="auto"/>
          <w:sz w:val="24"/>
          <w:szCs w:val="24"/>
          <w:highlight w:val="none"/>
        </w:rPr>
        <w:t>120</w:t>
      </w:r>
      <w:r>
        <w:rPr>
          <w:rFonts w:hint="eastAsia" w:ascii="宋体" w:hAnsi="宋体" w:eastAsia="宋体"/>
          <w:color w:val="auto"/>
          <w:sz w:val="24"/>
          <w:szCs w:val="24"/>
          <w:highlight w:val="none"/>
        </w:rPr>
        <w:t>吨</w:t>
      </w:r>
      <w:r>
        <w:rPr>
          <w:rFonts w:ascii="宋体" w:hAnsi="宋体" w:eastAsia="宋体"/>
          <w:color w:val="auto"/>
          <w:sz w:val="24"/>
          <w:szCs w:val="24"/>
          <w:highlight w:val="none"/>
        </w:rPr>
        <w:t>3M*18M</w:t>
      </w:r>
      <w:r>
        <w:rPr>
          <w:rFonts w:hint="eastAsia" w:ascii="宋体" w:hAnsi="宋体" w:eastAsia="宋体"/>
          <w:color w:val="auto"/>
          <w:sz w:val="24"/>
          <w:szCs w:val="24"/>
          <w:highlight w:val="none"/>
        </w:rPr>
        <w:t>地磅磅秤</w:t>
      </w:r>
      <w:r>
        <w:rPr>
          <w:rFonts w:ascii="宋体" w:hAnsi="宋体" w:eastAsia="宋体"/>
          <w:color w:val="auto"/>
          <w:sz w:val="24"/>
          <w:szCs w:val="24"/>
          <w:highlight w:val="none"/>
        </w:rPr>
        <w:t>1</w:t>
      </w:r>
      <w:r>
        <w:rPr>
          <w:rFonts w:hint="eastAsia" w:ascii="宋体" w:hAnsi="宋体" w:eastAsia="宋体"/>
          <w:color w:val="auto"/>
          <w:sz w:val="24"/>
          <w:szCs w:val="24"/>
          <w:highlight w:val="none"/>
        </w:rPr>
        <w:t>台。</w:t>
      </w:r>
    </w:p>
    <w:p w14:paraId="00DFC28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22.2 在本项目开工前安装完成，即基地处理（溶洞、土洞注浆）开工前完成，并达到使用状态；</w:t>
      </w:r>
    </w:p>
    <w:p w14:paraId="2337020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22.3 在本项目施工过程中，承包人保证地磅磅秤正常使用，计量准确。</w:t>
      </w:r>
    </w:p>
    <w:p w14:paraId="10565F01">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22.4 在本项目施工过程中，负责地磅磅秤的计量校正、检测，维护、保养工作，不得将地磅人为撞击、损坏等。</w:t>
      </w:r>
    </w:p>
    <w:p w14:paraId="5C8763C5">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22.5 在本项目完工后并取得发包人同意才能安排拆除地磅磅秤。</w:t>
      </w:r>
    </w:p>
    <w:p w14:paraId="510B59D0">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地磅采购、安装、维修保养、拆除等费用由承包人自行承担，包括土建基础、使用过程的维护保养、拆除等，不要求发包人现场签证、增加工程量；</w:t>
      </w:r>
    </w:p>
    <w:p w14:paraId="3B816F9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23. 石材品质保障要求</w:t>
      </w:r>
    </w:p>
    <w:p w14:paraId="6FA36E7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23.1 </w:t>
      </w:r>
      <w:r>
        <w:rPr>
          <w:rFonts w:ascii="宋体" w:hAnsi="宋体" w:eastAsia="宋体"/>
          <w:color w:val="auto"/>
          <w:sz w:val="24"/>
          <w:szCs w:val="24"/>
          <w:highlight w:val="none"/>
        </w:rPr>
        <w:t>本项目使用的石材</w:t>
      </w:r>
      <w:r>
        <w:rPr>
          <w:rFonts w:hint="eastAsia" w:ascii="宋体" w:hAnsi="宋体" w:eastAsia="宋体"/>
          <w:color w:val="auto"/>
          <w:sz w:val="24"/>
          <w:szCs w:val="24"/>
          <w:highlight w:val="none"/>
        </w:rPr>
        <w:t>应</w:t>
      </w:r>
      <w:r>
        <w:rPr>
          <w:rFonts w:ascii="宋体" w:hAnsi="宋体" w:eastAsia="宋体"/>
          <w:color w:val="auto"/>
          <w:sz w:val="24"/>
          <w:szCs w:val="24"/>
          <w:highlight w:val="none"/>
        </w:rPr>
        <w:t>在生产地或加工厂加工成品件，原装正品产品。</w:t>
      </w:r>
    </w:p>
    <w:p w14:paraId="6BD2A1C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23.2 承包人应</w:t>
      </w:r>
      <w:r>
        <w:rPr>
          <w:rFonts w:ascii="宋体" w:hAnsi="宋体" w:eastAsia="宋体"/>
          <w:color w:val="auto"/>
          <w:sz w:val="24"/>
          <w:szCs w:val="24"/>
          <w:highlight w:val="none"/>
        </w:rPr>
        <w:t>安排专职施工员驻场加工厂进行挑选、拼板、排板。</w:t>
      </w:r>
    </w:p>
    <w:p w14:paraId="0A962100">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23.3 承包人</w:t>
      </w:r>
      <w:r>
        <w:rPr>
          <w:rFonts w:ascii="宋体" w:hAnsi="宋体" w:eastAsia="宋体"/>
          <w:color w:val="auto"/>
          <w:sz w:val="24"/>
          <w:szCs w:val="24"/>
          <w:highlight w:val="none"/>
        </w:rPr>
        <w:t>无条件接受发包人、监理的检查、考核。</w:t>
      </w:r>
    </w:p>
    <w:p w14:paraId="3C7CA34A">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23.4 承包人</w:t>
      </w:r>
      <w:r>
        <w:rPr>
          <w:rFonts w:ascii="宋体" w:hAnsi="宋体" w:eastAsia="宋体"/>
          <w:color w:val="auto"/>
          <w:sz w:val="24"/>
          <w:szCs w:val="24"/>
          <w:highlight w:val="none"/>
        </w:rPr>
        <w:t>所供货与样品一致，保证所提供的货物是全新的、未使用过的，并完全符合设计及规范的要求。</w:t>
      </w:r>
    </w:p>
    <w:p w14:paraId="149120C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23.5 </w:t>
      </w:r>
      <w:r>
        <w:rPr>
          <w:rFonts w:ascii="宋体" w:hAnsi="宋体" w:eastAsia="宋体"/>
          <w:color w:val="auto"/>
          <w:sz w:val="24"/>
          <w:szCs w:val="24"/>
          <w:highlight w:val="none"/>
        </w:rPr>
        <w:t>石材安装由专业施工单位进行施工，且需全过程跟踪石材加工、排板工作。</w:t>
      </w:r>
    </w:p>
    <w:p w14:paraId="1EA261E9">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23.6 </w:t>
      </w:r>
      <w:r>
        <w:rPr>
          <w:rFonts w:ascii="宋体" w:hAnsi="宋体" w:eastAsia="宋体"/>
          <w:color w:val="auto"/>
          <w:sz w:val="24"/>
          <w:szCs w:val="24"/>
          <w:highlight w:val="none"/>
        </w:rPr>
        <w:t>石材厂家和石材安装专业施工单位</w:t>
      </w:r>
      <w:r>
        <w:rPr>
          <w:rFonts w:hint="eastAsia" w:ascii="宋体" w:hAnsi="宋体" w:eastAsia="宋体"/>
          <w:color w:val="auto"/>
          <w:sz w:val="24"/>
          <w:szCs w:val="24"/>
          <w:highlight w:val="none"/>
        </w:rPr>
        <w:t>应</w:t>
      </w:r>
      <w:r>
        <w:rPr>
          <w:rFonts w:ascii="宋体" w:hAnsi="宋体" w:eastAsia="宋体"/>
          <w:color w:val="auto"/>
          <w:sz w:val="24"/>
          <w:szCs w:val="24"/>
          <w:highlight w:val="none"/>
        </w:rPr>
        <w:t>为同一单位或长期合作伙伴。</w:t>
      </w:r>
    </w:p>
    <w:p w14:paraId="5692DA4C">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23.7本项目所涉及的石材进场前必须做好六面防护处理，所产生的费用包含在投标总价中。</w:t>
      </w:r>
    </w:p>
    <w:p w14:paraId="5ACD675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24. 水土保持监测要求</w:t>
      </w:r>
    </w:p>
    <w:p w14:paraId="1502EE6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24.1 </w:t>
      </w:r>
      <w:r>
        <w:rPr>
          <w:rFonts w:ascii="宋体" w:hAnsi="宋体" w:eastAsia="宋体"/>
          <w:color w:val="auto"/>
          <w:sz w:val="24"/>
          <w:szCs w:val="24"/>
          <w:highlight w:val="none"/>
        </w:rPr>
        <w:t>项目开工后，</w:t>
      </w:r>
      <w:r>
        <w:rPr>
          <w:rFonts w:hint="eastAsia" w:ascii="宋体" w:hAnsi="宋体" w:eastAsia="宋体"/>
          <w:color w:val="auto"/>
          <w:sz w:val="24"/>
          <w:szCs w:val="24"/>
          <w:highlight w:val="none"/>
        </w:rPr>
        <w:t>承包人</w:t>
      </w:r>
      <w:r>
        <w:rPr>
          <w:rFonts w:ascii="宋体" w:hAnsi="宋体" w:eastAsia="宋体"/>
          <w:color w:val="auto"/>
          <w:sz w:val="24"/>
          <w:szCs w:val="24"/>
          <w:highlight w:val="none"/>
        </w:rPr>
        <w:t>自行安排人员进行水土保持监测工作。</w:t>
      </w:r>
    </w:p>
    <w:p w14:paraId="2C8148FA">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24.2承包人</w:t>
      </w:r>
      <w:r>
        <w:rPr>
          <w:rFonts w:ascii="宋体" w:hAnsi="宋体" w:eastAsia="宋体"/>
          <w:color w:val="auto"/>
          <w:sz w:val="24"/>
          <w:szCs w:val="24"/>
          <w:highlight w:val="none"/>
        </w:rPr>
        <w:t>及时将监测结果上报至发包人及监理单位。</w:t>
      </w:r>
    </w:p>
    <w:p w14:paraId="76D96AF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24.3 承包人</w:t>
      </w:r>
      <w:r>
        <w:rPr>
          <w:rFonts w:ascii="宋体" w:hAnsi="宋体" w:eastAsia="宋体"/>
          <w:color w:val="auto"/>
          <w:sz w:val="24"/>
          <w:szCs w:val="24"/>
          <w:highlight w:val="none"/>
        </w:rPr>
        <w:t>收集、编制、汇总监测资料，配合</w:t>
      </w:r>
      <w:r>
        <w:rPr>
          <w:rFonts w:hint="eastAsia" w:ascii="宋体" w:hAnsi="宋体" w:eastAsia="宋体"/>
          <w:color w:val="auto"/>
          <w:sz w:val="24"/>
          <w:szCs w:val="24"/>
          <w:highlight w:val="none"/>
        </w:rPr>
        <w:t>发包人进行水土保持验收及备案等工作。</w:t>
      </w:r>
    </w:p>
    <w:p w14:paraId="0DE8B4B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24.4 </w:t>
      </w:r>
      <w:r>
        <w:rPr>
          <w:rFonts w:ascii="宋体" w:hAnsi="宋体" w:eastAsia="宋体"/>
          <w:color w:val="auto"/>
          <w:sz w:val="24"/>
          <w:szCs w:val="24"/>
          <w:highlight w:val="none"/>
        </w:rPr>
        <w:t>所产生的费用已在投标总价中综合考虑，不要求发包人增加</w:t>
      </w:r>
      <w:r>
        <w:rPr>
          <w:rFonts w:hint="eastAsia" w:ascii="宋体" w:hAnsi="宋体" w:eastAsia="宋体"/>
          <w:color w:val="auto"/>
          <w:sz w:val="24"/>
          <w:szCs w:val="24"/>
          <w:highlight w:val="none"/>
        </w:rPr>
        <w:t>。</w:t>
      </w:r>
      <w:bookmarkStart w:id="615" w:name="_Toc104979718"/>
      <w:bookmarkStart w:id="616" w:name="_Toc106729787"/>
      <w:r>
        <w:rPr>
          <w:rFonts w:hint="eastAsia" w:ascii="宋体" w:hAnsi="宋体" w:eastAsia="宋体"/>
          <w:color w:val="auto"/>
          <w:sz w:val="24"/>
          <w:szCs w:val="24"/>
          <w:highlight w:val="none"/>
        </w:rPr>
        <w:t xml:space="preserve"> </w:t>
      </w:r>
      <w:bookmarkEnd w:id="615"/>
      <w:bookmarkEnd w:id="616"/>
    </w:p>
    <w:p w14:paraId="336A5CA6">
      <w:pPr>
        <w:spacing w:line="360" w:lineRule="auto"/>
        <w:ind w:firstLine="424" w:firstLineChars="177"/>
        <w:rPr>
          <w:rFonts w:hint="eastAsia" w:ascii="宋体" w:hAnsi="宋体" w:eastAsia="宋体"/>
          <w:color w:val="auto"/>
          <w:sz w:val="24"/>
          <w:szCs w:val="24"/>
          <w:highlight w:val="none"/>
        </w:rPr>
      </w:pPr>
      <w:r>
        <w:rPr>
          <w:rFonts w:ascii="宋体" w:hAnsi="宋体" w:eastAsia="宋体"/>
          <w:color w:val="auto"/>
          <w:sz w:val="24"/>
          <w:szCs w:val="24"/>
          <w:highlight w:val="none"/>
        </w:rPr>
        <w:t>25. 文明施工与环境保护</w:t>
      </w:r>
    </w:p>
    <w:p w14:paraId="127129A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25.1 </w:t>
      </w:r>
      <w:r>
        <w:rPr>
          <w:rFonts w:ascii="宋体" w:hAnsi="宋体" w:eastAsia="宋体"/>
          <w:color w:val="auto"/>
          <w:sz w:val="24"/>
          <w:szCs w:val="24"/>
          <w:highlight w:val="none"/>
        </w:rPr>
        <w:t>严格落实文明施工措施</w:t>
      </w:r>
    </w:p>
    <w:p w14:paraId="1A58450A">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25.2 </w:t>
      </w:r>
      <w:r>
        <w:rPr>
          <w:rFonts w:ascii="宋体" w:hAnsi="宋体" w:eastAsia="宋体"/>
          <w:color w:val="auto"/>
          <w:sz w:val="24"/>
          <w:szCs w:val="24"/>
          <w:highlight w:val="none"/>
        </w:rPr>
        <w:t>进入现场前提交施工期间的环境保护方案一式四份，经总监理工程师批准后实施。环境保护方案必须包括：施工现场所必须的照明灯光、护板、围护、栅栏、警告标志和值班人员名单，以及建筑垃圾、施工和生活污水、噪音、粉尘、泥浆的处理排放方案。在实施过程中所采用的材料、设备等应使总监理工程师和发包人满意。</w:t>
      </w:r>
    </w:p>
    <w:p w14:paraId="475D41C9">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 xml:space="preserve">25.3 </w:t>
      </w:r>
      <w:r>
        <w:rPr>
          <w:rFonts w:ascii="宋体" w:hAnsi="宋体" w:eastAsia="宋体"/>
          <w:color w:val="auto"/>
          <w:sz w:val="24"/>
          <w:szCs w:val="24"/>
          <w:highlight w:val="none"/>
        </w:rPr>
        <w:t>明确扬尘污染防治责任，并制定具体的施工扬尘污染防治实施方案，在施工工地公示扬尘污染防治措施、负责人、扬尘监督管理主管部门等信息。</w:t>
      </w:r>
    </w:p>
    <w:p w14:paraId="5FB19BDA">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25.4 采取有效防尘降尘措施，减少施工作业过程扬尘污染，并做好扬尘污染防治工作：</w:t>
      </w:r>
    </w:p>
    <w:p w14:paraId="3BB4E040">
      <w:pPr>
        <w:spacing w:line="360" w:lineRule="auto"/>
        <w:ind w:firstLine="424" w:firstLineChars="177"/>
        <w:rPr>
          <w:rFonts w:hint="eastAsia" w:ascii="宋体" w:hAnsi="宋体" w:eastAsia="宋体"/>
          <w:color w:val="auto"/>
          <w:sz w:val="24"/>
          <w:szCs w:val="24"/>
          <w:highlight w:val="none"/>
        </w:rPr>
      </w:pPr>
      <w:r>
        <w:rPr>
          <w:rFonts w:ascii="宋体" w:hAnsi="宋体" w:eastAsia="宋体"/>
          <w:color w:val="auto"/>
          <w:sz w:val="24"/>
          <w:szCs w:val="24"/>
          <w:highlight w:val="none"/>
        </w:rPr>
        <w:t>（1）对施工现场实行封闭管理。城市范围内主要路段的施工工地应设置高度不小于2.5m的封闭围挡，一般路段的施工工地应设置高度不小于1.8m的封闭围挡。施工工地的封闭围挡应坚固、稳定、整洁、美观。</w:t>
      </w:r>
    </w:p>
    <w:p w14:paraId="250BB9DD">
      <w:pPr>
        <w:spacing w:line="360" w:lineRule="auto"/>
        <w:ind w:firstLine="424" w:firstLineChars="177"/>
        <w:rPr>
          <w:rFonts w:hint="eastAsia" w:ascii="宋体" w:hAnsi="宋体" w:eastAsia="宋体"/>
          <w:color w:val="auto"/>
          <w:sz w:val="24"/>
          <w:szCs w:val="24"/>
          <w:highlight w:val="none"/>
        </w:rPr>
      </w:pPr>
      <w:r>
        <w:rPr>
          <w:rFonts w:ascii="宋体" w:hAnsi="宋体" w:eastAsia="宋体"/>
          <w:color w:val="auto"/>
          <w:sz w:val="24"/>
          <w:szCs w:val="24"/>
          <w:highlight w:val="none"/>
        </w:rPr>
        <w:t>（2）加强物料管理。施工现场的建筑材料、构件、料具应按总平面布局进行码放。在规定区域内的施工现场应使用预拌混凝土及预拌砂浆；采用现场搅拌混凝土或砂浆的场所应采取封闭、降尘、降噪措施；水泥和其它易飞扬的细颗粒建筑材料应密闭存放或采取覆盖等措施。</w:t>
      </w:r>
    </w:p>
    <w:p w14:paraId="4DE6191E">
      <w:pPr>
        <w:spacing w:line="360" w:lineRule="auto"/>
        <w:ind w:firstLine="424" w:firstLineChars="177"/>
        <w:rPr>
          <w:rFonts w:hint="eastAsia" w:ascii="宋体" w:hAnsi="宋体" w:eastAsia="宋体"/>
          <w:color w:val="auto"/>
          <w:sz w:val="24"/>
          <w:szCs w:val="24"/>
          <w:highlight w:val="none"/>
        </w:rPr>
      </w:pPr>
      <w:r>
        <w:rPr>
          <w:rFonts w:ascii="宋体" w:hAnsi="宋体" w:eastAsia="宋体"/>
          <w:color w:val="auto"/>
          <w:sz w:val="24"/>
          <w:szCs w:val="24"/>
          <w:highlight w:val="none"/>
        </w:rPr>
        <w:t>（3）注重降尘作业。施工现场土方作业应采取防止扬尘措施，主要道路应定期清扫、洒水。拆除建筑物或构筑物时，应采用隔离、洒水等降噪、降尘措施，并应及时清理废弃物。施工进行铣刨、切割等作业时，应采取有效防扬尘措施；灰土和无机料应采用预拌进场，碾压过程中应洒水降尘。</w:t>
      </w:r>
    </w:p>
    <w:p w14:paraId="0F5E78D5">
      <w:pPr>
        <w:spacing w:line="360" w:lineRule="auto"/>
        <w:ind w:firstLine="424" w:firstLineChars="177"/>
        <w:rPr>
          <w:rFonts w:hint="eastAsia" w:ascii="宋体" w:hAnsi="宋体" w:eastAsia="宋体"/>
          <w:color w:val="auto"/>
          <w:sz w:val="24"/>
          <w:szCs w:val="24"/>
          <w:highlight w:val="none"/>
        </w:rPr>
      </w:pPr>
      <w:r>
        <w:rPr>
          <w:rFonts w:ascii="宋体" w:hAnsi="宋体" w:eastAsia="宋体"/>
          <w:color w:val="auto"/>
          <w:sz w:val="24"/>
          <w:szCs w:val="24"/>
          <w:highlight w:val="none"/>
        </w:rPr>
        <w:t>（4）硬化路面和清洗车辆。施工现场的主要道路及材料加工区地面应进行硬化处理，道路应畅通，路面应平整坚实。裸露的场地和堆放的土方应采取覆盖、固化或绿化等措施。施工现场出入口应设置车辆冲洗设施，并对驶出车辆进行清洗。</w:t>
      </w:r>
    </w:p>
    <w:p w14:paraId="364E2A31">
      <w:pPr>
        <w:spacing w:line="360" w:lineRule="auto"/>
        <w:ind w:firstLine="424" w:firstLineChars="177"/>
        <w:rPr>
          <w:rFonts w:hint="eastAsia" w:ascii="宋体" w:hAnsi="宋体" w:eastAsia="宋体"/>
          <w:color w:val="auto"/>
          <w:sz w:val="24"/>
          <w:szCs w:val="24"/>
          <w:highlight w:val="none"/>
        </w:rPr>
      </w:pPr>
      <w:r>
        <w:rPr>
          <w:rFonts w:ascii="宋体" w:hAnsi="宋体" w:eastAsia="宋体"/>
          <w:color w:val="auto"/>
          <w:sz w:val="24"/>
          <w:szCs w:val="24"/>
          <w:highlight w:val="none"/>
        </w:rPr>
        <w:t>（5）清运建筑垃圾。土方和建筑垃圾的运输应采用封闭式运输车辆或采取覆盖措施。建筑物内施工垃圾的清运，应采用器具或管道运输，严禁随意抛掷。施工现场严禁焚烧各类废弃物。</w:t>
      </w:r>
    </w:p>
    <w:p w14:paraId="6FB57715">
      <w:pPr>
        <w:spacing w:line="360" w:lineRule="auto"/>
        <w:ind w:firstLine="424" w:firstLineChars="177"/>
        <w:rPr>
          <w:rFonts w:hint="eastAsia" w:ascii="宋体" w:hAnsi="宋体" w:eastAsia="宋体"/>
          <w:color w:val="auto"/>
          <w:sz w:val="24"/>
          <w:szCs w:val="24"/>
          <w:highlight w:val="none"/>
        </w:rPr>
      </w:pPr>
      <w:r>
        <w:rPr>
          <w:rFonts w:ascii="宋体" w:hAnsi="宋体" w:eastAsia="宋体"/>
          <w:color w:val="auto"/>
          <w:sz w:val="24"/>
          <w:szCs w:val="24"/>
          <w:highlight w:val="none"/>
        </w:rPr>
        <w:t>（6）加强监测监控。鼓励施工工地安装在线监测和视频监控设备，并与当地有关主管部门联网。当环境空气质量指数达到中度及以上污染时，施工现场应增加洒水频次，加强覆盖措施，减少易造成大气污染的施工作业。</w:t>
      </w:r>
    </w:p>
    <w:p w14:paraId="1FA6664E">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w:t>
      </w:r>
      <w:r>
        <w:rPr>
          <w:rFonts w:ascii="宋体" w:hAnsi="宋体" w:eastAsia="宋体"/>
          <w:color w:val="auto"/>
          <w:sz w:val="24"/>
          <w:szCs w:val="24"/>
          <w:highlight w:val="none"/>
        </w:rPr>
        <w:t>7.</w:t>
      </w:r>
      <w:r>
        <w:rPr>
          <w:rFonts w:hint="eastAsia" w:ascii="宋体" w:hAnsi="宋体" w:eastAsia="宋体"/>
          <w:color w:val="auto"/>
          <w:sz w:val="24"/>
          <w:szCs w:val="24"/>
          <w:highlight w:val="none"/>
        </w:rPr>
        <w:t>信息化管理及智慧工地建设</w:t>
      </w:r>
    </w:p>
    <w:p w14:paraId="4DAF739C">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27.1 信息系统对接</w:t>
      </w:r>
    </w:p>
    <w:p w14:paraId="5EF30721">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承包人自行配置优质的网络硬件、软件环境与发包人或其要求的综合管理平台对接，并配备专业的信息化管理人员，并承担相应费用。</w:t>
      </w:r>
    </w:p>
    <w:p w14:paraId="2C656690">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27.2 业务管理模块对接</w:t>
      </w:r>
    </w:p>
    <w:p w14:paraId="491C7987">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主要业务流程，通过信息化系统管理，与发包人进行业务对接。包括不限于：合同管理、设计管理（设计交底、图纸会审、施工方案等）、进度管理、巡查整改、质安管理等，在综合管理平台上实现业务流转管理。</w:t>
      </w:r>
    </w:p>
    <w:p w14:paraId="646F1A5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27.3 数据上传</w:t>
      </w:r>
    </w:p>
    <w:p w14:paraId="15535853">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包括但不限于以下：</w:t>
      </w:r>
    </w:p>
    <w:p w14:paraId="39702944">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①承包人需将现场材料管理、设备管理、装配式管理相应数据录入发包人单位信息化平台，实现对现场物资材料质量管控。</w:t>
      </w:r>
    </w:p>
    <w:p w14:paraId="1EEBE9A0">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②承包人需将施工资料录入贵单位信息化管理平台，实现施工资料统一管理，实现实时查询、抽检、整改等业务管理功能。</w:t>
      </w:r>
    </w:p>
    <w:p w14:paraId="5B6E636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③承包人需实现工程建设过程中的智慧工地全过程监控，并推送政府监管所需的数据，包括不限于：安全监控（塔吊升降机监控、吊钩可视化监控、无人值守深基坑监测、高支模监测、脚手架管理、临边防护预警、烟感消防预警等）、质量监控（实测实量、混凝土生产信息、关键质量检测报告等）、文明施工（视频监控、扬尘噪声、车辆管理、实名制管理、智能水电管理、安全帽</w:t>
      </w:r>
      <w:r>
        <w:rPr>
          <w:rFonts w:ascii="宋体" w:hAnsi="宋体" w:eastAsia="宋体"/>
          <w:color w:val="auto"/>
          <w:sz w:val="24"/>
          <w:szCs w:val="24"/>
          <w:highlight w:val="none"/>
        </w:rPr>
        <w:t>AI</w:t>
      </w:r>
      <w:r>
        <w:rPr>
          <w:rFonts w:hint="eastAsia" w:ascii="宋体" w:hAnsi="宋体" w:eastAsia="宋体"/>
          <w:color w:val="auto"/>
          <w:sz w:val="24"/>
          <w:szCs w:val="24"/>
          <w:highlight w:val="none"/>
        </w:rPr>
        <w:t>抓拍、联动喷淋等）等数据。</w:t>
      </w:r>
    </w:p>
    <w:p w14:paraId="34E792A6">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w:t>
      </w:r>
      <w:r>
        <w:rPr>
          <w:rFonts w:ascii="宋体" w:hAnsi="宋体" w:eastAsia="宋体"/>
          <w:color w:val="auto"/>
          <w:sz w:val="24"/>
          <w:szCs w:val="24"/>
          <w:highlight w:val="none"/>
        </w:rPr>
        <w:t xml:space="preserve">8. </w:t>
      </w:r>
      <w:r>
        <w:rPr>
          <w:rFonts w:hint="eastAsia" w:ascii="宋体" w:hAnsi="宋体" w:eastAsia="宋体"/>
          <w:color w:val="auto"/>
          <w:sz w:val="24"/>
          <w:szCs w:val="24"/>
          <w:highlight w:val="none"/>
        </w:rPr>
        <w:t>落实建筑业高质量发展</w:t>
      </w:r>
    </w:p>
    <w:p w14:paraId="32F1C14C">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28.1 绿色建筑：本项目内绿色建筑不应低于国标《绿色建筑评价标准》GB/T50378-2019（2024修订版）二星级标准。（项目内需要执行绿色建筑相关要求的楼栋以初步设计审批结果为准）。</w:t>
      </w:r>
    </w:p>
    <w:p w14:paraId="7F915606">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28.2 装配式建筑：满足《广州市城中村改造项目改造主体工作评估实施细则》对本项目的要求。住宅项目至少满足广东省《装配式建筑评价标准》（DBJ/T15-163-2019）A级或者广州市《装配式建筑评价标准》（DB4401/T 151—2022）A级的要求。</w:t>
      </w:r>
    </w:p>
    <w:p w14:paraId="059E2715">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28.3 智能建造：满足《广州市城中村改造项目改造主体工作评估实施细则(试行)》的通知（穗建前期〔2025〕158号）中规定的一星级智能建造相关要求，从全阶段全专业标准化BIM正向设计、装配式构件数字化生产、智慧施工、智慧运维、项目全生命期数字化管理平台等方面开展工作，中标后无条件按照发包人的具体要求执行。</w:t>
      </w:r>
    </w:p>
    <w:p w14:paraId="1F4E10B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28.4满足建设建筑光伏一体化试点示范项目的相关要求。</w:t>
      </w:r>
    </w:p>
    <w:p w14:paraId="10E33BC2">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28.5智慧住区建设：满足广州市地方标准《基于城市信息模型的应用规范第三部分:智慧住区建设、运营及评价》智慧住区部分对单栋楼控制项达到二星级要求。</w:t>
      </w:r>
    </w:p>
    <w:p w14:paraId="787832B4">
      <w:pPr>
        <w:spacing w:line="360" w:lineRule="auto"/>
        <w:ind w:firstLine="424" w:firstLineChars="177"/>
        <w:rPr>
          <w:rFonts w:hint="eastAsia" w:ascii="宋体" w:hAnsi="宋体" w:eastAsia="宋体" w:cs="宋体"/>
          <w:color w:val="auto"/>
          <w:sz w:val="24"/>
          <w:szCs w:val="24"/>
          <w:highlight w:val="none"/>
        </w:rPr>
      </w:pPr>
      <w:r>
        <w:rPr>
          <w:rFonts w:hint="eastAsia" w:ascii="宋体" w:hAnsi="宋体" w:eastAsia="宋体"/>
          <w:color w:val="auto"/>
          <w:sz w:val="24"/>
          <w:szCs w:val="24"/>
          <w:highlight w:val="none"/>
        </w:rPr>
        <w:t>28.6模块化建筑：</w:t>
      </w:r>
      <w:r>
        <w:rPr>
          <w:rFonts w:hint="eastAsia" w:ascii="宋体" w:hAnsi="宋体" w:eastAsia="宋体" w:cs="宋体"/>
          <w:color w:val="auto"/>
          <w:sz w:val="24"/>
          <w:szCs w:val="24"/>
          <w:highlight w:val="none"/>
        </w:rPr>
        <w:t>满足《广州市城中村改造项目改造主体工作评估实施细则》对本项目的要求。</w:t>
      </w:r>
    </w:p>
    <w:p w14:paraId="363E0A31">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s="宋体"/>
          <w:color w:val="auto"/>
          <w:sz w:val="24"/>
          <w:szCs w:val="24"/>
          <w:highlight w:val="none"/>
        </w:rPr>
        <w:t>28.7智慧工地标准：根据《建筑工程智慧工地技术规程》建设智慧工地，</w:t>
      </w:r>
      <w:r>
        <w:rPr>
          <w:rFonts w:hint="eastAsia" w:ascii="宋体" w:hAnsi="宋体" w:eastAsia="宋体"/>
          <w:color w:val="auto"/>
          <w:sz w:val="24"/>
          <w:szCs w:val="24"/>
          <w:highlight w:val="none"/>
        </w:rPr>
        <w:t>满足《广州市城中村改造项目改造主体工作评估实施细则(试行)》的通知（穗建前期〔2025〕158号）中规定的一星级智慧工地相关要求。</w:t>
      </w:r>
    </w:p>
    <w:p w14:paraId="0519DBBC">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28.8其他发包人根据《广州市城中村改造项目改造主体工作评估实施细则(试行)》的通知（穗建前期〔2025〕158号）制定的相关要求。</w:t>
      </w:r>
    </w:p>
    <w:p w14:paraId="4C0F7E48">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29、房屋鉴定要求</w:t>
      </w:r>
    </w:p>
    <w:p w14:paraId="096C78D6">
      <w:pPr>
        <w:spacing w:line="360" w:lineRule="auto"/>
        <w:ind w:firstLine="424" w:firstLineChars="177"/>
        <w:rPr>
          <w:rFonts w:hint="eastAsia"/>
          <w:color w:val="auto"/>
          <w:highlight w:val="none"/>
        </w:rPr>
      </w:pPr>
      <w:r>
        <w:rPr>
          <w:rFonts w:hint="eastAsia" w:ascii="宋体" w:hAnsi="宋体" w:eastAsia="宋体"/>
          <w:color w:val="auto"/>
          <w:sz w:val="24"/>
          <w:szCs w:val="24"/>
          <w:highlight w:val="none"/>
        </w:rPr>
        <w:t>负责项目周边建筑物的房屋鉴定工作及出具相关报告（发包人另有委托的除外），此项工作所产生的一切费用（含检测费、专家评审费、报告编制费、配合审批费等）都包含在合同价中，不另行支付。如在实施过程中造成周边建筑物的损坏，需由承包人负责修复并承担由此造成的一切损失。</w:t>
      </w:r>
    </w:p>
    <w:p w14:paraId="216453B4">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30、无人机的应用要求</w:t>
      </w:r>
    </w:p>
    <w:p w14:paraId="20EBEF71">
      <w:pPr>
        <w:spacing w:line="360" w:lineRule="auto"/>
        <w:ind w:firstLine="424" w:firstLineChars="177"/>
        <w:rPr>
          <w:rFonts w:hint="eastAsia" w:eastAsia="宋体"/>
          <w:color w:val="auto"/>
          <w:highlight w:val="none"/>
        </w:rPr>
      </w:pPr>
      <w:r>
        <w:rPr>
          <w:rFonts w:hint="eastAsia" w:ascii="宋体" w:hAnsi="宋体" w:eastAsia="宋体"/>
          <w:color w:val="auto"/>
          <w:sz w:val="24"/>
          <w:szCs w:val="24"/>
          <w:highlight w:val="none"/>
        </w:rPr>
        <w:t>负责利用携带拍摄装置的无人机，开展项目航拍，实现空中俯瞰项目的效果，定期提交符合发包人要求的航拍成果。（要求无人机上升高度不小于500m以上，遥控距离不小于3km以上，摄像头像素不少于2000万以上）。</w:t>
      </w:r>
    </w:p>
    <w:p w14:paraId="164D8DBB">
      <w:pPr>
        <w:pStyle w:val="2"/>
        <w:snapToGrid/>
        <w:spacing w:line="360" w:lineRule="auto"/>
        <w:rPr>
          <w:rFonts w:hint="eastAsia" w:ascii="宋体" w:hAnsi="宋体" w:eastAsia="宋体" w:cs="宋体"/>
          <w:color w:val="auto"/>
          <w:spacing w:val="4"/>
          <w:sz w:val="24"/>
          <w:highlight w:val="none"/>
        </w:rPr>
      </w:pPr>
      <w:r>
        <w:rPr>
          <w:rFonts w:hint="eastAsia" w:ascii="宋体" w:hAnsi="宋体" w:eastAsia="宋体" w:cs="宋体"/>
          <w:color w:val="auto"/>
          <w:spacing w:val="4"/>
          <w:sz w:val="24"/>
          <w:highlight w:val="none"/>
        </w:rPr>
        <w:t>七、其他注意事项</w:t>
      </w:r>
    </w:p>
    <w:p w14:paraId="384303F1">
      <w:pPr>
        <w:snapToGrid/>
        <w:spacing w:before="0" w:after="0" w:line="360" w:lineRule="auto"/>
        <w:ind w:firstLine="426"/>
        <w:jc w:val="both"/>
        <w:rPr>
          <w:rFonts w:hint="eastAsia" w:ascii="宋体" w:hAnsi="宋体" w:eastAsia="宋体" w:cs="宋体"/>
          <w:color w:val="auto"/>
          <w:highlight w:val="none"/>
        </w:rPr>
      </w:pPr>
      <w:r>
        <w:rPr>
          <w:rFonts w:hint="eastAsia" w:ascii="宋体" w:hAnsi="宋体" w:eastAsia="宋体" w:cs="宋体"/>
          <w:color w:val="auto"/>
          <w:spacing w:val="4"/>
          <w:sz w:val="24"/>
          <w:highlight w:val="none"/>
        </w:rPr>
        <w:t>中标单位在合同实施过程中，如违约或有不良行为或不规范行为，或与招标人产生合同纠纷（仲裁或诉讼）的，招标人将上报建设行政主管部门，同时招标人有权在后续及其他施工招标项目中拒绝其投标。</w:t>
      </w:r>
    </w:p>
    <w:p w14:paraId="7DFB198D">
      <w:pPr>
        <w:widowControl/>
        <w:snapToGrid/>
        <w:spacing w:before="0" w:after="0" w:line="240" w:lineRule="auto"/>
        <w:rPr>
          <w:rFonts w:hint="eastAsia" w:ascii="宋体" w:hAnsi="宋体" w:eastAsia="宋体" w:cs="宋体"/>
          <w:color w:val="auto"/>
          <w:highlight w:val="none"/>
        </w:rPr>
      </w:pPr>
      <w:r>
        <w:rPr>
          <w:rFonts w:hint="eastAsia" w:ascii="宋体" w:hAnsi="宋体" w:eastAsia="宋体" w:cs="宋体"/>
          <w:color w:val="auto"/>
          <w:highlight w:val="none"/>
        </w:rPr>
        <w:br w:type="page"/>
      </w:r>
    </w:p>
    <w:p w14:paraId="251030BB">
      <w:pPr>
        <w:jc w:val="center"/>
        <w:outlineLvl w:val="0"/>
        <w:rPr>
          <w:rFonts w:hint="eastAsia" w:ascii="宋体" w:hAnsi="宋体" w:eastAsia="宋体" w:cs="宋体"/>
          <w:b/>
          <w:bCs/>
          <w:color w:val="auto"/>
          <w:sz w:val="48"/>
          <w:szCs w:val="48"/>
          <w:highlight w:val="none"/>
        </w:rPr>
      </w:pPr>
      <w:r>
        <w:rPr>
          <w:rStyle w:val="52"/>
          <w:rFonts w:hint="eastAsia" w:ascii="宋体" w:hAnsi="宋体" w:eastAsia="宋体" w:cs="宋体"/>
          <w:color w:val="auto"/>
          <w:kern w:val="44"/>
          <w:sz w:val="36"/>
          <w:highlight w:val="none"/>
        </w:rPr>
        <w:t>第四部分 附件</w:t>
      </w:r>
    </w:p>
    <w:p w14:paraId="792A4F2C">
      <w:pP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附件:</w:t>
      </w:r>
    </w:p>
    <w:p w14:paraId="672C31A2">
      <w:pPr>
        <w:pStyle w:val="107"/>
        <w:ind w:left="482" w:leftChars="219" w:firstLine="57" w:firstLineChars="24"/>
        <w:jc w:val="left"/>
        <w:outlineLvl w:val="0"/>
        <w:rPr>
          <w:rFonts w:hint="eastAsia" w:cs="宋体"/>
          <w:b w:val="0"/>
          <w:bCs/>
          <w:highlight w:val="none"/>
        </w:rPr>
      </w:pPr>
      <w:r>
        <w:rPr>
          <w:rFonts w:hint="eastAsia" w:cs="宋体"/>
          <w:b w:val="0"/>
          <w:bCs/>
          <w:highlight w:val="none"/>
        </w:rPr>
        <w:t>1、设计技术标准；（如有）</w:t>
      </w:r>
    </w:p>
    <w:p w14:paraId="25790E5C">
      <w:pPr>
        <w:pStyle w:val="107"/>
        <w:ind w:left="482" w:leftChars="219" w:firstLine="57" w:firstLineChars="24"/>
        <w:jc w:val="left"/>
        <w:outlineLvl w:val="0"/>
        <w:rPr>
          <w:rFonts w:hint="eastAsia" w:cs="宋体"/>
          <w:b w:val="0"/>
          <w:bCs/>
          <w:highlight w:val="none"/>
        </w:rPr>
      </w:pPr>
      <w:r>
        <w:rPr>
          <w:rFonts w:hint="eastAsia" w:cs="宋体"/>
          <w:b w:val="0"/>
          <w:bCs/>
          <w:highlight w:val="none"/>
        </w:rPr>
        <w:t>2、建筑构造统一做法一览表；</w:t>
      </w:r>
    </w:p>
    <w:p w14:paraId="3028B896">
      <w:pPr>
        <w:pStyle w:val="107"/>
        <w:ind w:left="482" w:leftChars="219" w:firstLine="57" w:firstLineChars="24"/>
        <w:jc w:val="left"/>
        <w:outlineLvl w:val="0"/>
        <w:rPr>
          <w:rFonts w:hint="eastAsia" w:cs="宋体"/>
          <w:b w:val="0"/>
          <w:bCs/>
          <w:highlight w:val="none"/>
        </w:rPr>
      </w:pPr>
      <w:r>
        <w:rPr>
          <w:rFonts w:hint="eastAsia" w:cs="宋体"/>
          <w:b w:val="0"/>
          <w:bCs/>
          <w:highlight w:val="none"/>
        </w:rPr>
        <w:t>3、危险性较大的分部分项工程清单及超过一定规模的危险性较大的分部分项工程清单；</w:t>
      </w:r>
    </w:p>
    <w:p w14:paraId="253E322D">
      <w:pPr>
        <w:pStyle w:val="107"/>
        <w:ind w:left="482" w:leftChars="219" w:firstLine="57" w:firstLineChars="24"/>
        <w:jc w:val="left"/>
        <w:outlineLvl w:val="0"/>
        <w:rPr>
          <w:rFonts w:hint="eastAsia" w:cs="宋体"/>
          <w:b w:val="0"/>
          <w:bCs/>
          <w:highlight w:val="none"/>
        </w:rPr>
      </w:pPr>
      <w:r>
        <w:rPr>
          <w:rFonts w:hint="eastAsia" w:cs="宋体"/>
          <w:b w:val="0"/>
          <w:bCs/>
          <w:highlight w:val="none"/>
        </w:rPr>
        <w:t>4、主要设备材料推荐品牌表</w:t>
      </w:r>
      <w:bookmarkEnd w:id="6"/>
      <w:bookmarkEnd w:id="7"/>
      <w:bookmarkEnd w:id="8"/>
      <w:bookmarkEnd w:id="9"/>
      <w:bookmarkEnd w:id="10"/>
      <w:bookmarkEnd w:id="11"/>
      <w:bookmarkEnd w:id="12"/>
      <w:r>
        <w:rPr>
          <w:rFonts w:hint="eastAsia" w:cs="宋体"/>
          <w:b w:val="0"/>
          <w:bCs/>
          <w:highlight w:val="none"/>
        </w:rPr>
        <w:t>；</w:t>
      </w:r>
    </w:p>
    <w:p w14:paraId="5E17C076">
      <w:pPr>
        <w:pStyle w:val="107"/>
        <w:ind w:left="482" w:leftChars="219" w:firstLine="57" w:firstLineChars="24"/>
        <w:jc w:val="left"/>
        <w:outlineLvl w:val="0"/>
        <w:rPr>
          <w:rFonts w:hint="eastAsia" w:cs="宋体"/>
          <w:b w:val="0"/>
          <w:bCs/>
          <w:highlight w:val="none"/>
        </w:rPr>
      </w:pPr>
      <w:r>
        <w:rPr>
          <w:rFonts w:hint="eastAsia" w:cs="宋体"/>
          <w:b w:val="0"/>
          <w:bCs/>
          <w:highlight w:val="none"/>
        </w:rPr>
        <w:t>5、关键工序停止点验收清单；</w:t>
      </w:r>
    </w:p>
    <w:p w14:paraId="503F6015">
      <w:pPr>
        <w:pStyle w:val="107"/>
        <w:ind w:left="482" w:leftChars="219" w:firstLine="57" w:firstLineChars="24"/>
        <w:jc w:val="left"/>
        <w:outlineLvl w:val="0"/>
        <w:rPr>
          <w:rFonts w:hint="eastAsia" w:cs="宋体"/>
          <w:b w:val="0"/>
          <w:bCs/>
          <w:highlight w:val="none"/>
        </w:rPr>
      </w:pPr>
      <w:r>
        <w:rPr>
          <w:rFonts w:hint="eastAsia" w:cs="宋体"/>
          <w:b w:val="0"/>
          <w:bCs/>
          <w:highlight w:val="none"/>
        </w:rPr>
        <w:t>6、质量过程检查标准；</w:t>
      </w:r>
    </w:p>
    <w:p w14:paraId="2A55F114">
      <w:pPr>
        <w:pStyle w:val="107"/>
        <w:ind w:left="482" w:leftChars="219" w:firstLine="57" w:firstLineChars="24"/>
        <w:jc w:val="left"/>
        <w:outlineLvl w:val="0"/>
        <w:rPr>
          <w:rFonts w:hint="eastAsia" w:cs="宋体"/>
          <w:b w:val="0"/>
          <w:bCs/>
          <w:highlight w:val="none"/>
        </w:rPr>
      </w:pPr>
      <w:r>
        <w:rPr>
          <w:rFonts w:hint="eastAsia" w:cs="宋体"/>
          <w:b w:val="0"/>
          <w:bCs/>
          <w:highlight w:val="none"/>
        </w:rPr>
        <w:t>7、施工策划评审表；</w:t>
      </w:r>
    </w:p>
    <w:p w14:paraId="3E0E51E0">
      <w:pPr>
        <w:pStyle w:val="107"/>
        <w:ind w:left="482" w:leftChars="219" w:firstLine="57" w:firstLineChars="24"/>
        <w:jc w:val="left"/>
        <w:outlineLvl w:val="0"/>
        <w:rPr>
          <w:rFonts w:hint="eastAsia" w:cs="宋体"/>
          <w:b w:val="0"/>
          <w:bCs/>
          <w:highlight w:val="none"/>
        </w:rPr>
      </w:pPr>
      <w:r>
        <w:rPr>
          <w:rFonts w:hint="eastAsia" w:cs="宋体"/>
          <w:b w:val="0"/>
          <w:bCs/>
          <w:highlight w:val="none"/>
        </w:rPr>
        <w:t>8、样板管理清单。</w:t>
      </w:r>
    </w:p>
    <w:p w14:paraId="4667CE66">
      <w:pPr>
        <w:rPr>
          <w:rFonts w:hint="eastAsia" w:cs="宋体"/>
          <w:color w:val="auto"/>
          <w:highlight w:val="none"/>
        </w:rPr>
      </w:pPr>
      <w:r>
        <w:rPr>
          <w:rFonts w:cs="宋体"/>
          <w:color w:val="auto"/>
          <w:highlight w:val="none"/>
        </w:rPr>
        <w:br w:type="page"/>
      </w:r>
    </w:p>
    <w:p w14:paraId="1765F899">
      <w:pPr>
        <w:pStyle w:val="107"/>
        <w:jc w:val="left"/>
        <w:outlineLvl w:val="9"/>
        <w:rPr>
          <w:rFonts w:hint="eastAsia" w:cs="宋体"/>
          <w:sz w:val="28"/>
          <w:szCs w:val="28"/>
          <w:highlight w:val="none"/>
        </w:rPr>
      </w:pPr>
      <w:r>
        <w:rPr>
          <w:rFonts w:hint="eastAsia" w:cs="宋体"/>
          <w:sz w:val="28"/>
          <w:szCs w:val="28"/>
          <w:highlight w:val="none"/>
        </w:rPr>
        <w:t>附件3</w:t>
      </w:r>
    </w:p>
    <w:p w14:paraId="3DFEBB62">
      <w:pPr>
        <w:pStyle w:val="158"/>
        <w:spacing w:before="120" w:beforeLines="50" w:after="156" w:line="240" w:lineRule="auto"/>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危险性较大的分部分项工程清单及</w:t>
      </w:r>
    </w:p>
    <w:p w14:paraId="7067621C">
      <w:pPr>
        <w:pStyle w:val="158"/>
        <w:spacing w:before="120" w:beforeLines="50" w:after="156" w:line="240" w:lineRule="auto"/>
        <w:rPr>
          <w:rFonts w:hint="eastAsia" w:ascii="宋体" w:hAnsi="宋体" w:eastAsia="宋体" w:cs="宋体"/>
          <w:color w:val="auto"/>
          <w:sz w:val="21"/>
          <w:szCs w:val="21"/>
          <w:highlight w:val="none"/>
        </w:rPr>
      </w:pPr>
      <w:r>
        <w:rPr>
          <w:rFonts w:hint="eastAsia" w:ascii="宋体" w:hAnsi="宋体" w:eastAsia="宋体" w:cs="宋体"/>
          <w:color w:val="auto"/>
          <w:sz w:val="32"/>
          <w:szCs w:val="32"/>
          <w:highlight w:val="none"/>
        </w:rPr>
        <w:t>超过一定规模的危险性较大的分部分项工程清单</w:t>
      </w:r>
    </w:p>
    <w:p w14:paraId="492BBF43">
      <w:pPr>
        <w:pStyle w:val="63"/>
        <w:numPr>
          <w:ilvl w:val="0"/>
          <w:numId w:val="49"/>
        </w:numPr>
        <w:autoSpaceDE w:val="0"/>
        <w:autoSpaceDN w:val="0"/>
        <w:adjustRightInd w:val="0"/>
        <w:spacing w:line="276" w:lineRule="auto"/>
        <w:ind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根据中华人民共和国住房和城乡建设部令第37号《危险性较大的分部分项工程安全管理规定》（以下简称“37号文”），投标人在投标时须补充完善危大工程清单并明确相应的安全管理措施。</w:t>
      </w:r>
    </w:p>
    <w:p w14:paraId="2E55472E">
      <w:pPr>
        <w:pStyle w:val="63"/>
        <w:numPr>
          <w:ilvl w:val="0"/>
          <w:numId w:val="49"/>
        </w:numPr>
        <w:autoSpaceDE w:val="0"/>
        <w:autoSpaceDN w:val="0"/>
        <w:adjustRightInd w:val="0"/>
        <w:spacing w:line="276" w:lineRule="auto"/>
        <w:ind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招标人根据设计文件的要求及37号文的规定列出“危险性较大的分部分项工程清单及超过一定规模的危险性较大的分部分项工程清单”中与本招标项目相关的清单项，具体详第5点“打√”标识。</w:t>
      </w:r>
    </w:p>
    <w:p w14:paraId="18988163">
      <w:pPr>
        <w:pStyle w:val="63"/>
        <w:numPr>
          <w:ilvl w:val="0"/>
          <w:numId w:val="50"/>
        </w:numPr>
        <w:autoSpaceDE w:val="0"/>
        <w:autoSpaceDN w:val="0"/>
        <w:adjustRightInd w:val="0"/>
        <w:spacing w:line="276" w:lineRule="auto"/>
        <w:ind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投标单位同意建设单位在清单中标识的该项请在对应项打“√”标识，并与投标文件中提供相应的安全管理措施。</w:t>
      </w:r>
    </w:p>
    <w:p w14:paraId="2DA865FE">
      <w:pPr>
        <w:pStyle w:val="63"/>
        <w:numPr>
          <w:ilvl w:val="0"/>
          <w:numId w:val="50"/>
        </w:numPr>
        <w:autoSpaceDE w:val="0"/>
        <w:autoSpaceDN w:val="0"/>
        <w:adjustRightInd w:val="0"/>
        <w:spacing w:line="276" w:lineRule="auto"/>
        <w:ind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投标单位对清单中认为需要补充的该项请在对应项打“√”标识，并与投标文件中提供相应的安全管理措施。</w:t>
      </w:r>
    </w:p>
    <w:p w14:paraId="305D8F80">
      <w:pPr>
        <w:pStyle w:val="63"/>
        <w:numPr>
          <w:ilvl w:val="0"/>
          <w:numId w:val="50"/>
        </w:numPr>
        <w:autoSpaceDE w:val="0"/>
        <w:autoSpaceDN w:val="0"/>
        <w:adjustRightInd w:val="0"/>
        <w:spacing w:line="276" w:lineRule="auto"/>
        <w:ind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投标单位不同意建设单位在清单中标识的该项请在对应项打“×”标识，并在备注栏填上相关说明。</w:t>
      </w:r>
    </w:p>
    <w:p w14:paraId="1056ED41">
      <w:pPr>
        <w:pStyle w:val="63"/>
        <w:numPr>
          <w:ilvl w:val="0"/>
          <w:numId w:val="49"/>
        </w:numPr>
        <w:autoSpaceDE w:val="0"/>
        <w:autoSpaceDN w:val="0"/>
        <w:adjustRightInd w:val="0"/>
        <w:spacing w:line="276" w:lineRule="auto"/>
        <w:ind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投标单位应当在投标时根据招标人提供的下述第5点清单，在工程总承包实施方案中编制专项施工方案</w:t>
      </w:r>
      <w:r>
        <w:rPr>
          <w:rFonts w:hint="eastAsia" w:ascii="宋体" w:hAnsi="宋体" w:eastAsia="宋体" w:cs="宋体"/>
          <w:color w:val="auto"/>
          <w:sz w:val="21"/>
          <w:szCs w:val="21"/>
          <w:highlight w:val="none"/>
        </w:rPr>
        <w:t>。</w:t>
      </w:r>
    </w:p>
    <w:p w14:paraId="71D8A296">
      <w:pPr>
        <w:pStyle w:val="63"/>
        <w:numPr>
          <w:ilvl w:val="0"/>
          <w:numId w:val="49"/>
        </w:numPr>
        <w:autoSpaceDE w:val="0"/>
        <w:autoSpaceDN w:val="0"/>
        <w:adjustRightInd w:val="0"/>
        <w:spacing w:line="276" w:lineRule="auto"/>
        <w:ind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对于超过一定规模的危大工程，中标单位应当组织召开专家论证会对专项施工方案进行论证。实行施工总承包的，由施工总承包单位组织召开专家论证会。专家论证前专项施工方案应当通过施工总承包单位审核和总监理工程师审查。</w:t>
      </w:r>
    </w:p>
    <w:p w14:paraId="1EE25BBD">
      <w:pPr>
        <w:pStyle w:val="63"/>
        <w:numPr>
          <w:ilvl w:val="0"/>
          <w:numId w:val="49"/>
        </w:numPr>
        <w:autoSpaceDE w:val="0"/>
        <w:autoSpaceDN w:val="0"/>
        <w:adjustRightInd w:val="0"/>
        <w:spacing w:line="276" w:lineRule="auto"/>
        <w:ind w:firstLineChars="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危险性较大的分部分项工程清单及超过一定规模的危险性较大的分部分项工程清单：</w:t>
      </w:r>
    </w:p>
    <w:tbl>
      <w:tblPr>
        <w:tblStyle w:val="42"/>
        <w:tblW w:w="91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35"/>
        <w:gridCol w:w="1038"/>
        <w:gridCol w:w="1087"/>
        <w:gridCol w:w="845"/>
      </w:tblGrid>
      <w:tr w14:paraId="0A407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vAlign w:val="center"/>
          </w:tcPr>
          <w:p w14:paraId="6CE63640">
            <w:pPr>
              <w:spacing w:line="276" w:lineRule="auto"/>
              <w:jc w:val="center"/>
              <w:rPr>
                <w:rFonts w:hint="eastAsia" w:ascii="宋体" w:hAnsi="宋体" w:eastAsia="宋体" w:cs="宋体"/>
                <w:b/>
                <w:color w:val="auto"/>
                <w:sz w:val="21"/>
                <w:szCs w:val="21"/>
                <w:highlight w:val="none"/>
              </w:rPr>
            </w:pPr>
            <w:r>
              <w:rPr>
                <w:rFonts w:hint="eastAsia" w:ascii="宋体" w:hAnsi="宋体" w:eastAsia="宋体" w:cs="宋体"/>
                <w:b/>
                <w:color w:val="auto"/>
                <w:sz w:val="21"/>
                <w:szCs w:val="21"/>
                <w:highlight w:val="none"/>
              </w:rPr>
              <w:t>一、危险性较大的分部分项工程清单</w:t>
            </w:r>
          </w:p>
        </w:tc>
        <w:tc>
          <w:tcPr>
            <w:tcW w:w="1038" w:type="dxa"/>
            <w:vAlign w:val="center"/>
          </w:tcPr>
          <w:p w14:paraId="56BC383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建设单位</w:t>
            </w:r>
          </w:p>
        </w:tc>
        <w:tc>
          <w:tcPr>
            <w:tcW w:w="1087" w:type="dxa"/>
            <w:vAlign w:val="center"/>
          </w:tcPr>
          <w:p w14:paraId="0DC5D008">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投标单位</w:t>
            </w:r>
          </w:p>
        </w:tc>
        <w:tc>
          <w:tcPr>
            <w:tcW w:w="845" w:type="dxa"/>
            <w:vAlign w:val="center"/>
          </w:tcPr>
          <w:p w14:paraId="78CA76E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备注</w:t>
            </w:r>
          </w:p>
        </w:tc>
      </w:tr>
      <w:tr w14:paraId="74E45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73CBF20">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一、基坑支护</w:t>
            </w:r>
          </w:p>
        </w:tc>
        <w:tc>
          <w:tcPr>
            <w:tcW w:w="1038" w:type="dxa"/>
            <w:vAlign w:val="center"/>
          </w:tcPr>
          <w:p w14:paraId="207D2CC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7D2CB02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66FAA48">
            <w:pPr>
              <w:spacing w:line="276" w:lineRule="auto"/>
              <w:jc w:val="center"/>
              <w:rPr>
                <w:rFonts w:hint="eastAsia" w:ascii="宋体" w:hAnsi="宋体" w:eastAsia="宋体" w:cs="宋体"/>
                <w:color w:val="auto"/>
                <w:sz w:val="21"/>
                <w:szCs w:val="21"/>
                <w:highlight w:val="none"/>
              </w:rPr>
            </w:pPr>
          </w:p>
        </w:tc>
      </w:tr>
      <w:tr w14:paraId="63DB6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5EDDE8D">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（一）开挖深度超过3m（含3m）的基坑（槽）的土方开挖、支护、降水工程。</w:t>
            </w:r>
          </w:p>
        </w:tc>
        <w:tc>
          <w:tcPr>
            <w:tcW w:w="1038" w:type="dxa"/>
            <w:vAlign w:val="center"/>
          </w:tcPr>
          <w:p w14:paraId="417FC4B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5DAAF70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2D29644">
            <w:pPr>
              <w:spacing w:line="276" w:lineRule="auto"/>
              <w:jc w:val="center"/>
              <w:rPr>
                <w:rFonts w:hint="eastAsia" w:ascii="宋体" w:hAnsi="宋体" w:eastAsia="宋体" w:cs="宋体"/>
                <w:color w:val="auto"/>
                <w:sz w:val="21"/>
                <w:szCs w:val="21"/>
                <w:highlight w:val="none"/>
              </w:rPr>
            </w:pPr>
          </w:p>
        </w:tc>
      </w:tr>
      <w:tr w14:paraId="26A08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3B1009B">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（二）开挖深度虽未超过3m，但地质条件、周围环境和地下管线复杂，或影响毗邻建、构筑物安全的基坑（槽）的土方开挖、支护、降水工程。</w:t>
            </w:r>
          </w:p>
        </w:tc>
        <w:tc>
          <w:tcPr>
            <w:tcW w:w="1038" w:type="dxa"/>
            <w:vAlign w:val="center"/>
          </w:tcPr>
          <w:p w14:paraId="687126A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57E4C7A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ECD5771">
            <w:pPr>
              <w:spacing w:line="276" w:lineRule="auto"/>
              <w:jc w:val="center"/>
              <w:rPr>
                <w:rFonts w:hint="eastAsia" w:ascii="宋体" w:hAnsi="宋体" w:eastAsia="宋体" w:cs="宋体"/>
                <w:color w:val="auto"/>
                <w:sz w:val="21"/>
                <w:szCs w:val="21"/>
                <w:highlight w:val="none"/>
              </w:rPr>
            </w:pPr>
          </w:p>
        </w:tc>
      </w:tr>
      <w:tr w14:paraId="3FC06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7497857">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二、模板工程及支撑体系</w:t>
            </w:r>
          </w:p>
        </w:tc>
        <w:tc>
          <w:tcPr>
            <w:tcW w:w="1038" w:type="dxa"/>
            <w:vAlign w:val="center"/>
          </w:tcPr>
          <w:p w14:paraId="589AA0A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3F1335D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F04370A">
            <w:pPr>
              <w:spacing w:line="276" w:lineRule="auto"/>
              <w:jc w:val="center"/>
              <w:rPr>
                <w:rFonts w:hint="eastAsia" w:ascii="宋体" w:hAnsi="宋体" w:eastAsia="宋体" w:cs="宋体"/>
                <w:color w:val="auto"/>
                <w:sz w:val="21"/>
                <w:szCs w:val="21"/>
                <w:highlight w:val="none"/>
              </w:rPr>
            </w:pPr>
          </w:p>
        </w:tc>
      </w:tr>
      <w:tr w14:paraId="0456B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3A01328">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（一）各类工具式模板工程：包括滑模、爬模、飞模、隧道模等工程。</w:t>
            </w:r>
          </w:p>
        </w:tc>
        <w:tc>
          <w:tcPr>
            <w:tcW w:w="1038" w:type="dxa"/>
            <w:vAlign w:val="center"/>
          </w:tcPr>
          <w:p w14:paraId="3F0BDA0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44B8C325">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F233289">
            <w:pPr>
              <w:spacing w:line="276" w:lineRule="auto"/>
              <w:jc w:val="center"/>
              <w:rPr>
                <w:rFonts w:hint="eastAsia" w:ascii="宋体" w:hAnsi="宋体" w:eastAsia="宋体" w:cs="宋体"/>
                <w:color w:val="auto"/>
                <w:sz w:val="21"/>
                <w:szCs w:val="21"/>
                <w:highlight w:val="none"/>
              </w:rPr>
            </w:pPr>
          </w:p>
        </w:tc>
      </w:tr>
      <w:tr w14:paraId="681CD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DF6439F">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混凝土模板支撑工程：搭设高度5m及以上，或搭设跨度10m及以上，或施工总荷载（荷载效应基本组合的设计值，以下简称设计值）10kN/m2及以上，或集中线荷载（设计值）15kN/m及以上，或高度大于支撑水平投影宽度且相对独立无联系构件的混凝土模板支撑工程。</w:t>
            </w:r>
          </w:p>
        </w:tc>
        <w:tc>
          <w:tcPr>
            <w:tcW w:w="1038" w:type="dxa"/>
            <w:vAlign w:val="center"/>
          </w:tcPr>
          <w:p w14:paraId="3B8CEEA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28AC1F8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E41A9D2">
            <w:pPr>
              <w:spacing w:line="276" w:lineRule="auto"/>
              <w:jc w:val="center"/>
              <w:rPr>
                <w:rFonts w:hint="eastAsia" w:ascii="宋体" w:hAnsi="宋体" w:eastAsia="宋体" w:cs="宋体"/>
                <w:color w:val="auto"/>
                <w:sz w:val="21"/>
                <w:szCs w:val="21"/>
                <w:highlight w:val="none"/>
              </w:rPr>
            </w:pPr>
          </w:p>
        </w:tc>
      </w:tr>
      <w:tr w14:paraId="41774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5788762">
            <w:pPr>
              <w:widowControl/>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（三）承重支撑体系：用于钢结构安装等满堂支撑体系。</w:t>
            </w:r>
          </w:p>
        </w:tc>
        <w:tc>
          <w:tcPr>
            <w:tcW w:w="1038" w:type="dxa"/>
            <w:vAlign w:val="center"/>
          </w:tcPr>
          <w:p w14:paraId="6BEE9BD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3BDE17E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24879D9">
            <w:pPr>
              <w:spacing w:line="276" w:lineRule="auto"/>
              <w:jc w:val="center"/>
              <w:rPr>
                <w:rFonts w:hint="eastAsia" w:ascii="宋体" w:hAnsi="宋体" w:eastAsia="宋体" w:cs="宋体"/>
                <w:color w:val="auto"/>
                <w:sz w:val="21"/>
                <w:szCs w:val="21"/>
                <w:highlight w:val="none"/>
              </w:rPr>
            </w:pPr>
          </w:p>
        </w:tc>
      </w:tr>
      <w:tr w14:paraId="4DA01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8EEA960">
            <w:pPr>
              <w:widowControl/>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三、起重吊装及起重机械安装拆卸工程</w:t>
            </w:r>
          </w:p>
        </w:tc>
        <w:tc>
          <w:tcPr>
            <w:tcW w:w="1038" w:type="dxa"/>
            <w:vAlign w:val="center"/>
          </w:tcPr>
          <w:p w14:paraId="16E48D9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59177DF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5475BF7">
            <w:pPr>
              <w:spacing w:line="276" w:lineRule="auto"/>
              <w:jc w:val="center"/>
              <w:rPr>
                <w:rFonts w:hint="eastAsia" w:ascii="宋体" w:hAnsi="宋体" w:eastAsia="宋体" w:cs="宋体"/>
                <w:color w:val="auto"/>
                <w:sz w:val="21"/>
                <w:szCs w:val="21"/>
                <w:highlight w:val="none"/>
              </w:rPr>
            </w:pPr>
          </w:p>
        </w:tc>
      </w:tr>
      <w:tr w14:paraId="0AE94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16AA7EB">
            <w:pPr>
              <w:widowControl/>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（一）采用非常规起重设备、方法，且单件起吊重量在10kN及以上的起重吊装工程。</w:t>
            </w:r>
          </w:p>
        </w:tc>
        <w:tc>
          <w:tcPr>
            <w:tcW w:w="1038" w:type="dxa"/>
            <w:vAlign w:val="center"/>
          </w:tcPr>
          <w:p w14:paraId="43B8A17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1D17037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6EC864F">
            <w:pPr>
              <w:spacing w:line="276" w:lineRule="auto"/>
              <w:jc w:val="center"/>
              <w:rPr>
                <w:rFonts w:hint="eastAsia" w:ascii="宋体" w:hAnsi="宋体" w:eastAsia="宋体" w:cs="宋体"/>
                <w:color w:val="auto"/>
                <w:sz w:val="21"/>
                <w:szCs w:val="21"/>
                <w:highlight w:val="none"/>
              </w:rPr>
            </w:pPr>
          </w:p>
        </w:tc>
      </w:tr>
      <w:tr w14:paraId="63403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1535A0E">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（二）采用起重机械进行安装的工程。</w:t>
            </w:r>
          </w:p>
        </w:tc>
        <w:tc>
          <w:tcPr>
            <w:tcW w:w="1038" w:type="dxa"/>
            <w:vAlign w:val="center"/>
          </w:tcPr>
          <w:p w14:paraId="65B28D65">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0DE7526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E502249">
            <w:pPr>
              <w:spacing w:line="276" w:lineRule="auto"/>
              <w:jc w:val="center"/>
              <w:rPr>
                <w:rFonts w:hint="eastAsia" w:ascii="宋体" w:hAnsi="宋体" w:eastAsia="宋体" w:cs="宋体"/>
                <w:color w:val="auto"/>
                <w:sz w:val="21"/>
                <w:szCs w:val="21"/>
                <w:highlight w:val="none"/>
              </w:rPr>
            </w:pPr>
          </w:p>
        </w:tc>
      </w:tr>
      <w:tr w14:paraId="53414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260257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（三）起重机械安装和拆卸工程。</w:t>
            </w:r>
          </w:p>
        </w:tc>
        <w:tc>
          <w:tcPr>
            <w:tcW w:w="1038" w:type="dxa"/>
            <w:vAlign w:val="center"/>
          </w:tcPr>
          <w:p w14:paraId="2D8A5F8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307FD6A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35B5E66">
            <w:pPr>
              <w:spacing w:line="276" w:lineRule="auto"/>
              <w:jc w:val="center"/>
              <w:rPr>
                <w:rFonts w:hint="eastAsia" w:ascii="宋体" w:hAnsi="宋体" w:eastAsia="宋体" w:cs="宋体"/>
                <w:color w:val="auto"/>
                <w:sz w:val="21"/>
                <w:szCs w:val="21"/>
                <w:highlight w:val="none"/>
              </w:rPr>
            </w:pPr>
          </w:p>
        </w:tc>
      </w:tr>
      <w:tr w14:paraId="0C966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A684CF0">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四、脚手架工程</w:t>
            </w:r>
          </w:p>
        </w:tc>
        <w:tc>
          <w:tcPr>
            <w:tcW w:w="1038" w:type="dxa"/>
            <w:vAlign w:val="center"/>
          </w:tcPr>
          <w:p w14:paraId="5E5C3B6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13608CD5">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A077EBF">
            <w:pPr>
              <w:spacing w:line="276" w:lineRule="auto"/>
              <w:jc w:val="center"/>
              <w:rPr>
                <w:rFonts w:hint="eastAsia" w:ascii="宋体" w:hAnsi="宋体" w:eastAsia="宋体" w:cs="宋体"/>
                <w:color w:val="auto"/>
                <w:sz w:val="21"/>
                <w:szCs w:val="21"/>
                <w:highlight w:val="none"/>
              </w:rPr>
            </w:pPr>
          </w:p>
        </w:tc>
      </w:tr>
      <w:tr w14:paraId="13122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21A344B">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（一）搭设高度24m及以上的落地式钢管脚手架工程（包括采光井、电梯井脚手架）。</w:t>
            </w:r>
          </w:p>
        </w:tc>
        <w:tc>
          <w:tcPr>
            <w:tcW w:w="1038" w:type="dxa"/>
            <w:vAlign w:val="center"/>
          </w:tcPr>
          <w:p w14:paraId="4254C42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48F64B7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2BB9D44C">
            <w:pPr>
              <w:spacing w:line="276" w:lineRule="auto"/>
              <w:jc w:val="center"/>
              <w:rPr>
                <w:rFonts w:hint="eastAsia" w:ascii="宋体" w:hAnsi="宋体" w:eastAsia="宋体" w:cs="宋体"/>
                <w:color w:val="auto"/>
                <w:sz w:val="21"/>
                <w:szCs w:val="21"/>
                <w:highlight w:val="none"/>
              </w:rPr>
            </w:pPr>
          </w:p>
        </w:tc>
      </w:tr>
      <w:tr w14:paraId="25E1B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A63789F">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（二）附着式升降脚手架工程。</w:t>
            </w:r>
          </w:p>
        </w:tc>
        <w:tc>
          <w:tcPr>
            <w:tcW w:w="1038" w:type="dxa"/>
            <w:vAlign w:val="center"/>
          </w:tcPr>
          <w:p w14:paraId="15172C3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3507827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C24ABDA">
            <w:pPr>
              <w:spacing w:line="276" w:lineRule="auto"/>
              <w:jc w:val="center"/>
              <w:rPr>
                <w:rFonts w:hint="eastAsia" w:ascii="宋体" w:hAnsi="宋体" w:eastAsia="宋体" w:cs="宋体"/>
                <w:color w:val="auto"/>
                <w:sz w:val="21"/>
                <w:szCs w:val="21"/>
                <w:highlight w:val="none"/>
              </w:rPr>
            </w:pPr>
          </w:p>
        </w:tc>
      </w:tr>
      <w:tr w14:paraId="708E0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E97E56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（三）悬挑式脚手架工程。</w:t>
            </w:r>
          </w:p>
        </w:tc>
        <w:tc>
          <w:tcPr>
            <w:tcW w:w="1038" w:type="dxa"/>
            <w:vAlign w:val="center"/>
          </w:tcPr>
          <w:p w14:paraId="0448C32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7673E9D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7DDBC4F">
            <w:pPr>
              <w:spacing w:line="276" w:lineRule="auto"/>
              <w:jc w:val="center"/>
              <w:rPr>
                <w:rFonts w:hint="eastAsia" w:ascii="宋体" w:hAnsi="宋体" w:eastAsia="宋体" w:cs="宋体"/>
                <w:color w:val="auto"/>
                <w:sz w:val="21"/>
                <w:szCs w:val="21"/>
                <w:highlight w:val="none"/>
              </w:rPr>
            </w:pPr>
          </w:p>
        </w:tc>
      </w:tr>
      <w:tr w14:paraId="7639A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348FE5C">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（四）高处作业吊篮。</w:t>
            </w:r>
          </w:p>
        </w:tc>
        <w:tc>
          <w:tcPr>
            <w:tcW w:w="1038" w:type="dxa"/>
            <w:vAlign w:val="center"/>
          </w:tcPr>
          <w:p w14:paraId="7252BC0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w:t>
            </w:r>
            <w:bookmarkStart w:id="617" w:name="OLE_LINK14"/>
            <w:r>
              <w:rPr>
                <w:rFonts w:hint="eastAsia" w:ascii="宋体" w:hAnsi="宋体" w:eastAsia="宋体" w:cs="宋体"/>
                <w:color w:val="auto"/>
                <w:sz w:val="21"/>
                <w:szCs w:val="21"/>
                <w:highlight w:val="none"/>
              </w:rPr>
              <w:t>√</w:t>
            </w:r>
            <w:bookmarkEnd w:id="617"/>
            <w:r>
              <w:rPr>
                <w:rFonts w:hint="eastAsia" w:ascii="宋体" w:hAnsi="宋体" w:eastAsia="宋体" w:cs="宋体"/>
                <w:color w:val="auto"/>
                <w:sz w:val="21"/>
                <w:szCs w:val="21"/>
                <w:highlight w:val="none"/>
              </w:rPr>
              <w:t xml:space="preserve"> )</w:t>
            </w:r>
          </w:p>
        </w:tc>
        <w:tc>
          <w:tcPr>
            <w:tcW w:w="1087" w:type="dxa"/>
            <w:vAlign w:val="center"/>
          </w:tcPr>
          <w:p w14:paraId="6B034F1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8FF53AA">
            <w:pPr>
              <w:spacing w:line="276" w:lineRule="auto"/>
              <w:jc w:val="center"/>
              <w:rPr>
                <w:rFonts w:hint="eastAsia" w:ascii="宋体" w:hAnsi="宋体" w:eastAsia="宋体" w:cs="宋体"/>
                <w:color w:val="auto"/>
                <w:sz w:val="21"/>
                <w:szCs w:val="21"/>
                <w:highlight w:val="none"/>
              </w:rPr>
            </w:pPr>
          </w:p>
        </w:tc>
      </w:tr>
      <w:tr w14:paraId="4B99B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CD24441">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（五）卸料平台、操作平台工程。</w:t>
            </w:r>
          </w:p>
        </w:tc>
        <w:tc>
          <w:tcPr>
            <w:tcW w:w="1038" w:type="dxa"/>
            <w:vAlign w:val="center"/>
          </w:tcPr>
          <w:p w14:paraId="49912AC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61232B3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D3D16A0">
            <w:pPr>
              <w:spacing w:line="276" w:lineRule="auto"/>
              <w:jc w:val="center"/>
              <w:rPr>
                <w:rFonts w:hint="eastAsia" w:ascii="宋体" w:hAnsi="宋体" w:eastAsia="宋体" w:cs="宋体"/>
                <w:color w:val="auto"/>
                <w:sz w:val="21"/>
                <w:szCs w:val="21"/>
                <w:highlight w:val="none"/>
              </w:rPr>
            </w:pPr>
          </w:p>
        </w:tc>
      </w:tr>
      <w:tr w14:paraId="1331B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3DFC784">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（六）异型脚手架工程。</w:t>
            </w:r>
          </w:p>
        </w:tc>
        <w:tc>
          <w:tcPr>
            <w:tcW w:w="1038" w:type="dxa"/>
            <w:vAlign w:val="center"/>
          </w:tcPr>
          <w:p w14:paraId="1AF60C3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C3E633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071A773">
            <w:pPr>
              <w:spacing w:line="276" w:lineRule="auto"/>
              <w:jc w:val="center"/>
              <w:rPr>
                <w:rFonts w:hint="eastAsia" w:ascii="宋体" w:hAnsi="宋体" w:eastAsia="宋体" w:cs="宋体"/>
                <w:color w:val="auto"/>
                <w:sz w:val="21"/>
                <w:szCs w:val="21"/>
                <w:highlight w:val="none"/>
              </w:rPr>
            </w:pPr>
          </w:p>
        </w:tc>
      </w:tr>
      <w:tr w14:paraId="18657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580CD0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五、拆除工程</w:t>
            </w:r>
          </w:p>
        </w:tc>
        <w:tc>
          <w:tcPr>
            <w:tcW w:w="1038" w:type="dxa"/>
            <w:vAlign w:val="center"/>
          </w:tcPr>
          <w:p w14:paraId="6946C2B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5AA998D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75A25B6">
            <w:pPr>
              <w:spacing w:line="276" w:lineRule="auto"/>
              <w:jc w:val="center"/>
              <w:rPr>
                <w:rFonts w:hint="eastAsia" w:ascii="宋体" w:hAnsi="宋体" w:eastAsia="宋体" w:cs="宋体"/>
                <w:color w:val="auto"/>
                <w:sz w:val="21"/>
                <w:szCs w:val="21"/>
                <w:highlight w:val="none"/>
              </w:rPr>
            </w:pPr>
          </w:p>
        </w:tc>
      </w:tr>
      <w:tr w14:paraId="07176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8D07733">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可能影响行人、交通、电力设施、通讯设施或其它建、构筑物安全的拆除工程。</w:t>
            </w:r>
          </w:p>
        </w:tc>
        <w:tc>
          <w:tcPr>
            <w:tcW w:w="1038" w:type="dxa"/>
            <w:vAlign w:val="center"/>
          </w:tcPr>
          <w:p w14:paraId="4079A00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14FD888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D6BAEA2">
            <w:pPr>
              <w:spacing w:line="276" w:lineRule="auto"/>
              <w:jc w:val="center"/>
              <w:rPr>
                <w:rFonts w:hint="eastAsia" w:ascii="宋体" w:hAnsi="宋体" w:eastAsia="宋体" w:cs="宋体"/>
                <w:color w:val="auto"/>
                <w:sz w:val="21"/>
                <w:szCs w:val="21"/>
                <w:highlight w:val="none"/>
              </w:rPr>
            </w:pPr>
          </w:p>
        </w:tc>
      </w:tr>
      <w:tr w14:paraId="58064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27AD1BB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六、暗挖工程</w:t>
            </w:r>
          </w:p>
        </w:tc>
        <w:tc>
          <w:tcPr>
            <w:tcW w:w="1038" w:type="dxa"/>
            <w:vAlign w:val="center"/>
          </w:tcPr>
          <w:p w14:paraId="370D42A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12C2CE3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66E141B">
            <w:pPr>
              <w:spacing w:line="276" w:lineRule="auto"/>
              <w:jc w:val="center"/>
              <w:rPr>
                <w:rFonts w:hint="eastAsia" w:ascii="宋体" w:hAnsi="宋体" w:eastAsia="宋体" w:cs="宋体"/>
                <w:color w:val="auto"/>
                <w:sz w:val="21"/>
                <w:szCs w:val="21"/>
                <w:highlight w:val="none"/>
              </w:rPr>
            </w:pPr>
          </w:p>
        </w:tc>
      </w:tr>
      <w:tr w14:paraId="05C1E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2F3AEE4">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采用矿山法、盾构法、顶管法施工的隧道、洞室工程。</w:t>
            </w:r>
          </w:p>
        </w:tc>
        <w:tc>
          <w:tcPr>
            <w:tcW w:w="1038" w:type="dxa"/>
            <w:vAlign w:val="center"/>
          </w:tcPr>
          <w:p w14:paraId="5989085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910DAB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6A2FC9E">
            <w:pPr>
              <w:spacing w:line="276" w:lineRule="auto"/>
              <w:jc w:val="center"/>
              <w:rPr>
                <w:rFonts w:hint="eastAsia" w:ascii="宋体" w:hAnsi="宋体" w:eastAsia="宋体" w:cs="宋体"/>
                <w:color w:val="auto"/>
                <w:sz w:val="21"/>
                <w:szCs w:val="21"/>
                <w:highlight w:val="none"/>
              </w:rPr>
            </w:pPr>
          </w:p>
        </w:tc>
      </w:tr>
      <w:tr w14:paraId="35999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B13A5C5">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七、其它</w:t>
            </w:r>
          </w:p>
        </w:tc>
        <w:tc>
          <w:tcPr>
            <w:tcW w:w="1038" w:type="dxa"/>
            <w:vAlign w:val="center"/>
          </w:tcPr>
          <w:p w14:paraId="3BCB666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0525918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D4BF242">
            <w:pPr>
              <w:spacing w:line="276" w:lineRule="auto"/>
              <w:jc w:val="center"/>
              <w:rPr>
                <w:rFonts w:hint="eastAsia" w:ascii="宋体" w:hAnsi="宋体" w:eastAsia="宋体" w:cs="宋体"/>
                <w:color w:val="auto"/>
                <w:sz w:val="21"/>
                <w:szCs w:val="21"/>
                <w:highlight w:val="none"/>
              </w:rPr>
            </w:pPr>
          </w:p>
        </w:tc>
      </w:tr>
      <w:tr w14:paraId="66A7A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FAE724A">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（一）建筑幕墙安装工程。</w:t>
            </w:r>
          </w:p>
        </w:tc>
        <w:tc>
          <w:tcPr>
            <w:tcW w:w="1038" w:type="dxa"/>
            <w:vAlign w:val="center"/>
          </w:tcPr>
          <w:p w14:paraId="4263732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C4552B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A83357D">
            <w:pPr>
              <w:spacing w:line="276" w:lineRule="auto"/>
              <w:jc w:val="center"/>
              <w:rPr>
                <w:rFonts w:hint="eastAsia" w:ascii="宋体" w:hAnsi="宋体" w:eastAsia="宋体" w:cs="宋体"/>
                <w:color w:val="auto"/>
                <w:sz w:val="21"/>
                <w:szCs w:val="21"/>
                <w:highlight w:val="none"/>
              </w:rPr>
            </w:pPr>
          </w:p>
        </w:tc>
      </w:tr>
      <w:tr w14:paraId="4316C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966F0E5">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（二）钢结构、网架和索膜结构安装工程。</w:t>
            </w:r>
          </w:p>
        </w:tc>
        <w:tc>
          <w:tcPr>
            <w:tcW w:w="1038" w:type="dxa"/>
            <w:vAlign w:val="center"/>
          </w:tcPr>
          <w:p w14:paraId="0D346BA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2F1336D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F2CC1E3">
            <w:pPr>
              <w:spacing w:line="276" w:lineRule="auto"/>
              <w:jc w:val="center"/>
              <w:rPr>
                <w:rFonts w:hint="eastAsia" w:ascii="宋体" w:hAnsi="宋体" w:eastAsia="宋体" w:cs="宋体"/>
                <w:color w:val="auto"/>
                <w:sz w:val="21"/>
                <w:szCs w:val="21"/>
                <w:highlight w:val="none"/>
              </w:rPr>
            </w:pPr>
          </w:p>
        </w:tc>
      </w:tr>
      <w:tr w14:paraId="271E0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D2D9C25">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（三）人工挖孔桩工程。</w:t>
            </w:r>
          </w:p>
        </w:tc>
        <w:tc>
          <w:tcPr>
            <w:tcW w:w="1038" w:type="dxa"/>
            <w:vAlign w:val="center"/>
          </w:tcPr>
          <w:p w14:paraId="39CC20A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70D0E5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AEB11FD">
            <w:pPr>
              <w:spacing w:line="276" w:lineRule="auto"/>
              <w:jc w:val="center"/>
              <w:rPr>
                <w:rFonts w:hint="eastAsia" w:ascii="宋体" w:hAnsi="宋体" w:eastAsia="宋体" w:cs="宋体"/>
                <w:color w:val="auto"/>
                <w:sz w:val="21"/>
                <w:szCs w:val="21"/>
                <w:highlight w:val="none"/>
              </w:rPr>
            </w:pPr>
          </w:p>
        </w:tc>
      </w:tr>
      <w:tr w14:paraId="39033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6AED933">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（四）水下作业工程。</w:t>
            </w:r>
          </w:p>
        </w:tc>
        <w:tc>
          <w:tcPr>
            <w:tcW w:w="1038" w:type="dxa"/>
            <w:vAlign w:val="center"/>
          </w:tcPr>
          <w:p w14:paraId="3CCF485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71781D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BDC99C0">
            <w:pPr>
              <w:spacing w:line="276" w:lineRule="auto"/>
              <w:jc w:val="center"/>
              <w:rPr>
                <w:rFonts w:hint="eastAsia" w:ascii="宋体" w:hAnsi="宋体" w:eastAsia="宋体" w:cs="宋体"/>
                <w:color w:val="auto"/>
                <w:sz w:val="21"/>
                <w:szCs w:val="21"/>
                <w:highlight w:val="none"/>
              </w:rPr>
            </w:pPr>
          </w:p>
        </w:tc>
      </w:tr>
      <w:tr w14:paraId="0BE81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C8C44F0">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（五）装配式建筑混凝土预制构件安装工程。</w:t>
            </w:r>
          </w:p>
        </w:tc>
        <w:tc>
          <w:tcPr>
            <w:tcW w:w="1038" w:type="dxa"/>
            <w:vAlign w:val="center"/>
          </w:tcPr>
          <w:p w14:paraId="3C3D939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2152D62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1ED692A">
            <w:pPr>
              <w:spacing w:line="276" w:lineRule="auto"/>
              <w:jc w:val="center"/>
              <w:rPr>
                <w:rFonts w:hint="eastAsia" w:ascii="宋体" w:hAnsi="宋体" w:eastAsia="宋体" w:cs="宋体"/>
                <w:color w:val="auto"/>
                <w:sz w:val="21"/>
                <w:szCs w:val="21"/>
                <w:highlight w:val="none"/>
              </w:rPr>
            </w:pPr>
          </w:p>
        </w:tc>
      </w:tr>
      <w:tr w14:paraId="428EB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156F000">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（六）采用新技术、新工艺、新材料、新设备可能影响工程施工安全，尚无国家、行业及地方技术标准的分部分项工程。</w:t>
            </w:r>
          </w:p>
        </w:tc>
        <w:tc>
          <w:tcPr>
            <w:tcW w:w="1038" w:type="dxa"/>
            <w:vAlign w:val="center"/>
          </w:tcPr>
          <w:p w14:paraId="5F420B5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03B9702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C11664E">
            <w:pPr>
              <w:spacing w:line="276" w:lineRule="auto"/>
              <w:jc w:val="center"/>
              <w:rPr>
                <w:rFonts w:hint="eastAsia" w:ascii="宋体" w:hAnsi="宋体" w:eastAsia="宋体" w:cs="宋体"/>
                <w:color w:val="auto"/>
                <w:sz w:val="21"/>
                <w:szCs w:val="21"/>
                <w:highlight w:val="none"/>
              </w:rPr>
            </w:pPr>
          </w:p>
        </w:tc>
      </w:tr>
      <w:tr w14:paraId="383C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vAlign w:val="center"/>
          </w:tcPr>
          <w:p w14:paraId="7813F29B">
            <w:pPr>
              <w:widowControl/>
              <w:spacing w:line="276" w:lineRule="auto"/>
              <w:rPr>
                <w:rFonts w:hint="eastAsia" w:ascii="宋体" w:hAnsi="宋体" w:eastAsia="宋体" w:cs="宋体"/>
                <w:b/>
                <w:color w:val="auto"/>
                <w:sz w:val="21"/>
                <w:szCs w:val="21"/>
                <w:highlight w:val="none"/>
              </w:rPr>
            </w:pPr>
            <w:r>
              <w:rPr>
                <w:rFonts w:hint="eastAsia" w:ascii="宋体" w:hAnsi="宋体" w:eastAsia="宋体" w:cs="宋体"/>
                <w:b/>
                <w:bCs/>
                <w:color w:val="auto"/>
                <w:sz w:val="21"/>
                <w:szCs w:val="21"/>
                <w:highlight w:val="none"/>
              </w:rPr>
              <w:t>二、超过一定规模的危险性较大的分部分项工程清单</w:t>
            </w:r>
          </w:p>
        </w:tc>
        <w:tc>
          <w:tcPr>
            <w:tcW w:w="1038" w:type="dxa"/>
            <w:vAlign w:val="center"/>
          </w:tcPr>
          <w:p w14:paraId="304F160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50DC05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B99D992">
            <w:pPr>
              <w:spacing w:line="276" w:lineRule="auto"/>
              <w:jc w:val="center"/>
              <w:rPr>
                <w:rFonts w:hint="eastAsia" w:ascii="宋体" w:hAnsi="宋体" w:eastAsia="宋体" w:cs="宋体"/>
                <w:color w:val="auto"/>
                <w:sz w:val="21"/>
                <w:szCs w:val="21"/>
                <w:highlight w:val="none"/>
              </w:rPr>
            </w:pPr>
          </w:p>
        </w:tc>
      </w:tr>
      <w:tr w14:paraId="5D405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9D814D7">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一、深基坑工程</w:t>
            </w:r>
          </w:p>
        </w:tc>
        <w:tc>
          <w:tcPr>
            <w:tcW w:w="1038" w:type="dxa"/>
            <w:vAlign w:val="center"/>
          </w:tcPr>
          <w:p w14:paraId="41A4341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536EB10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88ABB4D">
            <w:pPr>
              <w:spacing w:line="276" w:lineRule="auto"/>
              <w:jc w:val="center"/>
              <w:rPr>
                <w:rFonts w:hint="eastAsia" w:ascii="宋体" w:hAnsi="宋体" w:eastAsia="宋体" w:cs="宋体"/>
                <w:color w:val="auto"/>
                <w:sz w:val="21"/>
                <w:szCs w:val="21"/>
                <w:highlight w:val="none"/>
              </w:rPr>
            </w:pPr>
          </w:p>
        </w:tc>
      </w:tr>
      <w:tr w14:paraId="0A054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6135" w:type="dxa"/>
          </w:tcPr>
          <w:p w14:paraId="0956947C">
            <w:pPr>
              <w:spacing w:line="276" w:lineRule="auto"/>
              <w:ind w:firstLine="48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开挖深度超过5m（含5m）的基坑（槽）的土方开挖、支护、降水工程。</w:t>
            </w:r>
          </w:p>
        </w:tc>
        <w:tc>
          <w:tcPr>
            <w:tcW w:w="1038" w:type="dxa"/>
            <w:vAlign w:val="center"/>
          </w:tcPr>
          <w:p w14:paraId="598B1C55">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48CAC71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26439704">
            <w:pPr>
              <w:spacing w:line="276" w:lineRule="auto"/>
              <w:ind w:firstLine="480"/>
              <w:jc w:val="center"/>
              <w:rPr>
                <w:rFonts w:hint="eastAsia" w:ascii="宋体" w:hAnsi="宋体" w:eastAsia="宋体" w:cs="宋体"/>
                <w:color w:val="auto"/>
                <w:sz w:val="21"/>
                <w:szCs w:val="21"/>
                <w:highlight w:val="none"/>
              </w:rPr>
            </w:pPr>
          </w:p>
        </w:tc>
      </w:tr>
      <w:tr w14:paraId="3A361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734F4F5">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二、模板工程及支撑体系</w:t>
            </w:r>
          </w:p>
        </w:tc>
        <w:tc>
          <w:tcPr>
            <w:tcW w:w="1038" w:type="dxa"/>
            <w:vAlign w:val="center"/>
          </w:tcPr>
          <w:p w14:paraId="15A61A5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204C81E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221152D">
            <w:pPr>
              <w:spacing w:line="276" w:lineRule="auto"/>
              <w:ind w:firstLine="480"/>
              <w:jc w:val="center"/>
              <w:rPr>
                <w:rFonts w:hint="eastAsia" w:ascii="宋体" w:hAnsi="宋体" w:eastAsia="宋体" w:cs="宋体"/>
                <w:color w:val="auto"/>
                <w:sz w:val="21"/>
                <w:szCs w:val="21"/>
                <w:highlight w:val="none"/>
              </w:rPr>
            </w:pPr>
          </w:p>
        </w:tc>
      </w:tr>
      <w:tr w14:paraId="1ECA7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8DE8A6B">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（一）各类工具式模板工程：包括滑模、爬模、飞模、隧道模等工程。</w:t>
            </w:r>
          </w:p>
        </w:tc>
        <w:tc>
          <w:tcPr>
            <w:tcW w:w="1038" w:type="dxa"/>
            <w:vAlign w:val="center"/>
          </w:tcPr>
          <w:p w14:paraId="1C70FC1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3583FAAA">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23340C59">
            <w:pPr>
              <w:spacing w:line="276" w:lineRule="auto"/>
              <w:ind w:firstLine="480"/>
              <w:jc w:val="center"/>
              <w:rPr>
                <w:rFonts w:hint="eastAsia" w:ascii="宋体" w:hAnsi="宋体" w:eastAsia="宋体" w:cs="宋体"/>
                <w:color w:val="auto"/>
                <w:sz w:val="21"/>
                <w:szCs w:val="21"/>
                <w:highlight w:val="none"/>
              </w:rPr>
            </w:pPr>
          </w:p>
        </w:tc>
      </w:tr>
      <w:tr w14:paraId="68A31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8FDA1D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（二）混凝土模板支撑工程：搭设高度8m及以上，或搭设跨度18m及以上，或施工总荷载（设计值）15kN/m2及以上，或集中线荷载（设计值）20kN/m及以上。</w:t>
            </w:r>
          </w:p>
        </w:tc>
        <w:tc>
          <w:tcPr>
            <w:tcW w:w="1038" w:type="dxa"/>
            <w:vAlign w:val="center"/>
          </w:tcPr>
          <w:p w14:paraId="1536EB4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 )</w:t>
            </w:r>
          </w:p>
        </w:tc>
        <w:tc>
          <w:tcPr>
            <w:tcW w:w="1087" w:type="dxa"/>
            <w:vAlign w:val="center"/>
          </w:tcPr>
          <w:p w14:paraId="76EC0C4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89F0C2D">
            <w:pPr>
              <w:spacing w:line="276" w:lineRule="auto"/>
              <w:jc w:val="center"/>
              <w:rPr>
                <w:rFonts w:hint="eastAsia" w:ascii="宋体" w:hAnsi="宋体" w:eastAsia="宋体" w:cs="宋体"/>
                <w:color w:val="auto"/>
                <w:sz w:val="21"/>
                <w:szCs w:val="21"/>
                <w:highlight w:val="none"/>
              </w:rPr>
            </w:pPr>
          </w:p>
        </w:tc>
      </w:tr>
      <w:tr w14:paraId="55910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2B1B6BE">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（三）承重支撑体系：用于钢结构安装等满堂支撑体系，承受单点集中荷载7kN及以上。</w:t>
            </w:r>
          </w:p>
        </w:tc>
        <w:tc>
          <w:tcPr>
            <w:tcW w:w="1038" w:type="dxa"/>
            <w:vAlign w:val="center"/>
          </w:tcPr>
          <w:p w14:paraId="06BC69AC">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052EAC6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A979DE3">
            <w:pPr>
              <w:spacing w:line="276" w:lineRule="auto"/>
              <w:jc w:val="center"/>
              <w:rPr>
                <w:rFonts w:hint="eastAsia" w:ascii="宋体" w:hAnsi="宋体" w:eastAsia="宋体" w:cs="宋体"/>
                <w:color w:val="auto"/>
                <w:sz w:val="21"/>
                <w:szCs w:val="21"/>
                <w:highlight w:val="none"/>
              </w:rPr>
            </w:pPr>
          </w:p>
        </w:tc>
      </w:tr>
      <w:tr w14:paraId="06C70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7649AB3">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三、起重吊装及起重机械安装拆卸工程</w:t>
            </w:r>
          </w:p>
        </w:tc>
        <w:tc>
          <w:tcPr>
            <w:tcW w:w="1038" w:type="dxa"/>
            <w:vAlign w:val="center"/>
          </w:tcPr>
          <w:p w14:paraId="298FA696">
            <w:pPr>
              <w:spacing w:line="276" w:lineRule="auto"/>
              <w:jc w:val="center"/>
              <w:rPr>
                <w:rFonts w:hint="eastAsia" w:ascii="宋体" w:hAnsi="宋体" w:eastAsia="宋体" w:cs="宋体"/>
                <w:color w:val="auto"/>
                <w:sz w:val="21"/>
                <w:szCs w:val="21"/>
                <w:highlight w:val="none"/>
              </w:rPr>
            </w:pPr>
            <w:bookmarkStart w:id="618" w:name="OLE_LINK2"/>
            <w:r>
              <w:rPr>
                <w:rFonts w:hint="eastAsia" w:ascii="宋体" w:hAnsi="宋体" w:eastAsia="宋体" w:cs="宋体"/>
                <w:color w:val="auto"/>
                <w:sz w:val="21"/>
                <w:szCs w:val="21"/>
                <w:highlight w:val="none"/>
              </w:rPr>
              <w:t>(    )</w:t>
            </w:r>
            <w:bookmarkEnd w:id="618"/>
          </w:p>
        </w:tc>
        <w:tc>
          <w:tcPr>
            <w:tcW w:w="1087" w:type="dxa"/>
            <w:vAlign w:val="center"/>
          </w:tcPr>
          <w:p w14:paraId="06F68F0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BD8C9EB">
            <w:pPr>
              <w:spacing w:line="276" w:lineRule="auto"/>
              <w:jc w:val="center"/>
              <w:rPr>
                <w:rFonts w:hint="eastAsia" w:ascii="宋体" w:hAnsi="宋体" w:eastAsia="宋体" w:cs="宋体"/>
                <w:color w:val="auto"/>
                <w:sz w:val="21"/>
                <w:szCs w:val="21"/>
                <w:highlight w:val="none"/>
              </w:rPr>
            </w:pPr>
          </w:p>
        </w:tc>
      </w:tr>
      <w:tr w14:paraId="29F77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CF6FAF3">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（一）采用非常规起重设备、方法，且单件起吊重量在100kN及以上的起重吊装工程。</w:t>
            </w:r>
          </w:p>
        </w:tc>
        <w:tc>
          <w:tcPr>
            <w:tcW w:w="1038" w:type="dxa"/>
            <w:vAlign w:val="center"/>
          </w:tcPr>
          <w:p w14:paraId="4A05FBE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29D3BD5">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450D4AB2">
            <w:pPr>
              <w:spacing w:line="276" w:lineRule="auto"/>
              <w:jc w:val="center"/>
              <w:rPr>
                <w:rFonts w:hint="eastAsia" w:ascii="宋体" w:hAnsi="宋体" w:eastAsia="宋体" w:cs="宋体"/>
                <w:color w:val="auto"/>
                <w:sz w:val="21"/>
                <w:szCs w:val="21"/>
                <w:highlight w:val="none"/>
              </w:rPr>
            </w:pPr>
          </w:p>
        </w:tc>
      </w:tr>
      <w:tr w14:paraId="21F3D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150BFC0B">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（二）起重量300kN及以上，或搭设总高度200m及以上，或搭设基础标高在200m及以上的起重机械安装和拆卸工程。</w:t>
            </w:r>
          </w:p>
        </w:tc>
        <w:tc>
          <w:tcPr>
            <w:tcW w:w="1038" w:type="dxa"/>
            <w:vAlign w:val="center"/>
          </w:tcPr>
          <w:p w14:paraId="07D0FD8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79ADB1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0AD4D4C9">
            <w:pPr>
              <w:spacing w:line="276" w:lineRule="auto"/>
              <w:jc w:val="center"/>
              <w:rPr>
                <w:rFonts w:hint="eastAsia" w:ascii="宋体" w:hAnsi="宋体" w:eastAsia="宋体" w:cs="宋体"/>
                <w:color w:val="auto"/>
                <w:sz w:val="21"/>
                <w:szCs w:val="21"/>
                <w:highlight w:val="none"/>
              </w:rPr>
            </w:pPr>
          </w:p>
        </w:tc>
      </w:tr>
      <w:tr w14:paraId="2562D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218722AD">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四、脚手架工程</w:t>
            </w:r>
          </w:p>
        </w:tc>
        <w:tc>
          <w:tcPr>
            <w:tcW w:w="1038" w:type="dxa"/>
            <w:vAlign w:val="center"/>
          </w:tcPr>
          <w:p w14:paraId="5849FAC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2926530D">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E4CDA63">
            <w:pPr>
              <w:spacing w:line="276" w:lineRule="auto"/>
              <w:jc w:val="center"/>
              <w:rPr>
                <w:rFonts w:hint="eastAsia" w:ascii="宋体" w:hAnsi="宋体" w:eastAsia="宋体" w:cs="宋体"/>
                <w:color w:val="auto"/>
                <w:sz w:val="21"/>
                <w:szCs w:val="21"/>
                <w:highlight w:val="none"/>
              </w:rPr>
            </w:pPr>
          </w:p>
        </w:tc>
      </w:tr>
      <w:tr w14:paraId="05CF9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C161DAC">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（一）搭设高度50m及以上的落地式钢管脚手架工程。</w:t>
            </w:r>
          </w:p>
        </w:tc>
        <w:tc>
          <w:tcPr>
            <w:tcW w:w="1038" w:type="dxa"/>
            <w:vAlign w:val="center"/>
          </w:tcPr>
          <w:p w14:paraId="577D3948">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A0B6B46">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231F60C1">
            <w:pPr>
              <w:spacing w:line="276" w:lineRule="auto"/>
              <w:jc w:val="center"/>
              <w:rPr>
                <w:rFonts w:hint="eastAsia" w:ascii="宋体" w:hAnsi="宋体" w:eastAsia="宋体" w:cs="宋体"/>
                <w:color w:val="auto"/>
                <w:sz w:val="21"/>
                <w:szCs w:val="21"/>
                <w:highlight w:val="none"/>
              </w:rPr>
            </w:pPr>
          </w:p>
        </w:tc>
      </w:tr>
      <w:tr w14:paraId="4F9282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08DC61CD">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（二）提升高度在150m及以上的附着式升降脚手架工程或附着式升降操作平台工程。</w:t>
            </w:r>
          </w:p>
        </w:tc>
        <w:tc>
          <w:tcPr>
            <w:tcW w:w="1038" w:type="dxa"/>
            <w:vAlign w:val="center"/>
          </w:tcPr>
          <w:p w14:paraId="09A0A9B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739B02A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CC1BD93">
            <w:pPr>
              <w:spacing w:line="276" w:lineRule="auto"/>
              <w:jc w:val="center"/>
              <w:rPr>
                <w:rFonts w:hint="eastAsia" w:ascii="宋体" w:hAnsi="宋体" w:eastAsia="宋体" w:cs="宋体"/>
                <w:color w:val="auto"/>
                <w:sz w:val="21"/>
                <w:szCs w:val="21"/>
                <w:highlight w:val="none"/>
              </w:rPr>
            </w:pPr>
          </w:p>
        </w:tc>
      </w:tr>
      <w:tr w14:paraId="70244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42A34BA5">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（三）分段架体搭设高度20m及以上的悬挑式脚手架工程。</w:t>
            </w:r>
          </w:p>
        </w:tc>
        <w:tc>
          <w:tcPr>
            <w:tcW w:w="1038" w:type="dxa"/>
            <w:vAlign w:val="center"/>
          </w:tcPr>
          <w:p w14:paraId="0D99D8E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223C9B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1FE9EF1">
            <w:pPr>
              <w:spacing w:line="276" w:lineRule="auto"/>
              <w:jc w:val="center"/>
              <w:rPr>
                <w:rFonts w:hint="eastAsia" w:ascii="宋体" w:hAnsi="宋体" w:eastAsia="宋体" w:cs="宋体"/>
                <w:color w:val="auto"/>
                <w:sz w:val="21"/>
                <w:szCs w:val="21"/>
                <w:highlight w:val="none"/>
              </w:rPr>
            </w:pPr>
          </w:p>
        </w:tc>
      </w:tr>
      <w:tr w14:paraId="1636F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B3CD83D">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五、拆除工程</w:t>
            </w:r>
          </w:p>
        </w:tc>
        <w:tc>
          <w:tcPr>
            <w:tcW w:w="1038" w:type="dxa"/>
            <w:vAlign w:val="center"/>
          </w:tcPr>
          <w:p w14:paraId="2840669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49AB8A5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4E5FD65">
            <w:pPr>
              <w:spacing w:line="276" w:lineRule="auto"/>
              <w:jc w:val="center"/>
              <w:rPr>
                <w:rFonts w:hint="eastAsia" w:ascii="宋体" w:hAnsi="宋体" w:eastAsia="宋体" w:cs="宋体"/>
                <w:color w:val="auto"/>
                <w:sz w:val="21"/>
                <w:szCs w:val="21"/>
                <w:highlight w:val="none"/>
              </w:rPr>
            </w:pPr>
          </w:p>
        </w:tc>
      </w:tr>
      <w:tr w14:paraId="0D641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70156AF">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（一）码头、桥梁、高架、烟囱、水塔或拆除中容易引起有毒有害气（液）体或粉尘扩散、易燃易爆事故发生的特殊建、构筑物的拆除工程。</w:t>
            </w:r>
          </w:p>
        </w:tc>
        <w:tc>
          <w:tcPr>
            <w:tcW w:w="1038" w:type="dxa"/>
            <w:vAlign w:val="center"/>
          </w:tcPr>
          <w:p w14:paraId="69675C47">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3D4BEE6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2506B540">
            <w:pPr>
              <w:spacing w:line="276" w:lineRule="auto"/>
              <w:jc w:val="center"/>
              <w:rPr>
                <w:rFonts w:hint="eastAsia" w:ascii="宋体" w:hAnsi="宋体" w:eastAsia="宋体" w:cs="宋体"/>
                <w:color w:val="auto"/>
                <w:sz w:val="21"/>
                <w:szCs w:val="21"/>
                <w:highlight w:val="none"/>
              </w:rPr>
            </w:pPr>
          </w:p>
        </w:tc>
      </w:tr>
      <w:tr w14:paraId="552E9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2C968BE">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（二）文物保护建筑、优秀历史建筑或历史文化风貌区影响范围内的拆除工程。</w:t>
            </w:r>
          </w:p>
        </w:tc>
        <w:tc>
          <w:tcPr>
            <w:tcW w:w="1038" w:type="dxa"/>
            <w:vAlign w:val="center"/>
          </w:tcPr>
          <w:p w14:paraId="13C4119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3E2F1F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46A82F4">
            <w:pPr>
              <w:spacing w:line="276" w:lineRule="auto"/>
              <w:jc w:val="center"/>
              <w:rPr>
                <w:rFonts w:hint="eastAsia" w:ascii="宋体" w:hAnsi="宋体" w:eastAsia="宋体" w:cs="宋体"/>
                <w:color w:val="auto"/>
                <w:sz w:val="21"/>
                <w:szCs w:val="21"/>
                <w:highlight w:val="none"/>
              </w:rPr>
            </w:pPr>
          </w:p>
        </w:tc>
      </w:tr>
      <w:tr w14:paraId="7C6F8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7674D65D">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六、暗挖工程</w:t>
            </w:r>
          </w:p>
        </w:tc>
        <w:tc>
          <w:tcPr>
            <w:tcW w:w="1038" w:type="dxa"/>
            <w:vAlign w:val="center"/>
          </w:tcPr>
          <w:p w14:paraId="7B50B73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29124D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753E91E2">
            <w:pPr>
              <w:spacing w:line="276" w:lineRule="auto"/>
              <w:jc w:val="center"/>
              <w:rPr>
                <w:rFonts w:hint="eastAsia" w:ascii="宋体" w:hAnsi="宋体" w:eastAsia="宋体" w:cs="宋体"/>
                <w:color w:val="auto"/>
                <w:sz w:val="21"/>
                <w:szCs w:val="21"/>
                <w:highlight w:val="none"/>
              </w:rPr>
            </w:pPr>
          </w:p>
        </w:tc>
      </w:tr>
      <w:tr w14:paraId="04EF2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D79AA14">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采用矿山法、盾构法、顶管法施工的隧道、洞室工程。</w:t>
            </w:r>
          </w:p>
        </w:tc>
        <w:tc>
          <w:tcPr>
            <w:tcW w:w="1038" w:type="dxa"/>
            <w:vAlign w:val="center"/>
          </w:tcPr>
          <w:p w14:paraId="1F7EB87B">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5B77F9C9">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24B66937">
            <w:pPr>
              <w:spacing w:line="276" w:lineRule="auto"/>
              <w:jc w:val="center"/>
              <w:rPr>
                <w:rFonts w:hint="eastAsia" w:ascii="宋体" w:hAnsi="宋体" w:eastAsia="宋体" w:cs="宋体"/>
                <w:color w:val="auto"/>
                <w:sz w:val="21"/>
                <w:szCs w:val="21"/>
                <w:highlight w:val="none"/>
              </w:rPr>
            </w:pPr>
          </w:p>
        </w:tc>
      </w:tr>
      <w:tr w14:paraId="0F2BF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66429563">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七、其它</w:t>
            </w:r>
          </w:p>
        </w:tc>
        <w:tc>
          <w:tcPr>
            <w:tcW w:w="1038" w:type="dxa"/>
            <w:vAlign w:val="center"/>
          </w:tcPr>
          <w:p w14:paraId="2369D454">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2E035A6E">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51B1057A">
            <w:pPr>
              <w:spacing w:line="276" w:lineRule="auto"/>
              <w:jc w:val="center"/>
              <w:rPr>
                <w:rFonts w:hint="eastAsia" w:ascii="宋体" w:hAnsi="宋体" w:eastAsia="宋体" w:cs="宋体"/>
                <w:color w:val="auto"/>
                <w:sz w:val="21"/>
                <w:szCs w:val="21"/>
                <w:highlight w:val="none"/>
              </w:rPr>
            </w:pPr>
          </w:p>
        </w:tc>
      </w:tr>
      <w:tr w14:paraId="7E711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2502333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（一）施工高度50m及以上的建筑幕墙安装工程。</w:t>
            </w:r>
          </w:p>
        </w:tc>
        <w:tc>
          <w:tcPr>
            <w:tcW w:w="1038" w:type="dxa"/>
            <w:vAlign w:val="center"/>
          </w:tcPr>
          <w:p w14:paraId="6073D45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56A5139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5EE9FB1">
            <w:pPr>
              <w:spacing w:line="276" w:lineRule="auto"/>
              <w:jc w:val="center"/>
              <w:rPr>
                <w:rFonts w:hint="eastAsia" w:ascii="宋体" w:hAnsi="宋体" w:eastAsia="宋体" w:cs="宋体"/>
                <w:color w:val="auto"/>
                <w:sz w:val="21"/>
                <w:szCs w:val="21"/>
                <w:highlight w:val="none"/>
              </w:rPr>
            </w:pPr>
          </w:p>
        </w:tc>
      </w:tr>
      <w:tr w14:paraId="402A1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378239B">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（二）跨度36m及以上的钢结构安装工程，或跨度60m及以上的网架和索膜结构安装工程。</w:t>
            </w:r>
          </w:p>
        </w:tc>
        <w:tc>
          <w:tcPr>
            <w:tcW w:w="1038" w:type="dxa"/>
            <w:vAlign w:val="center"/>
          </w:tcPr>
          <w:p w14:paraId="42FAD0B1">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2B24F8E8">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446DB79E">
            <w:pPr>
              <w:spacing w:line="276" w:lineRule="auto"/>
              <w:jc w:val="center"/>
              <w:rPr>
                <w:rFonts w:hint="eastAsia" w:ascii="宋体" w:hAnsi="宋体" w:eastAsia="宋体" w:cs="宋体"/>
                <w:color w:val="auto"/>
                <w:sz w:val="21"/>
                <w:szCs w:val="21"/>
                <w:highlight w:val="none"/>
              </w:rPr>
            </w:pPr>
          </w:p>
        </w:tc>
      </w:tr>
      <w:tr w14:paraId="6E3D0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290EB407">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（三）开挖深度16m及以上的人工挖孔桩工程。</w:t>
            </w:r>
          </w:p>
        </w:tc>
        <w:tc>
          <w:tcPr>
            <w:tcW w:w="1038" w:type="dxa"/>
            <w:vAlign w:val="center"/>
          </w:tcPr>
          <w:p w14:paraId="341D4643">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621D4A6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8BB8DD6">
            <w:pPr>
              <w:spacing w:line="276" w:lineRule="auto"/>
              <w:jc w:val="center"/>
              <w:rPr>
                <w:rFonts w:hint="eastAsia" w:ascii="宋体" w:hAnsi="宋体" w:eastAsia="宋体" w:cs="宋体"/>
                <w:color w:val="auto"/>
                <w:sz w:val="21"/>
                <w:szCs w:val="21"/>
                <w:highlight w:val="none"/>
              </w:rPr>
            </w:pPr>
          </w:p>
        </w:tc>
      </w:tr>
      <w:tr w14:paraId="6955F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35DD316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（四）水下作业工程。</w:t>
            </w:r>
          </w:p>
        </w:tc>
        <w:tc>
          <w:tcPr>
            <w:tcW w:w="1038" w:type="dxa"/>
            <w:vAlign w:val="center"/>
          </w:tcPr>
          <w:p w14:paraId="01BD69E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5A93A35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6CED5EAD">
            <w:pPr>
              <w:spacing w:line="276" w:lineRule="auto"/>
              <w:jc w:val="center"/>
              <w:rPr>
                <w:rFonts w:hint="eastAsia" w:ascii="宋体" w:hAnsi="宋体" w:eastAsia="宋体" w:cs="宋体"/>
                <w:color w:val="auto"/>
                <w:sz w:val="21"/>
                <w:szCs w:val="21"/>
                <w:highlight w:val="none"/>
              </w:rPr>
            </w:pPr>
          </w:p>
        </w:tc>
      </w:tr>
      <w:tr w14:paraId="59EC4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218560C1">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（五）重量1000kN及以上的大型结构整体顶升、平移、转体等施工工艺。</w:t>
            </w:r>
          </w:p>
        </w:tc>
        <w:tc>
          <w:tcPr>
            <w:tcW w:w="1038" w:type="dxa"/>
            <w:vAlign w:val="center"/>
          </w:tcPr>
          <w:p w14:paraId="14DD9000">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12EA1935">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39D5CB7D">
            <w:pPr>
              <w:spacing w:line="276" w:lineRule="auto"/>
              <w:jc w:val="center"/>
              <w:rPr>
                <w:rFonts w:hint="eastAsia" w:ascii="宋体" w:hAnsi="宋体" w:eastAsia="宋体" w:cs="宋体"/>
                <w:color w:val="auto"/>
                <w:sz w:val="21"/>
                <w:szCs w:val="21"/>
                <w:highlight w:val="none"/>
              </w:rPr>
            </w:pPr>
          </w:p>
        </w:tc>
      </w:tr>
      <w:tr w14:paraId="6CF700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tcPr>
          <w:p w14:paraId="597777C9">
            <w:pPr>
              <w:spacing w:line="276"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（六）采用新技术、新工艺、新材料、新设备可能影响工程施工安全，尚无国家、行业及地方技术标准的分部分项工程。</w:t>
            </w:r>
          </w:p>
        </w:tc>
        <w:tc>
          <w:tcPr>
            <w:tcW w:w="1038" w:type="dxa"/>
            <w:vAlign w:val="center"/>
          </w:tcPr>
          <w:p w14:paraId="573B344F">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1087" w:type="dxa"/>
            <w:vAlign w:val="center"/>
          </w:tcPr>
          <w:p w14:paraId="15528FD2">
            <w:pPr>
              <w:spacing w:line="276"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w:t>
            </w:r>
          </w:p>
        </w:tc>
        <w:tc>
          <w:tcPr>
            <w:tcW w:w="845" w:type="dxa"/>
            <w:vAlign w:val="center"/>
          </w:tcPr>
          <w:p w14:paraId="1B642BF4">
            <w:pPr>
              <w:spacing w:line="276" w:lineRule="auto"/>
              <w:jc w:val="center"/>
              <w:rPr>
                <w:rFonts w:hint="eastAsia" w:ascii="宋体" w:hAnsi="宋体" w:eastAsia="宋体" w:cs="宋体"/>
                <w:color w:val="auto"/>
                <w:sz w:val="21"/>
                <w:szCs w:val="21"/>
                <w:highlight w:val="none"/>
              </w:rPr>
            </w:pPr>
          </w:p>
        </w:tc>
      </w:tr>
    </w:tbl>
    <w:p w14:paraId="5ACC3585">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投标人名称（盖法人公章）：</w:t>
      </w:r>
    </w:p>
    <w:p w14:paraId="672E1930">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法定代表人或被授权人（签字或盖章）：</w:t>
      </w:r>
    </w:p>
    <w:p w14:paraId="6E893986">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 xml:space="preserve">                     日  期：   年   月   日</w:t>
      </w:r>
    </w:p>
    <w:p w14:paraId="2170C9E2">
      <w:pPr>
        <w:rPr>
          <w:rFonts w:hint="eastAsia" w:cs="宋体"/>
          <w:color w:val="auto"/>
          <w:highlight w:val="none"/>
        </w:rPr>
      </w:pPr>
      <w:r>
        <w:rPr>
          <w:rFonts w:cs="宋体"/>
          <w:color w:val="auto"/>
          <w:highlight w:val="none"/>
        </w:rPr>
        <w:br w:type="page"/>
      </w:r>
    </w:p>
    <w:p w14:paraId="7EFDB4D8">
      <w:pPr>
        <w:spacing w:before="0" w:after="0"/>
        <w:jc w:val="both"/>
        <w:rPr>
          <w:rFonts w:hint="eastAsia" w:ascii="宋体" w:hAnsi="宋体" w:eastAsia="宋体" w:cs="宋体"/>
          <w:b/>
          <w:color w:val="auto"/>
          <w:sz w:val="30"/>
          <w:szCs w:val="30"/>
          <w:highlight w:val="none"/>
        </w:rPr>
      </w:pPr>
      <w:r>
        <w:rPr>
          <w:rFonts w:hint="eastAsia" w:ascii="宋体" w:hAnsi="宋体" w:eastAsia="宋体" w:cs="宋体"/>
          <w:b/>
          <w:color w:val="auto"/>
          <w:sz w:val="30"/>
          <w:szCs w:val="30"/>
          <w:highlight w:val="none"/>
          <w:lang w:bidi="ar"/>
        </w:rPr>
        <w:t>附件4：</w:t>
      </w:r>
      <w:r>
        <w:rPr>
          <w:rFonts w:hint="eastAsia" w:ascii="宋体" w:hAnsi="宋体" w:eastAsia="宋体" w:cs="宋体"/>
          <w:b/>
          <w:color w:val="auto"/>
          <w:sz w:val="30"/>
          <w:szCs w:val="30"/>
          <w:highlight w:val="none"/>
          <w:lang w:val="zh-CN" w:bidi="ar"/>
        </w:rPr>
        <w:t>主要设备材料推荐品牌表</w:t>
      </w:r>
    </w:p>
    <w:p w14:paraId="660FC930">
      <w:pPr>
        <w:spacing w:before="0" w:after="0"/>
        <w:jc w:val="both"/>
        <w:rPr>
          <w:rFonts w:hint="eastAsia" w:ascii="宋体" w:hAnsi="宋体" w:eastAsia="宋体" w:cs="宋体"/>
          <w:color w:val="auto"/>
          <w:highlight w:val="none"/>
          <w:lang w:bidi="en-US"/>
        </w:rPr>
      </w:pPr>
      <w:r>
        <w:rPr>
          <w:rFonts w:hint="eastAsia" w:ascii="宋体" w:hAnsi="宋体" w:eastAsia="宋体" w:cs="宋体"/>
          <w:color w:val="auto"/>
          <w:sz w:val="21"/>
          <w:szCs w:val="20"/>
          <w:highlight w:val="none"/>
          <w:lang w:bidi="en-US"/>
        </w:rPr>
        <w:t>（主要材料设备品牌范围包括“同等”或“相当于”本表的品牌）</w:t>
      </w:r>
    </w:p>
    <w:tbl>
      <w:tblPr>
        <w:tblStyle w:val="42"/>
        <w:tblW w:w="5003" w:type="pct"/>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1379"/>
        <w:gridCol w:w="3833"/>
        <w:gridCol w:w="2001"/>
        <w:gridCol w:w="1220"/>
      </w:tblGrid>
      <w:tr w14:paraId="09BE9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6" w:hRule="atLeast"/>
          <w:tblHeader/>
        </w:trPr>
        <w:tc>
          <w:tcPr>
            <w:tcW w:w="814" w:type="dxa"/>
            <w:vAlign w:val="center"/>
          </w:tcPr>
          <w:p w14:paraId="06A6270F">
            <w:pPr>
              <w:ind w:leftChars="-47" w:hanging="103" w:hangingChars="49"/>
              <w:jc w:val="center"/>
              <w:rPr>
                <w:rFonts w:hint="eastAsia" w:ascii="宋体" w:hAnsi="宋体"/>
                <w:b/>
                <w:color w:val="auto"/>
                <w:sz w:val="21"/>
                <w:szCs w:val="21"/>
                <w:highlight w:val="none"/>
              </w:rPr>
            </w:pPr>
            <w:r>
              <w:rPr>
                <w:rFonts w:hint="eastAsia" w:ascii="宋体" w:hAnsi="宋体"/>
                <w:b/>
                <w:color w:val="auto"/>
                <w:sz w:val="21"/>
                <w:szCs w:val="21"/>
                <w:highlight w:val="none"/>
              </w:rPr>
              <w:t>序号</w:t>
            </w:r>
          </w:p>
        </w:tc>
        <w:tc>
          <w:tcPr>
            <w:tcW w:w="1379" w:type="dxa"/>
            <w:vAlign w:val="center"/>
          </w:tcPr>
          <w:p w14:paraId="2F351E27">
            <w:pPr>
              <w:ind w:left="-108" w:leftChars="-49"/>
              <w:jc w:val="center"/>
              <w:rPr>
                <w:rFonts w:hint="eastAsia" w:ascii="宋体" w:hAnsi="宋体"/>
                <w:b/>
                <w:color w:val="auto"/>
                <w:sz w:val="21"/>
                <w:szCs w:val="21"/>
                <w:highlight w:val="none"/>
              </w:rPr>
            </w:pPr>
            <w:r>
              <w:rPr>
                <w:rFonts w:hint="eastAsia" w:ascii="宋体" w:hAnsi="宋体"/>
                <w:b/>
                <w:color w:val="auto"/>
                <w:sz w:val="21"/>
                <w:szCs w:val="21"/>
                <w:highlight w:val="none"/>
              </w:rPr>
              <w:t>材料名称</w:t>
            </w:r>
          </w:p>
        </w:tc>
        <w:tc>
          <w:tcPr>
            <w:tcW w:w="3834" w:type="dxa"/>
            <w:vAlign w:val="center"/>
          </w:tcPr>
          <w:p w14:paraId="23D27E62">
            <w:pPr>
              <w:ind w:firstLine="11" w:firstLineChars="5"/>
              <w:jc w:val="center"/>
              <w:rPr>
                <w:rFonts w:hint="eastAsia" w:ascii="宋体" w:hAnsi="宋体"/>
                <w:b/>
                <w:color w:val="auto"/>
                <w:sz w:val="21"/>
                <w:szCs w:val="21"/>
                <w:highlight w:val="none"/>
              </w:rPr>
            </w:pPr>
            <w:r>
              <w:rPr>
                <w:rFonts w:hint="eastAsia" w:ascii="宋体" w:hAnsi="宋体"/>
                <w:b/>
                <w:color w:val="auto"/>
                <w:sz w:val="21"/>
                <w:szCs w:val="21"/>
                <w:highlight w:val="none"/>
              </w:rPr>
              <w:t>品牌/厂家</w:t>
            </w:r>
          </w:p>
        </w:tc>
        <w:tc>
          <w:tcPr>
            <w:tcW w:w="2001" w:type="dxa"/>
            <w:vAlign w:val="center"/>
          </w:tcPr>
          <w:p w14:paraId="5D4742A0">
            <w:pPr>
              <w:ind w:left="-165" w:leftChars="-75"/>
              <w:jc w:val="right"/>
              <w:rPr>
                <w:rFonts w:hint="eastAsia" w:ascii="宋体" w:hAnsi="宋体"/>
                <w:b/>
                <w:color w:val="auto"/>
                <w:sz w:val="21"/>
                <w:szCs w:val="21"/>
                <w:highlight w:val="none"/>
              </w:rPr>
            </w:pPr>
            <w:r>
              <w:rPr>
                <w:rFonts w:hint="eastAsia" w:ascii="宋体" w:hAnsi="宋体"/>
                <w:b/>
                <w:color w:val="auto"/>
                <w:sz w:val="21"/>
                <w:szCs w:val="21"/>
                <w:highlight w:val="none"/>
              </w:rPr>
              <w:t>规格型号/技术参数</w:t>
            </w:r>
          </w:p>
        </w:tc>
        <w:tc>
          <w:tcPr>
            <w:tcW w:w="1220" w:type="dxa"/>
            <w:vAlign w:val="center"/>
          </w:tcPr>
          <w:p w14:paraId="11D3E9D7">
            <w:pPr>
              <w:ind w:left="-1" w:leftChars="-50" w:hanging="109" w:hangingChars="52"/>
              <w:jc w:val="center"/>
              <w:rPr>
                <w:rFonts w:hint="eastAsia" w:ascii="宋体" w:hAnsi="宋体"/>
                <w:b/>
                <w:color w:val="auto"/>
                <w:sz w:val="21"/>
                <w:szCs w:val="21"/>
                <w:highlight w:val="none"/>
              </w:rPr>
            </w:pPr>
            <w:r>
              <w:rPr>
                <w:rFonts w:hint="eastAsia" w:ascii="宋体" w:hAnsi="宋体"/>
                <w:b/>
                <w:color w:val="auto"/>
                <w:sz w:val="21"/>
                <w:szCs w:val="21"/>
                <w:highlight w:val="none"/>
              </w:rPr>
              <w:t>备注</w:t>
            </w:r>
          </w:p>
        </w:tc>
      </w:tr>
      <w:tr w14:paraId="49B2C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70CB7E22">
            <w:pPr>
              <w:ind w:firstLine="372" w:firstLineChars="177"/>
              <w:rPr>
                <w:rFonts w:hint="eastAsia" w:ascii="宋体" w:hAnsi="宋体"/>
                <w:b/>
                <w:color w:val="auto"/>
                <w:sz w:val="21"/>
                <w:szCs w:val="21"/>
                <w:highlight w:val="none"/>
              </w:rPr>
            </w:pPr>
            <w:r>
              <w:rPr>
                <w:rFonts w:hint="eastAsia" w:ascii="宋体" w:hAnsi="宋体"/>
                <w:b/>
                <w:color w:val="auto"/>
                <w:sz w:val="21"/>
                <w:szCs w:val="21"/>
                <w:highlight w:val="none"/>
              </w:rPr>
              <w:t>一、建筑装饰工程</w:t>
            </w:r>
          </w:p>
        </w:tc>
      </w:tr>
      <w:tr w14:paraId="532E3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6A36CB9D">
            <w:pPr>
              <w:ind w:firstLine="372" w:firstLineChars="177"/>
              <w:rPr>
                <w:rFonts w:hint="eastAsia" w:ascii="宋体" w:hAnsi="宋体"/>
                <w:b/>
                <w:color w:val="auto"/>
                <w:sz w:val="21"/>
                <w:szCs w:val="21"/>
                <w:highlight w:val="none"/>
              </w:rPr>
            </w:pPr>
            <w:r>
              <w:rPr>
                <w:rFonts w:hint="eastAsia" w:ascii="宋体" w:hAnsi="宋体"/>
                <w:b/>
                <w:color w:val="auto"/>
                <w:sz w:val="21"/>
                <w:szCs w:val="21"/>
                <w:highlight w:val="none"/>
              </w:rPr>
              <w:t>1、土建材料</w:t>
            </w:r>
          </w:p>
        </w:tc>
      </w:tr>
      <w:tr w14:paraId="2036A7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0550ED3">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w:t>
            </w:r>
          </w:p>
        </w:tc>
        <w:tc>
          <w:tcPr>
            <w:tcW w:w="1379" w:type="dxa"/>
            <w:vAlign w:val="center"/>
          </w:tcPr>
          <w:p w14:paraId="4A269310">
            <w:pPr>
              <w:jc w:val="center"/>
              <w:rPr>
                <w:rFonts w:hint="eastAsia" w:ascii="宋体" w:hAnsi="宋体"/>
                <w:color w:val="auto"/>
                <w:sz w:val="21"/>
                <w:szCs w:val="21"/>
                <w:highlight w:val="none"/>
              </w:rPr>
            </w:pPr>
            <w:r>
              <w:rPr>
                <w:rFonts w:hint="eastAsia" w:ascii="宋体" w:hAnsi="宋体"/>
                <w:color w:val="auto"/>
                <w:sz w:val="21"/>
                <w:szCs w:val="21"/>
                <w:highlight w:val="none"/>
              </w:rPr>
              <w:t>钢筋</w:t>
            </w:r>
          </w:p>
        </w:tc>
        <w:tc>
          <w:tcPr>
            <w:tcW w:w="3834" w:type="dxa"/>
            <w:vAlign w:val="center"/>
          </w:tcPr>
          <w:p w14:paraId="44E4A18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广钢、韶钢松山、武钢、柳钢、华菱、马钢、萍钢、宝武钢铁（宝钢）、湘钢</w:t>
            </w:r>
          </w:p>
        </w:tc>
        <w:tc>
          <w:tcPr>
            <w:tcW w:w="2001" w:type="dxa"/>
            <w:vAlign w:val="center"/>
          </w:tcPr>
          <w:p w14:paraId="1216AF2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0B49906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6C136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BB458F2">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1.2</w:t>
            </w:r>
          </w:p>
        </w:tc>
        <w:tc>
          <w:tcPr>
            <w:tcW w:w="1379" w:type="dxa"/>
            <w:vAlign w:val="center"/>
          </w:tcPr>
          <w:p w14:paraId="00C51BFA">
            <w:pPr>
              <w:jc w:val="center"/>
              <w:rPr>
                <w:rFonts w:hint="eastAsia" w:ascii="宋体" w:hAnsi="宋体"/>
                <w:color w:val="auto"/>
                <w:sz w:val="21"/>
                <w:szCs w:val="21"/>
                <w:highlight w:val="none"/>
              </w:rPr>
            </w:pPr>
            <w:r>
              <w:rPr>
                <w:rFonts w:hint="eastAsia" w:ascii="宋体" w:hAnsi="宋体"/>
                <w:color w:val="auto"/>
                <w:sz w:val="21"/>
                <w:szCs w:val="21"/>
                <w:highlight w:val="none"/>
              </w:rPr>
              <w:t>钢板、钢型材</w:t>
            </w:r>
          </w:p>
        </w:tc>
        <w:tc>
          <w:tcPr>
            <w:tcW w:w="3834" w:type="dxa"/>
            <w:vAlign w:val="center"/>
          </w:tcPr>
          <w:p w14:paraId="24CEF43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参照1.1</w:t>
            </w:r>
          </w:p>
        </w:tc>
        <w:tc>
          <w:tcPr>
            <w:tcW w:w="2001" w:type="dxa"/>
            <w:vAlign w:val="center"/>
          </w:tcPr>
          <w:p w14:paraId="327B331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3B63507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3DC7E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F9AB2D5">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1.3</w:t>
            </w:r>
          </w:p>
        </w:tc>
        <w:tc>
          <w:tcPr>
            <w:tcW w:w="1379" w:type="dxa"/>
            <w:vAlign w:val="center"/>
          </w:tcPr>
          <w:p w14:paraId="2CCB71EB">
            <w:pPr>
              <w:jc w:val="center"/>
              <w:rPr>
                <w:rFonts w:hint="eastAsia" w:ascii="宋体" w:hAnsi="宋体"/>
                <w:color w:val="auto"/>
                <w:sz w:val="21"/>
                <w:szCs w:val="21"/>
                <w:highlight w:val="none"/>
              </w:rPr>
            </w:pPr>
            <w:r>
              <w:rPr>
                <w:rFonts w:hint="eastAsia" w:ascii="宋体" w:hAnsi="宋体"/>
                <w:color w:val="auto"/>
                <w:sz w:val="21"/>
                <w:szCs w:val="21"/>
                <w:highlight w:val="none"/>
              </w:rPr>
              <w:t>水泥</w:t>
            </w:r>
          </w:p>
        </w:tc>
        <w:tc>
          <w:tcPr>
            <w:tcW w:w="3834" w:type="dxa"/>
            <w:vAlign w:val="center"/>
          </w:tcPr>
          <w:p w14:paraId="13DE045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石井、金羊、粤秀牌、海螺、华润水泥</w:t>
            </w:r>
          </w:p>
        </w:tc>
        <w:tc>
          <w:tcPr>
            <w:tcW w:w="2001" w:type="dxa"/>
            <w:vAlign w:val="center"/>
          </w:tcPr>
          <w:p w14:paraId="475A1BE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66ED6EF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6B217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814" w:type="dxa"/>
            <w:vAlign w:val="center"/>
          </w:tcPr>
          <w:p w14:paraId="39D0747B">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1.4</w:t>
            </w:r>
          </w:p>
        </w:tc>
        <w:tc>
          <w:tcPr>
            <w:tcW w:w="1379" w:type="dxa"/>
            <w:vAlign w:val="center"/>
          </w:tcPr>
          <w:p w14:paraId="0D116A47">
            <w:pPr>
              <w:jc w:val="center"/>
              <w:rPr>
                <w:rFonts w:hint="eastAsia" w:ascii="宋体" w:hAnsi="宋体"/>
                <w:color w:val="auto"/>
                <w:sz w:val="21"/>
                <w:szCs w:val="21"/>
                <w:highlight w:val="none"/>
              </w:rPr>
            </w:pPr>
            <w:r>
              <w:rPr>
                <w:rFonts w:hint="eastAsia" w:ascii="宋体" w:hAnsi="宋体"/>
                <w:color w:val="auto"/>
                <w:sz w:val="21"/>
                <w:szCs w:val="21"/>
                <w:highlight w:val="none"/>
              </w:rPr>
              <w:t>商品混凝土</w:t>
            </w:r>
          </w:p>
        </w:tc>
        <w:tc>
          <w:tcPr>
            <w:tcW w:w="3834" w:type="dxa"/>
            <w:vAlign w:val="center"/>
          </w:tcPr>
          <w:p w14:paraId="7026E63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在属地区优选</w:t>
            </w:r>
          </w:p>
        </w:tc>
        <w:tc>
          <w:tcPr>
            <w:tcW w:w="2001" w:type="dxa"/>
            <w:vAlign w:val="center"/>
          </w:tcPr>
          <w:p w14:paraId="1F5B475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0BCDA436">
            <w:pPr>
              <w:ind w:firstLine="10" w:firstLineChars="5"/>
              <w:rPr>
                <w:rFonts w:hint="eastAsia" w:ascii="宋体" w:hAnsi="宋体"/>
                <w:color w:val="auto"/>
                <w:sz w:val="21"/>
                <w:szCs w:val="21"/>
                <w:highlight w:val="none"/>
              </w:rPr>
            </w:pPr>
          </w:p>
        </w:tc>
      </w:tr>
      <w:tr w14:paraId="39546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7D8E67C1">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1.5</w:t>
            </w:r>
          </w:p>
        </w:tc>
        <w:tc>
          <w:tcPr>
            <w:tcW w:w="1379" w:type="dxa"/>
            <w:vMerge w:val="restart"/>
            <w:vAlign w:val="center"/>
          </w:tcPr>
          <w:p w14:paraId="5B2F4CF9">
            <w:pPr>
              <w:jc w:val="center"/>
              <w:rPr>
                <w:rFonts w:hint="eastAsia" w:ascii="宋体" w:hAnsi="宋体"/>
                <w:color w:val="auto"/>
                <w:sz w:val="21"/>
                <w:szCs w:val="21"/>
                <w:highlight w:val="none"/>
              </w:rPr>
            </w:pPr>
            <w:r>
              <w:rPr>
                <w:rFonts w:hint="eastAsia" w:ascii="宋体" w:hAnsi="宋体"/>
                <w:color w:val="auto"/>
                <w:sz w:val="21"/>
                <w:szCs w:val="21"/>
                <w:highlight w:val="none"/>
              </w:rPr>
              <w:t>预应力管桩</w:t>
            </w:r>
          </w:p>
        </w:tc>
        <w:tc>
          <w:tcPr>
            <w:tcW w:w="3834" w:type="dxa"/>
            <w:vAlign w:val="center"/>
          </w:tcPr>
          <w:p w14:paraId="40A8E20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广州市番禺合和建材有限公司</w:t>
            </w:r>
          </w:p>
        </w:tc>
        <w:tc>
          <w:tcPr>
            <w:tcW w:w="2001" w:type="dxa"/>
            <w:vMerge w:val="restart"/>
            <w:vAlign w:val="center"/>
          </w:tcPr>
          <w:p w14:paraId="29F3B36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Merge w:val="restart"/>
            <w:vAlign w:val="center"/>
          </w:tcPr>
          <w:p w14:paraId="0537661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7435C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5DE0D45">
            <w:pPr>
              <w:ind w:firstLine="35" w:firstLineChars="17"/>
              <w:jc w:val="center"/>
              <w:rPr>
                <w:rFonts w:hint="eastAsia" w:ascii="宋体" w:hAnsi="宋体"/>
                <w:color w:val="auto"/>
                <w:sz w:val="21"/>
                <w:szCs w:val="21"/>
                <w:highlight w:val="none"/>
              </w:rPr>
            </w:pPr>
          </w:p>
        </w:tc>
        <w:tc>
          <w:tcPr>
            <w:tcW w:w="1379" w:type="dxa"/>
            <w:vMerge w:val="continue"/>
            <w:vAlign w:val="center"/>
          </w:tcPr>
          <w:p w14:paraId="62B00CBF">
            <w:pPr>
              <w:jc w:val="center"/>
              <w:rPr>
                <w:rFonts w:hint="eastAsia" w:ascii="宋体" w:hAnsi="宋体"/>
                <w:color w:val="auto"/>
                <w:sz w:val="21"/>
                <w:szCs w:val="21"/>
                <w:highlight w:val="none"/>
              </w:rPr>
            </w:pPr>
          </w:p>
        </w:tc>
        <w:tc>
          <w:tcPr>
            <w:tcW w:w="3834" w:type="dxa"/>
            <w:vAlign w:val="center"/>
          </w:tcPr>
          <w:p w14:paraId="16E5DED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广州羊城管桩有限公司</w:t>
            </w:r>
          </w:p>
        </w:tc>
        <w:tc>
          <w:tcPr>
            <w:tcW w:w="2001" w:type="dxa"/>
            <w:vMerge w:val="continue"/>
            <w:vAlign w:val="center"/>
          </w:tcPr>
          <w:p w14:paraId="0BA1D331">
            <w:pPr>
              <w:ind w:firstLine="10" w:firstLineChars="5"/>
              <w:rPr>
                <w:rFonts w:hint="eastAsia" w:ascii="宋体" w:hAnsi="宋体"/>
                <w:color w:val="auto"/>
                <w:sz w:val="21"/>
                <w:szCs w:val="21"/>
                <w:highlight w:val="none"/>
              </w:rPr>
            </w:pPr>
          </w:p>
        </w:tc>
        <w:tc>
          <w:tcPr>
            <w:tcW w:w="1220" w:type="dxa"/>
            <w:vMerge w:val="continue"/>
            <w:vAlign w:val="center"/>
          </w:tcPr>
          <w:p w14:paraId="5A2FBB6B">
            <w:pPr>
              <w:ind w:firstLine="10" w:firstLineChars="5"/>
              <w:rPr>
                <w:rFonts w:hint="eastAsia" w:ascii="宋体" w:hAnsi="宋体"/>
                <w:color w:val="auto"/>
                <w:sz w:val="21"/>
                <w:szCs w:val="21"/>
                <w:highlight w:val="none"/>
              </w:rPr>
            </w:pPr>
          </w:p>
        </w:tc>
      </w:tr>
      <w:tr w14:paraId="4676F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4F6D6848">
            <w:pPr>
              <w:ind w:firstLine="35" w:firstLineChars="17"/>
              <w:jc w:val="center"/>
              <w:rPr>
                <w:rFonts w:hint="eastAsia" w:ascii="宋体" w:hAnsi="宋体"/>
                <w:color w:val="auto"/>
                <w:sz w:val="21"/>
                <w:szCs w:val="21"/>
                <w:highlight w:val="none"/>
              </w:rPr>
            </w:pPr>
          </w:p>
        </w:tc>
        <w:tc>
          <w:tcPr>
            <w:tcW w:w="1379" w:type="dxa"/>
            <w:vMerge w:val="continue"/>
            <w:vAlign w:val="center"/>
          </w:tcPr>
          <w:p w14:paraId="334667CD">
            <w:pPr>
              <w:jc w:val="center"/>
              <w:rPr>
                <w:rFonts w:hint="eastAsia" w:ascii="宋体" w:hAnsi="宋体"/>
                <w:color w:val="auto"/>
                <w:sz w:val="21"/>
                <w:szCs w:val="21"/>
                <w:highlight w:val="none"/>
              </w:rPr>
            </w:pPr>
          </w:p>
        </w:tc>
        <w:tc>
          <w:tcPr>
            <w:tcW w:w="3834" w:type="dxa"/>
            <w:vAlign w:val="center"/>
          </w:tcPr>
          <w:p w14:paraId="2F08EE8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广州三和管桩有限公司</w:t>
            </w:r>
          </w:p>
        </w:tc>
        <w:tc>
          <w:tcPr>
            <w:tcW w:w="2001" w:type="dxa"/>
            <w:vMerge w:val="continue"/>
            <w:vAlign w:val="center"/>
          </w:tcPr>
          <w:p w14:paraId="04B47137">
            <w:pPr>
              <w:ind w:firstLine="10" w:firstLineChars="5"/>
              <w:rPr>
                <w:rFonts w:hint="eastAsia" w:ascii="宋体" w:hAnsi="宋体"/>
                <w:color w:val="auto"/>
                <w:sz w:val="21"/>
                <w:szCs w:val="21"/>
                <w:highlight w:val="none"/>
              </w:rPr>
            </w:pPr>
          </w:p>
        </w:tc>
        <w:tc>
          <w:tcPr>
            <w:tcW w:w="1220" w:type="dxa"/>
            <w:vMerge w:val="continue"/>
            <w:vAlign w:val="center"/>
          </w:tcPr>
          <w:p w14:paraId="1968043A">
            <w:pPr>
              <w:ind w:firstLine="10" w:firstLineChars="5"/>
              <w:rPr>
                <w:rFonts w:hint="eastAsia" w:ascii="宋体" w:hAnsi="宋体"/>
                <w:color w:val="auto"/>
                <w:sz w:val="21"/>
                <w:szCs w:val="21"/>
                <w:highlight w:val="none"/>
              </w:rPr>
            </w:pPr>
          </w:p>
        </w:tc>
      </w:tr>
      <w:tr w14:paraId="12352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CD09151">
            <w:pPr>
              <w:ind w:firstLine="35" w:firstLineChars="17"/>
              <w:jc w:val="center"/>
              <w:rPr>
                <w:rFonts w:hint="eastAsia" w:ascii="宋体" w:hAnsi="宋体"/>
                <w:color w:val="auto"/>
                <w:sz w:val="21"/>
                <w:szCs w:val="21"/>
                <w:highlight w:val="none"/>
              </w:rPr>
            </w:pPr>
          </w:p>
        </w:tc>
        <w:tc>
          <w:tcPr>
            <w:tcW w:w="1379" w:type="dxa"/>
            <w:vMerge w:val="continue"/>
            <w:vAlign w:val="center"/>
          </w:tcPr>
          <w:p w14:paraId="4863BB80">
            <w:pPr>
              <w:jc w:val="center"/>
              <w:rPr>
                <w:rFonts w:hint="eastAsia" w:ascii="宋体" w:hAnsi="宋体"/>
                <w:color w:val="auto"/>
                <w:sz w:val="21"/>
                <w:szCs w:val="21"/>
                <w:highlight w:val="none"/>
              </w:rPr>
            </w:pPr>
          </w:p>
        </w:tc>
        <w:tc>
          <w:tcPr>
            <w:tcW w:w="3834" w:type="dxa"/>
            <w:vAlign w:val="center"/>
          </w:tcPr>
          <w:p w14:paraId="351CE6A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广东建华管桩有限公司</w:t>
            </w:r>
          </w:p>
        </w:tc>
        <w:tc>
          <w:tcPr>
            <w:tcW w:w="2001" w:type="dxa"/>
            <w:vMerge w:val="continue"/>
            <w:vAlign w:val="center"/>
          </w:tcPr>
          <w:p w14:paraId="30C8931E">
            <w:pPr>
              <w:ind w:firstLine="10" w:firstLineChars="5"/>
              <w:rPr>
                <w:rFonts w:hint="eastAsia" w:ascii="宋体" w:hAnsi="宋体"/>
                <w:color w:val="auto"/>
                <w:sz w:val="21"/>
                <w:szCs w:val="21"/>
                <w:highlight w:val="none"/>
              </w:rPr>
            </w:pPr>
          </w:p>
        </w:tc>
        <w:tc>
          <w:tcPr>
            <w:tcW w:w="1220" w:type="dxa"/>
            <w:vMerge w:val="continue"/>
            <w:vAlign w:val="center"/>
          </w:tcPr>
          <w:p w14:paraId="19C0BD91">
            <w:pPr>
              <w:ind w:firstLine="10" w:firstLineChars="5"/>
              <w:rPr>
                <w:rFonts w:hint="eastAsia" w:ascii="宋体" w:hAnsi="宋体"/>
                <w:color w:val="auto"/>
                <w:sz w:val="21"/>
                <w:szCs w:val="21"/>
                <w:highlight w:val="none"/>
              </w:rPr>
            </w:pPr>
          </w:p>
        </w:tc>
      </w:tr>
      <w:tr w14:paraId="71318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CC2A271">
            <w:pPr>
              <w:ind w:firstLine="35" w:firstLineChars="17"/>
              <w:jc w:val="center"/>
              <w:rPr>
                <w:rFonts w:hint="eastAsia" w:ascii="宋体" w:hAnsi="宋体"/>
                <w:color w:val="auto"/>
                <w:sz w:val="21"/>
                <w:szCs w:val="21"/>
                <w:highlight w:val="none"/>
              </w:rPr>
            </w:pPr>
          </w:p>
        </w:tc>
        <w:tc>
          <w:tcPr>
            <w:tcW w:w="1379" w:type="dxa"/>
            <w:vMerge w:val="continue"/>
            <w:vAlign w:val="center"/>
          </w:tcPr>
          <w:p w14:paraId="71DE8C69">
            <w:pPr>
              <w:jc w:val="center"/>
              <w:rPr>
                <w:rFonts w:hint="eastAsia" w:ascii="宋体" w:hAnsi="宋体"/>
                <w:color w:val="auto"/>
                <w:sz w:val="21"/>
                <w:szCs w:val="21"/>
                <w:highlight w:val="none"/>
              </w:rPr>
            </w:pPr>
          </w:p>
        </w:tc>
        <w:tc>
          <w:tcPr>
            <w:tcW w:w="3834" w:type="dxa"/>
            <w:vAlign w:val="center"/>
          </w:tcPr>
          <w:p w14:paraId="01BD7D4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广东宏基管桩有限公司</w:t>
            </w:r>
          </w:p>
        </w:tc>
        <w:tc>
          <w:tcPr>
            <w:tcW w:w="2001" w:type="dxa"/>
            <w:vMerge w:val="continue"/>
            <w:vAlign w:val="center"/>
          </w:tcPr>
          <w:p w14:paraId="5D7CAED7">
            <w:pPr>
              <w:ind w:firstLine="10" w:firstLineChars="5"/>
              <w:rPr>
                <w:rFonts w:hint="eastAsia" w:ascii="宋体" w:hAnsi="宋体"/>
                <w:color w:val="auto"/>
                <w:sz w:val="21"/>
                <w:szCs w:val="21"/>
                <w:highlight w:val="none"/>
              </w:rPr>
            </w:pPr>
          </w:p>
        </w:tc>
        <w:tc>
          <w:tcPr>
            <w:tcW w:w="1220" w:type="dxa"/>
            <w:vMerge w:val="continue"/>
            <w:vAlign w:val="center"/>
          </w:tcPr>
          <w:p w14:paraId="134C4CF8">
            <w:pPr>
              <w:ind w:firstLine="10" w:firstLineChars="5"/>
              <w:rPr>
                <w:rFonts w:hint="eastAsia" w:ascii="宋体" w:hAnsi="宋体"/>
                <w:color w:val="auto"/>
                <w:sz w:val="21"/>
                <w:szCs w:val="21"/>
                <w:highlight w:val="none"/>
              </w:rPr>
            </w:pPr>
          </w:p>
        </w:tc>
      </w:tr>
      <w:tr w14:paraId="7A034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1544E2DB">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1.6</w:t>
            </w:r>
          </w:p>
        </w:tc>
        <w:tc>
          <w:tcPr>
            <w:tcW w:w="1379" w:type="dxa"/>
            <w:vMerge w:val="restart"/>
            <w:vAlign w:val="center"/>
          </w:tcPr>
          <w:p w14:paraId="0EBFAD6D">
            <w:pPr>
              <w:jc w:val="center"/>
              <w:rPr>
                <w:rFonts w:hint="eastAsia" w:ascii="宋体" w:hAnsi="宋体"/>
                <w:color w:val="auto"/>
                <w:sz w:val="21"/>
                <w:szCs w:val="21"/>
                <w:highlight w:val="none"/>
              </w:rPr>
            </w:pPr>
            <w:r>
              <w:rPr>
                <w:rFonts w:hint="eastAsia" w:ascii="宋体" w:hAnsi="宋体"/>
                <w:color w:val="auto"/>
                <w:sz w:val="21"/>
                <w:szCs w:val="21"/>
                <w:highlight w:val="none"/>
              </w:rPr>
              <w:t>装配式预制构件</w:t>
            </w:r>
          </w:p>
        </w:tc>
        <w:tc>
          <w:tcPr>
            <w:tcW w:w="3834" w:type="dxa"/>
            <w:vAlign w:val="center"/>
          </w:tcPr>
          <w:p w14:paraId="6A6CD51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广东建远建筑装配工业有限公司</w:t>
            </w:r>
          </w:p>
        </w:tc>
        <w:tc>
          <w:tcPr>
            <w:tcW w:w="2001" w:type="dxa"/>
            <w:vMerge w:val="restart"/>
            <w:vAlign w:val="center"/>
          </w:tcPr>
          <w:p w14:paraId="6C387AF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Merge w:val="restart"/>
            <w:vAlign w:val="center"/>
          </w:tcPr>
          <w:p w14:paraId="4DD185B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209F9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B5CFA5F">
            <w:pPr>
              <w:ind w:firstLine="35" w:firstLineChars="17"/>
              <w:jc w:val="center"/>
              <w:rPr>
                <w:rFonts w:hint="eastAsia" w:ascii="宋体" w:hAnsi="宋体"/>
                <w:color w:val="auto"/>
                <w:sz w:val="21"/>
                <w:szCs w:val="21"/>
                <w:highlight w:val="none"/>
              </w:rPr>
            </w:pPr>
          </w:p>
        </w:tc>
        <w:tc>
          <w:tcPr>
            <w:tcW w:w="1379" w:type="dxa"/>
            <w:vMerge w:val="continue"/>
            <w:vAlign w:val="center"/>
          </w:tcPr>
          <w:p w14:paraId="68FDFDEE">
            <w:pPr>
              <w:jc w:val="center"/>
              <w:rPr>
                <w:rFonts w:hint="eastAsia" w:ascii="宋体" w:hAnsi="宋体"/>
                <w:color w:val="auto"/>
                <w:sz w:val="21"/>
                <w:szCs w:val="21"/>
                <w:highlight w:val="none"/>
              </w:rPr>
            </w:pPr>
          </w:p>
        </w:tc>
        <w:tc>
          <w:tcPr>
            <w:tcW w:w="3834" w:type="dxa"/>
            <w:vAlign w:val="center"/>
          </w:tcPr>
          <w:p w14:paraId="7303713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广东建宇建筑科技有限公司</w:t>
            </w:r>
          </w:p>
        </w:tc>
        <w:tc>
          <w:tcPr>
            <w:tcW w:w="2001" w:type="dxa"/>
            <w:vMerge w:val="continue"/>
            <w:vAlign w:val="center"/>
          </w:tcPr>
          <w:p w14:paraId="661A6DEB">
            <w:pPr>
              <w:ind w:firstLine="10" w:firstLineChars="5"/>
              <w:rPr>
                <w:rFonts w:hint="eastAsia" w:ascii="宋体" w:hAnsi="宋体"/>
                <w:color w:val="auto"/>
                <w:sz w:val="21"/>
                <w:szCs w:val="21"/>
                <w:highlight w:val="none"/>
              </w:rPr>
            </w:pPr>
          </w:p>
        </w:tc>
        <w:tc>
          <w:tcPr>
            <w:tcW w:w="1220" w:type="dxa"/>
            <w:vMerge w:val="continue"/>
            <w:vAlign w:val="center"/>
          </w:tcPr>
          <w:p w14:paraId="1EF7B9CC">
            <w:pPr>
              <w:ind w:firstLine="10" w:firstLineChars="5"/>
              <w:rPr>
                <w:rFonts w:hint="eastAsia" w:ascii="宋体" w:hAnsi="宋体"/>
                <w:color w:val="auto"/>
                <w:sz w:val="21"/>
                <w:szCs w:val="21"/>
                <w:highlight w:val="none"/>
              </w:rPr>
            </w:pPr>
          </w:p>
        </w:tc>
      </w:tr>
      <w:tr w14:paraId="02257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4731888">
            <w:pPr>
              <w:ind w:firstLine="35" w:firstLineChars="17"/>
              <w:jc w:val="center"/>
              <w:rPr>
                <w:rFonts w:hint="eastAsia" w:ascii="宋体" w:hAnsi="宋体"/>
                <w:color w:val="auto"/>
                <w:sz w:val="21"/>
                <w:szCs w:val="21"/>
                <w:highlight w:val="none"/>
              </w:rPr>
            </w:pPr>
          </w:p>
        </w:tc>
        <w:tc>
          <w:tcPr>
            <w:tcW w:w="1379" w:type="dxa"/>
            <w:vMerge w:val="continue"/>
            <w:vAlign w:val="center"/>
          </w:tcPr>
          <w:p w14:paraId="6E80E8D4">
            <w:pPr>
              <w:jc w:val="center"/>
              <w:rPr>
                <w:rFonts w:hint="eastAsia" w:ascii="宋体" w:hAnsi="宋体"/>
                <w:color w:val="auto"/>
                <w:sz w:val="21"/>
                <w:szCs w:val="21"/>
                <w:highlight w:val="none"/>
              </w:rPr>
            </w:pPr>
          </w:p>
        </w:tc>
        <w:tc>
          <w:tcPr>
            <w:tcW w:w="3834" w:type="dxa"/>
            <w:vAlign w:val="center"/>
          </w:tcPr>
          <w:p w14:paraId="6270FB88">
            <w:pPr>
              <w:rPr>
                <w:rFonts w:hint="eastAsia"/>
                <w:color w:val="auto"/>
                <w:highlight w:val="none"/>
              </w:rPr>
            </w:pPr>
            <w:r>
              <w:rPr>
                <w:rFonts w:hint="eastAsia" w:ascii="宋体" w:hAnsi="宋体"/>
                <w:color w:val="auto"/>
                <w:sz w:val="21"/>
                <w:szCs w:val="21"/>
                <w:highlight w:val="none"/>
              </w:rPr>
              <w:t>广州建筑湾区</w:t>
            </w:r>
          </w:p>
          <w:p w14:paraId="236E8D9D">
            <w:pPr>
              <w:ind w:firstLine="10" w:firstLineChars="5"/>
              <w:rPr>
                <w:rFonts w:hint="eastAsia" w:ascii="宋体" w:hAnsi="宋体"/>
                <w:color w:val="auto"/>
                <w:sz w:val="21"/>
                <w:szCs w:val="21"/>
                <w:highlight w:val="none"/>
              </w:rPr>
            </w:pPr>
          </w:p>
          <w:p w14:paraId="633B878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智造科技有限公司</w:t>
            </w:r>
          </w:p>
        </w:tc>
        <w:tc>
          <w:tcPr>
            <w:tcW w:w="2001" w:type="dxa"/>
            <w:vMerge w:val="continue"/>
            <w:vAlign w:val="center"/>
          </w:tcPr>
          <w:p w14:paraId="7DCAB7BA">
            <w:pPr>
              <w:ind w:firstLine="10" w:firstLineChars="5"/>
              <w:rPr>
                <w:rFonts w:hint="eastAsia" w:ascii="宋体" w:hAnsi="宋体"/>
                <w:color w:val="auto"/>
                <w:sz w:val="21"/>
                <w:szCs w:val="21"/>
                <w:highlight w:val="none"/>
              </w:rPr>
            </w:pPr>
          </w:p>
        </w:tc>
        <w:tc>
          <w:tcPr>
            <w:tcW w:w="1220" w:type="dxa"/>
            <w:vMerge w:val="continue"/>
            <w:vAlign w:val="center"/>
          </w:tcPr>
          <w:p w14:paraId="64F76689">
            <w:pPr>
              <w:ind w:firstLine="10" w:firstLineChars="5"/>
              <w:rPr>
                <w:rFonts w:hint="eastAsia" w:ascii="宋体" w:hAnsi="宋体"/>
                <w:color w:val="auto"/>
                <w:sz w:val="21"/>
                <w:szCs w:val="21"/>
                <w:highlight w:val="none"/>
              </w:rPr>
            </w:pPr>
          </w:p>
        </w:tc>
      </w:tr>
      <w:tr w14:paraId="0D64B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2F7F12B">
            <w:pPr>
              <w:ind w:firstLine="35" w:firstLineChars="17"/>
              <w:jc w:val="center"/>
              <w:rPr>
                <w:rFonts w:hint="eastAsia" w:ascii="宋体" w:hAnsi="宋体"/>
                <w:color w:val="auto"/>
                <w:sz w:val="21"/>
                <w:szCs w:val="21"/>
                <w:highlight w:val="none"/>
              </w:rPr>
            </w:pPr>
          </w:p>
        </w:tc>
        <w:tc>
          <w:tcPr>
            <w:tcW w:w="1379" w:type="dxa"/>
            <w:vMerge w:val="continue"/>
            <w:vAlign w:val="center"/>
          </w:tcPr>
          <w:p w14:paraId="2CEBE14E">
            <w:pPr>
              <w:jc w:val="center"/>
              <w:rPr>
                <w:rFonts w:hint="eastAsia" w:ascii="宋体" w:hAnsi="宋体"/>
                <w:color w:val="auto"/>
                <w:sz w:val="21"/>
                <w:szCs w:val="21"/>
                <w:highlight w:val="none"/>
              </w:rPr>
            </w:pPr>
          </w:p>
        </w:tc>
        <w:tc>
          <w:tcPr>
            <w:tcW w:w="3834" w:type="dxa"/>
            <w:vAlign w:val="center"/>
          </w:tcPr>
          <w:p w14:paraId="702F404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中建科技集团有限公司</w:t>
            </w:r>
          </w:p>
        </w:tc>
        <w:tc>
          <w:tcPr>
            <w:tcW w:w="2001" w:type="dxa"/>
            <w:vMerge w:val="continue"/>
            <w:vAlign w:val="center"/>
          </w:tcPr>
          <w:p w14:paraId="5FC1E6EA">
            <w:pPr>
              <w:ind w:firstLine="10" w:firstLineChars="5"/>
              <w:rPr>
                <w:rFonts w:hint="eastAsia" w:ascii="宋体" w:hAnsi="宋体"/>
                <w:color w:val="auto"/>
                <w:sz w:val="21"/>
                <w:szCs w:val="21"/>
                <w:highlight w:val="none"/>
              </w:rPr>
            </w:pPr>
          </w:p>
        </w:tc>
        <w:tc>
          <w:tcPr>
            <w:tcW w:w="1220" w:type="dxa"/>
            <w:vMerge w:val="continue"/>
            <w:vAlign w:val="center"/>
          </w:tcPr>
          <w:p w14:paraId="2CC49A6B">
            <w:pPr>
              <w:ind w:firstLine="10" w:firstLineChars="5"/>
              <w:rPr>
                <w:rFonts w:hint="eastAsia" w:ascii="宋体" w:hAnsi="宋体"/>
                <w:color w:val="auto"/>
                <w:sz w:val="21"/>
                <w:szCs w:val="21"/>
                <w:highlight w:val="none"/>
              </w:rPr>
            </w:pPr>
          </w:p>
        </w:tc>
      </w:tr>
      <w:tr w14:paraId="3047A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B6FF344">
            <w:pPr>
              <w:ind w:firstLine="35" w:firstLineChars="17"/>
              <w:jc w:val="center"/>
              <w:rPr>
                <w:rFonts w:hint="eastAsia" w:ascii="宋体" w:hAnsi="宋体"/>
                <w:color w:val="auto"/>
                <w:sz w:val="21"/>
                <w:szCs w:val="21"/>
                <w:highlight w:val="none"/>
              </w:rPr>
            </w:pPr>
          </w:p>
        </w:tc>
        <w:tc>
          <w:tcPr>
            <w:tcW w:w="1379" w:type="dxa"/>
            <w:vMerge w:val="continue"/>
            <w:vAlign w:val="center"/>
          </w:tcPr>
          <w:p w14:paraId="40D47AAE">
            <w:pPr>
              <w:jc w:val="center"/>
              <w:rPr>
                <w:rFonts w:hint="eastAsia" w:ascii="宋体" w:hAnsi="宋体"/>
                <w:color w:val="auto"/>
                <w:sz w:val="21"/>
                <w:szCs w:val="21"/>
                <w:highlight w:val="none"/>
              </w:rPr>
            </w:pPr>
          </w:p>
        </w:tc>
        <w:tc>
          <w:tcPr>
            <w:tcW w:w="3834" w:type="dxa"/>
            <w:vAlign w:val="center"/>
          </w:tcPr>
          <w:p w14:paraId="32732C2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广东中建新型建筑构件有限公司</w:t>
            </w:r>
          </w:p>
        </w:tc>
        <w:tc>
          <w:tcPr>
            <w:tcW w:w="2001" w:type="dxa"/>
            <w:vMerge w:val="continue"/>
            <w:vAlign w:val="center"/>
          </w:tcPr>
          <w:p w14:paraId="077247FD">
            <w:pPr>
              <w:ind w:firstLine="10" w:firstLineChars="5"/>
              <w:rPr>
                <w:rFonts w:hint="eastAsia" w:ascii="宋体" w:hAnsi="宋体"/>
                <w:color w:val="auto"/>
                <w:sz w:val="21"/>
                <w:szCs w:val="21"/>
                <w:highlight w:val="none"/>
              </w:rPr>
            </w:pPr>
          </w:p>
        </w:tc>
        <w:tc>
          <w:tcPr>
            <w:tcW w:w="1220" w:type="dxa"/>
            <w:vMerge w:val="continue"/>
            <w:vAlign w:val="center"/>
          </w:tcPr>
          <w:p w14:paraId="46406AA2">
            <w:pPr>
              <w:ind w:firstLine="10" w:firstLineChars="5"/>
              <w:rPr>
                <w:rFonts w:hint="eastAsia" w:ascii="宋体" w:hAnsi="宋体"/>
                <w:color w:val="auto"/>
                <w:sz w:val="21"/>
                <w:szCs w:val="21"/>
                <w:highlight w:val="none"/>
              </w:rPr>
            </w:pPr>
          </w:p>
        </w:tc>
      </w:tr>
      <w:tr w14:paraId="55C58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48950253">
            <w:pPr>
              <w:ind w:firstLine="35" w:firstLineChars="17"/>
              <w:jc w:val="center"/>
              <w:rPr>
                <w:rFonts w:hint="eastAsia" w:ascii="宋体" w:hAnsi="宋体"/>
                <w:color w:val="auto"/>
                <w:sz w:val="21"/>
                <w:szCs w:val="21"/>
                <w:highlight w:val="none"/>
              </w:rPr>
            </w:pPr>
          </w:p>
        </w:tc>
        <w:tc>
          <w:tcPr>
            <w:tcW w:w="1379" w:type="dxa"/>
            <w:vMerge w:val="continue"/>
            <w:vAlign w:val="center"/>
          </w:tcPr>
          <w:p w14:paraId="1787039F">
            <w:pPr>
              <w:jc w:val="center"/>
              <w:rPr>
                <w:rFonts w:hint="eastAsia" w:ascii="宋体" w:hAnsi="宋体"/>
                <w:color w:val="auto"/>
                <w:sz w:val="21"/>
                <w:szCs w:val="21"/>
                <w:highlight w:val="none"/>
              </w:rPr>
            </w:pPr>
          </w:p>
        </w:tc>
        <w:tc>
          <w:tcPr>
            <w:tcW w:w="3834" w:type="dxa"/>
            <w:vAlign w:val="center"/>
          </w:tcPr>
          <w:p w14:paraId="31A2999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中建四局绿色建筑科技（广东）有限公司</w:t>
            </w:r>
          </w:p>
        </w:tc>
        <w:tc>
          <w:tcPr>
            <w:tcW w:w="2001" w:type="dxa"/>
            <w:vMerge w:val="continue"/>
            <w:vAlign w:val="center"/>
          </w:tcPr>
          <w:p w14:paraId="45EB23DA">
            <w:pPr>
              <w:ind w:firstLine="10" w:firstLineChars="5"/>
              <w:rPr>
                <w:rFonts w:hint="eastAsia" w:ascii="宋体" w:hAnsi="宋体"/>
                <w:color w:val="auto"/>
                <w:sz w:val="21"/>
                <w:szCs w:val="21"/>
                <w:highlight w:val="none"/>
              </w:rPr>
            </w:pPr>
          </w:p>
        </w:tc>
        <w:tc>
          <w:tcPr>
            <w:tcW w:w="1220" w:type="dxa"/>
            <w:vMerge w:val="continue"/>
            <w:vAlign w:val="center"/>
          </w:tcPr>
          <w:p w14:paraId="68CB2E8C">
            <w:pPr>
              <w:ind w:firstLine="10" w:firstLineChars="5"/>
              <w:rPr>
                <w:rFonts w:hint="eastAsia" w:ascii="宋体" w:hAnsi="宋体"/>
                <w:color w:val="auto"/>
                <w:sz w:val="21"/>
                <w:szCs w:val="21"/>
                <w:highlight w:val="none"/>
              </w:rPr>
            </w:pPr>
          </w:p>
        </w:tc>
      </w:tr>
      <w:tr w14:paraId="589D4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6EDE0A0">
            <w:pPr>
              <w:ind w:firstLine="35" w:firstLineChars="17"/>
              <w:jc w:val="center"/>
              <w:rPr>
                <w:rFonts w:hint="eastAsia" w:ascii="宋体" w:hAnsi="宋体"/>
                <w:color w:val="auto"/>
                <w:sz w:val="21"/>
                <w:szCs w:val="21"/>
                <w:highlight w:val="none"/>
              </w:rPr>
            </w:pPr>
          </w:p>
        </w:tc>
        <w:tc>
          <w:tcPr>
            <w:tcW w:w="1379" w:type="dxa"/>
            <w:vMerge w:val="continue"/>
            <w:vAlign w:val="center"/>
          </w:tcPr>
          <w:p w14:paraId="3ECF0B47">
            <w:pPr>
              <w:jc w:val="center"/>
              <w:rPr>
                <w:rFonts w:hint="eastAsia" w:ascii="宋体" w:hAnsi="宋体"/>
                <w:color w:val="auto"/>
                <w:sz w:val="21"/>
                <w:szCs w:val="21"/>
                <w:highlight w:val="none"/>
              </w:rPr>
            </w:pPr>
          </w:p>
        </w:tc>
        <w:tc>
          <w:tcPr>
            <w:tcW w:w="3834" w:type="dxa"/>
            <w:vAlign w:val="center"/>
          </w:tcPr>
          <w:p w14:paraId="27F082A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中山建华墙体材料有限公司</w:t>
            </w:r>
          </w:p>
        </w:tc>
        <w:tc>
          <w:tcPr>
            <w:tcW w:w="2001" w:type="dxa"/>
            <w:vMerge w:val="continue"/>
            <w:vAlign w:val="center"/>
          </w:tcPr>
          <w:p w14:paraId="50D01A2D">
            <w:pPr>
              <w:ind w:firstLine="10" w:firstLineChars="5"/>
              <w:rPr>
                <w:rFonts w:hint="eastAsia" w:ascii="宋体" w:hAnsi="宋体"/>
                <w:color w:val="auto"/>
                <w:sz w:val="21"/>
                <w:szCs w:val="21"/>
                <w:highlight w:val="none"/>
              </w:rPr>
            </w:pPr>
          </w:p>
        </w:tc>
        <w:tc>
          <w:tcPr>
            <w:tcW w:w="1220" w:type="dxa"/>
            <w:vMerge w:val="continue"/>
            <w:vAlign w:val="center"/>
          </w:tcPr>
          <w:p w14:paraId="5A891952">
            <w:pPr>
              <w:ind w:firstLine="10" w:firstLineChars="5"/>
              <w:rPr>
                <w:rFonts w:hint="eastAsia" w:ascii="宋体" w:hAnsi="宋体"/>
                <w:color w:val="auto"/>
                <w:sz w:val="21"/>
                <w:szCs w:val="21"/>
                <w:highlight w:val="none"/>
              </w:rPr>
            </w:pPr>
          </w:p>
        </w:tc>
      </w:tr>
      <w:tr w14:paraId="13B14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5528A7A">
            <w:pPr>
              <w:ind w:firstLine="35" w:firstLineChars="17"/>
              <w:jc w:val="center"/>
              <w:rPr>
                <w:rFonts w:hint="eastAsia" w:ascii="宋体" w:hAnsi="宋体"/>
                <w:color w:val="auto"/>
                <w:sz w:val="21"/>
                <w:szCs w:val="21"/>
                <w:highlight w:val="none"/>
              </w:rPr>
            </w:pPr>
          </w:p>
        </w:tc>
        <w:tc>
          <w:tcPr>
            <w:tcW w:w="1379" w:type="dxa"/>
            <w:vMerge w:val="continue"/>
            <w:vAlign w:val="center"/>
          </w:tcPr>
          <w:p w14:paraId="6A97377F">
            <w:pPr>
              <w:jc w:val="center"/>
              <w:rPr>
                <w:rFonts w:hint="eastAsia" w:ascii="宋体" w:hAnsi="宋体"/>
                <w:color w:val="auto"/>
                <w:sz w:val="21"/>
                <w:szCs w:val="21"/>
                <w:highlight w:val="none"/>
              </w:rPr>
            </w:pPr>
          </w:p>
        </w:tc>
        <w:tc>
          <w:tcPr>
            <w:tcW w:w="3834" w:type="dxa"/>
            <w:vAlign w:val="center"/>
          </w:tcPr>
          <w:p w14:paraId="4638E06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广东新瑞龙生态建材有限公司</w:t>
            </w:r>
          </w:p>
        </w:tc>
        <w:tc>
          <w:tcPr>
            <w:tcW w:w="2001" w:type="dxa"/>
            <w:vMerge w:val="continue"/>
            <w:vAlign w:val="center"/>
          </w:tcPr>
          <w:p w14:paraId="0F066E8C">
            <w:pPr>
              <w:ind w:firstLine="10" w:firstLineChars="5"/>
              <w:rPr>
                <w:rFonts w:hint="eastAsia" w:ascii="宋体" w:hAnsi="宋体"/>
                <w:color w:val="auto"/>
                <w:sz w:val="21"/>
                <w:szCs w:val="21"/>
                <w:highlight w:val="none"/>
              </w:rPr>
            </w:pPr>
          </w:p>
        </w:tc>
        <w:tc>
          <w:tcPr>
            <w:tcW w:w="1220" w:type="dxa"/>
            <w:vMerge w:val="continue"/>
            <w:vAlign w:val="center"/>
          </w:tcPr>
          <w:p w14:paraId="04CBA623">
            <w:pPr>
              <w:ind w:firstLine="10" w:firstLineChars="5"/>
              <w:rPr>
                <w:rFonts w:hint="eastAsia" w:ascii="宋体" w:hAnsi="宋体"/>
                <w:color w:val="auto"/>
                <w:sz w:val="21"/>
                <w:szCs w:val="21"/>
                <w:highlight w:val="none"/>
              </w:rPr>
            </w:pPr>
          </w:p>
        </w:tc>
      </w:tr>
      <w:tr w14:paraId="10D36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12CFFFC7">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1.7</w:t>
            </w:r>
          </w:p>
        </w:tc>
        <w:tc>
          <w:tcPr>
            <w:tcW w:w="1379" w:type="dxa"/>
            <w:vMerge w:val="restart"/>
            <w:vAlign w:val="center"/>
          </w:tcPr>
          <w:p w14:paraId="50942625">
            <w:pPr>
              <w:jc w:val="center"/>
              <w:rPr>
                <w:rFonts w:hint="eastAsia" w:ascii="宋体" w:hAnsi="宋体"/>
                <w:color w:val="auto"/>
                <w:sz w:val="21"/>
                <w:szCs w:val="21"/>
                <w:highlight w:val="none"/>
              </w:rPr>
            </w:pPr>
            <w:r>
              <w:rPr>
                <w:rFonts w:hint="eastAsia" w:ascii="宋体" w:hAnsi="宋体"/>
                <w:color w:val="auto"/>
                <w:sz w:val="21"/>
                <w:szCs w:val="21"/>
                <w:highlight w:val="none"/>
              </w:rPr>
              <w:t>蒸压加气混凝土砌块</w:t>
            </w:r>
          </w:p>
        </w:tc>
        <w:tc>
          <w:tcPr>
            <w:tcW w:w="3834" w:type="dxa"/>
            <w:vAlign w:val="center"/>
          </w:tcPr>
          <w:p w14:paraId="5E8843C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佛山市南海区水电灰砂砖厂</w:t>
            </w:r>
          </w:p>
        </w:tc>
        <w:tc>
          <w:tcPr>
            <w:tcW w:w="2001" w:type="dxa"/>
            <w:vMerge w:val="restart"/>
            <w:vAlign w:val="center"/>
          </w:tcPr>
          <w:p w14:paraId="2C9C866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Merge w:val="restart"/>
            <w:vAlign w:val="center"/>
          </w:tcPr>
          <w:p w14:paraId="0BDBF85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380DD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96139A9">
            <w:pPr>
              <w:ind w:firstLine="35" w:firstLineChars="17"/>
              <w:jc w:val="center"/>
              <w:rPr>
                <w:rFonts w:hint="eastAsia" w:ascii="宋体" w:hAnsi="宋体"/>
                <w:color w:val="auto"/>
                <w:sz w:val="21"/>
                <w:szCs w:val="21"/>
                <w:highlight w:val="none"/>
              </w:rPr>
            </w:pPr>
          </w:p>
        </w:tc>
        <w:tc>
          <w:tcPr>
            <w:tcW w:w="1379" w:type="dxa"/>
            <w:vMerge w:val="continue"/>
            <w:vAlign w:val="center"/>
          </w:tcPr>
          <w:p w14:paraId="41EDCE14">
            <w:pPr>
              <w:jc w:val="center"/>
              <w:rPr>
                <w:rFonts w:hint="eastAsia" w:ascii="宋体" w:hAnsi="宋体"/>
                <w:color w:val="auto"/>
                <w:sz w:val="21"/>
                <w:szCs w:val="21"/>
                <w:highlight w:val="none"/>
              </w:rPr>
            </w:pPr>
          </w:p>
        </w:tc>
        <w:tc>
          <w:tcPr>
            <w:tcW w:w="3834" w:type="dxa"/>
            <w:vAlign w:val="center"/>
          </w:tcPr>
          <w:p w14:paraId="5B07AC4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广州发展环保建材有限公司</w:t>
            </w:r>
          </w:p>
        </w:tc>
        <w:tc>
          <w:tcPr>
            <w:tcW w:w="2001" w:type="dxa"/>
            <w:vMerge w:val="continue"/>
            <w:vAlign w:val="center"/>
          </w:tcPr>
          <w:p w14:paraId="50683565">
            <w:pPr>
              <w:ind w:firstLine="10" w:firstLineChars="5"/>
              <w:rPr>
                <w:rFonts w:hint="eastAsia" w:ascii="宋体" w:hAnsi="宋体"/>
                <w:color w:val="auto"/>
                <w:sz w:val="21"/>
                <w:szCs w:val="21"/>
                <w:highlight w:val="none"/>
              </w:rPr>
            </w:pPr>
          </w:p>
        </w:tc>
        <w:tc>
          <w:tcPr>
            <w:tcW w:w="1220" w:type="dxa"/>
            <w:vMerge w:val="continue"/>
            <w:vAlign w:val="center"/>
          </w:tcPr>
          <w:p w14:paraId="48D5403A">
            <w:pPr>
              <w:ind w:firstLine="10" w:firstLineChars="5"/>
              <w:rPr>
                <w:rFonts w:hint="eastAsia" w:ascii="宋体" w:hAnsi="宋体"/>
                <w:color w:val="auto"/>
                <w:sz w:val="21"/>
                <w:szCs w:val="21"/>
                <w:highlight w:val="none"/>
              </w:rPr>
            </w:pPr>
          </w:p>
        </w:tc>
      </w:tr>
      <w:tr w14:paraId="3B9F8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60E28B9">
            <w:pPr>
              <w:ind w:firstLine="35" w:firstLineChars="17"/>
              <w:jc w:val="center"/>
              <w:rPr>
                <w:rFonts w:hint="eastAsia" w:ascii="宋体" w:hAnsi="宋体"/>
                <w:color w:val="auto"/>
                <w:sz w:val="21"/>
                <w:szCs w:val="21"/>
                <w:highlight w:val="none"/>
              </w:rPr>
            </w:pPr>
          </w:p>
        </w:tc>
        <w:tc>
          <w:tcPr>
            <w:tcW w:w="1379" w:type="dxa"/>
            <w:vMerge w:val="continue"/>
            <w:vAlign w:val="center"/>
          </w:tcPr>
          <w:p w14:paraId="683CF68E">
            <w:pPr>
              <w:jc w:val="center"/>
              <w:rPr>
                <w:rFonts w:hint="eastAsia" w:ascii="宋体" w:hAnsi="宋体"/>
                <w:color w:val="auto"/>
                <w:sz w:val="21"/>
                <w:szCs w:val="21"/>
                <w:highlight w:val="none"/>
              </w:rPr>
            </w:pPr>
          </w:p>
        </w:tc>
        <w:tc>
          <w:tcPr>
            <w:tcW w:w="3834" w:type="dxa"/>
            <w:vAlign w:val="center"/>
          </w:tcPr>
          <w:p w14:paraId="05CB8C0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广州市建邦建材有限公司</w:t>
            </w:r>
          </w:p>
        </w:tc>
        <w:tc>
          <w:tcPr>
            <w:tcW w:w="2001" w:type="dxa"/>
            <w:vMerge w:val="continue"/>
            <w:vAlign w:val="center"/>
          </w:tcPr>
          <w:p w14:paraId="6CC7348A">
            <w:pPr>
              <w:ind w:firstLine="10" w:firstLineChars="5"/>
              <w:rPr>
                <w:rFonts w:hint="eastAsia" w:ascii="宋体" w:hAnsi="宋体"/>
                <w:color w:val="auto"/>
                <w:sz w:val="21"/>
                <w:szCs w:val="21"/>
                <w:highlight w:val="none"/>
              </w:rPr>
            </w:pPr>
          </w:p>
        </w:tc>
        <w:tc>
          <w:tcPr>
            <w:tcW w:w="1220" w:type="dxa"/>
            <w:vMerge w:val="continue"/>
            <w:vAlign w:val="center"/>
          </w:tcPr>
          <w:p w14:paraId="31379017">
            <w:pPr>
              <w:ind w:firstLine="10" w:firstLineChars="5"/>
              <w:rPr>
                <w:rFonts w:hint="eastAsia" w:ascii="宋体" w:hAnsi="宋体"/>
                <w:color w:val="auto"/>
                <w:sz w:val="21"/>
                <w:szCs w:val="21"/>
                <w:highlight w:val="none"/>
              </w:rPr>
            </w:pPr>
          </w:p>
        </w:tc>
      </w:tr>
      <w:tr w14:paraId="2D384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16C678C">
            <w:pPr>
              <w:ind w:firstLine="35" w:firstLineChars="17"/>
              <w:jc w:val="center"/>
              <w:rPr>
                <w:rFonts w:hint="eastAsia" w:ascii="宋体" w:hAnsi="宋体"/>
                <w:color w:val="auto"/>
                <w:sz w:val="21"/>
                <w:szCs w:val="21"/>
                <w:highlight w:val="none"/>
              </w:rPr>
            </w:pPr>
          </w:p>
        </w:tc>
        <w:tc>
          <w:tcPr>
            <w:tcW w:w="1379" w:type="dxa"/>
            <w:vMerge w:val="continue"/>
            <w:vAlign w:val="center"/>
          </w:tcPr>
          <w:p w14:paraId="66CD4B16">
            <w:pPr>
              <w:jc w:val="center"/>
              <w:rPr>
                <w:rFonts w:hint="eastAsia" w:ascii="宋体" w:hAnsi="宋体"/>
                <w:color w:val="auto"/>
                <w:sz w:val="21"/>
                <w:szCs w:val="21"/>
                <w:highlight w:val="none"/>
              </w:rPr>
            </w:pPr>
          </w:p>
        </w:tc>
        <w:tc>
          <w:tcPr>
            <w:tcW w:w="3834" w:type="dxa"/>
            <w:vAlign w:val="center"/>
          </w:tcPr>
          <w:p w14:paraId="6CC6741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广东朗道建材科技有限公司</w:t>
            </w:r>
          </w:p>
        </w:tc>
        <w:tc>
          <w:tcPr>
            <w:tcW w:w="2001" w:type="dxa"/>
            <w:vMerge w:val="continue"/>
            <w:vAlign w:val="center"/>
          </w:tcPr>
          <w:p w14:paraId="146176AC">
            <w:pPr>
              <w:ind w:firstLine="10" w:firstLineChars="5"/>
              <w:rPr>
                <w:rFonts w:hint="eastAsia" w:ascii="宋体" w:hAnsi="宋体"/>
                <w:color w:val="auto"/>
                <w:sz w:val="21"/>
                <w:szCs w:val="21"/>
                <w:highlight w:val="none"/>
              </w:rPr>
            </w:pPr>
          </w:p>
        </w:tc>
        <w:tc>
          <w:tcPr>
            <w:tcW w:w="1220" w:type="dxa"/>
            <w:vMerge w:val="continue"/>
            <w:vAlign w:val="center"/>
          </w:tcPr>
          <w:p w14:paraId="7A125AF4">
            <w:pPr>
              <w:ind w:firstLine="10" w:firstLineChars="5"/>
              <w:rPr>
                <w:rFonts w:hint="eastAsia" w:ascii="宋体" w:hAnsi="宋体"/>
                <w:color w:val="auto"/>
                <w:sz w:val="21"/>
                <w:szCs w:val="21"/>
                <w:highlight w:val="none"/>
              </w:rPr>
            </w:pPr>
          </w:p>
        </w:tc>
      </w:tr>
      <w:tr w14:paraId="32D5D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2B6C6CC">
            <w:pPr>
              <w:ind w:firstLine="35" w:firstLineChars="17"/>
              <w:jc w:val="center"/>
              <w:rPr>
                <w:rFonts w:hint="eastAsia" w:ascii="宋体" w:hAnsi="宋体"/>
                <w:color w:val="auto"/>
                <w:sz w:val="21"/>
                <w:szCs w:val="21"/>
                <w:highlight w:val="none"/>
              </w:rPr>
            </w:pPr>
          </w:p>
        </w:tc>
        <w:tc>
          <w:tcPr>
            <w:tcW w:w="1379" w:type="dxa"/>
            <w:vMerge w:val="continue"/>
            <w:vAlign w:val="center"/>
          </w:tcPr>
          <w:p w14:paraId="18F56B42">
            <w:pPr>
              <w:jc w:val="center"/>
              <w:rPr>
                <w:rFonts w:hint="eastAsia" w:ascii="宋体" w:hAnsi="宋体"/>
                <w:color w:val="auto"/>
                <w:sz w:val="21"/>
                <w:szCs w:val="21"/>
                <w:highlight w:val="none"/>
              </w:rPr>
            </w:pPr>
          </w:p>
        </w:tc>
        <w:tc>
          <w:tcPr>
            <w:tcW w:w="3834" w:type="dxa"/>
            <w:vAlign w:val="center"/>
          </w:tcPr>
          <w:p w14:paraId="1A20931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广州市佑佳加气混凝土制品有限公司</w:t>
            </w:r>
          </w:p>
        </w:tc>
        <w:tc>
          <w:tcPr>
            <w:tcW w:w="2001" w:type="dxa"/>
            <w:vMerge w:val="continue"/>
            <w:vAlign w:val="center"/>
          </w:tcPr>
          <w:p w14:paraId="6EB72068">
            <w:pPr>
              <w:ind w:firstLine="10" w:firstLineChars="5"/>
              <w:rPr>
                <w:rFonts w:hint="eastAsia" w:ascii="宋体" w:hAnsi="宋体"/>
                <w:color w:val="auto"/>
                <w:sz w:val="21"/>
                <w:szCs w:val="21"/>
                <w:highlight w:val="none"/>
              </w:rPr>
            </w:pPr>
          </w:p>
        </w:tc>
        <w:tc>
          <w:tcPr>
            <w:tcW w:w="1220" w:type="dxa"/>
            <w:vMerge w:val="continue"/>
            <w:vAlign w:val="center"/>
          </w:tcPr>
          <w:p w14:paraId="02633430">
            <w:pPr>
              <w:ind w:firstLine="10" w:firstLineChars="5"/>
              <w:rPr>
                <w:rFonts w:hint="eastAsia" w:ascii="宋体" w:hAnsi="宋体"/>
                <w:color w:val="auto"/>
                <w:sz w:val="21"/>
                <w:szCs w:val="21"/>
                <w:highlight w:val="none"/>
              </w:rPr>
            </w:pPr>
          </w:p>
        </w:tc>
      </w:tr>
      <w:tr w14:paraId="683B2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101EE3B">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1.8</w:t>
            </w:r>
          </w:p>
        </w:tc>
        <w:tc>
          <w:tcPr>
            <w:tcW w:w="1379" w:type="dxa"/>
            <w:vAlign w:val="center"/>
          </w:tcPr>
          <w:p w14:paraId="521D258C">
            <w:pPr>
              <w:jc w:val="center"/>
              <w:rPr>
                <w:rFonts w:hint="eastAsia" w:ascii="宋体" w:hAnsi="宋体"/>
                <w:color w:val="auto"/>
                <w:sz w:val="21"/>
                <w:szCs w:val="21"/>
                <w:highlight w:val="none"/>
              </w:rPr>
            </w:pPr>
            <w:r>
              <w:rPr>
                <w:rFonts w:hint="eastAsia" w:ascii="宋体" w:hAnsi="宋体"/>
                <w:color w:val="auto"/>
                <w:sz w:val="21"/>
                <w:szCs w:val="21"/>
                <w:highlight w:val="none"/>
              </w:rPr>
              <w:t>防水涂料/防水卷材</w:t>
            </w:r>
          </w:p>
        </w:tc>
        <w:tc>
          <w:tcPr>
            <w:tcW w:w="3834" w:type="dxa"/>
            <w:vAlign w:val="center"/>
          </w:tcPr>
          <w:p w14:paraId="43365D1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卓宝、东方雨虹、大禹九鼎、百能、台实防水、德爱威</w:t>
            </w:r>
          </w:p>
        </w:tc>
        <w:tc>
          <w:tcPr>
            <w:tcW w:w="2001" w:type="dxa"/>
            <w:vAlign w:val="center"/>
          </w:tcPr>
          <w:p w14:paraId="179D8D5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12447B4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0E8C1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5" w:hRule="atLeast"/>
        </w:trPr>
        <w:tc>
          <w:tcPr>
            <w:tcW w:w="814" w:type="dxa"/>
            <w:vAlign w:val="center"/>
          </w:tcPr>
          <w:p w14:paraId="4194B5F6">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1.9</w:t>
            </w:r>
          </w:p>
        </w:tc>
        <w:tc>
          <w:tcPr>
            <w:tcW w:w="1379" w:type="dxa"/>
            <w:vAlign w:val="center"/>
          </w:tcPr>
          <w:p w14:paraId="01157A88">
            <w:pPr>
              <w:jc w:val="center"/>
              <w:rPr>
                <w:rFonts w:hint="eastAsia" w:ascii="宋体" w:hAnsi="宋体"/>
                <w:color w:val="auto"/>
                <w:sz w:val="21"/>
                <w:szCs w:val="21"/>
                <w:highlight w:val="none"/>
              </w:rPr>
            </w:pPr>
            <w:r>
              <w:rPr>
                <w:rFonts w:hint="eastAsia" w:ascii="宋体" w:hAnsi="宋体"/>
                <w:color w:val="auto"/>
                <w:sz w:val="21"/>
                <w:szCs w:val="21"/>
                <w:highlight w:val="none"/>
              </w:rPr>
              <w:t>成品木门</w:t>
            </w:r>
          </w:p>
        </w:tc>
        <w:tc>
          <w:tcPr>
            <w:tcW w:w="3834" w:type="dxa"/>
            <w:vAlign w:val="center"/>
          </w:tcPr>
          <w:p w14:paraId="300A76E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林安牌、锦湖和盛、国盾门业、白云南粤、雅君园门业</w:t>
            </w:r>
          </w:p>
        </w:tc>
        <w:tc>
          <w:tcPr>
            <w:tcW w:w="2001" w:type="dxa"/>
            <w:vAlign w:val="center"/>
          </w:tcPr>
          <w:p w14:paraId="1C80E21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176EBE6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73206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F23C264">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1.10</w:t>
            </w:r>
          </w:p>
        </w:tc>
        <w:tc>
          <w:tcPr>
            <w:tcW w:w="1379" w:type="dxa"/>
            <w:vAlign w:val="center"/>
          </w:tcPr>
          <w:p w14:paraId="09E53156">
            <w:pPr>
              <w:jc w:val="center"/>
              <w:rPr>
                <w:rFonts w:hint="eastAsia" w:ascii="宋体" w:hAnsi="宋体"/>
                <w:color w:val="auto"/>
                <w:sz w:val="21"/>
                <w:szCs w:val="21"/>
                <w:highlight w:val="none"/>
              </w:rPr>
            </w:pPr>
            <w:r>
              <w:rPr>
                <w:rFonts w:hint="eastAsia" w:ascii="宋体" w:hAnsi="宋体"/>
                <w:color w:val="auto"/>
                <w:sz w:val="21"/>
                <w:szCs w:val="21"/>
                <w:highlight w:val="none"/>
              </w:rPr>
              <w:t>防火门</w:t>
            </w:r>
          </w:p>
        </w:tc>
        <w:tc>
          <w:tcPr>
            <w:tcW w:w="3834" w:type="dxa"/>
            <w:vAlign w:val="center"/>
          </w:tcPr>
          <w:p w14:paraId="38A2788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锦澜、锦湖和盛、白云南粤、雅君园门业、兴进消防设备</w:t>
            </w:r>
          </w:p>
        </w:tc>
        <w:tc>
          <w:tcPr>
            <w:tcW w:w="2001" w:type="dxa"/>
            <w:vAlign w:val="center"/>
          </w:tcPr>
          <w:p w14:paraId="4BF607A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388F78F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必须同时满足消防验收要求</w:t>
            </w:r>
          </w:p>
        </w:tc>
      </w:tr>
      <w:tr w14:paraId="04C37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25" w:hRule="atLeast"/>
        </w:trPr>
        <w:tc>
          <w:tcPr>
            <w:tcW w:w="814" w:type="dxa"/>
            <w:vMerge w:val="restart"/>
            <w:vAlign w:val="center"/>
          </w:tcPr>
          <w:p w14:paraId="3E3CFFDE">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1.11</w:t>
            </w:r>
          </w:p>
        </w:tc>
        <w:tc>
          <w:tcPr>
            <w:tcW w:w="1379" w:type="dxa"/>
            <w:vMerge w:val="restart"/>
            <w:vAlign w:val="center"/>
          </w:tcPr>
          <w:p w14:paraId="4530C4C9">
            <w:pPr>
              <w:jc w:val="center"/>
              <w:rPr>
                <w:rFonts w:hint="eastAsia" w:ascii="宋体" w:hAnsi="宋体"/>
                <w:color w:val="auto"/>
                <w:sz w:val="21"/>
                <w:szCs w:val="21"/>
                <w:highlight w:val="none"/>
              </w:rPr>
            </w:pPr>
            <w:r>
              <w:rPr>
                <w:rFonts w:hint="eastAsia" w:ascii="宋体" w:hAnsi="宋体"/>
                <w:color w:val="auto"/>
                <w:sz w:val="21"/>
                <w:szCs w:val="21"/>
                <w:highlight w:val="none"/>
              </w:rPr>
              <w:t>人防门</w:t>
            </w:r>
          </w:p>
        </w:tc>
        <w:tc>
          <w:tcPr>
            <w:tcW w:w="3834" w:type="dxa"/>
            <w:vAlign w:val="center"/>
          </w:tcPr>
          <w:p w14:paraId="7AFA246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广州市羊城地下工程有限公司</w:t>
            </w:r>
          </w:p>
        </w:tc>
        <w:tc>
          <w:tcPr>
            <w:tcW w:w="2001" w:type="dxa"/>
            <w:vMerge w:val="restart"/>
            <w:vAlign w:val="center"/>
          </w:tcPr>
          <w:p w14:paraId="6952F43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Merge w:val="restart"/>
            <w:vAlign w:val="center"/>
          </w:tcPr>
          <w:p w14:paraId="2E6F740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必须同时满足人防验收要求</w:t>
            </w:r>
          </w:p>
        </w:tc>
      </w:tr>
      <w:tr w14:paraId="4A674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966CB80">
            <w:pPr>
              <w:ind w:firstLine="35" w:firstLineChars="17"/>
              <w:jc w:val="center"/>
              <w:rPr>
                <w:rFonts w:hint="eastAsia" w:ascii="宋体" w:hAnsi="宋体"/>
                <w:color w:val="auto"/>
                <w:sz w:val="21"/>
                <w:szCs w:val="21"/>
                <w:highlight w:val="none"/>
              </w:rPr>
            </w:pPr>
          </w:p>
        </w:tc>
        <w:tc>
          <w:tcPr>
            <w:tcW w:w="1379" w:type="dxa"/>
            <w:vMerge w:val="continue"/>
            <w:vAlign w:val="center"/>
          </w:tcPr>
          <w:p w14:paraId="5799D473">
            <w:pPr>
              <w:jc w:val="center"/>
              <w:rPr>
                <w:rFonts w:hint="eastAsia" w:ascii="宋体" w:hAnsi="宋体"/>
                <w:color w:val="auto"/>
                <w:sz w:val="21"/>
                <w:szCs w:val="21"/>
                <w:highlight w:val="none"/>
              </w:rPr>
            </w:pPr>
          </w:p>
        </w:tc>
        <w:tc>
          <w:tcPr>
            <w:tcW w:w="3834" w:type="dxa"/>
            <w:vAlign w:val="center"/>
          </w:tcPr>
          <w:p w14:paraId="43782FA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广州市海珠区城市更新投资有限公司</w:t>
            </w:r>
          </w:p>
        </w:tc>
        <w:tc>
          <w:tcPr>
            <w:tcW w:w="2001" w:type="dxa"/>
            <w:vMerge w:val="continue"/>
            <w:vAlign w:val="center"/>
          </w:tcPr>
          <w:p w14:paraId="74C8AE0C">
            <w:pPr>
              <w:ind w:firstLine="10" w:firstLineChars="5"/>
              <w:rPr>
                <w:rFonts w:hint="eastAsia" w:ascii="宋体" w:hAnsi="宋体"/>
                <w:color w:val="auto"/>
                <w:sz w:val="21"/>
                <w:szCs w:val="21"/>
                <w:highlight w:val="none"/>
              </w:rPr>
            </w:pPr>
          </w:p>
        </w:tc>
        <w:tc>
          <w:tcPr>
            <w:tcW w:w="1220" w:type="dxa"/>
            <w:vMerge w:val="continue"/>
            <w:vAlign w:val="center"/>
          </w:tcPr>
          <w:p w14:paraId="51C9EBC8">
            <w:pPr>
              <w:ind w:firstLine="10" w:firstLineChars="5"/>
              <w:rPr>
                <w:rFonts w:hint="eastAsia" w:ascii="宋体" w:hAnsi="宋体"/>
                <w:color w:val="auto"/>
                <w:sz w:val="21"/>
                <w:szCs w:val="21"/>
                <w:highlight w:val="none"/>
              </w:rPr>
            </w:pPr>
          </w:p>
        </w:tc>
      </w:tr>
      <w:tr w14:paraId="1A108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72A010B">
            <w:pPr>
              <w:ind w:firstLine="35" w:firstLineChars="17"/>
              <w:jc w:val="center"/>
              <w:rPr>
                <w:rFonts w:hint="eastAsia" w:ascii="宋体" w:hAnsi="宋体"/>
                <w:color w:val="auto"/>
                <w:sz w:val="21"/>
                <w:szCs w:val="21"/>
                <w:highlight w:val="none"/>
              </w:rPr>
            </w:pPr>
          </w:p>
        </w:tc>
        <w:tc>
          <w:tcPr>
            <w:tcW w:w="1379" w:type="dxa"/>
            <w:vMerge w:val="continue"/>
            <w:vAlign w:val="center"/>
          </w:tcPr>
          <w:p w14:paraId="2176F4AA">
            <w:pPr>
              <w:jc w:val="center"/>
              <w:rPr>
                <w:rFonts w:hint="eastAsia" w:ascii="宋体" w:hAnsi="宋体"/>
                <w:color w:val="auto"/>
                <w:sz w:val="21"/>
                <w:szCs w:val="21"/>
                <w:highlight w:val="none"/>
              </w:rPr>
            </w:pPr>
          </w:p>
        </w:tc>
        <w:tc>
          <w:tcPr>
            <w:tcW w:w="3834" w:type="dxa"/>
            <w:vAlign w:val="center"/>
          </w:tcPr>
          <w:p w14:paraId="6B94E65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广州南骏人防工程防护设备有限公司</w:t>
            </w:r>
          </w:p>
        </w:tc>
        <w:tc>
          <w:tcPr>
            <w:tcW w:w="2001" w:type="dxa"/>
            <w:vMerge w:val="continue"/>
            <w:vAlign w:val="center"/>
          </w:tcPr>
          <w:p w14:paraId="4A565800">
            <w:pPr>
              <w:ind w:firstLine="10" w:firstLineChars="5"/>
              <w:rPr>
                <w:rFonts w:hint="eastAsia" w:ascii="宋体" w:hAnsi="宋体"/>
                <w:color w:val="auto"/>
                <w:sz w:val="21"/>
                <w:szCs w:val="21"/>
                <w:highlight w:val="none"/>
              </w:rPr>
            </w:pPr>
          </w:p>
        </w:tc>
        <w:tc>
          <w:tcPr>
            <w:tcW w:w="1220" w:type="dxa"/>
            <w:vMerge w:val="continue"/>
            <w:vAlign w:val="center"/>
          </w:tcPr>
          <w:p w14:paraId="6D7AC626">
            <w:pPr>
              <w:ind w:firstLine="10" w:firstLineChars="5"/>
              <w:rPr>
                <w:rFonts w:hint="eastAsia" w:ascii="宋体" w:hAnsi="宋体"/>
                <w:color w:val="auto"/>
                <w:sz w:val="21"/>
                <w:szCs w:val="21"/>
                <w:highlight w:val="none"/>
              </w:rPr>
            </w:pPr>
          </w:p>
        </w:tc>
      </w:tr>
      <w:tr w14:paraId="57CA4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7AF82E5">
            <w:pPr>
              <w:ind w:firstLine="35" w:firstLineChars="17"/>
              <w:jc w:val="center"/>
              <w:rPr>
                <w:rFonts w:hint="eastAsia" w:ascii="宋体" w:hAnsi="宋体"/>
                <w:color w:val="auto"/>
                <w:sz w:val="21"/>
                <w:szCs w:val="21"/>
                <w:highlight w:val="none"/>
              </w:rPr>
            </w:pPr>
          </w:p>
        </w:tc>
        <w:tc>
          <w:tcPr>
            <w:tcW w:w="1379" w:type="dxa"/>
            <w:vMerge w:val="continue"/>
            <w:vAlign w:val="center"/>
          </w:tcPr>
          <w:p w14:paraId="733D2CE8">
            <w:pPr>
              <w:jc w:val="center"/>
              <w:rPr>
                <w:rFonts w:hint="eastAsia" w:ascii="宋体" w:hAnsi="宋体"/>
                <w:color w:val="auto"/>
                <w:sz w:val="21"/>
                <w:szCs w:val="21"/>
                <w:highlight w:val="none"/>
              </w:rPr>
            </w:pPr>
          </w:p>
        </w:tc>
        <w:tc>
          <w:tcPr>
            <w:tcW w:w="3834" w:type="dxa"/>
            <w:vAlign w:val="center"/>
          </w:tcPr>
          <w:p w14:paraId="0CF0B67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广州科安人防工程设备有限公司</w:t>
            </w:r>
          </w:p>
        </w:tc>
        <w:tc>
          <w:tcPr>
            <w:tcW w:w="2001" w:type="dxa"/>
            <w:vMerge w:val="continue"/>
            <w:vAlign w:val="center"/>
          </w:tcPr>
          <w:p w14:paraId="0993F821">
            <w:pPr>
              <w:ind w:firstLine="10" w:firstLineChars="5"/>
              <w:rPr>
                <w:rFonts w:hint="eastAsia" w:ascii="宋体" w:hAnsi="宋体"/>
                <w:color w:val="auto"/>
                <w:sz w:val="21"/>
                <w:szCs w:val="21"/>
                <w:highlight w:val="none"/>
              </w:rPr>
            </w:pPr>
          </w:p>
        </w:tc>
        <w:tc>
          <w:tcPr>
            <w:tcW w:w="1220" w:type="dxa"/>
            <w:vMerge w:val="continue"/>
            <w:vAlign w:val="center"/>
          </w:tcPr>
          <w:p w14:paraId="0CA2ACC2">
            <w:pPr>
              <w:ind w:firstLine="10" w:firstLineChars="5"/>
              <w:rPr>
                <w:rFonts w:hint="eastAsia" w:ascii="宋体" w:hAnsi="宋体"/>
                <w:color w:val="auto"/>
                <w:sz w:val="21"/>
                <w:szCs w:val="21"/>
                <w:highlight w:val="none"/>
              </w:rPr>
            </w:pPr>
          </w:p>
        </w:tc>
      </w:tr>
      <w:tr w14:paraId="0399C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6EEECB1">
            <w:pPr>
              <w:ind w:firstLine="35" w:firstLineChars="17"/>
              <w:jc w:val="center"/>
              <w:rPr>
                <w:rFonts w:hint="eastAsia" w:ascii="宋体" w:hAnsi="宋体"/>
                <w:color w:val="auto"/>
                <w:sz w:val="21"/>
                <w:szCs w:val="21"/>
                <w:highlight w:val="none"/>
              </w:rPr>
            </w:pPr>
          </w:p>
        </w:tc>
        <w:tc>
          <w:tcPr>
            <w:tcW w:w="1379" w:type="dxa"/>
            <w:vMerge w:val="continue"/>
            <w:vAlign w:val="center"/>
          </w:tcPr>
          <w:p w14:paraId="16FB09B6">
            <w:pPr>
              <w:jc w:val="center"/>
              <w:rPr>
                <w:rFonts w:hint="eastAsia" w:ascii="宋体" w:hAnsi="宋体"/>
                <w:color w:val="auto"/>
                <w:sz w:val="21"/>
                <w:szCs w:val="21"/>
                <w:highlight w:val="none"/>
              </w:rPr>
            </w:pPr>
          </w:p>
        </w:tc>
        <w:tc>
          <w:tcPr>
            <w:tcW w:w="3834" w:type="dxa"/>
            <w:vAlign w:val="center"/>
          </w:tcPr>
          <w:p w14:paraId="37B0429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佛山华盾人防工程有限公司</w:t>
            </w:r>
          </w:p>
        </w:tc>
        <w:tc>
          <w:tcPr>
            <w:tcW w:w="2001" w:type="dxa"/>
            <w:vMerge w:val="continue"/>
            <w:vAlign w:val="center"/>
          </w:tcPr>
          <w:p w14:paraId="7FF67808">
            <w:pPr>
              <w:ind w:firstLine="10" w:firstLineChars="5"/>
              <w:rPr>
                <w:rFonts w:hint="eastAsia" w:ascii="宋体" w:hAnsi="宋体"/>
                <w:color w:val="auto"/>
                <w:sz w:val="21"/>
                <w:szCs w:val="21"/>
                <w:highlight w:val="none"/>
              </w:rPr>
            </w:pPr>
          </w:p>
        </w:tc>
        <w:tc>
          <w:tcPr>
            <w:tcW w:w="1220" w:type="dxa"/>
            <w:vMerge w:val="continue"/>
            <w:vAlign w:val="center"/>
          </w:tcPr>
          <w:p w14:paraId="2D67D66D">
            <w:pPr>
              <w:ind w:firstLine="10" w:firstLineChars="5"/>
              <w:rPr>
                <w:rFonts w:hint="eastAsia" w:ascii="宋体" w:hAnsi="宋体"/>
                <w:color w:val="auto"/>
                <w:sz w:val="21"/>
                <w:szCs w:val="21"/>
                <w:highlight w:val="none"/>
              </w:rPr>
            </w:pPr>
          </w:p>
        </w:tc>
      </w:tr>
      <w:tr w14:paraId="56863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3EB8E717">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2、装修材料</w:t>
            </w:r>
          </w:p>
        </w:tc>
      </w:tr>
      <w:tr w14:paraId="204A9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5C10DAE">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2.1</w:t>
            </w:r>
          </w:p>
        </w:tc>
        <w:tc>
          <w:tcPr>
            <w:tcW w:w="1379" w:type="dxa"/>
            <w:vAlign w:val="center"/>
          </w:tcPr>
          <w:p w14:paraId="0A36B38A">
            <w:pPr>
              <w:jc w:val="center"/>
              <w:rPr>
                <w:rFonts w:hint="eastAsia"/>
                <w:color w:val="auto"/>
                <w:highlight w:val="none"/>
              </w:rPr>
            </w:pPr>
            <w:r>
              <w:rPr>
                <w:rFonts w:hint="eastAsia" w:ascii="宋体" w:hAnsi="宋体"/>
                <w:color w:val="auto"/>
                <w:sz w:val="21"/>
                <w:szCs w:val="21"/>
                <w:highlight w:val="none"/>
              </w:rPr>
              <w:t>地面砖/内墙砖</w:t>
            </w:r>
          </w:p>
        </w:tc>
        <w:tc>
          <w:tcPr>
            <w:tcW w:w="3834" w:type="dxa"/>
            <w:vAlign w:val="center"/>
          </w:tcPr>
          <w:p w14:paraId="6F927B30">
            <w:pPr>
              <w:ind w:firstLine="10" w:firstLineChars="5"/>
              <w:rPr>
                <w:rFonts w:hint="eastAsia"/>
                <w:color w:val="auto"/>
                <w:highlight w:val="none"/>
              </w:rPr>
            </w:pPr>
            <w:r>
              <w:rPr>
                <w:rFonts w:hint="eastAsia" w:ascii="宋体" w:hAnsi="宋体"/>
                <w:color w:val="auto"/>
                <w:sz w:val="21"/>
                <w:szCs w:val="21"/>
                <w:highlight w:val="none"/>
              </w:rPr>
              <w:t>东鹏、金意陶、鹰牌、冠珠、新中源、马可波罗、环球、罗马利奥、建研晟创、绿美特、聚绿、世明丽</w:t>
            </w:r>
          </w:p>
        </w:tc>
        <w:tc>
          <w:tcPr>
            <w:tcW w:w="2001" w:type="dxa"/>
            <w:vAlign w:val="center"/>
          </w:tcPr>
          <w:p w14:paraId="618CDA45">
            <w:pPr>
              <w:ind w:firstLine="10" w:firstLineChars="5"/>
              <w:rPr>
                <w:rFonts w:hint="eastAsia"/>
                <w:color w:val="auto"/>
                <w:highlight w:val="none"/>
              </w:rPr>
            </w:pPr>
            <w:r>
              <w:rPr>
                <w:rFonts w:hint="eastAsia" w:ascii="宋体" w:hAnsi="宋体"/>
                <w:color w:val="auto"/>
                <w:sz w:val="21"/>
                <w:szCs w:val="21"/>
                <w:highlight w:val="none"/>
              </w:rPr>
              <w:t>　</w:t>
            </w:r>
          </w:p>
        </w:tc>
        <w:tc>
          <w:tcPr>
            <w:tcW w:w="1220" w:type="dxa"/>
            <w:vAlign w:val="center"/>
          </w:tcPr>
          <w:p w14:paraId="739E7064">
            <w:pPr>
              <w:ind w:firstLine="10" w:firstLineChars="5"/>
              <w:rPr>
                <w:rFonts w:hint="eastAsia"/>
                <w:color w:val="auto"/>
                <w:highlight w:val="none"/>
              </w:rPr>
            </w:pPr>
            <w:r>
              <w:rPr>
                <w:rFonts w:hint="eastAsia" w:ascii="宋体" w:hAnsi="宋体"/>
                <w:color w:val="auto"/>
                <w:sz w:val="21"/>
                <w:szCs w:val="21"/>
                <w:highlight w:val="none"/>
              </w:rPr>
              <w:t>　</w:t>
            </w:r>
          </w:p>
        </w:tc>
      </w:tr>
      <w:tr w14:paraId="2A45FE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8CFF17F">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2.2</w:t>
            </w:r>
          </w:p>
        </w:tc>
        <w:tc>
          <w:tcPr>
            <w:tcW w:w="1379" w:type="dxa"/>
            <w:vAlign w:val="center"/>
          </w:tcPr>
          <w:p w14:paraId="0C708E60">
            <w:pPr>
              <w:jc w:val="center"/>
              <w:rPr>
                <w:rFonts w:hint="eastAsia" w:ascii="宋体" w:hAnsi="宋体"/>
                <w:color w:val="auto"/>
                <w:sz w:val="21"/>
                <w:szCs w:val="21"/>
                <w:highlight w:val="none"/>
              </w:rPr>
            </w:pPr>
            <w:r>
              <w:rPr>
                <w:rFonts w:hint="eastAsia" w:ascii="宋体" w:hAnsi="宋体"/>
                <w:color w:val="auto"/>
                <w:sz w:val="21"/>
                <w:szCs w:val="21"/>
                <w:highlight w:val="none"/>
              </w:rPr>
              <w:t>外墙砖</w:t>
            </w:r>
          </w:p>
        </w:tc>
        <w:tc>
          <w:tcPr>
            <w:tcW w:w="3834" w:type="dxa"/>
            <w:vAlign w:val="center"/>
          </w:tcPr>
          <w:p w14:paraId="5512A84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东鹏、鹰牌、冠珠、白兔、环球、建研晟创、绿美特、聚绿、世明丽</w:t>
            </w:r>
          </w:p>
        </w:tc>
        <w:tc>
          <w:tcPr>
            <w:tcW w:w="2001" w:type="dxa"/>
            <w:vAlign w:val="center"/>
          </w:tcPr>
          <w:p w14:paraId="47CF915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0107FB7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2B60A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A3DCC40">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2.3</w:t>
            </w:r>
          </w:p>
        </w:tc>
        <w:tc>
          <w:tcPr>
            <w:tcW w:w="1379" w:type="dxa"/>
            <w:vAlign w:val="center"/>
          </w:tcPr>
          <w:p w14:paraId="0FD18AE2">
            <w:pPr>
              <w:jc w:val="center"/>
              <w:rPr>
                <w:rFonts w:hint="eastAsia" w:ascii="宋体" w:hAnsi="宋体"/>
                <w:color w:val="auto"/>
                <w:sz w:val="21"/>
                <w:szCs w:val="21"/>
                <w:highlight w:val="none"/>
              </w:rPr>
            </w:pPr>
            <w:r>
              <w:rPr>
                <w:rFonts w:hint="eastAsia" w:ascii="宋体" w:hAnsi="宋体"/>
                <w:color w:val="auto"/>
                <w:sz w:val="21"/>
                <w:szCs w:val="21"/>
                <w:highlight w:val="none"/>
              </w:rPr>
              <w:t>内墙乳胶漆/外墙漆</w:t>
            </w:r>
          </w:p>
        </w:tc>
        <w:tc>
          <w:tcPr>
            <w:tcW w:w="3834" w:type="dxa"/>
            <w:vAlign w:val="center"/>
          </w:tcPr>
          <w:p w14:paraId="74C9B0C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立邦、秀珀、澜诺、集泰、糯米图、三棵树、华润漆、多乐士、电视塔牌、优爱宝、洛迪科技</w:t>
            </w:r>
          </w:p>
        </w:tc>
        <w:tc>
          <w:tcPr>
            <w:tcW w:w="2001" w:type="dxa"/>
            <w:vAlign w:val="center"/>
          </w:tcPr>
          <w:p w14:paraId="7890AB3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6105823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68F9A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5CA9FA3">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2.4</w:t>
            </w:r>
          </w:p>
        </w:tc>
        <w:tc>
          <w:tcPr>
            <w:tcW w:w="1379" w:type="dxa"/>
            <w:vAlign w:val="center"/>
          </w:tcPr>
          <w:p w14:paraId="395AF393">
            <w:pPr>
              <w:jc w:val="center"/>
              <w:rPr>
                <w:rFonts w:hint="eastAsia" w:ascii="宋体" w:hAnsi="宋体"/>
                <w:color w:val="auto"/>
                <w:sz w:val="21"/>
                <w:szCs w:val="21"/>
                <w:highlight w:val="none"/>
              </w:rPr>
            </w:pPr>
            <w:r>
              <w:rPr>
                <w:rFonts w:hint="eastAsia" w:ascii="宋体" w:hAnsi="宋体"/>
                <w:color w:val="auto"/>
                <w:sz w:val="21"/>
                <w:szCs w:val="21"/>
                <w:highlight w:val="none"/>
              </w:rPr>
              <w:t>铝合金型材</w:t>
            </w:r>
          </w:p>
        </w:tc>
        <w:tc>
          <w:tcPr>
            <w:tcW w:w="3834" w:type="dxa"/>
            <w:vAlign w:val="center"/>
          </w:tcPr>
          <w:p w14:paraId="713F338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凤铝、广铝、大明铝材、粤亚、坚美铝材、高登铝材、豪美新材、前进牌</w:t>
            </w:r>
          </w:p>
        </w:tc>
        <w:tc>
          <w:tcPr>
            <w:tcW w:w="2001" w:type="dxa"/>
            <w:vAlign w:val="center"/>
          </w:tcPr>
          <w:p w14:paraId="20A9B0AB">
            <w:pPr>
              <w:ind w:firstLine="10" w:firstLineChars="5"/>
              <w:rPr>
                <w:rFonts w:hint="eastAsia" w:ascii="宋体" w:hAnsi="宋体"/>
                <w:color w:val="auto"/>
                <w:sz w:val="21"/>
                <w:szCs w:val="21"/>
                <w:highlight w:val="none"/>
              </w:rPr>
            </w:pPr>
          </w:p>
        </w:tc>
        <w:tc>
          <w:tcPr>
            <w:tcW w:w="1220" w:type="dxa"/>
            <w:vAlign w:val="center"/>
          </w:tcPr>
          <w:p w14:paraId="28EB611F">
            <w:pPr>
              <w:ind w:firstLine="10" w:firstLineChars="5"/>
              <w:rPr>
                <w:rFonts w:hint="eastAsia" w:ascii="宋体" w:hAnsi="宋体"/>
                <w:color w:val="auto"/>
                <w:sz w:val="21"/>
                <w:szCs w:val="21"/>
                <w:highlight w:val="none"/>
              </w:rPr>
            </w:pPr>
          </w:p>
        </w:tc>
      </w:tr>
      <w:tr w14:paraId="22B91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BFA8DEC">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2.5</w:t>
            </w:r>
          </w:p>
        </w:tc>
        <w:tc>
          <w:tcPr>
            <w:tcW w:w="1379" w:type="dxa"/>
            <w:vAlign w:val="center"/>
          </w:tcPr>
          <w:p w14:paraId="6623857A">
            <w:pPr>
              <w:jc w:val="center"/>
              <w:rPr>
                <w:rFonts w:hint="eastAsia" w:ascii="宋体" w:hAnsi="宋体"/>
                <w:color w:val="auto"/>
                <w:sz w:val="21"/>
                <w:szCs w:val="21"/>
                <w:highlight w:val="none"/>
              </w:rPr>
            </w:pPr>
            <w:r>
              <w:rPr>
                <w:rFonts w:hint="eastAsia" w:ascii="宋体" w:hAnsi="宋体"/>
                <w:color w:val="auto"/>
                <w:sz w:val="21"/>
                <w:szCs w:val="21"/>
                <w:highlight w:val="none"/>
              </w:rPr>
              <w:t>门窗五金</w:t>
            </w:r>
          </w:p>
        </w:tc>
        <w:tc>
          <w:tcPr>
            <w:tcW w:w="3834" w:type="dxa"/>
            <w:vAlign w:val="center"/>
          </w:tcPr>
          <w:p w14:paraId="7BC484F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坚稳、坚朗、雄进、力睿、汇禧</w:t>
            </w:r>
          </w:p>
        </w:tc>
        <w:tc>
          <w:tcPr>
            <w:tcW w:w="2001" w:type="dxa"/>
            <w:vAlign w:val="center"/>
          </w:tcPr>
          <w:p w14:paraId="3D2EDECA">
            <w:pPr>
              <w:ind w:firstLine="10" w:firstLineChars="5"/>
              <w:rPr>
                <w:rFonts w:hint="eastAsia" w:ascii="宋体" w:hAnsi="宋体"/>
                <w:color w:val="auto"/>
                <w:sz w:val="21"/>
                <w:szCs w:val="21"/>
                <w:highlight w:val="none"/>
              </w:rPr>
            </w:pPr>
          </w:p>
        </w:tc>
        <w:tc>
          <w:tcPr>
            <w:tcW w:w="1220" w:type="dxa"/>
            <w:vAlign w:val="center"/>
          </w:tcPr>
          <w:p w14:paraId="4A25AF0B">
            <w:pPr>
              <w:ind w:firstLine="10" w:firstLineChars="5"/>
              <w:rPr>
                <w:rFonts w:hint="eastAsia" w:ascii="宋体" w:hAnsi="宋体"/>
                <w:color w:val="auto"/>
                <w:sz w:val="21"/>
                <w:szCs w:val="21"/>
                <w:highlight w:val="none"/>
              </w:rPr>
            </w:pPr>
          </w:p>
        </w:tc>
      </w:tr>
      <w:tr w14:paraId="0A460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7" w:hRule="atLeast"/>
        </w:trPr>
        <w:tc>
          <w:tcPr>
            <w:tcW w:w="814" w:type="dxa"/>
            <w:vAlign w:val="center"/>
          </w:tcPr>
          <w:p w14:paraId="31340BFE">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2.6</w:t>
            </w:r>
          </w:p>
        </w:tc>
        <w:tc>
          <w:tcPr>
            <w:tcW w:w="1379" w:type="dxa"/>
            <w:vAlign w:val="center"/>
          </w:tcPr>
          <w:p w14:paraId="34BCE1B2">
            <w:pPr>
              <w:jc w:val="center"/>
              <w:rPr>
                <w:rFonts w:hint="eastAsia" w:ascii="宋体" w:hAnsi="宋体"/>
                <w:color w:val="auto"/>
                <w:sz w:val="21"/>
                <w:szCs w:val="21"/>
                <w:highlight w:val="none"/>
              </w:rPr>
            </w:pPr>
            <w:r>
              <w:rPr>
                <w:rFonts w:hint="eastAsia" w:ascii="宋体" w:hAnsi="宋体"/>
                <w:color w:val="auto"/>
                <w:sz w:val="21"/>
                <w:szCs w:val="21"/>
                <w:highlight w:val="none"/>
              </w:rPr>
              <w:t>玻璃</w:t>
            </w:r>
          </w:p>
        </w:tc>
        <w:tc>
          <w:tcPr>
            <w:tcW w:w="3834" w:type="dxa"/>
            <w:vAlign w:val="center"/>
          </w:tcPr>
          <w:p w14:paraId="4D2B3C0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信義、东莞南玻、佛山市新兴业、真格、深圳市燎原玻璃</w:t>
            </w:r>
          </w:p>
        </w:tc>
        <w:tc>
          <w:tcPr>
            <w:tcW w:w="2001" w:type="dxa"/>
            <w:vAlign w:val="center"/>
          </w:tcPr>
          <w:p w14:paraId="0EAA0A7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2C606D1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39086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A9B311E">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2.7</w:t>
            </w:r>
          </w:p>
        </w:tc>
        <w:tc>
          <w:tcPr>
            <w:tcW w:w="1379" w:type="dxa"/>
            <w:vAlign w:val="center"/>
          </w:tcPr>
          <w:p w14:paraId="6EB80CC9">
            <w:pPr>
              <w:jc w:val="center"/>
              <w:rPr>
                <w:rFonts w:hint="eastAsia"/>
                <w:color w:val="auto"/>
                <w:highlight w:val="none"/>
              </w:rPr>
            </w:pPr>
            <w:r>
              <w:rPr>
                <w:rFonts w:hint="eastAsia" w:ascii="宋体" w:hAnsi="宋体"/>
                <w:color w:val="auto"/>
                <w:sz w:val="21"/>
                <w:szCs w:val="21"/>
                <w:highlight w:val="none"/>
              </w:rPr>
              <w:t>铝扣板</w:t>
            </w:r>
          </w:p>
        </w:tc>
        <w:tc>
          <w:tcPr>
            <w:tcW w:w="3834" w:type="dxa"/>
            <w:vAlign w:val="center"/>
          </w:tcPr>
          <w:p w14:paraId="25CF6066">
            <w:pPr>
              <w:ind w:firstLine="10" w:firstLineChars="5"/>
              <w:rPr>
                <w:rFonts w:hint="eastAsia"/>
                <w:color w:val="auto"/>
                <w:highlight w:val="none"/>
              </w:rPr>
            </w:pPr>
            <w:r>
              <w:rPr>
                <w:rFonts w:hint="eastAsia" w:ascii="宋体" w:hAnsi="宋体"/>
                <w:color w:val="auto"/>
                <w:sz w:val="21"/>
                <w:szCs w:val="21"/>
                <w:highlight w:val="none"/>
              </w:rPr>
              <w:t>广丰、金霸、欧斯龙、高登、欧德高、太铝</w:t>
            </w:r>
          </w:p>
        </w:tc>
        <w:tc>
          <w:tcPr>
            <w:tcW w:w="2001" w:type="dxa"/>
            <w:vAlign w:val="center"/>
          </w:tcPr>
          <w:p w14:paraId="1FB1F9C1">
            <w:pPr>
              <w:ind w:firstLine="10" w:firstLineChars="5"/>
              <w:rPr>
                <w:rFonts w:hint="eastAsia"/>
                <w:color w:val="auto"/>
                <w:highlight w:val="none"/>
              </w:rPr>
            </w:pPr>
            <w:r>
              <w:rPr>
                <w:rFonts w:hint="eastAsia" w:ascii="宋体" w:hAnsi="宋体"/>
                <w:color w:val="auto"/>
                <w:sz w:val="21"/>
                <w:szCs w:val="21"/>
                <w:highlight w:val="none"/>
              </w:rPr>
              <w:t>　</w:t>
            </w:r>
          </w:p>
        </w:tc>
        <w:tc>
          <w:tcPr>
            <w:tcW w:w="1220" w:type="dxa"/>
            <w:vAlign w:val="center"/>
          </w:tcPr>
          <w:p w14:paraId="09C72CA5">
            <w:pPr>
              <w:ind w:firstLine="10" w:firstLineChars="5"/>
              <w:rPr>
                <w:rFonts w:hint="eastAsia"/>
                <w:color w:val="auto"/>
                <w:highlight w:val="none"/>
              </w:rPr>
            </w:pPr>
            <w:r>
              <w:rPr>
                <w:rFonts w:hint="eastAsia" w:ascii="宋体" w:hAnsi="宋体"/>
                <w:color w:val="auto"/>
                <w:sz w:val="21"/>
                <w:szCs w:val="21"/>
                <w:highlight w:val="none"/>
              </w:rPr>
              <w:t>　</w:t>
            </w:r>
          </w:p>
        </w:tc>
      </w:tr>
      <w:tr w14:paraId="3E4C2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134AF957">
            <w:pPr>
              <w:ind w:firstLine="372" w:firstLineChars="177"/>
              <w:rPr>
                <w:rFonts w:hint="eastAsia" w:ascii="宋体" w:hAnsi="宋体"/>
                <w:b/>
                <w:color w:val="auto"/>
                <w:sz w:val="21"/>
                <w:szCs w:val="21"/>
                <w:highlight w:val="none"/>
              </w:rPr>
            </w:pPr>
            <w:r>
              <w:rPr>
                <w:rFonts w:hint="eastAsia" w:ascii="宋体" w:hAnsi="宋体"/>
                <w:b/>
                <w:color w:val="auto"/>
                <w:sz w:val="21"/>
                <w:szCs w:val="21"/>
                <w:highlight w:val="none"/>
              </w:rPr>
              <w:t>二、机电安装工程</w:t>
            </w:r>
          </w:p>
        </w:tc>
      </w:tr>
      <w:tr w14:paraId="3BA4C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0B32EC6D">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 xml:space="preserve">3、室内给排水系统 </w:t>
            </w:r>
          </w:p>
        </w:tc>
      </w:tr>
      <w:tr w14:paraId="2B4FC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C76AC93">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3.1</w:t>
            </w:r>
          </w:p>
        </w:tc>
        <w:tc>
          <w:tcPr>
            <w:tcW w:w="1379" w:type="dxa"/>
            <w:vAlign w:val="center"/>
          </w:tcPr>
          <w:p w14:paraId="2FC74B1C">
            <w:pPr>
              <w:jc w:val="center"/>
              <w:rPr>
                <w:rFonts w:hint="eastAsia" w:ascii="宋体" w:hAnsi="宋体"/>
                <w:color w:val="auto"/>
                <w:sz w:val="21"/>
                <w:szCs w:val="21"/>
                <w:highlight w:val="none"/>
              </w:rPr>
            </w:pPr>
            <w:r>
              <w:rPr>
                <w:rFonts w:hint="eastAsia" w:ascii="宋体" w:hAnsi="宋体"/>
                <w:color w:val="auto"/>
                <w:sz w:val="21"/>
                <w:szCs w:val="21"/>
                <w:highlight w:val="none"/>
              </w:rPr>
              <w:t>内涂塑镀锌钢管</w:t>
            </w:r>
          </w:p>
        </w:tc>
        <w:tc>
          <w:tcPr>
            <w:tcW w:w="3834" w:type="dxa"/>
            <w:vAlign w:val="center"/>
          </w:tcPr>
          <w:p w14:paraId="0B99447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华粤、穗生、华岐、珠江、华捷</w:t>
            </w:r>
          </w:p>
        </w:tc>
        <w:tc>
          <w:tcPr>
            <w:tcW w:w="2001" w:type="dxa"/>
            <w:vAlign w:val="center"/>
          </w:tcPr>
          <w:p w14:paraId="11E56F0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CJ/T120-2008《给水涂塑复合钢管》</w:t>
            </w:r>
          </w:p>
        </w:tc>
        <w:tc>
          <w:tcPr>
            <w:tcW w:w="1220" w:type="dxa"/>
            <w:vAlign w:val="center"/>
          </w:tcPr>
          <w:p w14:paraId="29E0ACB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53303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EDF900C">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3.2</w:t>
            </w:r>
          </w:p>
        </w:tc>
        <w:tc>
          <w:tcPr>
            <w:tcW w:w="1379" w:type="dxa"/>
            <w:vAlign w:val="center"/>
          </w:tcPr>
          <w:p w14:paraId="51A5DDEC">
            <w:pPr>
              <w:jc w:val="center"/>
              <w:rPr>
                <w:rFonts w:hint="eastAsia" w:ascii="宋体" w:hAnsi="宋体"/>
                <w:color w:val="auto"/>
                <w:sz w:val="21"/>
                <w:szCs w:val="21"/>
                <w:highlight w:val="none"/>
              </w:rPr>
            </w:pPr>
            <w:r>
              <w:rPr>
                <w:rFonts w:hint="eastAsia" w:ascii="宋体" w:hAnsi="宋体"/>
                <w:color w:val="auto"/>
                <w:sz w:val="21"/>
                <w:szCs w:val="21"/>
                <w:highlight w:val="none"/>
              </w:rPr>
              <w:t>变频调速供水设备</w:t>
            </w:r>
          </w:p>
        </w:tc>
        <w:tc>
          <w:tcPr>
            <w:tcW w:w="3834" w:type="dxa"/>
            <w:vAlign w:val="center"/>
          </w:tcPr>
          <w:p w14:paraId="633F7E1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广州昌宁、白云、广一、肯富来、上海凯泉</w:t>
            </w:r>
          </w:p>
        </w:tc>
        <w:tc>
          <w:tcPr>
            <w:tcW w:w="2001" w:type="dxa"/>
            <w:vAlign w:val="center"/>
          </w:tcPr>
          <w:p w14:paraId="15D57D5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3A3660E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3E04E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D0BA887">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3.3</w:t>
            </w:r>
          </w:p>
        </w:tc>
        <w:tc>
          <w:tcPr>
            <w:tcW w:w="1379" w:type="dxa"/>
            <w:vAlign w:val="center"/>
          </w:tcPr>
          <w:p w14:paraId="434D512F">
            <w:pPr>
              <w:ind w:left="-1" w:leftChars="-49" w:right="-77" w:rightChars="-35" w:hanging="107" w:hangingChars="51"/>
              <w:jc w:val="center"/>
              <w:rPr>
                <w:rFonts w:hint="eastAsia" w:ascii="宋体" w:hAnsi="宋体"/>
                <w:color w:val="auto"/>
                <w:sz w:val="21"/>
                <w:szCs w:val="21"/>
                <w:highlight w:val="none"/>
              </w:rPr>
            </w:pPr>
            <w:r>
              <w:rPr>
                <w:rFonts w:hint="eastAsia" w:ascii="宋体" w:hAnsi="宋体"/>
                <w:color w:val="auto"/>
                <w:sz w:val="21"/>
                <w:szCs w:val="21"/>
                <w:highlight w:val="none"/>
              </w:rPr>
              <w:t>阀门（闸阀、止回阀、截止阀、泄压阀、冲洗阀等）</w:t>
            </w:r>
          </w:p>
        </w:tc>
        <w:tc>
          <w:tcPr>
            <w:tcW w:w="3834" w:type="dxa"/>
            <w:vAlign w:val="center"/>
          </w:tcPr>
          <w:p w14:paraId="0830419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良精、正丰、上海冠龙、广泉、越海、天津百利展发、佳福斯、中核苏阀、三明高中压阀门</w:t>
            </w:r>
          </w:p>
          <w:p w14:paraId="3E50ABE0">
            <w:pPr>
              <w:ind w:firstLine="10" w:firstLineChars="5"/>
              <w:rPr>
                <w:rFonts w:hint="eastAsia" w:ascii="宋体" w:hAnsi="宋体"/>
                <w:color w:val="auto"/>
                <w:sz w:val="21"/>
                <w:szCs w:val="21"/>
                <w:highlight w:val="none"/>
              </w:rPr>
            </w:pPr>
          </w:p>
        </w:tc>
        <w:tc>
          <w:tcPr>
            <w:tcW w:w="2001" w:type="dxa"/>
            <w:vAlign w:val="center"/>
          </w:tcPr>
          <w:p w14:paraId="37DE737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6BFF58F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5418E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5E36A91B">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3.4</w:t>
            </w:r>
          </w:p>
        </w:tc>
        <w:tc>
          <w:tcPr>
            <w:tcW w:w="1379" w:type="dxa"/>
            <w:vMerge w:val="restart"/>
            <w:vAlign w:val="center"/>
          </w:tcPr>
          <w:p w14:paraId="7202664B">
            <w:pPr>
              <w:jc w:val="center"/>
              <w:rPr>
                <w:rFonts w:hint="eastAsia" w:ascii="宋体" w:hAnsi="宋体"/>
                <w:color w:val="auto"/>
                <w:sz w:val="21"/>
                <w:szCs w:val="21"/>
                <w:highlight w:val="none"/>
              </w:rPr>
            </w:pPr>
            <w:r>
              <w:rPr>
                <w:rFonts w:hint="eastAsia" w:ascii="宋体" w:hAnsi="宋体"/>
                <w:color w:val="auto"/>
                <w:sz w:val="21"/>
                <w:szCs w:val="21"/>
                <w:highlight w:val="none"/>
              </w:rPr>
              <w:t>卡箍</w:t>
            </w:r>
          </w:p>
        </w:tc>
        <w:tc>
          <w:tcPr>
            <w:tcW w:w="3834" w:type="dxa"/>
            <w:vAlign w:val="center"/>
          </w:tcPr>
          <w:p w14:paraId="611B444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广东永泉阀门科技有限公司</w:t>
            </w:r>
          </w:p>
        </w:tc>
        <w:tc>
          <w:tcPr>
            <w:tcW w:w="2001" w:type="dxa"/>
            <w:vMerge w:val="restart"/>
            <w:vAlign w:val="center"/>
          </w:tcPr>
          <w:p w14:paraId="6E1658F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Merge w:val="restart"/>
            <w:vAlign w:val="center"/>
          </w:tcPr>
          <w:p w14:paraId="6A5EDB8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58892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9D9791B">
            <w:pPr>
              <w:ind w:firstLine="35" w:firstLineChars="17"/>
              <w:jc w:val="center"/>
              <w:rPr>
                <w:rFonts w:hint="eastAsia" w:ascii="宋体" w:hAnsi="宋体"/>
                <w:color w:val="auto"/>
                <w:sz w:val="21"/>
                <w:szCs w:val="21"/>
                <w:highlight w:val="none"/>
              </w:rPr>
            </w:pPr>
          </w:p>
        </w:tc>
        <w:tc>
          <w:tcPr>
            <w:tcW w:w="1379" w:type="dxa"/>
            <w:vMerge w:val="continue"/>
            <w:vAlign w:val="center"/>
          </w:tcPr>
          <w:p w14:paraId="0707D69B">
            <w:pPr>
              <w:jc w:val="center"/>
              <w:rPr>
                <w:rFonts w:hint="eastAsia" w:ascii="宋体" w:hAnsi="宋体"/>
                <w:color w:val="auto"/>
                <w:sz w:val="21"/>
                <w:szCs w:val="21"/>
                <w:highlight w:val="none"/>
              </w:rPr>
            </w:pPr>
          </w:p>
        </w:tc>
        <w:tc>
          <w:tcPr>
            <w:tcW w:w="3834" w:type="dxa"/>
            <w:vAlign w:val="center"/>
          </w:tcPr>
          <w:p w14:paraId="52C0AAF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上海威逊机械连接件有限公司</w:t>
            </w:r>
          </w:p>
        </w:tc>
        <w:tc>
          <w:tcPr>
            <w:tcW w:w="2001" w:type="dxa"/>
            <w:vMerge w:val="continue"/>
            <w:vAlign w:val="center"/>
          </w:tcPr>
          <w:p w14:paraId="446B711D">
            <w:pPr>
              <w:ind w:firstLine="10" w:firstLineChars="5"/>
              <w:rPr>
                <w:rFonts w:hint="eastAsia" w:ascii="宋体" w:hAnsi="宋体"/>
                <w:color w:val="auto"/>
                <w:sz w:val="21"/>
                <w:szCs w:val="21"/>
                <w:highlight w:val="none"/>
              </w:rPr>
            </w:pPr>
          </w:p>
        </w:tc>
        <w:tc>
          <w:tcPr>
            <w:tcW w:w="1220" w:type="dxa"/>
            <w:vMerge w:val="continue"/>
            <w:vAlign w:val="center"/>
          </w:tcPr>
          <w:p w14:paraId="68DF45E4">
            <w:pPr>
              <w:ind w:firstLine="10" w:firstLineChars="5"/>
              <w:rPr>
                <w:rFonts w:hint="eastAsia" w:ascii="宋体" w:hAnsi="宋体"/>
                <w:color w:val="auto"/>
                <w:sz w:val="21"/>
                <w:szCs w:val="21"/>
                <w:highlight w:val="none"/>
              </w:rPr>
            </w:pPr>
          </w:p>
        </w:tc>
      </w:tr>
      <w:tr w14:paraId="6B25A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1752BBD">
            <w:pPr>
              <w:ind w:firstLine="35" w:firstLineChars="17"/>
              <w:jc w:val="center"/>
              <w:rPr>
                <w:rFonts w:hint="eastAsia" w:ascii="宋体" w:hAnsi="宋体"/>
                <w:color w:val="auto"/>
                <w:sz w:val="21"/>
                <w:szCs w:val="21"/>
                <w:highlight w:val="none"/>
              </w:rPr>
            </w:pPr>
          </w:p>
        </w:tc>
        <w:tc>
          <w:tcPr>
            <w:tcW w:w="1379" w:type="dxa"/>
            <w:vMerge w:val="continue"/>
            <w:vAlign w:val="center"/>
          </w:tcPr>
          <w:p w14:paraId="271BBA1E">
            <w:pPr>
              <w:jc w:val="center"/>
              <w:rPr>
                <w:rFonts w:hint="eastAsia" w:ascii="宋体" w:hAnsi="宋体"/>
                <w:color w:val="auto"/>
                <w:sz w:val="21"/>
                <w:szCs w:val="21"/>
                <w:highlight w:val="none"/>
              </w:rPr>
            </w:pPr>
          </w:p>
        </w:tc>
        <w:tc>
          <w:tcPr>
            <w:tcW w:w="3834" w:type="dxa"/>
            <w:vAlign w:val="center"/>
          </w:tcPr>
          <w:p w14:paraId="6DBFDD2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唯特利管道设备（大连）有限公司</w:t>
            </w:r>
          </w:p>
        </w:tc>
        <w:tc>
          <w:tcPr>
            <w:tcW w:w="2001" w:type="dxa"/>
            <w:vMerge w:val="continue"/>
            <w:vAlign w:val="center"/>
          </w:tcPr>
          <w:p w14:paraId="7494DDBD">
            <w:pPr>
              <w:ind w:firstLine="10" w:firstLineChars="5"/>
              <w:rPr>
                <w:rFonts w:hint="eastAsia" w:ascii="宋体" w:hAnsi="宋体"/>
                <w:color w:val="auto"/>
                <w:sz w:val="21"/>
                <w:szCs w:val="21"/>
                <w:highlight w:val="none"/>
              </w:rPr>
            </w:pPr>
          </w:p>
        </w:tc>
        <w:tc>
          <w:tcPr>
            <w:tcW w:w="1220" w:type="dxa"/>
            <w:vMerge w:val="continue"/>
            <w:vAlign w:val="center"/>
          </w:tcPr>
          <w:p w14:paraId="0E0B8623">
            <w:pPr>
              <w:ind w:firstLine="10" w:firstLineChars="5"/>
              <w:rPr>
                <w:rFonts w:hint="eastAsia" w:ascii="宋体" w:hAnsi="宋体"/>
                <w:color w:val="auto"/>
                <w:sz w:val="21"/>
                <w:szCs w:val="21"/>
                <w:highlight w:val="none"/>
              </w:rPr>
            </w:pPr>
          </w:p>
        </w:tc>
      </w:tr>
      <w:tr w14:paraId="5CD00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E2601F9">
            <w:pPr>
              <w:ind w:firstLine="35" w:firstLineChars="17"/>
              <w:jc w:val="center"/>
              <w:rPr>
                <w:rFonts w:hint="eastAsia" w:ascii="宋体" w:hAnsi="宋体"/>
                <w:color w:val="auto"/>
                <w:sz w:val="21"/>
                <w:szCs w:val="21"/>
                <w:highlight w:val="none"/>
              </w:rPr>
            </w:pPr>
          </w:p>
        </w:tc>
        <w:tc>
          <w:tcPr>
            <w:tcW w:w="1379" w:type="dxa"/>
            <w:vMerge w:val="continue"/>
            <w:vAlign w:val="center"/>
          </w:tcPr>
          <w:p w14:paraId="33267E02">
            <w:pPr>
              <w:jc w:val="center"/>
              <w:rPr>
                <w:rFonts w:hint="eastAsia" w:ascii="宋体" w:hAnsi="宋体"/>
                <w:color w:val="auto"/>
                <w:sz w:val="21"/>
                <w:szCs w:val="21"/>
                <w:highlight w:val="none"/>
              </w:rPr>
            </w:pPr>
          </w:p>
        </w:tc>
        <w:tc>
          <w:tcPr>
            <w:tcW w:w="3834" w:type="dxa"/>
            <w:vAlign w:val="center"/>
          </w:tcPr>
          <w:p w14:paraId="66BCD05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青岛威龙卡特管道系统有限公司</w:t>
            </w:r>
          </w:p>
        </w:tc>
        <w:tc>
          <w:tcPr>
            <w:tcW w:w="2001" w:type="dxa"/>
            <w:vMerge w:val="continue"/>
            <w:vAlign w:val="center"/>
          </w:tcPr>
          <w:p w14:paraId="7490991A">
            <w:pPr>
              <w:ind w:firstLine="10" w:firstLineChars="5"/>
              <w:rPr>
                <w:rFonts w:hint="eastAsia" w:ascii="宋体" w:hAnsi="宋体"/>
                <w:color w:val="auto"/>
                <w:sz w:val="21"/>
                <w:szCs w:val="21"/>
                <w:highlight w:val="none"/>
              </w:rPr>
            </w:pPr>
          </w:p>
        </w:tc>
        <w:tc>
          <w:tcPr>
            <w:tcW w:w="1220" w:type="dxa"/>
            <w:vMerge w:val="continue"/>
            <w:vAlign w:val="center"/>
          </w:tcPr>
          <w:p w14:paraId="6A4E66F0">
            <w:pPr>
              <w:ind w:firstLine="10" w:firstLineChars="5"/>
              <w:rPr>
                <w:rFonts w:hint="eastAsia" w:ascii="宋体" w:hAnsi="宋体"/>
                <w:color w:val="auto"/>
                <w:sz w:val="21"/>
                <w:szCs w:val="21"/>
                <w:highlight w:val="none"/>
              </w:rPr>
            </w:pPr>
          </w:p>
        </w:tc>
      </w:tr>
      <w:tr w14:paraId="161ED0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3829DF7">
            <w:pPr>
              <w:ind w:firstLine="35" w:firstLineChars="17"/>
              <w:jc w:val="center"/>
              <w:rPr>
                <w:rFonts w:hint="eastAsia" w:ascii="宋体" w:hAnsi="宋体"/>
                <w:color w:val="auto"/>
                <w:sz w:val="21"/>
                <w:szCs w:val="21"/>
                <w:highlight w:val="none"/>
              </w:rPr>
            </w:pPr>
          </w:p>
        </w:tc>
        <w:tc>
          <w:tcPr>
            <w:tcW w:w="1379" w:type="dxa"/>
            <w:vMerge w:val="continue"/>
            <w:vAlign w:val="center"/>
          </w:tcPr>
          <w:p w14:paraId="34F2EB84">
            <w:pPr>
              <w:jc w:val="center"/>
              <w:rPr>
                <w:rFonts w:hint="eastAsia" w:ascii="宋体" w:hAnsi="宋体"/>
                <w:color w:val="auto"/>
                <w:sz w:val="21"/>
                <w:szCs w:val="21"/>
                <w:highlight w:val="none"/>
              </w:rPr>
            </w:pPr>
          </w:p>
        </w:tc>
        <w:tc>
          <w:tcPr>
            <w:tcW w:w="3834" w:type="dxa"/>
            <w:vAlign w:val="center"/>
          </w:tcPr>
          <w:p w14:paraId="6641F82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广州越海流体科技有限公司</w:t>
            </w:r>
          </w:p>
        </w:tc>
        <w:tc>
          <w:tcPr>
            <w:tcW w:w="2001" w:type="dxa"/>
            <w:vMerge w:val="continue"/>
            <w:vAlign w:val="center"/>
          </w:tcPr>
          <w:p w14:paraId="0BDAAC4B">
            <w:pPr>
              <w:ind w:firstLine="10" w:firstLineChars="5"/>
              <w:rPr>
                <w:rFonts w:hint="eastAsia" w:ascii="宋体" w:hAnsi="宋体"/>
                <w:color w:val="auto"/>
                <w:sz w:val="21"/>
                <w:szCs w:val="21"/>
                <w:highlight w:val="none"/>
              </w:rPr>
            </w:pPr>
          </w:p>
        </w:tc>
        <w:tc>
          <w:tcPr>
            <w:tcW w:w="1220" w:type="dxa"/>
            <w:vMerge w:val="continue"/>
            <w:vAlign w:val="center"/>
          </w:tcPr>
          <w:p w14:paraId="5F1079D5">
            <w:pPr>
              <w:ind w:firstLine="10" w:firstLineChars="5"/>
              <w:rPr>
                <w:rFonts w:hint="eastAsia" w:ascii="宋体" w:hAnsi="宋体"/>
                <w:color w:val="auto"/>
                <w:sz w:val="21"/>
                <w:szCs w:val="21"/>
                <w:highlight w:val="none"/>
              </w:rPr>
            </w:pPr>
          </w:p>
        </w:tc>
      </w:tr>
      <w:tr w14:paraId="050D6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727E1FF">
            <w:pPr>
              <w:ind w:firstLine="35" w:firstLineChars="17"/>
              <w:jc w:val="center"/>
              <w:rPr>
                <w:rFonts w:hint="eastAsia" w:ascii="宋体" w:hAnsi="宋体"/>
                <w:color w:val="auto"/>
                <w:sz w:val="21"/>
                <w:szCs w:val="21"/>
                <w:highlight w:val="none"/>
              </w:rPr>
            </w:pPr>
          </w:p>
        </w:tc>
        <w:tc>
          <w:tcPr>
            <w:tcW w:w="1379" w:type="dxa"/>
            <w:vMerge w:val="continue"/>
            <w:vAlign w:val="center"/>
          </w:tcPr>
          <w:p w14:paraId="1015B6B3">
            <w:pPr>
              <w:jc w:val="center"/>
              <w:rPr>
                <w:rFonts w:hint="eastAsia" w:ascii="宋体" w:hAnsi="宋体"/>
                <w:color w:val="auto"/>
                <w:sz w:val="21"/>
                <w:szCs w:val="21"/>
                <w:highlight w:val="none"/>
              </w:rPr>
            </w:pPr>
          </w:p>
        </w:tc>
        <w:tc>
          <w:tcPr>
            <w:tcW w:w="3834" w:type="dxa"/>
            <w:vAlign w:val="center"/>
          </w:tcPr>
          <w:p w14:paraId="2C0EBA4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潍坊大海绿兵船机械集团有限公司</w:t>
            </w:r>
          </w:p>
        </w:tc>
        <w:tc>
          <w:tcPr>
            <w:tcW w:w="2001" w:type="dxa"/>
            <w:vMerge w:val="continue"/>
            <w:vAlign w:val="center"/>
          </w:tcPr>
          <w:p w14:paraId="4C0E34E7">
            <w:pPr>
              <w:ind w:firstLine="10" w:firstLineChars="5"/>
              <w:rPr>
                <w:rFonts w:hint="eastAsia" w:ascii="宋体" w:hAnsi="宋体"/>
                <w:color w:val="auto"/>
                <w:sz w:val="21"/>
                <w:szCs w:val="21"/>
                <w:highlight w:val="none"/>
              </w:rPr>
            </w:pPr>
          </w:p>
        </w:tc>
        <w:tc>
          <w:tcPr>
            <w:tcW w:w="1220" w:type="dxa"/>
            <w:vMerge w:val="continue"/>
            <w:vAlign w:val="center"/>
          </w:tcPr>
          <w:p w14:paraId="58105157">
            <w:pPr>
              <w:ind w:firstLine="10" w:firstLineChars="5"/>
              <w:rPr>
                <w:rFonts w:hint="eastAsia" w:ascii="宋体" w:hAnsi="宋体"/>
                <w:color w:val="auto"/>
                <w:sz w:val="21"/>
                <w:szCs w:val="21"/>
                <w:highlight w:val="none"/>
              </w:rPr>
            </w:pPr>
          </w:p>
        </w:tc>
      </w:tr>
      <w:tr w14:paraId="5461F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DED5364">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3.5</w:t>
            </w:r>
          </w:p>
        </w:tc>
        <w:tc>
          <w:tcPr>
            <w:tcW w:w="1379" w:type="dxa"/>
            <w:vAlign w:val="center"/>
          </w:tcPr>
          <w:p w14:paraId="44A50A34">
            <w:pPr>
              <w:jc w:val="center"/>
              <w:rPr>
                <w:rFonts w:hint="eastAsia" w:ascii="宋体" w:hAnsi="宋体"/>
                <w:color w:val="auto"/>
                <w:sz w:val="21"/>
                <w:szCs w:val="21"/>
                <w:highlight w:val="none"/>
              </w:rPr>
            </w:pPr>
            <w:r>
              <w:rPr>
                <w:rFonts w:hint="eastAsia" w:ascii="宋体" w:hAnsi="宋体"/>
                <w:color w:val="auto"/>
                <w:sz w:val="21"/>
                <w:szCs w:val="21"/>
                <w:highlight w:val="none"/>
              </w:rPr>
              <w:t>卫生洁具及水暖配件</w:t>
            </w:r>
          </w:p>
        </w:tc>
        <w:tc>
          <w:tcPr>
            <w:tcW w:w="3834" w:type="dxa"/>
            <w:vAlign w:val="center"/>
          </w:tcPr>
          <w:p w14:paraId="0A8555D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欧派、冠珠、恒洁、东鹏、鹰卫浴（YING）</w:t>
            </w:r>
          </w:p>
        </w:tc>
        <w:tc>
          <w:tcPr>
            <w:tcW w:w="2001" w:type="dxa"/>
            <w:vAlign w:val="center"/>
          </w:tcPr>
          <w:p w14:paraId="383BEB7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6DC5B29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08B5C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E623B0D">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3.6</w:t>
            </w:r>
          </w:p>
        </w:tc>
        <w:tc>
          <w:tcPr>
            <w:tcW w:w="1379" w:type="dxa"/>
            <w:vAlign w:val="center"/>
          </w:tcPr>
          <w:p w14:paraId="29804EF8">
            <w:pPr>
              <w:jc w:val="center"/>
              <w:rPr>
                <w:rFonts w:hint="eastAsia" w:ascii="宋体" w:hAnsi="宋体"/>
                <w:color w:val="auto"/>
                <w:sz w:val="21"/>
                <w:szCs w:val="21"/>
                <w:highlight w:val="none"/>
              </w:rPr>
            </w:pPr>
            <w:r>
              <w:rPr>
                <w:rFonts w:hint="eastAsia" w:ascii="宋体" w:hAnsi="宋体"/>
                <w:color w:val="auto"/>
                <w:sz w:val="21"/>
                <w:szCs w:val="21"/>
                <w:highlight w:val="none"/>
              </w:rPr>
              <w:t>不锈钢水箱</w:t>
            </w:r>
          </w:p>
        </w:tc>
        <w:tc>
          <w:tcPr>
            <w:tcW w:w="3834" w:type="dxa"/>
            <w:vAlign w:val="center"/>
          </w:tcPr>
          <w:p w14:paraId="3A62537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捷淼、广州昌宁、白云、恒德、聚源</w:t>
            </w:r>
          </w:p>
        </w:tc>
        <w:tc>
          <w:tcPr>
            <w:tcW w:w="2001" w:type="dxa"/>
            <w:vAlign w:val="center"/>
          </w:tcPr>
          <w:p w14:paraId="6929C29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021C09E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320A0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0268A17">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3.7</w:t>
            </w:r>
          </w:p>
        </w:tc>
        <w:tc>
          <w:tcPr>
            <w:tcW w:w="1379" w:type="dxa"/>
            <w:vAlign w:val="center"/>
          </w:tcPr>
          <w:p w14:paraId="218C584F">
            <w:pPr>
              <w:jc w:val="center"/>
              <w:rPr>
                <w:rFonts w:hint="eastAsia"/>
                <w:color w:val="auto"/>
                <w:highlight w:val="none"/>
              </w:rPr>
            </w:pPr>
            <w:r>
              <w:rPr>
                <w:rFonts w:hint="eastAsia" w:ascii="宋体" w:hAnsi="宋体"/>
                <w:color w:val="auto"/>
                <w:sz w:val="21"/>
                <w:szCs w:val="21"/>
                <w:highlight w:val="none"/>
              </w:rPr>
              <w:t>塑料类管材及配件</w:t>
            </w:r>
          </w:p>
        </w:tc>
        <w:tc>
          <w:tcPr>
            <w:tcW w:w="3834" w:type="dxa"/>
            <w:vAlign w:val="center"/>
          </w:tcPr>
          <w:p w14:paraId="20248F97">
            <w:pPr>
              <w:ind w:firstLine="10" w:firstLineChars="5"/>
              <w:rPr>
                <w:rFonts w:hint="eastAsia"/>
                <w:color w:val="auto"/>
                <w:highlight w:val="none"/>
              </w:rPr>
            </w:pPr>
            <w:r>
              <w:rPr>
                <w:rFonts w:hint="eastAsia" w:ascii="宋体" w:hAnsi="宋体"/>
                <w:color w:val="auto"/>
                <w:sz w:val="21"/>
                <w:szCs w:val="21"/>
                <w:highlight w:val="none"/>
              </w:rPr>
              <w:t>枫叶、锋牌、联塑、顾地、超力</w:t>
            </w:r>
          </w:p>
        </w:tc>
        <w:tc>
          <w:tcPr>
            <w:tcW w:w="2001" w:type="dxa"/>
            <w:vAlign w:val="center"/>
          </w:tcPr>
          <w:p w14:paraId="35A552DF">
            <w:pPr>
              <w:ind w:firstLine="10" w:firstLineChars="5"/>
              <w:rPr>
                <w:rFonts w:hint="eastAsia"/>
                <w:color w:val="auto"/>
                <w:highlight w:val="none"/>
              </w:rPr>
            </w:pPr>
            <w:r>
              <w:rPr>
                <w:rFonts w:hint="eastAsia" w:ascii="宋体" w:hAnsi="宋体"/>
                <w:color w:val="auto"/>
                <w:sz w:val="21"/>
                <w:szCs w:val="21"/>
                <w:highlight w:val="none"/>
              </w:rPr>
              <w:t>GB/T18742-2002《冷热水用塑料管道系统--PP第二部分管材》、 GB/T18742-2002《冷热水用塑料管道系统--PP第三部分管件》</w:t>
            </w:r>
          </w:p>
        </w:tc>
        <w:tc>
          <w:tcPr>
            <w:tcW w:w="1220" w:type="dxa"/>
            <w:vAlign w:val="center"/>
          </w:tcPr>
          <w:p w14:paraId="226905A3">
            <w:pPr>
              <w:ind w:firstLine="10" w:firstLineChars="5"/>
              <w:rPr>
                <w:rFonts w:hint="eastAsia"/>
                <w:color w:val="auto"/>
                <w:highlight w:val="none"/>
              </w:rPr>
            </w:pPr>
            <w:r>
              <w:rPr>
                <w:rFonts w:hint="eastAsia" w:ascii="宋体" w:hAnsi="宋体"/>
                <w:color w:val="auto"/>
                <w:sz w:val="21"/>
                <w:szCs w:val="21"/>
                <w:highlight w:val="none"/>
              </w:rPr>
              <w:t>　</w:t>
            </w:r>
          </w:p>
        </w:tc>
      </w:tr>
      <w:tr w14:paraId="5E9B9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519477D">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3.8</w:t>
            </w:r>
          </w:p>
        </w:tc>
        <w:tc>
          <w:tcPr>
            <w:tcW w:w="1379" w:type="dxa"/>
            <w:vAlign w:val="center"/>
          </w:tcPr>
          <w:p w14:paraId="75D84CEA">
            <w:pPr>
              <w:jc w:val="center"/>
              <w:rPr>
                <w:rFonts w:hint="eastAsia" w:ascii="宋体" w:hAnsi="宋体"/>
                <w:color w:val="auto"/>
                <w:sz w:val="21"/>
                <w:szCs w:val="21"/>
                <w:highlight w:val="none"/>
              </w:rPr>
            </w:pPr>
            <w:r>
              <w:rPr>
                <w:rFonts w:hint="eastAsia" w:ascii="宋体" w:hAnsi="宋体"/>
                <w:color w:val="auto"/>
                <w:sz w:val="21"/>
                <w:szCs w:val="21"/>
                <w:highlight w:val="none"/>
              </w:rPr>
              <w:t>潜污泵</w:t>
            </w:r>
          </w:p>
        </w:tc>
        <w:tc>
          <w:tcPr>
            <w:tcW w:w="3834" w:type="dxa"/>
            <w:vAlign w:val="center"/>
          </w:tcPr>
          <w:p w14:paraId="060BAA4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广一、白云、肯富来、上海申宝、上海凯泉</w:t>
            </w:r>
          </w:p>
        </w:tc>
        <w:tc>
          <w:tcPr>
            <w:tcW w:w="2001" w:type="dxa"/>
            <w:vAlign w:val="center"/>
          </w:tcPr>
          <w:p w14:paraId="0890A756">
            <w:pPr>
              <w:ind w:firstLine="10" w:firstLineChars="5"/>
              <w:rPr>
                <w:rFonts w:hint="eastAsia" w:ascii="宋体" w:hAnsi="宋体"/>
                <w:color w:val="auto"/>
                <w:sz w:val="21"/>
                <w:szCs w:val="21"/>
                <w:highlight w:val="none"/>
              </w:rPr>
            </w:pPr>
          </w:p>
        </w:tc>
        <w:tc>
          <w:tcPr>
            <w:tcW w:w="1220" w:type="dxa"/>
            <w:vAlign w:val="center"/>
          </w:tcPr>
          <w:p w14:paraId="3070488A">
            <w:pPr>
              <w:ind w:firstLine="10" w:firstLineChars="5"/>
              <w:rPr>
                <w:rFonts w:hint="eastAsia" w:ascii="宋体" w:hAnsi="宋体"/>
                <w:color w:val="auto"/>
                <w:sz w:val="21"/>
                <w:szCs w:val="21"/>
                <w:highlight w:val="none"/>
              </w:rPr>
            </w:pPr>
          </w:p>
        </w:tc>
      </w:tr>
      <w:tr w14:paraId="727EC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9248" w:type="dxa"/>
            <w:gridSpan w:val="5"/>
            <w:vAlign w:val="center"/>
          </w:tcPr>
          <w:p w14:paraId="11CCA265">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 xml:space="preserve">4、室外给水系统 </w:t>
            </w:r>
          </w:p>
        </w:tc>
      </w:tr>
      <w:tr w14:paraId="5D3F0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4978C80">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4.1</w:t>
            </w:r>
          </w:p>
        </w:tc>
        <w:tc>
          <w:tcPr>
            <w:tcW w:w="1379" w:type="dxa"/>
            <w:vAlign w:val="center"/>
          </w:tcPr>
          <w:p w14:paraId="44F5B4FC">
            <w:pPr>
              <w:jc w:val="center"/>
              <w:rPr>
                <w:rFonts w:hint="eastAsia" w:ascii="宋体" w:hAnsi="宋体"/>
                <w:color w:val="auto"/>
                <w:sz w:val="21"/>
                <w:szCs w:val="21"/>
                <w:highlight w:val="none"/>
              </w:rPr>
            </w:pPr>
            <w:r>
              <w:rPr>
                <w:rFonts w:hint="eastAsia" w:ascii="宋体" w:hAnsi="宋体"/>
                <w:color w:val="auto"/>
                <w:sz w:val="21"/>
                <w:szCs w:val="21"/>
                <w:highlight w:val="none"/>
              </w:rPr>
              <w:t>HDPE钢丝网骨架复合管</w:t>
            </w:r>
          </w:p>
        </w:tc>
        <w:tc>
          <w:tcPr>
            <w:tcW w:w="3834" w:type="dxa"/>
            <w:vAlign w:val="center"/>
          </w:tcPr>
          <w:p w14:paraId="212D010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参照3.7</w:t>
            </w:r>
          </w:p>
        </w:tc>
        <w:tc>
          <w:tcPr>
            <w:tcW w:w="2001" w:type="dxa"/>
            <w:vAlign w:val="center"/>
          </w:tcPr>
          <w:p w14:paraId="568CA54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CJ／T123—2004《给水用钢骨架聚乙烯塑料复合管》、CJ/T 124-2004《给水用钢骨架聚乙烯塑料复合管件》</w:t>
            </w:r>
          </w:p>
        </w:tc>
        <w:tc>
          <w:tcPr>
            <w:tcW w:w="1220" w:type="dxa"/>
            <w:vAlign w:val="center"/>
          </w:tcPr>
          <w:p w14:paraId="6CADA92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53870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65D10C0">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4.2</w:t>
            </w:r>
          </w:p>
        </w:tc>
        <w:tc>
          <w:tcPr>
            <w:tcW w:w="1379" w:type="dxa"/>
            <w:vAlign w:val="center"/>
          </w:tcPr>
          <w:p w14:paraId="4B5882FF">
            <w:pPr>
              <w:jc w:val="center"/>
              <w:rPr>
                <w:rFonts w:hint="eastAsia" w:ascii="宋体" w:hAnsi="宋体"/>
                <w:color w:val="auto"/>
                <w:sz w:val="21"/>
                <w:szCs w:val="21"/>
                <w:highlight w:val="none"/>
              </w:rPr>
            </w:pPr>
            <w:r>
              <w:rPr>
                <w:rFonts w:hint="eastAsia" w:ascii="宋体" w:hAnsi="宋体"/>
                <w:color w:val="auto"/>
                <w:sz w:val="21"/>
                <w:szCs w:val="21"/>
                <w:highlight w:val="none"/>
              </w:rPr>
              <w:t>镀锌钢管</w:t>
            </w:r>
          </w:p>
        </w:tc>
        <w:tc>
          <w:tcPr>
            <w:tcW w:w="3834" w:type="dxa"/>
            <w:vAlign w:val="center"/>
          </w:tcPr>
          <w:p w14:paraId="1DA6440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穗生、华粤、珠江、华捷、联塑</w:t>
            </w:r>
          </w:p>
        </w:tc>
        <w:tc>
          <w:tcPr>
            <w:tcW w:w="2001" w:type="dxa"/>
            <w:vAlign w:val="center"/>
          </w:tcPr>
          <w:p w14:paraId="0E8CC71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49BF861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11707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F45D890">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4.3</w:t>
            </w:r>
          </w:p>
        </w:tc>
        <w:tc>
          <w:tcPr>
            <w:tcW w:w="1379" w:type="dxa"/>
            <w:vAlign w:val="center"/>
          </w:tcPr>
          <w:p w14:paraId="359205FF">
            <w:pPr>
              <w:jc w:val="center"/>
              <w:rPr>
                <w:rFonts w:hint="eastAsia"/>
                <w:color w:val="auto"/>
                <w:highlight w:val="none"/>
              </w:rPr>
            </w:pPr>
            <w:r>
              <w:rPr>
                <w:rFonts w:hint="eastAsia" w:ascii="宋体" w:hAnsi="宋体"/>
                <w:color w:val="auto"/>
                <w:sz w:val="21"/>
                <w:szCs w:val="21"/>
                <w:highlight w:val="none"/>
              </w:rPr>
              <w:t>球墨铸铁给水管</w:t>
            </w:r>
          </w:p>
        </w:tc>
        <w:tc>
          <w:tcPr>
            <w:tcW w:w="3834" w:type="dxa"/>
            <w:vAlign w:val="center"/>
          </w:tcPr>
          <w:p w14:paraId="3DFCE0E0">
            <w:pPr>
              <w:ind w:firstLine="10" w:firstLineChars="5"/>
              <w:rPr>
                <w:rFonts w:hint="eastAsia"/>
                <w:color w:val="auto"/>
                <w:highlight w:val="none"/>
              </w:rPr>
            </w:pPr>
            <w:r>
              <w:rPr>
                <w:rFonts w:hint="eastAsia" w:ascii="宋体" w:hAnsi="宋体"/>
                <w:color w:val="auto"/>
                <w:sz w:val="21"/>
                <w:szCs w:val="21"/>
                <w:highlight w:val="none"/>
              </w:rPr>
              <w:t>新兴、台明、骏通、永通、晨晖管业</w:t>
            </w:r>
          </w:p>
        </w:tc>
        <w:tc>
          <w:tcPr>
            <w:tcW w:w="2001" w:type="dxa"/>
            <w:vAlign w:val="center"/>
          </w:tcPr>
          <w:p w14:paraId="294BD807">
            <w:pPr>
              <w:ind w:firstLine="10" w:firstLineChars="5"/>
              <w:rPr>
                <w:rFonts w:hint="eastAsia"/>
                <w:color w:val="auto"/>
                <w:highlight w:val="none"/>
              </w:rPr>
            </w:pPr>
            <w:r>
              <w:rPr>
                <w:rFonts w:hint="eastAsia" w:ascii="宋体" w:hAnsi="宋体"/>
                <w:color w:val="auto"/>
                <w:sz w:val="21"/>
                <w:szCs w:val="21"/>
                <w:highlight w:val="none"/>
              </w:rPr>
              <w:t>　</w:t>
            </w:r>
          </w:p>
        </w:tc>
        <w:tc>
          <w:tcPr>
            <w:tcW w:w="1220" w:type="dxa"/>
            <w:vAlign w:val="center"/>
          </w:tcPr>
          <w:p w14:paraId="5DAB5889">
            <w:pPr>
              <w:ind w:firstLine="10" w:firstLineChars="5"/>
              <w:rPr>
                <w:rFonts w:hint="eastAsia"/>
                <w:color w:val="auto"/>
                <w:highlight w:val="none"/>
              </w:rPr>
            </w:pPr>
            <w:r>
              <w:rPr>
                <w:rFonts w:hint="eastAsia" w:ascii="宋体" w:hAnsi="宋体"/>
                <w:color w:val="auto"/>
                <w:sz w:val="21"/>
                <w:szCs w:val="21"/>
                <w:highlight w:val="none"/>
              </w:rPr>
              <w:t>　</w:t>
            </w:r>
          </w:p>
        </w:tc>
      </w:tr>
      <w:tr w14:paraId="5D9EE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1B9BE59">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4</w:t>
            </w:r>
            <w:r>
              <w:rPr>
                <w:rFonts w:ascii="宋体" w:hAnsi="宋体"/>
                <w:color w:val="auto"/>
                <w:sz w:val="21"/>
                <w:szCs w:val="21"/>
                <w:highlight w:val="none"/>
              </w:rPr>
              <w:t>.4</w:t>
            </w:r>
          </w:p>
        </w:tc>
        <w:tc>
          <w:tcPr>
            <w:tcW w:w="1379" w:type="dxa"/>
            <w:vAlign w:val="center"/>
          </w:tcPr>
          <w:p w14:paraId="6DC833B2">
            <w:pPr>
              <w:jc w:val="center"/>
              <w:rPr>
                <w:rFonts w:hint="eastAsia" w:ascii="宋体" w:hAnsi="宋体"/>
                <w:color w:val="auto"/>
                <w:sz w:val="21"/>
                <w:szCs w:val="21"/>
                <w:highlight w:val="none"/>
              </w:rPr>
            </w:pPr>
            <w:r>
              <w:rPr>
                <w:rFonts w:hint="eastAsia" w:ascii="宋体" w:hAnsi="宋体"/>
                <w:color w:val="auto"/>
                <w:sz w:val="21"/>
                <w:szCs w:val="21"/>
                <w:highlight w:val="none"/>
              </w:rPr>
              <w:t>不锈钢给水管</w:t>
            </w:r>
          </w:p>
        </w:tc>
        <w:tc>
          <w:tcPr>
            <w:tcW w:w="3834" w:type="dxa"/>
            <w:vAlign w:val="center"/>
          </w:tcPr>
          <w:p w14:paraId="34742BE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美亚、双兴、粤华、玫德雅昌、民乐管业</w:t>
            </w:r>
          </w:p>
        </w:tc>
        <w:tc>
          <w:tcPr>
            <w:tcW w:w="2001" w:type="dxa"/>
            <w:vAlign w:val="center"/>
          </w:tcPr>
          <w:p w14:paraId="67C5EB1A">
            <w:pPr>
              <w:ind w:firstLine="10" w:firstLineChars="5"/>
              <w:rPr>
                <w:rFonts w:hint="eastAsia" w:ascii="宋体" w:hAnsi="宋体"/>
                <w:color w:val="auto"/>
                <w:sz w:val="21"/>
                <w:szCs w:val="21"/>
                <w:highlight w:val="none"/>
              </w:rPr>
            </w:pPr>
          </w:p>
        </w:tc>
        <w:tc>
          <w:tcPr>
            <w:tcW w:w="1220" w:type="dxa"/>
            <w:vAlign w:val="center"/>
          </w:tcPr>
          <w:p w14:paraId="2ED933A4">
            <w:pPr>
              <w:ind w:firstLine="10" w:firstLineChars="5"/>
              <w:rPr>
                <w:rFonts w:hint="eastAsia" w:ascii="宋体" w:hAnsi="宋体"/>
                <w:color w:val="auto"/>
                <w:sz w:val="21"/>
                <w:szCs w:val="21"/>
                <w:highlight w:val="none"/>
              </w:rPr>
            </w:pPr>
          </w:p>
        </w:tc>
      </w:tr>
      <w:tr w14:paraId="6E342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9248" w:type="dxa"/>
            <w:gridSpan w:val="5"/>
            <w:vAlign w:val="center"/>
          </w:tcPr>
          <w:p w14:paraId="33841C08">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 xml:space="preserve">5、室外排水系统 </w:t>
            </w:r>
          </w:p>
        </w:tc>
      </w:tr>
      <w:tr w14:paraId="28B31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2" w:hRule="atLeast"/>
        </w:trPr>
        <w:tc>
          <w:tcPr>
            <w:tcW w:w="814" w:type="dxa"/>
            <w:vAlign w:val="center"/>
          </w:tcPr>
          <w:p w14:paraId="61752B75">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5.1</w:t>
            </w:r>
          </w:p>
        </w:tc>
        <w:tc>
          <w:tcPr>
            <w:tcW w:w="1379" w:type="dxa"/>
            <w:vAlign w:val="center"/>
          </w:tcPr>
          <w:p w14:paraId="671116EC">
            <w:pPr>
              <w:jc w:val="center"/>
              <w:rPr>
                <w:rFonts w:hint="eastAsia" w:ascii="宋体" w:hAnsi="宋体"/>
                <w:color w:val="auto"/>
                <w:sz w:val="21"/>
                <w:szCs w:val="21"/>
                <w:highlight w:val="none"/>
              </w:rPr>
            </w:pPr>
            <w:r>
              <w:rPr>
                <w:rFonts w:hint="eastAsia" w:ascii="宋体" w:hAnsi="宋体"/>
                <w:color w:val="auto"/>
                <w:sz w:val="21"/>
                <w:szCs w:val="21"/>
                <w:highlight w:val="none"/>
              </w:rPr>
              <w:t>UPVC波纹管/HDPE波纹管</w:t>
            </w:r>
          </w:p>
        </w:tc>
        <w:tc>
          <w:tcPr>
            <w:tcW w:w="3834" w:type="dxa"/>
            <w:vAlign w:val="center"/>
          </w:tcPr>
          <w:p w14:paraId="15A9396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参照3.7</w:t>
            </w:r>
          </w:p>
        </w:tc>
        <w:tc>
          <w:tcPr>
            <w:tcW w:w="2001" w:type="dxa"/>
            <w:vAlign w:val="center"/>
          </w:tcPr>
          <w:p w14:paraId="180BB37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13F13CB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1833D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79F21886">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5.2</w:t>
            </w:r>
          </w:p>
        </w:tc>
        <w:tc>
          <w:tcPr>
            <w:tcW w:w="1379" w:type="dxa"/>
            <w:vMerge w:val="restart"/>
            <w:vAlign w:val="center"/>
          </w:tcPr>
          <w:p w14:paraId="57A3D652">
            <w:pPr>
              <w:jc w:val="center"/>
              <w:rPr>
                <w:rFonts w:hint="eastAsia"/>
                <w:color w:val="auto"/>
                <w:highlight w:val="none"/>
              </w:rPr>
            </w:pPr>
            <w:r>
              <w:rPr>
                <w:rFonts w:hint="eastAsia" w:ascii="宋体" w:hAnsi="宋体"/>
                <w:color w:val="auto"/>
                <w:sz w:val="21"/>
                <w:szCs w:val="21"/>
                <w:highlight w:val="none"/>
              </w:rPr>
              <w:t>钢筋混凝土管</w:t>
            </w:r>
          </w:p>
        </w:tc>
        <w:tc>
          <w:tcPr>
            <w:tcW w:w="3834" w:type="dxa"/>
            <w:vAlign w:val="center"/>
          </w:tcPr>
          <w:p w14:paraId="4361FB8E">
            <w:pPr>
              <w:ind w:firstLine="10" w:firstLineChars="5"/>
              <w:rPr>
                <w:rFonts w:hint="eastAsia"/>
                <w:color w:val="auto"/>
                <w:highlight w:val="none"/>
              </w:rPr>
            </w:pPr>
            <w:r>
              <w:rPr>
                <w:rFonts w:hint="eastAsia" w:ascii="宋体" w:hAnsi="宋体"/>
                <w:color w:val="auto"/>
                <w:sz w:val="21"/>
                <w:szCs w:val="21"/>
                <w:highlight w:val="none"/>
              </w:rPr>
              <w:t>广州市萝岗区源华水泥预制件厂</w:t>
            </w:r>
          </w:p>
        </w:tc>
        <w:tc>
          <w:tcPr>
            <w:tcW w:w="2001" w:type="dxa"/>
            <w:vMerge w:val="restart"/>
            <w:vAlign w:val="center"/>
          </w:tcPr>
          <w:p w14:paraId="20FC426A">
            <w:pPr>
              <w:ind w:firstLine="10" w:firstLineChars="5"/>
              <w:rPr>
                <w:rFonts w:hint="eastAsia"/>
                <w:color w:val="auto"/>
                <w:highlight w:val="none"/>
              </w:rPr>
            </w:pPr>
            <w:r>
              <w:rPr>
                <w:rFonts w:hint="eastAsia" w:ascii="宋体" w:hAnsi="宋体"/>
                <w:color w:val="auto"/>
                <w:sz w:val="21"/>
                <w:szCs w:val="21"/>
                <w:highlight w:val="none"/>
              </w:rPr>
              <w:t>　</w:t>
            </w:r>
          </w:p>
        </w:tc>
        <w:tc>
          <w:tcPr>
            <w:tcW w:w="1220" w:type="dxa"/>
            <w:vMerge w:val="restart"/>
            <w:vAlign w:val="center"/>
          </w:tcPr>
          <w:p w14:paraId="088CAF75">
            <w:pPr>
              <w:ind w:firstLine="10" w:firstLineChars="5"/>
              <w:rPr>
                <w:rFonts w:hint="eastAsia"/>
                <w:color w:val="auto"/>
                <w:highlight w:val="none"/>
              </w:rPr>
            </w:pPr>
            <w:r>
              <w:rPr>
                <w:rFonts w:hint="eastAsia" w:ascii="宋体" w:hAnsi="宋体"/>
                <w:color w:val="auto"/>
                <w:sz w:val="21"/>
                <w:szCs w:val="21"/>
                <w:highlight w:val="none"/>
              </w:rPr>
              <w:t>　</w:t>
            </w:r>
          </w:p>
        </w:tc>
      </w:tr>
      <w:tr w14:paraId="6D9E7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7085FD1">
            <w:pPr>
              <w:ind w:firstLine="35" w:firstLineChars="17"/>
              <w:jc w:val="center"/>
              <w:rPr>
                <w:rFonts w:hint="eastAsia" w:ascii="宋体" w:hAnsi="宋体"/>
                <w:color w:val="auto"/>
                <w:sz w:val="21"/>
                <w:szCs w:val="21"/>
                <w:highlight w:val="none"/>
              </w:rPr>
            </w:pPr>
          </w:p>
        </w:tc>
        <w:tc>
          <w:tcPr>
            <w:tcW w:w="1379" w:type="dxa"/>
            <w:vMerge w:val="continue"/>
            <w:vAlign w:val="center"/>
          </w:tcPr>
          <w:p w14:paraId="375080AF">
            <w:pPr>
              <w:jc w:val="center"/>
              <w:rPr>
                <w:rFonts w:hint="eastAsia" w:ascii="宋体" w:hAnsi="宋体"/>
                <w:color w:val="auto"/>
                <w:sz w:val="21"/>
                <w:szCs w:val="21"/>
                <w:highlight w:val="none"/>
              </w:rPr>
            </w:pPr>
          </w:p>
        </w:tc>
        <w:tc>
          <w:tcPr>
            <w:tcW w:w="3834" w:type="dxa"/>
            <w:vAlign w:val="center"/>
          </w:tcPr>
          <w:p w14:paraId="2665966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中山市大友建材有限公司</w:t>
            </w:r>
          </w:p>
        </w:tc>
        <w:tc>
          <w:tcPr>
            <w:tcW w:w="2001" w:type="dxa"/>
            <w:vMerge w:val="continue"/>
            <w:vAlign w:val="center"/>
          </w:tcPr>
          <w:p w14:paraId="22481602">
            <w:pPr>
              <w:ind w:firstLine="10" w:firstLineChars="5"/>
              <w:rPr>
                <w:rFonts w:hint="eastAsia" w:ascii="宋体" w:hAnsi="宋体"/>
                <w:color w:val="auto"/>
                <w:sz w:val="21"/>
                <w:szCs w:val="21"/>
                <w:highlight w:val="none"/>
              </w:rPr>
            </w:pPr>
          </w:p>
        </w:tc>
        <w:tc>
          <w:tcPr>
            <w:tcW w:w="1220" w:type="dxa"/>
            <w:vMerge w:val="continue"/>
            <w:vAlign w:val="center"/>
          </w:tcPr>
          <w:p w14:paraId="428118BA">
            <w:pPr>
              <w:ind w:firstLine="10" w:firstLineChars="5"/>
              <w:rPr>
                <w:rFonts w:hint="eastAsia" w:ascii="宋体" w:hAnsi="宋体"/>
                <w:color w:val="auto"/>
                <w:sz w:val="21"/>
                <w:szCs w:val="21"/>
                <w:highlight w:val="none"/>
              </w:rPr>
            </w:pPr>
          </w:p>
        </w:tc>
      </w:tr>
      <w:tr w14:paraId="4ED7C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4" w:hRule="atLeast"/>
        </w:trPr>
        <w:tc>
          <w:tcPr>
            <w:tcW w:w="814" w:type="dxa"/>
            <w:vMerge w:val="continue"/>
            <w:vAlign w:val="center"/>
          </w:tcPr>
          <w:p w14:paraId="72F2F4FE">
            <w:pPr>
              <w:ind w:firstLine="35" w:firstLineChars="17"/>
              <w:jc w:val="center"/>
              <w:rPr>
                <w:rFonts w:hint="eastAsia" w:ascii="宋体" w:hAnsi="宋体"/>
                <w:color w:val="auto"/>
                <w:sz w:val="21"/>
                <w:szCs w:val="21"/>
                <w:highlight w:val="none"/>
              </w:rPr>
            </w:pPr>
          </w:p>
        </w:tc>
        <w:tc>
          <w:tcPr>
            <w:tcW w:w="1379" w:type="dxa"/>
            <w:vMerge w:val="continue"/>
            <w:vAlign w:val="center"/>
          </w:tcPr>
          <w:p w14:paraId="6DADBA78">
            <w:pPr>
              <w:jc w:val="center"/>
              <w:rPr>
                <w:rFonts w:hint="eastAsia" w:ascii="宋体" w:hAnsi="宋体"/>
                <w:color w:val="auto"/>
                <w:sz w:val="21"/>
                <w:szCs w:val="21"/>
                <w:highlight w:val="none"/>
              </w:rPr>
            </w:pPr>
          </w:p>
        </w:tc>
        <w:tc>
          <w:tcPr>
            <w:tcW w:w="3834" w:type="dxa"/>
            <w:vAlign w:val="center"/>
          </w:tcPr>
          <w:p w14:paraId="3CD773B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广州市千业建筑材料有限公司</w:t>
            </w:r>
          </w:p>
        </w:tc>
        <w:tc>
          <w:tcPr>
            <w:tcW w:w="2001" w:type="dxa"/>
            <w:vMerge w:val="continue"/>
            <w:vAlign w:val="center"/>
          </w:tcPr>
          <w:p w14:paraId="307F49DD">
            <w:pPr>
              <w:ind w:firstLine="10" w:firstLineChars="5"/>
              <w:rPr>
                <w:rFonts w:hint="eastAsia" w:ascii="宋体" w:hAnsi="宋体"/>
                <w:color w:val="auto"/>
                <w:sz w:val="21"/>
                <w:szCs w:val="21"/>
                <w:highlight w:val="none"/>
              </w:rPr>
            </w:pPr>
          </w:p>
        </w:tc>
        <w:tc>
          <w:tcPr>
            <w:tcW w:w="1220" w:type="dxa"/>
            <w:vMerge w:val="continue"/>
            <w:vAlign w:val="center"/>
          </w:tcPr>
          <w:p w14:paraId="1E416BF8">
            <w:pPr>
              <w:ind w:firstLine="10" w:firstLineChars="5"/>
              <w:rPr>
                <w:rFonts w:hint="eastAsia" w:ascii="宋体" w:hAnsi="宋体"/>
                <w:color w:val="auto"/>
                <w:sz w:val="21"/>
                <w:szCs w:val="21"/>
                <w:highlight w:val="none"/>
              </w:rPr>
            </w:pPr>
          </w:p>
        </w:tc>
      </w:tr>
      <w:tr w14:paraId="15E98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4683B209">
            <w:pPr>
              <w:ind w:firstLine="35" w:firstLineChars="17"/>
              <w:jc w:val="center"/>
              <w:rPr>
                <w:rFonts w:hint="eastAsia" w:ascii="宋体" w:hAnsi="宋体"/>
                <w:color w:val="auto"/>
                <w:sz w:val="21"/>
                <w:szCs w:val="21"/>
                <w:highlight w:val="none"/>
              </w:rPr>
            </w:pPr>
          </w:p>
        </w:tc>
        <w:tc>
          <w:tcPr>
            <w:tcW w:w="1379" w:type="dxa"/>
            <w:vMerge w:val="continue"/>
            <w:vAlign w:val="center"/>
          </w:tcPr>
          <w:p w14:paraId="4551EECB">
            <w:pPr>
              <w:jc w:val="center"/>
              <w:rPr>
                <w:rFonts w:hint="eastAsia" w:ascii="宋体" w:hAnsi="宋体"/>
                <w:color w:val="auto"/>
                <w:sz w:val="21"/>
                <w:szCs w:val="21"/>
                <w:highlight w:val="none"/>
              </w:rPr>
            </w:pPr>
          </w:p>
        </w:tc>
        <w:tc>
          <w:tcPr>
            <w:tcW w:w="3834" w:type="dxa"/>
            <w:vAlign w:val="center"/>
          </w:tcPr>
          <w:p w14:paraId="7342AE5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广东坤达管业有限公司</w:t>
            </w:r>
          </w:p>
        </w:tc>
        <w:tc>
          <w:tcPr>
            <w:tcW w:w="2001" w:type="dxa"/>
            <w:vMerge w:val="continue"/>
            <w:vAlign w:val="center"/>
          </w:tcPr>
          <w:p w14:paraId="6026720E">
            <w:pPr>
              <w:ind w:firstLine="10" w:firstLineChars="5"/>
              <w:rPr>
                <w:rFonts w:hint="eastAsia" w:ascii="宋体" w:hAnsi="宋体"/>
                <w:color w:val="auto"/>
                <w:sz w:val="21"/>
                <w:szCs w:val="21"/>
                <w:highlight w:val="none"/>
              </w:rPr>
            </w:pPr>
          </w:p>
        </w:tc>
        <w:tc>
          <w:tcPr>
            <w:tcW w:w="1220" w:type="dxa"/>
            <w:vMerge w:val="continue"/>
            <w:vAlign w:val="center"/>
          </w:tcPr>
          <w:p w14:paraId="3DF25D13">
            <w:pPr>
              <w:ind w:firstLine="10" w:firstLineChars="5"/>
              <w:rPr>
                <w:rFonts w:hint="eastAsia" w:ascii="宋体" w:hAnsi="宋体"/>
                <w:color w:val="auto"/>
                <w:sz w:val="21"/>
                <w:szCs w:val="21"/>
                <w:highlight w:val="none"/>
              </w:rPr>
            </w:pPr>
          </w:p>
        </w:tc>
      </w:tr>
      <w:tr w14:paraId="3B1E4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A1A4FBD">
            <w:pPr>
              <w:ind w:firstLine="35" w:firstLineChars="17"/>
              <w:jc w:val="center"/>
              <w:rPr>
                <w:rFonts w:hint="eastAsia" w:ascii="宋体" w:hAnsi="宋体"/>
                <w:color w:val="auto"/>
                <w:sz w:val="21"/>
                <w:szCs w:val="21"/>
                <w:highlight w:val="none"/>
              </w:rPr>
            </w:pPr>
          </w:p>
        </w:tc>
        <w:tc>
          <w:tcPr>
            <w:tcW w:w="1379" w:type="dxa"/>
            <w:vMerge w:val="continue"/>
            <w:vAlign w:val="center"/>
          </w:tcPr>
          <w:p w14:paraId="1E71D4A3">
            <w:pPr>
              <w:jc w:val="center"/>
              <w:rPr>
                <w:rFonts w:hint="eastAsia" w:ascii="宋体" w:hAnsi="宋体"/>
                <w:color w:val="auto"/>
                <w:sz w:val="21"/>
                <w:szCs w:val="21"/>
                <w:highlight w:val="none"/>
              </w:rPr>
            </w:pPr>
          </w:p>
        </w:tc>
        <w:tc>
          <w:tcPr>
            <w:tcW w:w="3834" w:type="dxa"/>
            <w:vAlign w:val="center"/>
          </w:tcPr>
          <w:p w14:paraId="0FF735E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广州市番禺区荣成建基水泥制品厂</w:t>
            </w:r>
          </w:p>
        </w:tc>
        <w:tc>
          <w:tcPr>
            <w:tcW w:w="2001" w:type="dxa"/>
            <w:vMerge w:val="continue"/>
            <w:vAlign w:val="center"/>
          </w:tcPr>
          <w:p w14:paraId="19DC8E3B">
            <w:pPr>
              <w:ind w:firstLine="10" w:firstLineChars="5"/>
              <w:rPr>
                <w:rFonts w:hint="eastAsia" w:ascii="宋体" w:hAnsi="宋体"/>
                <w:color w:val="auto"/>
                <w:sz w:val="21"/>
                <w:szCs w:val="21"/>
                <w:highlight w:val="none"/>
              </w:rPr>
            </w:pPr>
          </w:p>
        </w:tc>
        <w:tc>
          <w:tcPr>
            <w:tcW w:w="1220" w:type="dxa"/>
            <w:vMerge w:val="continue"/>
            <w:vAlign w:val="center"/>
          </w:tcPr>
          <w:p w14:paraId="3D492BB3">
            <w:pPr>
              <w:ind w:firstLine="10" w:firstLineChars="5"/>
              <w:rPr>
                <w:rFonts w:hint="eastAsia" w:ascii="宋体" w:hAnsi="宋体"/>
                <w:color w:val="auto"/>
                <w:sz w:val="21"/>
                <w:szCs w:val="21"/>
                <w:highlight w:val="none"/>
              </w:rPr>
            </w:pPr>
          </w:p>
        </w:tc>
      </w:tr>
      <w:tr w14:paraId="70690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13FDF913">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5.3</w:t>
            </w:r>
          </w:p>
        </w:tc>
        <w:tc>
          <w:tcPr>
            <w:tcW w:w="1379" w:type="dxa"/>
            <w:vMerge w:val="restart"/>
            <w:vAlign w:val="center"/>
          </w:tcPr>
          <w:p w14:paraId="1149055A">
            <w:pPr>
              <w:jc w:val="center"/>
              <w:rPr>
                <w:rFonts w:hint="eastAsia" w:ascii="宋体" w:hAnsi="宋体"/>
                <w:color w:val="auto"/>
                <w:sz w:val="21"/>
                <w:szCs w:val="21"/>
                <w:highlight w:val="none"/>
              </w:rPr>
            </w:pPr>
            <w:r>
              <w:rPr>
                <w:rFonts w:hint="eastAsia" w:ascii="宋体" w:hAnsi="宋体"/>
                <w:color w:val="auto"/>
                <w:sz w:val="21"/>
                <w:szCs w:val="21"/>
                <w:highlight w:val="none"/>
              </w:rPr>
              <w:t>塑料检查井</w:t>
            </w:r>
          </w:p>
        </w:tc>
        <w:tc>
          <w:tcPr>
            <w:tcW w:w="3834" w:type="dxa"/>
            <w:vAlign w:val="center"/>
          </w:tcPr>
          <w:p w14:paraId="395F110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广东联塑科技实业有限公司</w:t>
            </w:r>
          </w:p>
        </w:tc>
        <w:tc>
          <w:tcPr>
            <w:tcW w:w="2001" w:type="dxa"/>
            <w:vMerge w:val="restart"/>
            <w:vAlign w:val="center"/>
          </w:tcPr>
          <w:p w14:paraId="0F1E2B3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Merge w:val="restart"/>
            <w:vAlign w:val="center"/>
          </w:tcPr>
          <w:p w14:paraId="136DA53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0CBE3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90F51DA">
            <w:pPr>
              <w:ind w:firstLine="35" w:firstLineChars="17"/>
              <w:jc w:val="center"/>
              <w:rPr>
                <w:rFonts w:hint="eastAsia" w:ascii="宋体" w:hAnsi="宋体"/>
                <w:color w:val="auto"/>
                <w:sz w:val="21"/>
                <w:szCs w:val="21"/>
                <w:highlight w:val="none"/>
              </w:rPr>
            </w:pPr>
          </w:p>
        </w:tc>
        <w:tc>
          <w:tcPr>
            <w:tcW w:w="1379" w:type="dxa"/>
            <w:vMerge w:val="continue"/>
            <w:vAlign w:val="center"/>
          </w:tcPr>
          <w:p w14:paraId="2BC3C2FB">
            <w:pPr>
              <w:jc w:val="center"/>
              <w:rPr>
                <w:rFonts w:hint="eastAsia" w:ascii="宋体" w:hAnsi="宋体"/>
                <w:color w:val="auto"/>
                <w:sz w:val="21"/>
                <w:szCs w:val="21"/>
                <w:highlight w:val="none"/>
              </w:rPr>
            </w:pPr>
          </w:p>
        </w:tc>
        <w:tc>
          <w:tcPr>
            <w:tcW w:w="3834" w:type="dxa"/>
            <w:vAlign w:val="center"/>
          </w:tcPr>
          <w:p w14:paraId="101BE62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安徽金塑管业科技有限公司</w:t>
            </w:r>
          </w:p>
        </w:tc>
        <w:tc>
          <w:tcPr>
            <w:tcW w:w="2001" w:type="dxa"/>
            <w:vMerge w:val="continue"/>
            <w:vAlign w:val="center"/>
          </w:tcPr>
          <w:p w14:paraId="1959779B">
            <w:pPr>
              <w:ind w:firstLine="10" w:firstLineChars="5"/>
              <w:rPr>
                <w:rFonts w:hint="eastAsia" w:ascii="宋体" w:hAnsi="宋体"/>
                <w:color w:val="auto"/>
                <w:sz w:val="21"/>
                <w:szCs w:val="21"/>
                <w:highlight w:val="none"/>
              </w:rPr>
            </w:pPr>
          </w:p>
        </w:tc>
        <w:tc>
          <w:tcPr>
            <w:tcW w:w="1220" w:type="dxa"/>
            <w:vMerge w:val="continue"/>
            <w:vAlign w:val="center"/>
          </w:tcPr>
          <w:p w14:paraId="184E3E71">
            <w:pPr>
              <w:ind w:firstLine="10" w:firstLineChars="5"/>
              <w:rPr>
                <w:rFonts w:hint="eastAsia" w:ascii="宋体" w:hAnsi="宋体"/>
                <w:color w:val="auto"/>
                <w:sz w:val="21"/>
                <w:szCs w:val="21"/>
                <w:highlight w:val="none"/>
              </w:rPr>
            </w:pPr>
          </w:p>
        </w:tc>
      </w:tr>
      <w:tr w14:paraId="4C6E1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7C38217">
            <w:pPr>
              <w:ind w:firstLine="35" w:firstLineChars="17"/>
              <w:jc w:val="center"/>
              <w:rPr>
                <w:rFonts w:hint="eastAsia" w:ascii="宋体" w:hAnsi="宋体"/>
                <w:color w:val="auto"/>
                <w:sz w:val="21"/>
                <w:szCs w:val="21"/>
                <w:highlight w:val="none"/>
              </w:rPr>
            </w:pPr>
          </w:p>
        </w:tc>
        <w:tc>
          <w:tcPr>
            <w:tcW w:w="1379" w:type="dxa"/>
            <w:vMerge w:val="continue"/>
            <w:vAlign w:val="center"/>
          </w:tcPr>
          <w:p w14:paraId="22629A21">
            <w:pPr>
              <w:jc w:val="center"/>
              <w:rPr>
                <w:rFonts w:hint="eastAsia" w:ascii="宋体" w:hAnsi="宋体"/>
                <w:color w:val="auto"/>
                <w:sz w:val="21"/>
                <w:szCs w:val="21"/>
                <w:highlight w:val="none"/>
              </w:rPr>
            </w:pPr>
          </w:p>
        </w:tc>
        <w:tc>
          <w:tcPr>
            <w:tcW w:w="3834" w:type="dxa"/>
            <w:vAlign w:val="center"/>
          </w:tcPr>
          <w:p w14:paraId="3BBF9B8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台州改善塑业有限公司</w:t>
            </w:r>
          </w:p>
        </w:tc>
        <w:tc>
          <w:tcPr>
            <w:tcW w:w="2001" w:type="dxa"/>
            <w:vMerge w:val="continue"/>
            <w:vAlign w:val="center"/>
          </w:tcPr>
          <w:p w14:paraId="40BDBAEB">
            <w:pPr>
              <w:ind w:firstLine="10" w:firstLineChars="5"/>
              <w:rPr>
                <w:rFonts w:hint="eastAsia" w:ascii="宋体" w:hAnsi="宋体"/>
                <w:color w:val="auto"/>
                <w:sz w:val="21"/>
                <w:szCs w:val="21"/>
                <w:highlight w:val="none"/>
              </w:rPr>
            </w:pPr>
          </w:p>
        </w:tc>
        <w:tc>
          <w:tcPr>
            <w:tcW w:w="1220" w:type="dxa"/>
            <w:vMerge w:val="continue"/>
            <w:vAlign w:val="center"/>
          </w:tcPr>
          <w:p w14:paraId="49B8AA67">
            <w:pPr>
              <w:ind w:firstLine="10" w:firstLineChars="5"/>
              <w:rPr>
                <w:rFonts w:hint="eastAsia" w:ascii="宋体" w:hAnsi="宋体"/>
                <w:color w:val="auto"/>
                <w:sz w:val="21"/>
                <w:szCs w:val="21"/>
                <w:highlight w:val="none"/>
              </w:rPr>
            </w:pPr>
          </w:p>
        </w:tc>
      </w:tr>
      <w:tr w14:paraId="47541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5FD45C7">
            <w:pPr>
              <w:ind w:firstLine="35" w:firstLineChars="17"/>
              <w:jc w:val="center"/>
              <w:rPr>
                <w:rFonts w:hint="eastAsia" w:ascii="宋体" w:hAnsi="宋体"/>
                <w:color w:val="auto"/>
                <w:sz w:val="21"/>
                <w:szCs w:val="21"/>
                <w:highlight w:val="none"/>
              </w:rPr>
            </w:pPr>
          </w:p>
        </w:tc>
        <w:tc>
          <w:tcPr>
            <w:tcW w:w="1379" w:type="dxa"/>
            <w:vMerge w:val="continue"/>
            <w:vAlign w:val="center"/>
          </w:tcPr>
          <w:p w14:paraId="506AAF1F">
            <w:pPr>
              <w:jc w:val="center"/>
              <w:rPr>
                <w:rFonts w:hint="eastAsia" w:ascii="宋体" w:hAnsi="宋体"/>
                <w:color w:val="auto"/>
                <w:sz w:val="21"/>
                <w:szCs w:val="21"/>
                <w:highlight w:val="none"/>
              </w:rPr>
            </w:pPr>
          </w:p>
        </w:tc>
        <w:tc>
          <w:tcPr>
            <w:tcW w:w="3834" w:type="dxa"/>
            <w:vAlign w:val="center"/>
          </w:tcPr>
          <w:p w14:paraId="27CD0B3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江苏河马井股份有限公司</w:t>
            </w:r>
          </w:p>
        </w:tc>
        <w:tc>
          <w:tcPr>
            <w:tcW w:w="2001" w:type="dxa"/>
            <w:vMerge w:val="continue"/>
            <w:vAlign w:val="center"/>
          </w:tcPr>
          <w:p w14:paraId="0033CD05">
            <w:pPr>
              <w:ind w:firstLine="10" w:firstLineChars="5"/>
              <w:rPr>
                <w:rFonts w:hint="eastAsia" w:ascii="宋体" w:hAnsi="宋体"/>
                <w:color w:val="auto"/>
                <w:sz w:val="21"/>
                <w:szCs w:val="21"/>
                <w:highlight w:val="none"/>
              </w:rPr>
            </w:pPr>
          </w:p>
        </w:tc>
        <w:tc>
          <w:tcPr>
            <w:tcW w:w="1220" w:type="dxa"/>
            <w:vMerge w:val="continue"/>
            <w:vAlign w:val="center"/>
          </w:tcPr>
          <w:p w14:paraId="5E4CE758">
            <w:pPr>
              <w:ind w:firstLine="10" w:firstLineChars="5"/>
              <w:rPr>
                <w:rFonts w:hint="eastAsia" w:ascii="宋体" w:hAnsi="宋体"/>
                <w:color w:val="auto"/>
                <w:sz w:val="21"/>
                <w:szCs w:val="21"/>
                <w:highlight w:val="none"/>
              </w:rPr>
            </w:pPr>
          </w:p>
        </w:tc>
      </w:tr>
      <w:tr w14:paraId="74EAE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60" w:hRule="atLeast"/>
        </w:trPr>
        <w:tc>
          <w:tcPr>
            <w:tcW w:w="814" w:type="dxa"/>
            <w:vMerge w:val="continue"/>
            <w:vAlign w:val="center"/>
          </w:tcPr>
          <w:p w14:paraId="7F7B345C">
            <w:pPr>
              <w:ind w:firstLine="35" w:firstLineChars="17"/>
              <w:jc w:val="center"/>
              <w:rPr>
                <w:rFonts w:hint="eastAsia" w:ascii="宋体" w:hAnsi="宋体"/>
                <w:color w:val="auto"/>
                <w:sz w:val="21"/>
                <w:szCs w:val="21"/>
                <w:highlight w:val="none"/>
              </w:rPr>
            </w:pPr>
          </w:p>
        </w:tc>
        <w:tc>
          <w:tcPr>
            <w:tcW w:w="1379" w:type="dxa"/>
            <w:vMerge w:val="continue"/>
            <w:vAlign w:val="center"/>
          </w:tcPr>
          <w:p w14:paraId="3494AADA">
            <w:pPr>
              <w:jc w:val="center"/>
              <w:rPr>
                <w:rFonts w:hint="eastAsia" w:ascii="宋体" w:hAnsi="宋体"/>
                <w:color w:val="auto"/>
                <w:sz w:val="21"/>
                <w:szCs w:val="21"/>
                <w:highlight w:val="none"/>
              </w:rPr>
            </w:pPr>
          </w:p>
        </w:tc>
        <w:tc>
          <w:tcPr>
            <w:tcW w:w="3834" w:type="dxa"/>
            <w:vAlign w:val="center"/>
          </w:tcPr>
          <w:p w14:paraId="466B49B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广东正德环保科技有限公司</w:t>
            </w:r>
          </w:p>
        </w:tc>
        <w:tc>
          <w:tcPr>
            <w:tcW w:w="2001" w:type="dxa"/>
            <w:vMerge w:val="continue"/>
            <w:vAlign w:val="center"/>
          </w:tcPr>
          <w:p w14:paraId="1CF8714A">
            <w:pPr>
              <w:ind w:firstLine="10" w:firstLineChars="5"/>
              <w:rPr>
                <w:rFonts w:hint="eastAsia" w:ascii="宋体" w:hAnsi="宋体"/>
                <w:color w:val="auto"/>
                <w:sz w:val="21"/>
                <w:szCs w:val="21"/>
                <w:highlight w:val="none"/>
              </w:rPr>
            </w:pPr>
          </w:p>
        </w:tc>
        <w:tc>
          <w:tcPr>
            <w:tcW w:w="1220" w:type="dxa"/>
            <w:vMerge w:val="continue"/>
            <w:vAlign w:val="center"/>
          </w:tcPr>
          <w:p w14:paraId="021EDC02">
            <w:pPr>
              <w:ind w:firstLine="10" w:firstLineChars="5"/>
              <w:rPr>
                <w:rFonts w:hint="eastAsia" w:ascii="宋体" w:hAnsi="宋体"/>
                <w:color w:val="auto"/>
                <w:sz w:val="21"/>
                <w:szCs w:val="21"/>
                <w:highlight w:val="none"/>
              </w:rPr>
            </w:pPr>
          </w:p>
        </w:tc>
      </w:tr>
      <w:tr w14:paraId="18E7B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73BC3554">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5.4</w:t>
            </w:r>
          </w:p>
        </w:tc>
        <w:tc>
          <w:tcPr>
            <w:tcW w:w="1379" w:type="dxa"/>
            <w:vMerge w:val="restart"/>
            <w:vAlign w:val="center"/>
          </w:tcPr>
          <w:p w14:paraId="1656D3F9">
            <w:pPr>
              <w:jc w:val="center"/>
              <w:rPr>
                <w:rFonts w:hint="eastAsia" w:ascii="宋体" w:hAnsi="宋体"/>
                <w:color w:val="auto"/>
                <w:sz w:val="21"/>
                <w:szCs w:val="21"/>
                <w:highlight w:val="none"/>
              </w:rPr>
            </w:pPr>
            <w:r>
              <w:rPr>
                <w:rFonts w:hint="eastAsia" w:ascii="宋体" w:hAnsi="宋体"/>
                <w:color w:val="auto"/>
                <w:sz w:val="21"/>
                <w:szCs w:val="21"/>
                <w:highlight w:val="none"/>
              </w:rPr>
              <w:t>玻璃钢化粪池</w:t>
            </w:r>
          </w:p>
        </w:tc>
        <w:tc>
          <w:tcPr>
            <w:tcW w:w="3834" w:type="dxa"/>
            <w:vAlign w:val="center"/>
          </w:tcPr>
          <w:p w14:paraId="1C0EC60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广州市康为环保设备有限公司</w:t>
            </w:r>
          </w:p>
        </w:tc>
        <w:tc>
          <w:tcPr>
            <w:tcW w:w="2001" w:type="dxa"/>
            <w:vMerge w:val="restart"/>
            <w:vAlign w:val="center"/>
          </w:tcPr>
          <w:p w14:paraId="7DD0F5A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Merge w:val="restart"/>
            <w:vAlign w:val="center"/>
          </w:tcPr>
          <w:p w14:paraId="546DF1F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092E9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BE77045">
            <w:pPr>
              <w:ind w:firstLine="35" w:firstLineChars="17"/>
              <w:jc w:val="center"/>
              <w:rPr>
                <w:rFonts w:hint="eastAsia" w:ascii="宋体" w:hAnsi="宋体"/>
                <w:color w:val="auto"/>
                <w:sz w:val="21"/>
                <w:szCs w:val="21"/>
                <w:highlight w:val="none"/>
              </w:rPr>
            </w:pPr>
          </w:p>
        </w:tc>
        <w:tc>
          <w:tcPr>
            <w:tcW w:w="1379" w:type="dxa"/>
            <w:vMerge w:val="continue"/>
            <w:vAlign w:val="center"/>
          </w:tcPr>
          <w:p w14:paraId="48CABE4A">
            <w:pPr>
              <w:jc w:val="center"/>
              <w:rPr>
                <w:rFonts w:hint="eastAsia" w:ascii="宋体" w:hAnsi="宋体"/>
                <w:color w:val="auto"/>
                <w:sz w:val="21"/>
                <w:szCs w:val="21"/>
                <w:highlight w:val="none"/>
              </w:rPr>
            </w:pPr>
          </w:p>
        </w:tc>
        <w:tc>
          <w:tcPr>
            <w:tcW w:w="3834" w:type="dxa"/>
            <w:vAlign w:val="center"/>
          </w:tcPr>
          <w:p w14:paraId="24F2F1B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广州市双新环保设备有限公司</w:t>
            </w:r>
          </w:p>
        </w:tc>
        <w:tc>
          <w:tcPr>
            <w:tcW w:w="2001" w:type="dxa"/>
            <w:vMerge w:val="continue"/>
            <w:vAlign w:val="center"/>
          </w:tcPr>
          <w:p w14:paraId="172F518C">
            <w:pPr>
              <w:ind w:firstLine="10" w:firstLineChars="5"/>
              <w:rPr>
                <w:rFonts w:hint="eastAsia" w:ascii="宋体" w:hAnsi="宋体"/>
                <w:color w:val="auto"/>
                <w:sz w:val="21"/>
                <w:szCs w:val="21"/>
                <w:highlight w:val="none"/>
              </w:rPr>
            </w:pPr>
          </w:p>
        </w:tc>
        <w:tc>
          <w:tcPr>
            <w:tcW w:w="1220" w:type="dxa"/>
            <w:vMerge w:val="continue"/>
            <w:vAlign w:val="center"/>
          </w:tcPr>
          <w:p w14:paraId="0D582275">
            <w:pPr>
              <w:ind w:firstLine="10" w:firstLineChars="5"/>
              <w:rPr>
                <w:rFonts w:hint="eastAsia" w:ascii="宋体" w:hAnsi="宋体"/>
                <w:color w:val="auto"/>
                <w:sz w:val="21"/>
                <w:szCs w:val="21"/>
                <w:highlight w:val="none"/>
              </w:rPr>
            </w:pPr>
          </w:p>
        </w:tc>
      </w:tr>
      <w:tr w14:paraId="6E6B2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B7BCD02">
            <w:pPr>
              <w:ind w:firstLine="35" w:firstLineChars="17"/>
              <w:jc w:val="center"/>
              <w:rPr>
                <w:rFonts w:hint="eastAsia" w:ascii="宋体" w:hAnsi="宋体"/>
                <w:color w:val="auto"/>
                <w:sz w:val="21"/>
                <w:szCs w:val="21"/>
                <w:highlight w:val="none"/>
              </w:rPr>
            </w:pPr>
          </w:p>
        </w:tc>
        <w:tc>
          <w:tcPr>
            <w:tcW w:w="1379" w:type="dxa"/>
            <w:vMerge w:val="continue"/>
            <w:vAlign w:val="center"/>
          </w:tcPr>
          <w:p w14:paraId="3774B78B">
            <w:pPr>
              <w:jc w:val="center"/>
              <w:rPr>
                <w:rFonts w:hint="eastAsia" w:ascii="宋体" w:hAnsi="宋体"/>
                <w:color w:val="auto"/>
                <w:sz w:val="21"/>
                <w:szCs w:val="21"/>
                <w:highlight w:val="none"/>
              </w:rPr>
            </w:pPr>
          </w:p>
        </w:tc>
        <w:tc>
          <w:tcPr>
            <w:tcW w:w="3834" w:type="dxa"/>
            <w:vAlign w:val="center"/>
          </w:tcPr>
          <w:p w14:paraId="13B225F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广州恒古机电设备有限公司</w:t>
            </w:r>
          </w:p>
        </w:tc>
        <w:tc>
          <w:tcPr>
            <w:tcW w:w="2001" w:type="dxa"/>
            <w:vMerge w:val="continue"/>
            <w:vAlign w:val="center"/>
          </w:tcPr>
          <w:p w14:paraId="34673FBC">
            <w:pPr>
              <w:ind w:firstLine="10" w:firstLineChars="5"/>
              <w:rPr>
                <w:rFonts w:hint="eastAsia" w:ascii="宋体" w:hAnsi="宋体"/>
                <w:color w:val="auto"/>
                <w:sz w:val="21"/>
                <w:szCs w:val="21"/>
                <w:highlight w:val="none"/>
              </w:rPr>
            </w:pPr>
          </w:p>
        </w:tc>
        <w:tc>
          <w:tcPr>
            <w:tcW w:w="1220" w:type="dxa"/>
            <w:vMerge w:val="continue"/>
            <w:vAlign w:val="center"/>
          </w:tcPr>
          <w:p w14:paraId="7804E250">
            <w:pPr>
              <w:ind w:firstLine="10" w:firstLineChars="5"/>
              <w:rPr>
                <w:rFonts w:hint="eastAsia" w:ascii="宋体" w:hAnsi="宋体"/>
                <w:color w:val="auto"/>
                <w:sz w:val="21"/>
                <w:szCs w:val="21"/>
                <w:highlight w:val="none"/>
              </w:rPr>
            </w:pPr>
          </w:p>
        </w:tc>
      </w:tr>
      <w:tr w14:paraId="033DB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EE3CC62">
            <w:pPr>
              <w:ind w:firstLine="35" w:firstLineChars="17"/>
              <w:jc w:val="center"/>
              <w:rPr>
                <w:rFonts w:hint="eastAsia" w:ascii="宋体" w:hAnsi="宋体"/>
                <w:color w:val="auto"/>
                <w:sz w:val="21"/>
                <w:szCs w:val="21"/>
                <w:highlight w:val="none"/>
              </w:rPr>
            </w:pPr>
          </w:p>
        </w:tc>
        <w:tc>
          <w:tcPr>
            <w:tcW w:w="1379" w:type="dxa"/>
            <w:vMerge w:val="continue"/>
            <w:vAlign w:val="center"/>
          </w:tcPr>
          <w:p w14:paraId="24247EC8">
            <w:pPr>
              <w:jc w:val="center"/>
              <w:rPr>
                <w:rFonts w:hint="eastAsia" w:ascii="宋体" w:hAnsi="宋体"/>
                <w:color w:val="auto"/>
                <w:sz w:val="21"/>
                <w:szCs w:val="21"/>
                <w:highlight w:val="none"/>
              </w:rPr>
            </w:pPr>
          </w:p>
        </w:tc>
        <w:tc>
          <w:tcPr>
            <w:tcW w:w="3834" w:type="dxa"/>
            <w:vAlign w:val="center"/>
          </w:tcPr>
          <w:p w14:paraId="2720747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佛山健之源生物环保科技有限公司</w:t>
            </w:r>
          </w:p>
        </w:tc>
        <w:tc>
          <w:tcPr>
            <w:tcW w:w="2001" w:type="dxa"/>
            <w:vMerge w:val="continue"/>
            <w:vAlign w:val="center"/>
          </w:tcPr>
          <w:p w14:paraId="23207004">
            <w:pPr>
              <w:ind w:firstLine="10" w:firstLineChars="5"/>
              <w:rPr>
                <w:rFonts w:hint="eastAsia" w:ascii="宋体" w:hAnsi="宋体"/>
                <w:color w:val="auto"/>
                <w:sz w:val="21"/>
                <w:szCs w:val="21"/>
                <w:highlight w:val="none"/>
              </w:rPr>
            </w:pPr>
          </w:p>
        </w:tc>
        <w:tc>
          <w:tcPr>
            <w:tcW w:w="1220" w:type="dxa"/>
            <w:vMerge w:val="continue"/>
            <w:vAlign w:val="center"/>
          </w:tcPr>
          <w:p w14:paraId="2E76162E">
            <w:pPr>
              <w:ind w:firstLine="10" w:firstLineChars="5"/>
              <w:rPr>
                <w:rFonts w:hint="eastAsia" w:ascii="宋体" w:hAnsi="宋体"/>
                <w:color w:val="auto"/>
                <w:sz w:val="21"/>
                <w:szCs w:val="21"/>
                <w:highlight w:val="none"/>
              </w:rPr>
            </w:pPr>
          </w:p>
        </w:tc>
      </w:tr>
      <w:tr w14:paraId="6BD23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2773EE4">
            <w:pPr>
              <w:ind w:firstLine="35" w:firstLineChars="17"/>
              <w:jc w:val="center"/>
              <w:rPr>
                <w:rFonts w:hint="eastAsia" w:ascii="宋体" w:hAnsi="宋体"/>
                <w:color w:val="auto"/>
                <w:sz w:val="21"/>
                <w:szCs w:val="21"/>
                <w:highlight w:val="none"/>
              </w:rPr>
            </w:pPr>
          </w:p>
        </w:tc>
        <w:tc>
          <w:tcPr>
            <w:tcW w:w="1379" w:type="dxa"/>
            <w:vMerge w:val="continue"/>
            <w:vAlign w:val="center"/>
          </w:tcPr>
          <w:p w14:paraId="63B4B095">
            <w:pPr>
              <w:jc w:val="center"/>
              <w:rPr>
                <w:rFonts w:hint="eastAsia" w:ascii="宋体" w:hAnsi="宋体"/>
                <w:color w:val="auto"/>
                <w:sz w:val="21"/>
                <w:szCs w:val="21"/>
                <w:highlight w:val="none"/>
              </w:rPr>
            </w:pPr>
          </w:p>
        </w:tc>
        <w:tc>
          <w:tcPr>
            <w:tcW w:w="3834" w:type="dxa"/>
            <w:vAlign w:val="center"/>
          </w:tcPr>
          <w:p w14:paraId="25E7295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广州宇唐环保设备有限公司</w:t>
            </w:r>
          </w:p>
        </w:tc>
        <w:tc>
          <w:tcPr>
            <w:tcW w:w="2001" w:type="dxa"/>
            <w:vMerge w:val="continue"/>
            <w:vAlign w:val="center"/>
          </w:tcPr>
          <w:p w14:paraId="302A711C">
            <w:pPr>
              <w:ind w:firstLine="10" w:firstLineChars="5"/>
              <w:rPr>
                <w:rFonts w:hint="eastAsia" w:ascii="宋体" w:hAnsi="宋体"/>
                <w:color w:val="auto"/>
                <w:sz w:val="21"/>
                <w:szCs w:val="21"/>
                <w:highlight w:val="none"/>
              </w:rPr>
            </w:pPr>
          </w:p>
        </w:tc>
        <w:tc>
          <w:tcPr>
            <w:tcW w:w="1220" w:type="dxa"/>
            <w:vMerge w:val="continue"/>
            <w:vAlign w:val="center"/>
          </w:tcPr>
          <w:p w14:paraId="67420BF9">
            <w:pPr>
              <w:ind w:firstLine="10" w:firstLineChars="5"/>
              <w:rPr>
                <w:rFonts w:hint="eastAsia" w:ascii="宋体" w:hAnsi="宋体"/>
                <w:color w:val="auto"/>
                <w:sz w:val="21"/>
                <w:szCs w:val="21"/>
                <w:highlight w:val="none"/>
              </w:rPr>
            </w:pPr>
          </w:p>
        </w:tc>
      </w:tr>
      <w:tr w14:paraId="019C8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79926E40">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 xml:space="preserve">6、消防（水）系统 </w:t>
            </w:r>
          </w:p>
        </w:tc>
      </w:tr>
      <w:tr w14:paraId="14913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DEB6CE3">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6.1</w:t>
            </w:r>
          </w:p>
        </w:tc>
        <w:tc>
          <w:tcPr>
            <w:tcW w:w="1379" w:type="dxa"/>
            <w:vAlign w:val="center"/>
          </w:tcPr>
          <w:p w14:paraId="7BBD20D2">
            <w:pPr>
              <w:jc w:val="center"/>
              <w:rPr>
                <w:rFonts w:hint="eastAsia" w:ascii="宋体" w:hAnsi="宋体"/>
                <w:color w:val="auto"/>
                <w:sz w:val="21"/>
                <w:szCs w:val="21"/>
                <w:highlight w:val="none"/>
              </w:rPr>
            </w:pPr>
            <w:r>
              <w:rPr>
                <w:rFonts w:hint="eastAsia" w:ascii="宋体" w:hAnsi="宋体"/>
                <w:color w:val="auto"/>
                <w:sz w:val="21"/>
                <w:szCs w:val="21"/>
                <w:highlight w:val="none"/>
              </w:rPr>
              <w:t>消防水产品</w:t>
            </w:r>
          </w:p>
          <w:p w14:paraId="21A1144C">
            <w:pPr>
              <w:jc w:val="center"/>
              <w:rPr>
                <w:rFonts w:hint="eastAsia" w:ascii="宋体" w:hAnsi="宋体"/>
                <w:color w:val="auto"/>
                <w:sz w:val="21"/>
                <w:szCs w:val="21"/>
                <w:highlight w:val="none"/>
              </w:rPr>
            </w:pPr>
            <w:r>
              <w:rPr>
                <w:rFonts w:hint="eastAsia" w:ascii="宋体" w:hAnsi="宋体"/>
                <w:color w:val="auto"/>
                <w:sz w:val="21"/>
                <w:szCs w:val="21"/>
                <w:highlight w:val="none"/>
              </w:rPr>
              <w:t>（喷头、水流指示器、湿式报警阀组、水泵接合器、信号阀等）</w:t>
            </w:r>
          </w:p>
        </w:tc>
        <w:tc>
          <w:tcPr>
            <w:tcW w:w="3834" w:type="dxa"/>
            <w:vAlign w:val="center"/>
          </w:tcPr>
          <w:p w14:paraId="3B9472C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胜捷、振兴、瑞城、白沙、上海金盾、川消</w:t>
            </w:r>
          </w:p>
        </w:tc>
        <w:tc>
          <w:tcPr>
            <w:tcW w:w="2001" w:type="dxa"/>
            <w:vAlign w:val="center"/>
          </w:tcPr>
          <w:p w14:paraId="490383C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26E4049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必须同时满足消防验收要求　</w:t>
            </w:r>
          </w:p>
        </w:tc>
      </w:tr>
      <w:tr w14:paraId="3F664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1625E43">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6.2</w:t>
            </w:r>
          </w:p>
        </w:tc>
        <w:tc>
          <w:tcPr>
            <w:tcW w:w="1379" w:type="dxa"/>
            <w:vAlign w:val="center"/>
          </w:tcPr>
          <w:p w14:paraId="55C706CE">
            <w:pPr>
              <w:jc w:val="center"/>
              <w:rPr>
                <w:rFonts w:hint="eastAsia"/>
                <w:color w:val="auto"/>
                <w:highlight w:val="none"/>
              </w:rPr>
            </w:pPr>
            <w:r>
              <w:rPr>
                <w:rFonts w:hint="eastAsia" w:ascii="宋体" w:hAnsi="宋体"/>
                <w:color w:val="auto"/>
                <w:sz w:val="21"/>
                <w:szCs w:val="21"/>
                <w:highlight w:val="none"/>
              </w:rPr>
              <w:t>消火栓/灭火器材</w:t>
            </w:r>
          </w:p>
        </w:tc>
        <w:tc>
          <w:tcPr>
            <w:tcW w:w="3834" w:type="dxa"/>
            <w:vAlign w:val="center"/>
          </w:tcPr>
          <w:p w14:paraId="4F5CFE34">
            <w:pPr>
              <w:ind w:firstLine="10" w:firstLineChars="5"/>
              <w:rPr>
                <w:rFonts w:hint="eastAsia"/>
                <w:color w:val="auto"/>
                <w:highlight w:val="none"/>
              </w:rPr>
            </w:pPr>
            <w:r>
              <w:rPr>
                <w:rFonts w:hint="eastAsia" w:ascii="宋体" w:hAnsi="宋体"/>
                <w:color w:val="auto"/>
                <w:sz w:val="21"/>
                <w:szCs w:val="21"/>
                <w:highlight w:val="none"/>
              </w:rPr>
              <w:t>参照6.1</w:t>
            </w:r>
          </w:p>
        </w:tc>
        <w:tc>
          <w:tcPr>
            <w:tcW w:w="2001" w:type="dxa"/>
            <w:vAlign w:val="center"/>
          </w:tcPr>
          <w:p w14:paraId="3D90E3E9">
            <w:pPr>
              <w:ind w:firstLine="10" w:firstLineChars="5"/>
              <w:rPr>
                <w:rFonts w:hint="eastAsia"/>
                <w:color w:val="auto"/>
                <w:highlight w:val="none"/>
              </w:rPr>
            </w:pPr>
            <w:r>
              <w:rPr>
                <w:rFonts w:hint="eastAsia" w:ascii="宋体" w:hAnsi="宋体"/>
                <w:color w:val="auto"/>
                <w:sz w:val="21"/>
                <w:szCs w:val="21"/>
                <w:highlight w:val="none"/>
              </w:rPr>
              <w:t>　</w:t>
            </w:r>
          </w:p>
        </w:tc>
        <w:tc>
          <w:tcPr>
            <w:tcW w:w="1220" w:type="dxa"/>
            <w:vAlign w:val="center"/>
          </w:tcPr>
          <w:p w14:paraId="7A84455F">
            <w:pPr>
              <w:ind w:firstLine="10" w:firstLineChars="5"/>
              <w:rPr>
                <w:rFonts w:hint="eastAsia"/>
                <w:color w:val="auto"/>
                <w:highlight w:val="none"/>
              </w:rPr>
            </w:pPr>
            <w:r>
              <w:rPr>
                <w:rFonts w:hint="eastAsia" w:ascii="宋体" w:hAnsi="宋体"/>
                <w:color w:val="auto"/>
                <w:sz w:val="21"/>
                <w:szCs w:val="21"/>
                <w:highlight w:val="none"/>
              </w:rPr>
              <w:t>必须同时满足消防验收要求</w:t>
            </w:r>
          </w:p>
        </w:tc>
      </w:tr>
      <w:tr w14:paraId="14060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16466F3">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6.3</w:t>
            </w:r>
          </w:p>
        </w:tc>
        <w:tc>
          <w:tcPr>
            <w:tcW w:w="1379" w:type="dxa"/>
            <w:vAlign w:val="center"/>
          </w:tcPr>
          <w:p w14:paraId="13CE5F88">
            <w:pPr>
              <w:jc w:val="center"/>
              <w:rPr>
                <w:rFonts w:hint="eastAsia" w:ascii="宋体" w:hAnsi="宋体"/>
                <w:color w:val="auto"/>
                <w:sz w:val="21"/>
                <w:szCs w:val="21"/>
                <w:highlight w:val="none"/>
              </w:rPr>
            </w:pPr>
            <w:r>
              <w:rPr>
                <w:rFonts w:hint="eastAsia" w:ascii="宋体" w:hAnsi="宋体"/>
                <w:color w:val="auto"/>
                <w:sz w:val="21"/>
                <w:szCs w:val="21"/>
                <w:highlight w:val="none"/>
              </w:rPr>
              <w:t>消防水泵及控制柜</w:t>
            </w:r>
          </w:p>
        </w:tc>
        <w:tc>
          <w:tcPr>
            <w:tcW w:w="3834" w:type="dxa"/>
            <w:vAlign w:val="center"/>
          </w:tcPr>
          <w:p w14:paraId="6F33A36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参照3.8</w:t>
            </w:r>
          </w:p>
        </w:tc>
        <w:tc>
          <w:tcPr>
            <w:tcW w:w="2001" w:type="dxa"/>
            <w:vAlign w:val="center"/>
          </w:tcPr>
          <w:p w14:paraId="2B1136D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4E725A7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70F2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590CB08">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6.4</w:t>
            </w:r>
          </w:p>
        </w:tc>
        <w:tc>
          <w:tcPr>
            <w:tcW w:w="1379" w:type="dxa"/>
            <w:vAlign w:val="center"/>
          </w:tcPr>
          <w:p w14:paraId="5EC9C8D2">
            <w:pPr>
              <w:jc w:val="center"/>
              <w:rPr>
                <w:rFonts w:hint="eastAsia" w:ascii="宋体" w:hAnsi="宋体"/>
                <w:color w:val="auto"/>
                <w:sz w:val="21"/>
                <w:szCs w:val="21"/>
                <w:highlight w:val="none"/>
              </w:rPr>
            </w:pPr>
            <w:r>
              <w:rPr>
                <w:rFonts w:hint="eastAsia" w:ascii="宋体" w:hAnsi="宋体"/>
                <w:color w:val="auto"/>
                <w:sz w:val="21"/>
                <w:szCs w:val="21"/>
                <w:highlight w:val="none"/>
              </w:rPr>
              <w:t>七氟丙烷自动灭火系统</w:t>
            </w:r>
          </w:p>
        </w:tc>
        <w:tc>
          <w:tcPr>
            <w:tcW w:w="3834" w:type="dxa"/>
            <w:vAlign w:val="center"/>
          </w:tcPr>
          <w:p w14:paraId="7E2A151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参照6.1</w:t>
            </w:r>
          </w:p>
        </w:tc>
        <w:tc>
          <w:tcPr>
            <w:tcW w:w="2001" w:type="dxa"/>
            <w:vAlign w:val="center"/>
          </w:tcPr>
          <w:p w14:paraId="2F78671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3918369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37BD7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9248" w:type="dxa"/>
            <w:gridSpan w:val="5"/>
            <w:vAlign w:val="center"/>
          </w:tcPr>
          <w:p w14:paraId="1F987B43">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 xml:space="preserve">7、电气系统 </w:t>
            </w:r>
          </w:p>
        </w:tc>
      </w:tr>
      <w:tr w14:paraId="28196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ABF0BAE">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7.1</w:t>
            </w:r>
          </w:p>
        </w:tc>
        <w:tc>
          <w:tcPr>
            <w:tcW w:w="1379" w:type="dxa"/>
            <w:vAlign w:val="center"/>
          </w:tcPr>
          <w:p w14:paraId="0E2FFD23">
            <w:pPr>
              <w:jc w:val="center"/>
              <w:rPr>
                <w:rFonts w:hint="eastAsia" w:ascii="宋体" w:hAnsi="宋体"/>
                <w:color w:val="auto"/>
                <w:sz w:val="21"/>
                <w:szCs w:val="21"/>
                <w:highlight w:val="none"/>
              </w:rPr>
            </w:pPr>
            <w:r>
              <w:rPr>
                <w:rFonts w:hint="eastAsia" w:ascii="宋体" w:hAnsi="宋体"/>
                <w:color w:val="auto"/>
                <w:sz w:val="21"/>
                <w:szCs w:val="21"/>
                <w:highlight w:val="none"/>
              </w:rPr>
              <w:t>高压柜/低压柜/环网柜</w:t>
            </w:r>
          </w:p>
        </w:tc>
        <w:tc>
          <w:tcPr>
            <w:tcW w:w="3834" w:type="dxa"/>
            <w:vAlign w:val="center"/>
          </w:tcPr>
          <w:p w14:paraId="620EE2F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施富电气、BYE白云、穗达电气、广高、金铭利、思东利、奥克斯、义明牌</w:t>
            </w:r>
          </w:p>
        </w:tc>
        <w:tc>
          <w:tcPr>
            <w:tcW w:w="2001" w:type="dxa"/>
            <w:vAlign w:val="center"/>
          </w:tcPr>
          <w:p w14:paraId="7026AB0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167BD7F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必须同时满足南方电网的技术要求</w:t>
            </w:r>
          </w:p>
        </w:tc>
      </w:tr>
      <w:tr w14:paraId="2A0B9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2" w:hRule="atLeast"/>
        </w:trPr>
        <w:tc>
          <w:tcPr>
            <w:tcW w:w="814" w:type="dxa"/>
            <w:vAlign w:val="center"/>
          </w:tcPr>
          <w:p w14:paraId="70A056F2">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7.2</w:t>
            </w:r>
          </w:p>
        </w:tc>
        <w:tc>
          <w:tcPr>
            <w:tcW w:w="1379" w:type="dxa"/>
            <w:vAlign w:val="center"/>
          </w:tcPr>
          <w:p w14:paraId="52347587">
            <w:pPr>
              <w:jc w:val="center"/>
              <w:rPr>
                <w:rFonts w:hint="eastAsia" w:ascii="宋体" w:hAnsi="宋体"/>
                <w:color w:val="auto"/>
                <w:sz w:val="21"/>
                <w:szCs w:val="21"/>
                <w:highlight w:val="none"/>
              </w:rPr>
            </w:pPr>
            <w:r>
              <w:rPr>
                <w:rFonts w:hint="eastAsia" w:ascii="宋体" w:hAnsi="宋体"/>
                <w:color w:val="auto"/>
                <w:sz w:val="21"/>
                <w:szCs w:val="21"/>
                <w:highlight w:val="none"/>
              </w:rPr>
              <w:t>高压柜元器件/低压柜元器件</w:t>
            </w:r>
          </w:p>
        </w:tc>
        <w:tc>
          <w:tcPr>
            <w:tcW w:w="3834" w:type="dxa"/>
            <w:vAlign w:val="center"/>
          </w:tcPr>
          <w:p w14:paraId="418DA05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BYE白云、西门子、广高、施耐德电气、奥克斯、义明牌</w:t>
            </w:r>
          </w:p>
        </w:tc>
        <w:tc>
          <w:tcPr>
            <w:tcW w:w="2001" w:type="dxa"/>
            <w:vAlign w:val="center"/>
          </w:tcPr>
          <w:p w14:paraId="714E3EA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61C6FE0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必须同时满足南方电网的技术要求</w:t>
            </w:r>
          </w:p>
        </w:tc>
      </w:tr>
      <w:tr w14:paraId="04BD4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197241BD">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7.3</w:t>
            </w:r>
          </w:p>
        </w:tc>
        <w:tc>
          <w:tcPr>
            <w:tcW w:w="1379" w:type="dxa"/>
            <w:vAlign w:val="center"/>
          </w:tcPr>
          <w:p w14:paraId="4F50B006">
            <w:pPr>
              <w:jc w:val="center"/>
              <w:rPr>
                <w:rFonts w:hint="eastAsia" w:ascii="宋体" w:hAnsi="宋体"/>
                <w:color w:val="auto"/>
                <w:sz w:val="21"/>
                <w:szCs w:val="21"/>
                <w:highlight w:val="none"/>
              </w:rPr>
            </w:pPr>
            <w:r>
              <w:rPr>
                <w:rFonts w:hint="eastAsia" w:ascii="宋体" w:hAnsi="宋体"/>
                <w:color w:val="auto"/>
                <w:sz w:val="21"/>
                <w:szCs w:val="21"/>
                <w:highlight w:val="none"/>
              </w:rPr>
              <w:t>电力变压器</w:t>
            </w:r>
          </w:p>
        </w:tc>
        <w:tc>
          <w:tcPr>
            <w:tcW w:w="3834" w:type="dxa"/>
            <w:vAlign w:val="center"/>
          </w:tcPr>
          <w:p w14:paraId="657DB12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穗达电气、广高、中国中车骏发、安森普莱、海鸿、奥克斯、义明牌</w:t>
            </w:r>
          </w:p>
        </w:tc>
        <w:tc>
          <w:tcPr>
            <w:tcW w:w="2001" w:type="dxa"/>
            <w:vAlign w:val="center"/>
          </w:tcPr>
          <w:p w14:paraId="22019F8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GB1094.11-2007《电力变压器第11部分 干式变压器》、GB／T 1094.12-2013《电力变压器 第12部分：干式电力变压器负载导则》、GB/T10228-2015  《干式电力变压器技术参数和要求》</w:t>
            </w:r>
          </w:p>
        </w:tc>
        <w:tc>
          <w:tcPr>
            <w:tcW w:w="1220" w:type="dxa"/>
            <w:vAlign w:val="center"/>
          </w:tcPr>
          <w:p w14:paraId="3352A62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必须同时满足南方电网的技术要求</w:t>
            </w:r>
          </w:p>
        </w:tc>
      </w:tr>
      <w:tr w14:paraId="2B248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814" w:type="dxa"/>
            <w:vAlign w:val="center"/>
          </w:tcPr>
          <w:p w14:paraId="6C4FA450">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7.4</w:t>
            </w:r>
          </w:p>
        </w:tc>
        <w:tc>
          <w:tcPr>
            <w:tcW w:w="1379" w:type="dxa"/>
            <w:vAlign w:val="center"/>
          </w:tcPr>
          <w:p w14:paraId="465F813B">
            <w:pPr>
              <w:jc w:val="center"/>
              <w:rPr>
                <w:rFonts w:hint="eastAsia" w:ascii="宋体" w:hAnsi="宋体"/>
                <w:color w:val="auto"/>
                <w:sz w:val="21"/>
                <w:szCs w:val="21"/>
                <w:highlight w:val="none"/>
              </w:rPr>
            </w:pPr>
            <w:r>
              <w:rPr>
                <w:rFonts w:hint="eastAsia" w:ascii="宋体" w:hAnsi="宋体"/>
                <w:color w:val="auto"/>
                <w:sz w:val="21"/>
                <w:szCs w:val="21"/>
                <w:highlight w:val="none"/>
              </w:rPr>
              <w:t>动力、照明配电箱</w:t>
            </w:r>
          </w:p>
        </w:tc>
        <w:tc>
          <w:tcPr>
            <w:tcW w:w="3834" w:type="dxa"/>
            <w:vAlign w:val="center"/>
          </w:tcPr>
          <w:p w14:paraId="58ED8B2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BYE白云、穗达电气、广高、金铭利、科铭、奥克斯、义明牌</w:t>
            </w:r>
          </w:p>
        </w:tc>
        <w:tc>
          <w:tcPr>
            <w:tcW w:w="2001" w:type="dxa"/>
            <w:vAlign w:val="center"/>
          </w:tcPr>
          <w:p w14:paraId="2BFF2A8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770F906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3CD55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814" w:type="dxa"/>
            <w:vAlign w:val="center"/>
          </w:tcPr>
          <w:p w14:paraId="33E04A80">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7.5</w:t>
            </w:r>
          </w:p>
        </w:tc>
        <w:tc>
          <w:tcPr>
            <w:tcW w:w="1379" w:type="dxa"/>
            <w:vAlign w:val="center"/>
          </w:tcPr>
          <w:p w14:paraId="3E96D97B">
            <w:pPr>
              <w:jc w:val="center"/>
              <w:rPr>
                <w:rFonts w:hint="eastAsia" w:ascii="宋体" w:hAnsi="宋体"/>
                <w:color w:val="auto"/>
                <w:sz w:val="21"/>
                <w:szCs w:val="21"/>
                <w:highlight w:val="none"/>
              </w:rPr>
            </w:pPr>
            <w:r>
              <w:rPr>
                <w:rFonts w:hint="eastAsia" w:ascii="宋体" w:hAnsi="宋体"/>
                <w:color w:val="auto"/>
                <w:sz w:val="21"/>
                <w:szCs w:val="21"/>
                <w:highlight w:val="none"/>
              </w:rPr>
              <w:t>电表箱</w:t>
            </w:r>
          </w:p>
        </w:tc>
        <w:tc>
          <w:tcPr>
            <w:tcW w:w="3834" w:type="dxa"/>
            <w:vAlign w:val="center"/>
          </w:tcPr>
          <w:p w14:paraId="3C221A6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参考7.4</w:t>
            </w:r>
          </w:p>
        </w:tc>
        <w:tc>
          <w:tcPr>
            <w:tcW w:w="2001" w:type="dxa"/>
            <w:vAlign w:val="center"/>
          </w:tcPr>
          <w:p w14:paraId="035AB4C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49D649A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2980C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F6BFD99">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7.6</w:t>
            </w:r>
          </w:p>
        </w:tc>
        <w:tc>
          <w:tcPr>
            <w:tcW w:w="1379" w:type="dxa"/>
            <w:vAlign w:val="center"/>
          </w:tcPr>
          <w:p w14:paraId="4CECB7FD">
            <w:pPr>
              <w:jc w:val="center"/>
              <w:rPr>
                <w:rFonts w:hint="eastAsia" w:ascii="宋体" w:hAnsi="宋体"/>
                <w:color w:val="auto"/>
                <w:sz w:val="21"/>
                <w:szCs w:val="21"/>
                <w:highlight w:val="none"/>
              </w:rPr>
            </w:pPr>
            <w:r>
              <w:rPr>
                <w:rFonts w:hint="eastAsia" w:ascii="宋体" w:hAnsi="宋体"/>
                <w:color w:val="auto"/>
                <w:sz w:val="21"/>
                <w:szCs w:val="21"/>
                <w:highlight w:val="none"/>
              </w:rPr>
              <w:t>三箱内主要电气元器件</w:t>
            </w:r>
          </w:p>
        </w:tc>
        <w:tc>
          <w:tcPr>
            <w:tcW w:w="3834" w:type="dxa"/>
            <w:vAlign w:val="center"/>
          </w:tcPr>
          <w:p w14:paraId="305B43D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BYE白云、良信、天正、施耐德电气、珠江利维</w:t>
            </w:r>
          </w:p>
        </w:tc>
        <w:tc>
          <w:tcPr>
            <w:tcW w:w="2001" w:type="dxa"/>
            <w:vAlign w:val="center"/>
          </w:tcPr>
          <w:p w14:paraId="384694A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06C0B23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5DCC4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BCAFE8A">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7.7</w:t>
            </w:r>
          </w:p>
        </w:tc>
        <w:tc>
          <w:tcPr>
            <w:tcW w:w="1379" w:type="dxa"/>
            <w:vAlign w:val="center"/>
          </w:tcPr>
          <w:p w14:paraId="4593D265">
            <w:pPr>
              <w:jc w:val="center"/>
              <w:rPr>
                <w:rFonts w:hint="eastAsia"/>
                <w:color w:val="auto"/>
                <w:highlight w:val="none"/>
              </w:rPr>
            </w:pPr>
            <w:r>
              <w:rPr>
                <w:rFonts w:hint="eastAsia" w:ascii="宋体" w:hAnsi="宋体"/>
                <w:color w:val="auto"/>
                <w:sz w:val="21"/>
                <w:szCs w:val="21"/>
                <w:highlight w:val="none"/>
              </w:rPr>
              <w:t>柴油发电机</w:t>
            </w:r>
          </w:p>
        </w:tc>
        <w:tc>
          <w:tcPr>
            <w:tcW w:w="3834" w:type="dxa"/>
            <w:vAlign w:val="center"/>
          </w:tcPr>
          <w:p w14:paraId="52FB337F">
            <w:pPr>
              <w:ind w:firstLine="10" w:firstLineChars="5"/>
              <w:rPr>
                <w:rFonts w:hint="eastAsia"/>
                <w:color w:val="auto"/>
                <w:highlight w:val="none"/>
              </w:rPr>
            </w:pPr>
            <w:r>
              <w:rPr>
                <w:rFonts w:hint="eastAsia" w:ascii="宋体" w:hAnsi="宋体"/>
                <w:color w:val="auto"/>
                <w:sz w:val="21"/>
                <w:szCs w:val="21"/>
                <w:highlight w:val="none"/>
              </w:rPr>
              <w:t>玉柴、潍柴、东风康明斯、济柴、无锡动力</w:t>
            </w:r>
          </w:p>
        </w:tc>
        <w:tc>
          <w:tcPr>
            <w:tcW w:w="3221" w:type="dxa"/>
            <w:gridSpan w:val="2"/>
            <w:vAlign w:val="center"/>
          </w:tcPr>
          <w:p w14:paraId="09F381EE">
            <w:pPr>
              <w:ind w:firstLine="10" w:firstLineChars="5"/>
              <w:rPr>
                <w:rFonts w:hint="eastAsia"/>
                <w:color w:val="auto"/>
                <w:highlight w:val="none"/>
              </w:rPr>
            </w:pPr>
            <w:r>
              <w:rPr>
                <w:rFonts w:hint="eastAsia" w:ascii="宋体" w:hAnsi="宋体"/>
                <w:color w:val="auto"/>
                <w:sz w:val="21"/>
                <w:szCs w:val="21"/>
                <w:highlight w:val="none"/>
              </w:rPr>
              <w:t>1、V型12缸，四冲程，1500分/转；2、无刷﹑自励（永磁励磁）﹑自调（数字式电压调整器）﹑自通风，至载至满载电压保持1%之间；3、为24V直流电启动，可容易连续启动6冷以上，并设有柴油机带动的自动充电机。机组能在停电或紧急状态下快速自启动，启动后15秒内可正常供电。当市电恢复或紧急状态消除时，机组应能自动停机。</w:t>
            </w:r>
          </w:p>
        </w:tc>
      </w:tr>
      <w:tr w14:paraId="5AC62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09048C2">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7.8</w:t>
            </w:r>
          </w:p>
        </w:tc>
        <w:tc>
          <w:tcPr>
            <w:tcW w:w="1379" w:type="dxa"/>
            <w:vAlign w:val="center"/>
          </w:tcPr>
          <w:p w14:paraId="3A43EC01">
            <w:pPr>
              <w:jc w:val="center"/>
              <w:rPr>
                <w:rFonts w:hint="eastAsia" w:ascii="宋体" w:hAnsi="宋体"/>
                <w:color w:val="auto"/>
                <w:sz w:val="21"/>
                <w:szCs w:val="21"/>
                <w:highlight w:val="none"/>
              </w:rPr>
            </w:pPr>
            <w:r>
              <w:rPr>
                <w:rFonts w:hint="eastAsia" w:ascii="宋体" w:hAnsi="宋体"/>
                <w:color w:val="auto"/>
                <w:sz w:val="21"/>
                <w:szCs w:val="21"/>
                <w:highlight w:val="none"/>
              </w:rPr>
              <w:t>开关、插座</w:t>
            </w:r>
          </w:p>
        </w:tc>
        <w:tc>
          <w:tcPr>
            <w:tcW w:w="3834" w:type="dxa"/>
            <w:vAlign w:val="center"/>
          </w:tcPr>
          <w:p w14:paraId="5AC1BEA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松本、罗格朗、西门子、TCL、施耐德电气</w:t>
            </w:r>
          </w:p>
        </w:tc>
        <w:tc>
          <w:tcPr>
            <w:tcW w:w="2001" w:type="dxa"/>
            <w:vAlign w:val="center"/>
          </w:tcPr>
          <w:p w14:paraId="55BCCFC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477B284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068CC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F0F9359">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7.9</w:t>
            </w:r>
          </w:p>
        </w:tc>
        <w:tc>
          <w:tcPr>
            <w:tcW w:w="1379" w:type="dxa"/>
            <w:vAlign w:val="center"/>
          </w:tcPr>
          <w:p w14:paraId="1394B884">
            <w:pPr>
              <w:jc w:val="center"/>
              <w:rPr>
                <w:rFonts w:hint="eastAsia" w:ascii="宋体" w:hAnsi="宋体"/>
                <w:color w:val="auto"/>
                <w:sz w:val="21"/>
                <w:szCs w:val="21"/>
                <w:highlight w:val="none"/>
              </w:rPr>
            </w:pPr>
            <w:r>
              <w:rPr>
                <w:rFonts w:hint="eastAsia" w:ascii="宋体" w:hAnsi="宋体"/>
                <w:color w:val="auto"/>
                <w:sz w:val="21"/>
                <w:szCs w:val="21"/>
                <w:highlight w:val="none"/>
              </w:rPr>
              <w:t>电缆</w:t>
            </w:r>
          </w:p>
        </w:tc>
        <w:tc>
          <w:tcPr>
            <w:tcW w:w="3834" w:type="dxa"/>
            <w:vAlign w:val="center"/>
          </w:tcPr>
          <w:p w14:paraId="4B776B1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双菱、NAN南牌、乐光、花城、环市、南电、新兴</w:t>
            </w:r>
          </w:p>
        </w:tc>
        <w:tc>
          <w:tcPr>
            <w:tcW w:w="2001" w:type="dxa"/>
            <w:vAlign w:val="center"/>
          </w:tcPr>
          <w:p w14:paraId="3F54CBC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3319F9B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4A75C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29A861A">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7.10</w:t>
            </w:r>
          </w:p>
        </w:tc>
        <w:tc>
          <w:tcPr>
            <w:tcW w:w="1379" w:type="dxa"/>
            <w:vAlign w:val="center"/>
          </w:tcPr>
          <w:p w14:paraId="5D179046">
            <w:pPr>
              <w:jc w:val="center"/>
              <w:rPr>
                <w:rFonts w:hint="eastAsia" w:ascii="宋体" w:hAnsi="宋体"/>
                <w:color w:val="auto"/>
                <w:sz w:val="21"/>
                <w:szCs w:val="21"/>
                <w:highlight w:val="none"/>
              </w:rPr>
            </w:pPr>
            <w:r>
              <w:rPr>
                <w:rFonts w:hint="eastAsia" w:ascii="宋体" w:hAnsi="宋体"/>
                <w:color w:val="auto"/>
                <w:sz w:val="21"/>
                <w:szCs w:val="21"/>
                <w:highlight w:val="none"/>
              </w:rPr>
              <w:t>电线</w:t>
            </w:r>
          </w:p>
        </w:tc>
        <w:tc>
          <w:tcPr>
            <w:tcW w:w="3834" w:type="dxa"/>
            <w:vAlign w:val="center"/>
          </w:tcPr>
          <w:p w14:paraId="6C06BEC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参考7</w:t>
            </w:r>
            <w:r>
              <w:rPr>
                <w:rFonts w:ascii="宋体" w:hAnsi="宋体"/>
                <w:color w:val="auto"/>
                <w:sz w:val="21"/>
                <w:szCs w:val="21"/>
                <w:highlight w:val="none"/>
              </w:rPr>
              <w:t xml:space="preserve">.9 </w:t>
            </w:r>
          </w:p>
        </w:tc>
        <w:tc>
          <w:tcPr>
            <w:tcW w:w="2001" w:type="dxa"/>
            <w:vAlign w:val="center"/>
          </w:tcPr>
          <w:p w14:paraId="59D26B2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7864B4B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6DCB4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0" w:hRule="atLeast"/>
        </w:trPr>
        <w:tc>
          <w:tcPr>
            <w:tcW w:w="814" w:type="dxa"/>
            <w:vAlign w:val="center"/>
          </w:tcPr>
          <w:p w14:paraId="2377CB0C">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7.11</w:t>
            </w:r>
          </w:p>
        </w:tc>
        <w:tc>
          <w:tcPr>
            <w:tcW w:w="1379" w:type="dxa"/>
            <w:vAlign w:val="center"/>
          </w:tcPr>
          <w:p w14:paraId="45B54C3F">
            <w:pPr>
              <w:jc w:val="center"/>
              <w:rPr>
                <w:rFonts w:hint="eastAsia" w:ascii="宋体" w:hAnsi="宋体"/>
                <w:color w:val="auto"/>
                <w:sz w:val="21"/>
                <w:szCs w:val="21"/>
                <w:highlight w:val="none"/>
              </w:rPr>
            </w:pPr>
            <w:r>
              <w:rPr>
                <w:rFonts w:hint="eastAsia" w:ascii="宋体" w:hAnsi="宋体"/>
                <w:color w:val="auto"/>
                <w:sz w:val="21"/>
                <w:szCs w:val="21"/>
                <w:highlight w:val="none"/>
              </w:rPr>
              <w:t>母线槽</w:t>
            </w:r>
          </w:p>
        </w:tc>
        <w:tc>
          <w:tcPr>
            <w:tcW w:w="3834" w:type="dxa"/>
            <w:vAlign w:val="center"/>
          </w:tcPr>
          <w:p w14:paraId="573AF24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BYE白云、穗达电气、广州半径、南电、金铭利电气、富美</w:t>
            </w:r>
          </w:p>
        </w:tc>
        <w:tc>
          <w:tcPr>
            <w:tcW w:w="2001" w:type="dxa"/>
            <w:vAlign w:val="center"/>
          </w:tcPr>
          <w:p w14:paraId="0B6CEB5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6C8CBA1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24909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B411187">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7.12</w:t>
            </w:r>
          </w:p>
        </w:tc>
        <w:tc>
          <w:tcPr>
            <w:tcW w:w="1379" w:type="dxa"/>
            <w:vAlign w:val="center"/>
          </w:tcPr>
          <w:p w14:paraId="7A4A269B">
            <w:pPr>
              <w:jc w:val="center"/>
              <w:rPr>
                <w:rFonts w:hint="eastAsia" w:ascii="宋体" w:hAnsi="宋体"/>
                <w:color w:val="auto"/>
                <w:sz w:val="21"/>
                <w:szCs w:val="21"/>
                <w:highlight w:val="none"/>
              </w:rPr>
            </w:pPr>
            <w:r>
              <w:rPr>
                <w:rFonts w:hint="eastAsia" w:ascii="宋体" w:hAnsi="宋体"/>
                <w:color w:val="auto"/>
                <w:sz w:val="21"/>
                <w:szCs w:val="21"/>
                <w:highlight w:val="none"/>
              </w:rPr>
              <w:t>桥架、金属线管</w:t>
            </w:r>
          </w:p>
        </w:tc>
        <w:tc>
          <w:tcPr>
            <w:tcW w:w="3834" w:type="dxa"/>
            <w:vAlign w:val="center"/>
          </w:tcPr>
          <w:p w14:paraId="09B7FBD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天虹、宏际、中兴、QJ、文兴</w:t>
            </w:r>
          </w:p>
        </w:tc>
        <w:tc>
          <w:tcPr>
            <w:tcW w:w="2001" w:type="dxa"/>
            <w:vAlign w:val="center"/>
          </w:tcPr>
          <w:p w14:paraId="7245914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71E2CAF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6018D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B502982">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7.13</w:t>
            </w:r>
          </w:p>
        </w:tc>
        <w:tc>
          <w:tcPr>
            <w:tcW w:w="1379" w:type="dxa"/>
            <w:vAlign w:val="center"/>
          </w:tcPr>
          <w:p w14:paraId="2D55417C">
            <w:pPr>
              <w:jc w:val="center"/>
              <w:rPr>
                <w:rFonts w:hint="eastAsia" w:ascii="宋体" w:hAnsi="宋体"/>
                <w:color w:val="auto"/>
                <w:sz w:val="21"/>
                <w:szCs w:val="21"/>
                <w:highlight w:val="none"/>
              </w:rPr>
            </w:pPr>
            <w:r>
              <w:rPr>
                <w:rFonts w:hint="eastAsia" w:ascii="宋体" w:hAnsi="宋体"/>
                <w:color w:val="auto"/>
                <w:sz w:val="21"/>
                <w:szCs w:val="21"/>
                <w:highlight w:val="none"/>
              </w:rPr>
              <w:t>PVC塑料电线管</w:t>
            </w:r>
          </w:p>
        </w:tc>
        <w:tc>
          <w:tcPr>
            <w:tcW w:w="3834" w:type="dxa"/>
            <w:vAlign w:val="center"/>
          </w:tcPr>
          <w:p w14:paraId="3ABE030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枫叶、锋牌、联塑、顾地、清塑</w:t>
            </w:r>
          </w:p>
        </w:tc>
        <w:tc>
          <w:tcPr>
            <w:tcW w:w="2001" w:type="dxa"/>
            <w:vAlign w:val="center"/>
          </w:tcPr>
          <w:p w14:paraId="2687A46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3CBAAA0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24A9A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0" w:hRule="atLeast"/>
        </w:trPr>
        <w:tc>
          <w:tcPr>
            <w:tcW w:w="814" w:type="dxa"/>
            <w:vAlign w:val="center"/>
          </w:tcPr>
          <w:p w14:paraId="3401127B">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7.14</w:t>
            </w:r>
          </w:p>
        </w:tc>
        <w:tc>
          <w:tcPr>
            <w:tcW w:w="1379" w:type="dxa"/>
            <w:vAlign w:val="center"/>
          </w:tcPr>
          <w:p w14:paraId="282ED333">
            <w:pPr>
              <w:jc w:val="center"/>
              <w:rPr>
                <w:rFonts w:hint="eastAsia" w:ascii="宋体" w:hAnsi="宋体"/>
                <w:color w:val="auto"/>
                <w:sz w:val="21"/>
                <w:szCs w:val="21"/>
                <w:highlight w:val="none"/>
              </w:rPr>
            </w:pPr>
            <w:r>
              <w:rPr>
                <w:rFonts w:hint="eastAsia" w:ascii="宋体" w:hAnsi="宋体"/>
                <w:color w:val="auto"/>
                <w:sz w:val="21"/>
                <w:szCs w:val="21"/>
                <w:highlight w:val="none"/>
              </w:rPr>
              <w:t>室内照明灯具</w:t>
            </w:r>
          </w:p>
        </w:tc>
        <w:tc>
          <w:tcPr>
            <w:tcW w:w="3834" w:type="dxa"/>
            <w:vAlign w:val="center"/>
          </w:tcPr>
          <w:p w14:paraId="27690F3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佛山照明、三雄极光、LMJ、德洛斯、TCL</w:t>
            </w:r>
          </w:p>
        </w:tc>
        <w:tc>
          <w:tcPr>
            <w:tcW w:w="2001" w:type="dxa"/>
            <w:vAlign w:val="center"/>
          </w:tcPr>
          <w:p w14:paraId="04787F1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1DB0DA0B">
            <w:pPr>
              <w:ind w:firstLine="10" w:firstLineChars="5"/>
              <w:rPr>
                <w:rFonts w:hint="eastAsia"/>
                <w:color w:val="auto"/>
                <w:highlight w:val="none"/>
              </w:rPr>
            </w:pPr>
            <w:r>
              <w:rPr>
                <w:rFonts w:hint="eastAsia" w:ascii="宋体" w:hAnsi="宋体"/>
                <w:color w:val="auto"/>
                <w:sz w:val="21"/>
                <w:szCs w:val="21"/>
                <w:highlight w:val="none"/>
              </w:rPr>
              <w:t>　</w:t>
            </w:r>
          </w:p>
        </w:tc>
      </w:tr>
      <w:tr w14:paraId="740AF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trPr>
        <w:tc>
          <w:tcPr>
            <w:tcW w:w="814" w:type="dxa"/>
            <w:vAlign w:val="center"/>
          </w:tcPr>
          <w:p w14:paraId="1BFB9D38">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7.15</w:t>
            </w:r>
          </w:p>
        </w:tc>
        <w:tc>
          <w:tcPr>
            <w:tcW w:w="1379" w:type="dxa"/>
            <w:vAlign w:val="center"/>
          </w:tcPr>
          <w:p w14:paraId="1ECB38B9">
            <w:pPr>
              <w:ind w:left="-1" w:leftChars="-49" w:right="-77" w:rightChars="-35" w:hanging="107" w:hangingChars="51"/>
              <w:jc w:val="center"/>
              <w:rPr>
                <w:rFonts w:hint="eastAsia" w:ascii="宋体" w:hAnsi="宋体"/>
                <w:color w:val="auto"/>
                <w:sz w:val="21"/>
                <w:szCs w:val="21"/>
                <w:highlight w:val="none"/>
              </w:rPr>
            </w:pPr>
            <w:r>
              <w:rPr>
                <w:rFonts w:hint="eastAsia" w:ascii="宋体" w:hAnsi="宋体"/>
                <w:color w:val="auto"/>
                <w:sz w:val="21"/>
                <w:szCs w:val="21"/>
                <w:highlight w:val="none"/>
              </w:rPr>
              <w:t>室外灯具（广场灯、路灯、景观灯、室外照明LED灯等）</w:t>
            </w:r>
          </w:p>
        </w:tc>
        <w:tc>
          <w:tcPr>
            <w:tcW w:w="3834" w:type="dxa"/>
            <w:vAlign w:val="center"/>
          </w:tcPr>
          <w:p w14:paraId="754BE0B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三雄极光、佛山照明、雅江光电、LMJ、德洛斯</w:t>
            </w:r>
          </w:p>
        </w:tc>
        <w:tc>
          <w:tcPr>
            <w:tcW w:w="2001" w:type="dxa"/>
            <w:vAlign w:val="center"/>
          </w:tcPr>
          <w:p w14:paraId="7AF84EE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22F6E06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4A1D6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3AFCE71">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7.16</w:t>
            </w:r>
          </w:p>
        </w:tc>
        <w:tc>
          <w:tcPr>
            <w:tcW w:w="1379" w:type="dxa"/>
            <w:vAlign w:val="center"/>
          </w:tcPr>
          <w:p w14:paraId="6A8FB810">
            <w:pPr>
              <w:jc w:val="center"/>
              <w:rPr>
                <w:rFonts w:hint="eastAsia" w:ascii="宋体" w:hAnsi="宋体"/>
                <w:color w:val="auto"/>
                <w:sz w:val="21"/>
                <w:szCs w:val="21"/>
                <w:highlight w:val="none"/>
              </w:rPr>
            </w:pPr>
            <w:r>
              <w:rPr>
                <w:rFonts w:hint="eastAsia" w:ascii="宋体" w:hAnsi="宋体"/>
                <w:color w:val="auto"/>
                <w:sz w:val="21"/>
                <w:szCs w:val="21"/>
                <w:highlight w:val="none"/>
              </w:rPr>
              <w:t>应急照明灯具</w:t>
            </w:r>
          </w:p>
        </w:tc>
        <w:tc>
          <w:tcPr>
            <w:tcW w:w="3834" w:type="dxa"/>
            <w:vAlign w:val="center"/>
          </w:tcPr>
          <w:p w14:paraId="2695370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三雄极光、普博消防、佛山照明、GST</w:t>
            </w:r>
            <w:r>
              <w:rPr>
                <w:rFonts w:ascii="宋体" w:hAnsi="宋体"/>
                <w:color w:val="auto"/>
                <w:sz w:val="21"/>
                <w:szCs w:val="21"/>
                <w:highlight w:val="none"/>
              </w:rPr>
              <w:t xml:space="preserve"> </w:t>
            </w:r>
          </w:p>
        </w:tc>
        <w:tc>
          <w:tcPr>
            <w:tcW w:w="2001" w:type="dxa"/>
            <w:vAlign w:val="center"/>
          </w:tcPr>
          <w:p w14:paraId="456D9D2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1932BA2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必须满足消防认证验收需求</w:t>
            </w:r>
          </w:p>
        </w:tc>
      </w:tr>
      <w:tr w14:paraId="0CA300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66314EA5">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8、消防（电）系统</w:t>
            </w:r>
          </w:p>
        </w:tc>
      </w:tr>
      <w:tr w14:paraId="299DD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4538845">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8.1</w:t>
            </w:r>
          </w:p>
        </w:tc>
        <w:tc>
          <w:tcPr>
            <w:tcW w:w="1379" w:type="dxa"/>
            <w:vAlign w:val="center"/>
          </w:tcPr>
          <w:p w14:paraId="739FADE2">
            <w:pPr>
              <w:jc w:val="center"/>
              <w:rPr>
                <w:rFonts w:hint="eastAsia" w:ascii="宋体" w:hAnsi="宋体"/>
                <w:color w:val="auto"/>
                <w:sz w:val="21"/>
                <w:szCs w:val="21"/>
                <w:highlight w:val="none"/>
              </w:rPr>
            </w:pPr>
            <w:r>
              <w:rPr>
                <w:rFonts w:hint="eastAsia" w:ascii="宋体" w:hAnsi="宋体"/>
                <w:color w:val="auto"/>
                <w:sz w:val="21"/>
                <w:szCs w:val="21"/>
                <w:highlight w:val="none"/>
              </w:rPr>
              <w:t>消防自动报警系统</w:t>
            </w:r>
          </w:p>
        </w:tc>
        <w:tc>
          <w:tcPr>
            <w:tcW w:w="3834" w:type="dxa"/>
            <w:vAlign w:val="center"/>
          </w:tcPr>
          <w:p w14:paraId="4FDEA9B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利达、GST、北京西门子、普博消防、核中警</w:t>
            </w:r>
          </w:p>
        </w:tc>
        <w:tc>
          <w:tcPr>
            <w:tcW w:w="2001" w:type="dxa"/>
            <w:vAlign w:val="center"/>
          </w:tcPr>
          <w:p w14:paraId="2C22B49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4A75F0A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79E05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2888B1FF">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8.2</w:t>
            </w:r>
          </w:p>
        </w:tc>
        <w:tc>
          <w:tcPr>
            <w:tcW w:w="1379" w:type="dxa"/>
            <w:vAlign w:val="center"/>
          </w:tcPr>
          <w:p w14:paraId="1F2150E4">
            <w:pPr>
              <w:jc w:val="center"/>
              <w:rPr>
                <w:rFonts w:hint="eastAsia" w:ascii="宋体" w:hAnsi="宋体"/>
                <w:color w:val="auto"/>
                <w:sz w:val="21"/>
                <w:szCs w:val="21"/>
                <w:highlight w:val="none"/>
              </w:rPr>
            </w:pPr>
            <w:r>
              <w:rPr>
                <w:rFonts w:hint="eastAsia" w:ascii="宋体" w:hAnsi="宋体"/>
                <w:color w:val="auto"/>
                <w:sz w:val="21"/>
                <w:szCs w:val="21"/>
                <w:highlight w:val="none"/>
              </w:rPr>
              <w:t>防火卷帘</w:t>
            </w:r>
          </w:p>
        </w:tc>
        <w:tc>
          <w:tcPr>
            <w:tcW w:w="3834" w:type="dxa"/>
            <w:vAlign w:val="center"/>
          </w:tcPr>
          <w:p w14:paraId="5C28F8B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南粤、胜捷、飞风传动、白云南粤防火门</w:t>
            </w:r>
          </w:p>
        </w:tc>
        <w:tc>
          <w:tcPr>
            <w:tcW w:w="2001" w:type="dxa"/>
            <w:vAlign w:val="center"/>
          </w:tcPr>
          <w:p w14:paraId="2ADA860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1C54BCE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54CC2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2FB52EAB">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9、通风空调设备</w:t>
            </w:r>
          </w:p>
        </w:tc>
      </w:tr>
      <w:tr w14:paraId="74E67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841C313">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9.1</w:t>
            </w:r>
          </w:p>
        </w:tc>
        <w:tc>
          <w:tcPr>
            <w:tcW w:w="1379" w:type="dxa"/>
            <w:vAlign w:val="center"/>
          </w:tcPr>
          <w:p w14:paraId="4DE583E5">
            <w:pPr>
              <w:jc w:val="center"/>
              <w:rPr>
                <w:rFonts w:hint="eastAsia" w:ascii="宋体" w:hAnsi="宋体"/>
                <w:color w:val="auto"/>
                <w:sz w:val="21"/>
                <w:szCs w:val="21"/>
                <w:highlight w:val="none"/>
              </w:rPr>
            </w:pPr>
            <w:r>
              <w:rPr>
                <w:rFonts w:hint="eastAsia" w:ascii="宋体" w:hAnsi="宋体"/>
                <w:color w:val="auto"/>
                <w:sz w:val="21"/>
                <w:szCs w:val="21"/>
                <w:highlight w:val="none"/>
              </w:rPr>
              <w:t>冷水机组/离心风机</w:t>
            </w:r>
          </w:p>
        </w:tc>
        <w:tc>
          <w:tcPr>
            <w:tcW w:w="3834" w:type="dxa"/>
            <w:vAlign w:val="center"/>
          </w:tcPr>
          <w:p w14:paraId="7901D9C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约克YORK、日立冷机、华德羿歌、长沙远大集团、格力电器</w:t>
            </w:r>
          </w:p>
        </w:tc>
        <w:tc>
          <w:tcPr>
            <w:tcW w:w="2001" w:type="dxa"/>
            <w:vAlign w:val="center"/>
          </w:tcPr>
          <w:p w14:paraId="570CB59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《公共建筑节能设计标准》GB50189-2005、《采暖通风与空气调节设计规范》GB50019-2003、《建筑节能工程施工质量验收规范》GB50411-2007</w:t>
            </w:r>
          </w:p>
        </w:tc>
        <w:tc>
          <w:tcPr>
            <w:tcW w:w="1220" w:type="dxa"/>
            <w:vAlign w:val="center"/>
          </w:tcPr>
          <w:p w14:paraId="1D9EEC9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2C638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8460917">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9.2</w:t>
            </w:r>
          </w:p>
        </w:tc>
        <w:tc>
          <w:tcPr>
            <w:tcW w:w="1379" w:type="dxa"/>
            <w:vAlign w:val="center"/>
          </w:tcPr>
          <w:p w14:paraId="41D7A008">
            <w:pPr>
              <w:jc w:val="center"/>
              <w:rPr>
                <w:rFonts w:hint="eastAsia" w:ascii="宋体" w:hAnsi="宋体"/>
                <w:color w:val="auto"/>
                <w:sz w:val="21"/>
                <w:szCs w:val="21"/>
                <w:highlight w:val="none"/>
              </w:rPr>
            </w:pPr>
            <w:r>
              <w:rPr>
                <w:rFonts w:hint="eastAsia" w:ascii="宋体" w:hAnsi="宋体"/>
                <w:color w:val="auto"/>
                <w:sz w:val="21"/>
                <w:szCs w:val="21"/>
                <w:highlight w:val="none"/>
              </w:rPr>
              <w:t>多联机</w:t>
            </w:r>
          </w:p>
        </w:tc>
        <w:tc>
          <w:tcPr>
            <w:tcW w:w="3834" w:type="dxa"/>
            <w:vAlign w:val="center"/>
          </w:tcPr>
          <w:p w14:paraId="0823233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格力电器、美的集团、HITACHI日立、天加、欧科空调、海尔集团</w:t>
            </w:r>
          </w:p>
        </w:tc>
        <w:tc>
          <w:tcPr>
            <w:tcW w:w="2001" w:type="dxa"/>
            <w:vAlign w:val="center"/>
          </w:tcPr>
          <w:p w14:paraId="470B5D7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GB21454-2008《多联式空调（热泵）机组能效限定值及能源效率等级》、GB/T 18837-2002 《多联式空调（热泵）机组》、《公共建筑节能设计标准》GB50189-2005、《采暖通风与空气调节设计规范》GB50019-2003</w:t>
            </w:r>
          </w:p>
        </w:tc>
        <w:tc>
          <w:tcPr>
            <w:tcW w:w="1220" w:type="dxa"/>
            <w:vAlign w:val="center"/>
          </w:tcPr>
          <w:p w14:paraId="1A0E29B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2A622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1A1D7C6">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9.3</w:t>
            </w:r>
          </w:p>
        </w:tc>
        <w:tc>
          <w:tcPr>
            <w:tcW w:w="1379" w:type="dxa"/>
            <w:vAlign w:val="center"/>
          </w:tcPr>
          <w:p w14:paraId="38DF74B6">
            <w:pPr>
              <w:jc w:val="center"/>
              <w:rPr>
                <w:rFonts w:hint="eastAsia" w:ascii="宋体" w:hAnsi="宋体"/>
                <w:color w:val="auto"/>
                <w:sz w:val="21"/>
                <w:szCs w:val="21"/>
                <w:highlight w:val="none"/>
              </w:rPr>
            </w:pPr>
            <w:r>
              <w:rPr>
                <w:rFonts w:hint="eastAsia" w:ascii="宋体" w:hAnsi="宋体"/>
                <w:color w:val="auto"/>
                <w:sz w:val="21"/>
                <w:szCs w:val="21"/>
                <w:highlight w:val="none"/>
              </w:rPr>
              <w:t>风机（离心风机、轴流风机、消防风机、排风机、送风机）</w:t>
            </w:r>
          </w:p>
        </w:tc>
        <w:tc>
          <w:tcPr>
            <w:tcW w:w="3834" w:type="dxa"/>
            <w:vAlign w:val="center"/>
          </w:tcPr>
          <w:p w14:paraId="6F8D434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正野、南风股份、东莞飞达、鸿牛通风、百屋纯科技</w:t>
            </w:r>
          </w:p>
        </w:tc>
        <w:tc>
          <w:tcPr>
            <w:tcW w:w="2001" w:type="dxa"/>
            <w:vAlign w:val="center"/>
          </w:tcPr>
          <w:p w14:paraId="195B0C4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公共建筑节能设计标准》GB50189-2005、《采暖通风与空气调节设计规范》GB50019-2003、《建筑节能工程施工质量验收规范》GB50411-2007</w:t>
            </w:r>
          </w:p>
        </w:tc>
        <w:tc>
          <w:tcPr>
            <w:tcW w:w="1220" w:type="dxa"/>
            <w:vAlign w:val="center"/>
          </w:tcPr>
          <w:p w14:paraId="54F3DC9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59A37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13A18D34">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9.4</w:t>
            </w:r>
          </w:p>
        </w:tc>
        <w:tc>
          <w:tcPr>
            <w:tcW w:w="1379" w:type="dxa"/>
            <w:vAlign w:val="center"/>
          </w:tcPr>
          <w:p w14:paraId="37B2C887">
            <w:pPr>
              <w:jc w:val="center"/>
              <w:rPr>
                <w:rFonts w:hint="eastAsia"/>
                <w:color w:val="auto"/>
                <w:highlight w:val="none"/>
              </w:rPr>
            </w:pPr>
            <w:r>
              <w:rPr>
                <w:rFonts w:hint="eastAsia" w:ascii="宋体" w:hAnsi="宋体"/>
                <w:color w:val="auto"/>
                <w:sz w:val="21"/>
                <w:szCs w:val="21"/>
                <w:highlight w:val="none"/>
              </w:rPr>
              <w:t>换气扇/排气扇</w:t>
            </w:r>
          </w:p>
        </w:tc>
        <w:tc>
          <w:tcPr>
            <w:tcW w:w="3834" w:type="dxa"/>
            <w:vAlign w:val="center"/>
          </w:tcPr>
          <w:p w14:paraId="60C3A534">
            <w:pPr>
              <w:ind w:firstLine="10" w:firstLineChars="5"/>
              <w:rPr>
                <w:rFonts w:hint="eastAsia"/>
                <w:color w:val="auto"/>
                <w:highlight w:val="none"/>
              </w:rPr>
            </w:pPr>
            <w:r>
              <w:rPr>
                <w:rFonts w:hint="eastAsia" w:ascii="宋体" w:hAnsi="宋体"/>
                <w:color w:val="auto"/>
                <w:sz w:val="21"/>
                <w:szCs w:val="21"/>
                <w:highlight w:val="none"/>
              </w:rPr>
              <w:t>金羚、正野、朗能电器、绿岛风、百屋纯科技</w:t>
            </w:r>
          </w:p>
        </w:tc>
        <w:tc>
          <w:tcPr>
            <w:tcW w:w="2001" w:type="dxa"/>
            <w:vAlign w:val="center"/>
          </w:tcPr>
          <w:p w14:paraId="4CA5A4A4">
            <w:pPr>
              <w:ind w:firstLine="10" w:firstLineChars="5"/>
              <w:rPr>
                <w:rFonts w:hint="eastAsia"/>
                <w:color w:val="auto"/>
                <w:highlight w:val="none"/>
              </w:rPr>
            </w:pPr>
            <w:r>
              <w:rPr>
                <w:rFonts w:hint="eastAsia" w:ascii="宋体" w:hAnsi="宋体"/>
                <w:color w:val="auto"/>
                <w:sz w:val="21"/>
                <w:szCs w:val="21"/>
                <w:highlight w:val="none"/>
              </w:rPr>
              <w:t>　</w:t>
            </w:r>
          </w:p>
        </w:tc>
        <w:tc>
          <w:tcPr>
            <w:tcW w:w="1220" w:type="dxa"/>
            <w:vAlign w:val="center"/>
          </w:tcPr>
          <w:p w14:paraId="09A9FEE0">
            <w:pPr>
              <w:ind w:firstLine="10" w:firstLineChars="5"/>
              <w:rPr>
                <w:rFonts w:hint="eastAsia"/>
                <w:color w:val="auto"/>
                <w:highlight w:val="none"/>
              </w:rPr>
            </w:pPr>
            <w:r>
              <w:rPr>
                <w:rFonts w:hint="eastAsia" w:ascii="宋体" w:hAnsi="宋体"/>
                <w:color w:val="auto"/>
                <w:sz w:val="21"/>
                <w:szCs w:val="21"/>
                <w:highlight w:val="none"/>
              </w:rPr>
              <w:t>　</w:t>
            </w:r>
          </w:p>
        </w:tc>
      </w:tr>
      <w:tr w14:paraId="025BB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6FD6989A">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9.5</w:t>
            </w:r>
          </w:p>
        </w:tc>
        <w:tc>
          <w:tcPr>
            <w:tcW w:w="1379" w:type="dxa"/>
            <w:vMerge w:val="restart"/>
            <w:vAlign w:val="center"/>
          </w:tcPr>
          <w:p w14:paraId="16A933CC">
            <w:pPr>
              <w:jc w:val="center"/>
              <w:rPr>
                <w:rFonts w:hint="eastAsia" w:ascii="宋体" w:hAnsi="宋体"/>
                <w:color w:val="auto"/>
                <w:sz w:val="21"/>
                <w:szCs w:val="21"/>
                <w:highlight w:val="none"/>
              </w:rPr>
            </w:pPr>
            <w:r>
              <w:rPr>
                <w:rFonts w:hint="eastAsia" w:ascii="宋体" w:hAnsi="宋体"/>
                <w:color w:val="auto"/>
                <w:sz w:val="21"/>
                <w:szCs w:val="21"/>
                <w:highlight w:val="none"/>
              </w:rPr>
              <w:t>风口百叶/防雨百叶</w:t>
            </w:r>
          </w:p>
        </w:tc>
        <w:tc>
          <w:tcPr>
            <w:tcW w:w="3834" w:type="dxa"/>
            <w:vAlign w:val="center"/>
          </w:tcPr>
          <w:p w14:paraId="7434E9A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佛山市顺安空调设备有限公司</w:t>
            </w:r>
          </w:p>
        </w:tc>
        <w:tc>
          <w:tcPr>
            <w:tcW w:w="2001" w:type="dxa"/>
            <w:vMerge w:val="restart"/>
            <w:vAlign w:val="center"/>
          </w:tcPr>
          <w:p w14:paraId="2CF4B5F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Merge w:val="restart"/>
            <w:vAlign w:val="center"/>
          </w:tcPr>
          <w:p w14:paraId="42F66A6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4A16B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3D2EE1D">
            <w:pPr>
              <w:ind w:firstLine="35" w:firstLineChars="17"/>
              <w:jc w:val="center"/>
              <w:rPr>
                <w:rFonts w:hint="eastAsia" w:ascii="宋体" w:hAnsi="宋体"/>
                <w:color w:val="auto"/>
                <w:sz w:val="21"/>
                <w:szCs w:val="21"/>
                <w:highlight w:val="none"/>
              </w:rPr>
            </w:pPr>
          </w:p>
        </w:tc>
        <w:tc>
          <w:tcPr>
            <w:tcW w:w="1379" w:type="dxa"/>
            <w:vMerge w:val="continue"/>
            <w:vAlign w:val="center"/>
          </w:tcPr>
          <w:p w14:paraId="1E058BFB">
            <w:pPr>
              <w:jc w:val="center"/>
              <w:rPr>
                <w:rFonts w:hint="eastAsia" w:ascii="宋体" w:hAnsi="宋体"/>
                <w:color w:val="auto"/>
                <w:sz w:val="21"/>
                <w:szCs w:val="21"/>
                <w:highlight w:val="none"/>
              </w:rPr>
            </w:pPr>
          </w:p>
        </w:tc>
        <w:tc>
          <w:tcPr>
            <w:tcW w:w="3834" w:type="dxa"/>
            <w:vAlign w:val="center"/>
          </w:tcPr>
          <w:p w14:paraId="55D7E49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广州市耀安实业发展有限公司</w:t>
            </w:r>
          </w:p>
        </w:tc>
        <w:tc>
          <w:tcPr>
            <w:tcW w:w="2001" w:type="dxa"/>
            <w:vMerge w:val="continue"/>
            <w:vAlign w:val="center"/>
          </w:tcPr>
          <w:p w14:paraId="566853FC">
            <w:pPr>
              <w:ind w:firstLine="10" w:firstLineChars="5"/>
              <w:rPr>
                <w:rFonts w:hint="eastAsia" w:ascii="宋体" w:hAnsi="宋体"/>
                <w:color w:val="auto"/>
                <w:sz w:val="21"/>
                <w:szCs w:val="21"/>
                <w:highlight w:val="none"/>
              </w:rPr>
            </w:pPr>
          </w:p>
        </w:tc>
        <w:tc>
          <w:tcPr>
            <w:tcW w:w="1220" w:type="dxa"/>
            <w:vMerge w:val="continue"/>
            <w:vAlign w:val="center"/>
          </w:tcPr>
          <w:p w14:paraId="7B6AC50F">
            <w:pPr>
              <w:ind w:firstLine="10" w:firstLineChars="5"/>
              <w:rPr>
                <w:rFonts w:hint="eastAsia" w:ascii="宋体" w:hAnsi="宋体"/>
                <w:color w:val="auto"/>
                <w:sz w:val="21"/>
                <w:szCs w:val="21"/>
                <w:highlight w:val="none"/>
              </w:rPr>
            </w:pPr>
          </w:p>
        </w:tc>
      </w:tr>
      <w:tr w14:paraId="64C02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4FC8EB1">
            <w:pPr>
              <w:ind w:firstLine="36" w:firstLineChars="17"/>
              <w:jc w:val="center"/>
              <w:rPr>
                <w:rFonts w:hint="eastAsia" w:ascii="宋体" w:hAnsi="宋体"/>
                <w:b/>
                <w:color w:val="auto"/>
                <w:sz w:val="21"/>
                <w:szCs w:val="21"/>
                <w:highlight w:val="none"/>
              </w:rPr>
            </w:pPr>
          </w:p>
        </w:tc>
        <w:tc>
          <w:tcPr>
            <w:tcW w:w="1379" w:type="dxa"/>
            <w:vMerge w:val="continue"/>
            <w:vAlign w:val="center"/>
          </w:tcPr>
          <w:p w14:paraId="47FB1B3B">
            <w:pPr>
              <w:jc w:val="center"/>
              <w:rPr>
                <w:rFonts w:hint="eastAsia"/>
                <w:color w:val="auto"/>
                <w:highlight w:val="none"/>
              </w:rPr>
            </w:pPr>
          </w:p>
        </w:tc>
        <w:tc>
          <w:tcPr>
            <w:tcW w:w="3834" w:type="dxa"/>
            <w:vAlign w:val="center"/>
          </w:tcPr>
          <w:p w14:paraId="075074BD">
            <w:pPr>
              <w:ind w:firstLine="10" w:firstLineChars="5"/>
              <w:rPr>
                <w:rFonts w:hint="eastAsia"/>
                <w:color w:val="auto"/>
                <w:highlight w:val="none"/>
              </w:rPr>
            </w:pPr>
            <w:r>
              <w:rPr>
                <w:rFonts w:hint="eastAsia" w:ascii="宋体" w:hAnsi="宋体"/>
                <w:color w:val="auto"/>
                <w:sz w:val="21"/>
                <w:szCs w:val="21"/>
                <w:highlight w:val="none"/>
              </w:rPr>
              <w:t>东莞市飞达机电配套设备制造有限公司</w:t>
            </w:r>
          </w:p>
        </w:tc>
        <w:tc>
          <w:tcPr>
            <w:tcW w:w="2001" w:type="dxa"/>
            <w:vMerge w:val="continue"/>
            <w:vAlign w:val="center"/>
          </w:tcPr>
          <w:p w14:paraId="349B2305">
            <w:pPr>
              <w:ind w:firstLine="11" w:firstLineChars="5"/>
              <w:rPr>
                <w:rFonts w:hint="eastAsia"/>
                <w:color w:val="auto"/>
                <w:highlight w:val="none"/>
              </w:rPr>
            </w:pPr>
          </w:p>
        </w:tc>
        <w:tc>
          <w:tcPr>
            <w:tcW w:w="1220" w:type="dxa"/>
            <w:vMerge w:val="continue"/>
            <w:vAlign w:val="center"/>
          </w:tcPr>
          <w:p w14:paraId="3E9B3EAC">
            <w:pPr>
              <w:ind w:firstLine="11" w:firstLineChars="5"/>
              <w:rPr>
                <w:rFonts w:hint="eastAsia"/>
                <w:color w:val="auto"/>
                <w:highlight w:val="none"/>
              </w:rPr>
            </w:pPr>
          </w:p>
        </w:tc>
      </w:tr>
      <w:tr w14:paraId="47DF8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BA7A306">
            <w:pPr>
              <w:ind w:firstLine="35" w:firstLineChars="17"/>
              <w:jc w:val="center"/>
              <w:rPr>
                <w:rFonts w:hint="eastAsia" w:ascii="宋体" w:hAnsi="宋体"/>
                <w:color w:val="auto"/>
                <w:sz w:val="21"/>
                <w:szCs w:val="21"/>
                <w:highlight w:val="none"/>
              </w:rPr>
            </w:pPr>
          </w:p>
        </w:tc>
        <w:tc>
          <w:tcPr>
            <w:tcW w:w="1379" w:type="dxa"/>
            <w:vMerge w:val="continue"/>
            <w:vAlign w:val="center"/>
          </w:tcPr>
          <w:p w14:paraId="2925DE38">
            <w:pPr>
              <w:jc w:val="center"/>
              <w:rPr>
                <w:rFonts w:hint="eastAsia" w:ascii="宋体" w:hAnsi="宋体"/>
                <w:color w:val="auto"/>
                <w:sz w:val="21"/>
                <w:szCs w:val="21"/>
                <w:highlight w:val="none"/>
              </w:rPr>
            </w:pPr>
          </w:p>
        </w:tc>
        <w:tc>
          <w:tcPr>
            <w:tcW w:w="3834" w:type="dxa"/>
            <w:vAlign w:val="center"/>
          </w:tcPr>
          <w:p w14:paraId="2CCAD74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佛山市鸿牛通风设备有限公司</w:t>
            </w:r>
          </w:p>
        </w:tc>
        <w:tc>
          <w:tcPr>
            <w:tcW w:w="2001" w:type="dxa"/>
            <w:vMerge w:val="continue"/>
            <w:vAlign w:val="center"/>
          </w:tcPr>
          <w:p w14:paraId="7CB246FD">
            <w:pPr>
              <w:ind w:firstLine="10" w:firstLineChars="5"/>
              <w:rPr>
                <w:rFonts w:hint="eastAsia" w:ascii="宋体" w:hAnsi="宋体"/>
                <w:color w:val="auto"/>
                <w:sz w:val="21"/>
                <w:szCs w:val="21"/>
                <w:highlight w:val="none"/>
              </w:rPr>
            </w:pPr>
          </w:p>
        </w:tc>
        <w:tc>
          <w:tcPr>
            <w:tcW w:w="1220" w:type="dxa"/>
            <w:vMerge w:val="continue"/>
            <w:vAlign w:val="center"/>
          </w:tcPr>
          <w:p w14:paraId="5E5A4395">
            <w:pPr>
              <w:ind w:firstLine="10" w:firstLineChars="5"/>
              <w:rPr>
                <w:rFonts w:hint="eastAsia" w:ascii="宋体" w:hAnsi="宋体"/>
                <w:color w:val="auto"/>
                <w:sz w:val="21"/>
                <w:szCs w:val="21"/>
                <w:highlight w:val="none"/>
              </w:rPr>
            </w:pPr>
          </w:p>
        </w:tc>
      </w:tr>
      <w:tr w14:paraId="50580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6519AE78">
            <w:pPr>
              <w:ind w:firstLine="35" w:firstLineChars="17"/>
              <w:jc w:val="center"/>
              <w:rPr>
                <w:rFonts w:hint="eastAsia" w:ascii="宋体" w:hAnsi="宋体"/>
                <w:color w:val="auto"/>
                <w:sz w:val="21"/>
                <w:szCs w:val="21"/>
                <w:highlight w:val="none"/>
              </w:rPr>
            </w:pPr>
          </w:p>
        </w:tc>
        <w:tc>
          <w:tcPr>
            <w:tcW w:w="1379" w:type="dxa"/>
            <w:vMerge w:val="continue"/>
            <w:vAlign w:val="center"/>
          </w:tcPr>
          <w:p w14:paraId="25472E80">
            <w:pPr>
              <w:jc w:val="center"/>
              <w:rPr>
                <w:rFonts w:hint="eastAsia" w:ascii="宋体" w:hAnsi="宋体"/>
                <w:color w:val="auto"/>
                <w:sz w:val="21"/>
                <w:szCs w:val="21"/>
                <w:highlight w:val="none"/>
              </w:rPr>
            </w:pPr>
          </w:p>
        </w:tc>
        <w:tc>
          <w:tcPr>
            <w:tcW w:w="3834" w:type="dxa"/>
            <w:vAlign w:val="center"/>
          </w:tcPr>
          <w:p w14:paraId="36CFB67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广州市百屋纯科技有限公司</w:t>
            </w:r>
          </w:p>
        </w:tc>
        <w:tc>
          <w:tcPr>
            <w:tcW w:w="2001" w:type="dxa"/>
            <w:vMerge w:val="continue"/>
            <w:vAlign w:val="center"/>
          </w:tcPr>
          <w:p w14:paraId="59980EDB">
            <w:pPr>
              <w:ind w:firstLine="10" w:firstLineChars="5"/>
              <w:rPr>
                <w:rFonts w:hint="eastAsia" w:ascii="宋体" w:hAnsi="宋体"/>
                <w:color w:val="auto"/>
                <w:sz w:val="21"/>
                <w:szCs w:val="21"/>
                <w:highlight w:val="none"/>
              </w:rPr>
            </w:pPr>
          </w:p>
        </w:tc>
        <w:tc>
          <w:tcPr>
            <w:tcW w:w="1220" w:type="dxa"/>
            <w:vMerge w:val="continue"/>
            <w:vAlign w:val="center"/>
          </w:tcPr>
          <w:p w14:paraId="397ECBAA">
            <w:pPr>
              <w:ind w:firstLine="10" w:firstLineChars="5"/>
              <w:rPr>
                <w:rFonts w:hint="eastAsia" w:ascii="宋体" w:hAnsi="宋体"/>
                <w:color w:val="auto"/>
                <w:sz w:val="21"/>
                <w:szCs w:val="21"/>
                <w:highlight w:val="none"/>
              </w:rPr>
            </w:pPr>
          </w:p>
        </w:tc>
      </w:tr>
      <w:tr w14:paraId="63680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trPr>
        <w:tc>
          <w:tcPr>
            <w:tcW w:w="814" w:type="dxa"/>
            <w:vMerge w:val="restart"/>
            <w:vAlign w:val="center"/>
          </w:tcPr>
          <w:p w14:paraId="5BEB5EFB">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9.6</w:t>
            </w:r>
          </w:p>
        </w:tc>
        <w:tc>
          <w:tcPr>
            <w:tcW w:w="1379" w:type="dxa"/>
            <w:vMerge w:val="restart"/>
            <w:vAlign w:val="center"/>
          </w:tcPr>
          <w:p w14:paraId="6FA79E5E">
            <w:pPr>
              <w:jc w:val="center"/>
              <w:rPr>
                <w:rFonts w:hint="eastAsia" w:ascii="宋体" w:hAnsi="宋体"/>
                <w:color w:val="auto"/>
                <w:sz w:val="21"/>
                <w:szCs w:val="21"/>
                <w:highlight w:val="none"/>
              </w:rPr>
            </w:pPr>
            <w:r>
              <w:rPr>
                <w:rFonts w:hint="eastAsia" w:ascii="宋体" w:hAnsi="宋体"/>
                <w:color w:val="auto"/>
                <w:sz w:val="21"/>
                <w:szCs w:val="21"/>
                <w:highlight w:val="none"/>
              </w:rPr>
              <w:t>消声器</w:t>
            </w:r>
          </w:p>
        </w:tc>
        <w:tc>
          <w:tcPr>
            <w:tcW w:w="3834" w:type="dxa"/>
            <w:vAlign w:val="center"/>
          </w:tcPr>
          <w:p w14:paraId="0C737E8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佛山市鸿牛通风设备有限公司</w:t>
            </w:r>
          </w:p>
        </w:tc>
        <w:tc>
          <w:tcPr>
            <w:tcW w:w="2001" w:type="dxa"/>
            <w:vMerge w:val="restart"/>
            <w:vAlign w:val="center"/>
          </w:tcPr>
          <w:p w14:paraId="45C9B69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Merge w:val="restart"/>
            <w:vAlign w:val="center"/>
          </w:tcPr>
          <w:p w14:paraId="666FA05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099E8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0" w:hRule="atLeast"/>
        </w:trPr>
        <w:tc>
          <w:tcPr>
            <w:tcW w:w="814" w:type="dxa"/>
            <w:vMerge w:val="continue"/>
            <w:vAlign w:val="center"/>
          </w:tcPr>
          <w:p w14:paraId="2A1D6FE0">
            <w:pPr>
              <w:ind w:firstLine="35" w:firstLineChars="17"/>
              <w:jc w:val="center"/>
              <w:rPr>
                <w:rFonts w:hint="eastAsia" w:ascii="宋体" w:hAnsi="宋体"/>
                <w:color w:val="auto"/>
                <w:sz w:val="21"/>
                <w:szCs w:val="21"/>
                <w:highlight w:val="none"/>
              </w:rPr>
            </w:pPr>
          </w:p>
        </w:tc>
        <w:tc>
          <w:tcPr>
            <w:tcW w:w="1379" w:type="dxa"/>
            <w:vMerge w:val="continue"/>
            <w:vAlign w:val="center"/>
          </w:tcPr>
          <w:p w14:paraId="4659C09D">
            <w:pPr>
              <w:jc w:val="center"/>
              <w:rPr>
                <w:rFonts w:hint="eastAsia" w:ascii="宋体" w:hAnsi="宋体"/>
                <w:color w:val="auto"/>
                <w:sz w:val="21"/>
                <w:szCs w:val="21"/>
                <w:highlight w:val="none"/>
              </w:rPr>
            </w:pPr>
          </w:p>
        </w:tc>
        <w:tc>
          <w:tcPr>
            <w:tcW w:w="3834" w:type="dxa"/>
            <w:vAlign w:val="center"/>
          </w:tcPr>
          <w:p w14:paraId="7C3F118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广州市耀安实业发展有限公司</w:t>
            </w:r>
          </w:p>
        </w:tc>
        <w:tc>
          <w:tcPr>
            <w:tcW w:w="2001" w:type="dxa"/>
            <w:vMerge w:val="continue"/>
            <w:vAlign w:val="center"/>
          </w:tcPr>
          <w:p w14:paraId="1A8FBD90">
            <w:pPr>
              <w:ind w:firstLine="10" w:firstLineChars="5"/>
              <w:rPr>
                <w:rFonts w:hint="eastAsia" w:ascii="宋体" w:hAnsi="宋体"/>
                <w:color w:val="auto"/>
                <w:sz w:val="21"/>
                <w:szCs w:val="21"/>
                <w:highlight w:val="none"/>
              </w:rPr>
            </w:pPr>
          </w:p>
        </w:tc>
        <w:tc>
          <w:tcPr>
            <w:tcW w:w="1220" w:type="dxa"/>
            <w:vMerge w:val="continue"/>
            <w:vAlign w:val="center"/>
          </w:tcPr>
          <w:p w14:paraId="1767F13E">
            <w:pPr>
              <w:ind w:firstLine="10" w:firstLineChars="5"/>
              <w:rPr>
                <w:rFonts w:hint="eastAsia" w:ascii="宋体" w:hAnsi="宋体"/>
                <w:color w:val="auto"/>
                <w:sz w:val="21"/>
                <w:szCs w:val="21"/>
                <w:highlight w:val="none"/>
              </w:rPr>
            </w:pPr>
          </w:p>
        </w:tc>
      </w:tr>
      <w:tr w14:paraId="5BDC8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19238D2">
            <w:pPr>
              <w:ind w:firstLine="35" w:firstLineChars="17"/>
              <w:jc w:val="center"/>
              <w:rPr>
                <w:rFonts w:hint="eastAsia" w:ascii="宋体" w:hAnsi="宋体"/>
                <w:color w:val="auto"/>
                <w:sz w:val="21"/>
                <w:szCs w:val="21"/>
                <w:highlight w:val="none"/>
              </w:rPr>
            </w:pPr>
          </w:p>
        </w:tc>
        <w:tc>
          <w:tcPr>
            <w:tcW w:w="1379" w:type="dxa"/>
            <w:vMerge w:val="continue"/>
            <w:vAlign w:val="center"/>
          </w:tcPr>
          <w:p w14:paraId="019AA0C4">
            <w:pPr>
              <w:jc w:val="center"/>
              <w:rPr>
                <w:rFonts w:hint="eastAsia" w:ascii="宋体" w:hAnsi="宋体"/>
                <w:color w:val="auto"/>
                <w:sz w:val="21"/>
                <w:szCs w:val="21"/>
                <w:highlight w:val="none"/>
              </w:rPr>
            </w:pPr>
          </w:p>
        </w:tc>
        <w:tc>
          <w:tcPr>
            <w:tcW w:w="3834" w:type="dxa"/>
            <w:vAlign w:val="center"/>
          </w:tcPr>
          <w:p w14:paraId="241635D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东莞市飞达机电配套设备制造有限公司</w:t>
            </w:r>
          </w:p>
        </w:tc>
        <w:tc>
          <w:tcPr>
            <w:tcW w:w="2001" w:type="dxa"/>
            <w:vMerge w:val="continue"/>
            <w:vAlign w:val="center"/>
          </w:tcPr>
          <w:p w14:paraId="031BC975">
            <w:pPr>
              <w:ind w:firstLine="10" w:firstLineChars="5"/>
              <w:rPr>
                <w:rFonts w:hint="eastAsia" w:ascii="宋体" w:hAnsi="宋体"/>
                <w:color w:val="auto"/>
                <w:sz w:val="21"/>
                <w:szCs w:val="21"/>
                <w:highlight w:val="none"/>
              </w:rPr>
            </w:pPr>
          </w:p>
        </w:tc>
        <w:tc>
          <w:tcPr>
            <w:tcW w:w="1220" w:type="dxa"/>
            <w:vMerge w:val="continue"/>
            <w:vAlign w:val="center"/>
          </w:tcPr>
          <w:p w14:paraId="5C0C3866">
            <w:pPr>
              <w:ind w:firstLine="10" w:firstLineChars="5"/>
              <w:rPr>
                <w:rFonts w:hint="eastAsia" w:ascii="宋体" w:hAnsi="宋体"/>
                <w:color w:val="auto"/>
                <w:sz w:val="21"/>
                <w:szCs w:val="21"/>
                <w:highlight w:val="none"/>
              </w:rPr>
            </w:pPr>
          </w:p>
        </w:tc>
      </w:tr>
      <w:tr w14:paraId="3B6B3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37339B6F">
            <w:pPr>
              <w:ind w:firstLine="35" w:firstLineChars="17"/>
              <w:jc w:val="center"/>
              <w:rPr>
                <w:rFonts w:hint="eastAsia" w:ascii="宋体" w:hAnsi="宋体"/>
                <w:color w:val="auto"/>
                <w:sz w:val="21"/>
                <w:szCs w:val="21"/>
                <w:highlight w:val="none"/>
              </w:rPr>
            </w:pPr>
          </w:p>
        </w:tc>
        <w:tc>
          <w:tcPr>
            <w:tcW w:w="1379" w:type="dxa"/>
            <w:vMerge w:val="continue"/>
            <w:vAlign w:val="center"/>
          </w:tcPr>
          <w:p w14:paraId="51DEC1A6">
            <w:pPr>
              <w:jc w:val="center"/>
              <w:rPr>
                <w:rFonts w:hint="eastAsia" w:ascii="宋体" w:hAnsi="宋体"/>
                <w:color w:val="auto"/>
                <w:sz w:val="21"/>
                <w:szCs w:val="21"/>
                <w:highlight w:val="none"/>
              </w:rPr>
            </w:pPr>
          </w:p>
        </w:tc>
        <w:tc>
          <w:tcPr>
            <w:tcW w:w="3834" w:type="dxa"/>
            <w:vAlign w:val="center"/>
          </w:tcPr>
          <w:p w14:paraId="69B7CC5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深圳中航大记公司</w:t>
            </w:r>
          </w:p>
        </w:tc>
        <w:tc>
          <w:tcPr>
            <w:tcW w:w="2001" w:type="dxa"/>
            <w:vMerge w:val="continue"/>
            <w:vAlign w:val="center"/>
          </w:tcPr>
          <w:p w14:paraId="4B278ABC">
            <w:pPr>
              <w:ind w:firstLine="10" w:firstLineChars="5"/>
              <w:rPr>
                <w:rFonts w:hint="eastAsia" w:ascii="宋体" w:hAnsi="宋体"/>
                <w:color w:val="auto"/>
                <w:sz w:val="21"/>
                <w:szCs w:val="21"/>
                <w:highlight w:val="none"/>
              </w:rPr>
            </w:pPr>
          </w:p>
        </w:tc>
        <w:tc>
          <w:tcPr>
            <w:tcW w:w="1220" w:type="dxa"/>
            <w:vMerge w:val="continue"/>
            <w:vAlign w:val="center"/>
          </w:tcPr>
          <w:p w14:paraId="470239AB">
            <w:pPr>
              <w:ind w:firstLine="10" w:firstLineChars="5"/>
              <w:rPr>
                <w:rFonts w:hint="eastAsia" w:ascii="宋体" w:hAnsi="宋体"/>
                <w:color w:val="auto"/>
                <w:sz w:val="21"/>
                <w:szCs w:val="21"/>
                <w:highlight w:val="none"/>
              </w:rPr>
            </w:pPr>
          </w:p>
        </w:tc>
      </w:tr>
      <w:tr w14:paraId="20545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BA1B1C6">
            <w:pPr>
              <w:ind w:firstLine="35" w:firstLineChars="17"/>
              <w:jc w:val="center"/>
              <w:rPr>
                <w:rFonts w:hint="eastAsia" w:ascii="宋体" w:hAnsi="宋体"/>
                <w:color w:val="auto"/>
                <w:sz w:val="21"/>
                <w:szCs w:val="21"/>
                <w:highlight w:val="none"/>
              </w:rPr>
            </w:pPr>
          </w:p>
        </w:tc>
        <w:tc>
          <w:tcPr>
            <w:tcW w:w="1379" w:type="dxa"/>
            <w:vMerge w:val="continue"/>
            <w:vAlign w:val="center"/>
          </w:tcPr>
          <w:p w14:paraId="252DABBC">
            <w:pPr>
              <w:jc w:val="center"/>
              <w:rPr>
                <w:rFonts w:hint="eastAsia" w:ascii="宋体" w:hAnsi="宋体"/>
                <w:color w:val="auto"/>
                <w:sz w:val="21"/>
                <w:szCs w:val="21"/>
                <w:highlight w:val="none"/>
              </w:rPr>
            </w:pPr>
          </w:p>
        </w:tc>
        <w:tc>
          <w:tcPr>
            <w:tcW w:w="3834" w:type="dxa"/>
            <w:vAlign w:val="center"/>
          </w:tcPr>
          <w:p w14:paraId="6422049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广州中金鼎人防工程有限公司</w:t>
            </w:r>
          </w:p>
        </w:tc>
        <w:tc>
          <w:tcPr>
            <w:tcW w:w="2001" w:type="dxa"/>
            <w:vMerge w:val="continue"/>
            <w:vAlign w:val="center"/>
          </w:tcPr>
          <w:p w14:paraId="0817F985">
            <w:pPr>
              <w:ind w:firstLine="10" w:firstLineChars="5"/>
              <w:rPr>
                <w:rFonts w:hint="eastAsia" w:ascii="宋体" w:hAnsi="宋体"/>
                <w:color w:val="auto"/>
                <w:sz w:val="21"/>
                <w:szCs w:val="21"/>
                <w:highlight w:val="none"/>
              </w:rPr>
            </w:pPr>
          </w:p>
        </w:tc>
        <w:tc>
          <w:tcPr>
            <w:tcW w:w="1220" w:type="dxa"/>
            <w:vMerge w:val="continue"/>
            <w:vAlign w:val="center"/>
          </w:tcPr>
          <w:p w14:paraId="1ACC07CF">
            <w:pPr>
              <w:ind w:firstLine="10" w:firstLineChars="5"/>
              <w:rPr>
                <w:rFonts w:hint="eastAsia" w:ascii="宋体" w:hAnsi="宋体"/>
                <w:color w:val="auto"/>
                <w:sz w:val="21"/>
                <w:szCs w:val="21"/>
                <w:highlight w:val="none"/>
              </w:rPr>
            </w:pPr>
          </w:p>
        </w:tc>
      </w:tr>
      <w:tr w14:paraId="4BF79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5E589720">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9.7</w:t>
            </w:r>
          </w:p>
        </w:tc>
        <w:tc>
          <w:tcPr>
            <w:tcW w:w="1379" w:type="dxa"/>
            <w:vMerge w:val="restart"/>
            <w:vAlign w:val="center"/>
          </w:tcPr>
          <w:p w14:paraId="07AA9D04">
            <w:pPr>
              <w:jc w:val="center"/>
              <w:rPr>
                <w:rFonts w:hint="eastAsia" w:ascii="宋体" w:hAnsi="宋体"/>
                <w:color w:val="auto"/>
                <w:sz w:val="21"/>
                <w:szCs w:val="21"/>
                <w:highlight w:val="none"/>
              </w:rPr>
            </w:pPr>
            <w:r>
              <w:rPr>
                <w:rFonts w:hint="eastAsia" w:ascii="宋体" w:hAnsi="宋体"/>
                <w:color w:val="auto"/>
                <w:sz w:val="21"/>
                <w:szCs w:val="21"/>
                <w:highlight w:val="none"/>
              </w:rPr>
              <w:t>阀门（排气阀、防火阀、排烟防火阀等）</w:t>
            </w:r>
          </w:p>
        </w:tc>
        <w:tc>
          <w:tcPr>
            <w:tcW w:w="3834" w:type="dxa"/>
            <w:vAlign w:val="center"/>
          </w:tcPr>
          <w:p w14:paraId="375655A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佛山市顺安空调设备有限公司</w:t>
            </w:r>
          </w:p>
        </w:tc>
        <w:tc>
          <w:tcPr>
            <w:tcW w:w="2001" w:type="dxa"/>
            <w:vMerge w:val="restart"/>
            <w:vAlign w:val="center"/>
          </w:tcPr>
          <w:p w14:paraId="061FDDA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Merge w:val="restart"/>
            <w:vAlign w:val="center"/>
          </w:tcPr>
          <w:p w14:paraId="0F87132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0F2F0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49FDA86">
            <w:pPr>
              <w:ind w:firstLine="35" w:firstLineChars="17"/>
              <w:jc w:val="center"/>
              <w:rPr>
                <w:rFonts w:hint="eastAsia" w:ascii="宋体" w:hAnsi="宋体"/>
                <w:color w:val="auto"/>
                <w:sz w:val="21"/>
                <w:szCs w:val="21"/>
                <w:highlight w:val="none"/>
              </w:rPr>
            </w:pPr>
          </w:p>
        </w:tc>
        <w:tc>
          <w:tcPr>
            <w:tcW w:w="1379" w:type="dxa"/>
            <w:vMerge w:val="continue"/>
            <w:vAlign w:val="center"/>
          </w:tcPr>
          <w:p w14:paraId="338F3EB7">
            <w:pPr>
              <w:jc w:val="center"/>
              <w:rPr>
                <w:rFonts w:hint="eastAsia" w:ascii="宋体" w:hAnsi="宋体"/>
                <w:color w:val="auto"/>
                <w:sz w:val="21"/>
                <w:szCs w:val="21"/>
                <w:highlight w:val="none"/>
              </w:rPr>
            </w:pPr>
          </w:p>
        </w:tc>
        <w:tc>
          <w:tcPr>
            <w:tcW w:w="3834" w:type="dxa"/>
            <w:vAlign w:val="center"/>
          </w:tcPr>
          <w:p w14:paraId="1965CC0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广州市耀安实业发展有限公司</w:t>
            </w:r>
          </w:p>
        </w:tc>
        <w:tc>
          <w:tcPr>
            <w:tcW w:w="2001" w:type="dxa"/>
            <w:vMerge w:val="continue"/>
            <w:vAlign w:val="center"/>
          </w:tcPr>
          <w:p w14:paraId="7150B7FA">
            <w:pPr>
              <w:ind w:firstLine="10" w:firstLineChars="5"/>
              <w:rPr>
                <w:rFonts w:hint="eastAsia" w:ascii="宋体" w:hAnsi="宋体"/>
                <w:color w:val="auto"/>
                <w:sz w:val="21"/>
                <w:szCs w:val="21"/>
                <w:highlight w:val="none"/>
              </w:rPr>
            </w:pPr>
          </w:p>
        </w:tc>
        <w:tc>
          <w:tcPr>
            <w:tcW w:w="1220" w:type="dxa"/>
            <w:vMerge w:val="continue"/>
            <w:vAlign w:val="center"/>
          </w:tcPr>
          <w:p w14:paraId="40AEDBB2">
            <w:pPr>
              <w:ind w:firstLine="10" w:firstLineChars="5"/>
              <w:rPr>
                <w:rFonts w:hint="eastAsia" w:ascii="宋体" w:hAnsi="宋体"/>
                <w:color w:val="auto"/>
                <w:sz w:val="21"/>
                <w:szCs w:val="21"/>
                <w:highlight w:val="none"/>
              </w:rPr>
            </w:pPr>
          </w:p>
        </w:tc>
      </w:tr>
      <w:tr w14:paraId="38D23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A649E0A">
            <w:pPr>
              <w:ind w:firstLine="35" w:firstLineChars="17"/>
              <w:jc w:val="center"/>
              <w:rPr>
                <w:rFonts w:hint="eastAsia" w:ascii="宋体" w:hAnsi="宋体"/>
                <w:color w:val="auto"/>
                <w:sz w:val="21"/>
                <w:szCs w:val="21"/>
                <w:highlight w:val="none"/>
              </w:rPr>
            </w:pPr>
          </w:p>
        </w:tc>
        <w:tc>
          <w:tcPr>
            <w:tcW w:w="1379" w:type="dxa"/>
            <w:vMerge w:val="continue"/>
            <w:vAlign w:val="center"/>
          </w:tcPr>
          <w:p w14:paraId="210FB330">
            <w:pPr>
              <w:jc w:val="center"/>
              <w:rPr>
                <w:rFonts w:hint="eastAsia" w:ascii="宋体" w:hAnsi="宋体"/>
                <w:color w:val="auto"/>
                <w:sz w:val="21"/>
                <w:szCs w:val="21"/>
                <w:highlight w:val="none"/>
              </w:rPr>
            </w:pPr>
          </w:p>
        </w:tc>
        <w:tc>
          <w:tcPr>
            <w:tcW w:w="3834" w:type="dxa"/>
            <w:vAlign w:val="center"/>
          </w:tcPr>
          <w:p w14:paraId="7259EBD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东莞市飞达机电配套设备制造有限公司</w:t>
            </w:r>
          </w:p>
        </w:tc>
        <w:tc>
          <w:tcPr>
            <w:tcW w:w="2001" w:type="dxa"/>
            <w:vMerge w:val="continue"/>
            <w:vAlign w:val="center"/>
          </w:tcPr>
          <w:p w14:paraId="7EB961CE">
            <w:pPr>
              <w:ind w:firstLine="10" w:firstLineChars="5"/>
              <w:rPr>
                <w:rFonts w:hint="eastAsia" w:ascii="宋体" w:hAnsi="宋体"/>
                <w:color w:val="auto"/>
                <w:sz w:val="21"/>
                <w:szCs w:val="21"/>
                <w:highlight w:val="none"/>
              </w:rPr>
            </w:pPr>
          </w:p>
        </w:tc>
        <w:tc>
          <w:tcPr>
            <w:tcW w:w="1220" w:type="dxa"/>
            <w:vMerge w:val="continue"/>
            <w:vAlign w:val="center"/>
          </w:tcPr>
          <w:p w14:paraId="28EA1FC9">
            <w:pPr>
              <w:ind w:firstLine="10" w:firstLineChars="5"/>
              <w:rPr>
                <w:rFonts w:hint="eastAsia" w:ascii="宋体" w:hAnsi="宋体"/>
                <w:color w:val="auto"/>
                <w:sz w:val="21"/>
                <w:szCs w:val="21"/>
                <w:highlight w:val="none"/>
              </w:rPr>
            </w:pPr>
          </w:p>
        </w:tc>
      </w:tr>
      <w:tr w14:paraId="3A422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3918120">
            <w:pPr>
              <w:ind w:firstLine="35" w:firstLineChars="17"/>
              <w:jc w:val="center"/>
              <w:rPr>
                <w:rFonts w:hint="eastAsia" w:ascii="宋体" w:hAnsi="宋体"/>
                <w:color w:val="auto"/>
                <w:sz w:val="21"/>
                <w:szCs w:val="21"/>
                <w:highlight w:val="none"/>
              </w:rPr>
            </w:pPr>
          </w:p>
        </w:tc>
        <w:tc>
          <w:tcPr>
            <w:tcW w:w="1379" w:type="dxa"/>
            <w:vMerge w:val="continue"/>
            <w:vAlign w:val="center"/>
          </w:tcPr>
          <w:p w14:paraId="3013ABD3">
            <w:pPr>
              <w:jc w:val="center"/>
              <w:rPr>
                <w:rFonts w:hint="eastAsia" w:ascii="宋体" w:hAnsi="宋体"/>
                <w:color w:val="auto"/>
                <w:sz w:val="21"/>
                <w:szCs w:val="21"/>
                <w:highlight w:val="none"/>
              </w:rPr>
            </w:pPr>
          </w:p>
        </w:tc>
        <w:tc>
          <w:tcPr>
            <w:tcW w:w="3834" w:type="dxa"/>
            <w:vAlign w:val="center"/>
          </w:tcPr>
          <w:p w14:paraId="7DB3999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佛山市鸿牛通风设备有限公司</w:t>
            </w:r>
          </w:p>
        </w:tc>
        <w:tc>
          <w:tcPr>
            <w:tcW w:w="2001" w:type="dxa"/>
            <w:vMerge w:val="continue"/>
            <w:vAlign w:val="center"/>
          </w:tcPr>
          <w:p w14:paraId="6E180AD2">
            <w:pPr>
              <w:ind w:firstLine="10" w:firstLineChars="5"/>
              <w:rPr>
                <w:rFonts w:hint="eastAsia" w:ascii="宋体" w:hAnsi="宋体"/>
                <w:color w:val="auto"/>
                <w:sz w:val="21"/>
                <w:szCs w:val="21"/>
                <w:highlight w:val="none"/>
              </w:rPr>
            </w:pPr>
          </w:p>
        </w:tc>
        <w:tc>
          <w:tcPr>
            <w:tcW w:w="1220" w:type="dxa"/>
            <w:vMerge w:val="continue"/>
            <w:vAlign w:val="center"/>
          </w:tcPr>
          <w:p w14:paraId="2B6419E5">
            <w:pPr>
              <w:ind w:firstLine="10" w:firstLineChars="5"/>
              <w:rPr>
                <w:rFonts w:hint="eastAsia" w:ascii="宋体" w:hAnsi="宋体"/>
                <w:color w:val="auto"/>
                <w:sz w:val="21"/>
                <w:szCs w:val="21"/>
                <w:highlight w:val="none"/>
              </w:rPr>
            </w:pPr>
          </w:p>
        </w:tc>
      </w:tr>
      <w:tr w14:paraId="5CEA9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6CDF08D">
            <w:pPr>
              <w:ind w:firstLine="35" w:firstLineChars="17"/>
              <w:jc w:val="center"/>
              <w:rPr>
                <w:rFonts w:hint="eastAsia" w:ascii="宋体" w:hAnsi="宋体"/>
                <w:color w:val="auto"/>
                <w:sz w:val="21"/>
                <w:szCs w:val="21"/>
                <w:highlight w:val="none"/>
              </w:rPr>
            </w:pPr>
          </w:p>
        </w:tc>
        <w:tc>
          <w:tcPr>
            <w:tcW w:w="1379" w:type="dxa"/>
            <w:vMerge w:val="continue"/>
            <w:vAlign w:val="center"/>
          </w:tcPr>
          <w:p w14:paraId="75921854">
            <w:pPr>
              <w:jc w:val="center"/>
              <w:rPr>
                <w:rFonts w:hint="eastAsia" w:ascii="宋体" w:hAnsi="宋体"/>
                <w:color w:val="auto"/>
                <w:sz w:val="21"/>
                <w:szCs w:val="21"/>
                <w:highlight w:val="none"/>
              </w:rPr>
            </w:pPr>
          </w:p>
        </w:tc>
        <w:tc>
          <w:tcPr>
            <w:tcW w:w="3834" w:type="dxa"/>
            <w:vAlign w:val="center"/>
          </w:tcPr>
          <w:p w14:paraId="00BC36D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云浮市云丰环保设备有限公司</w:t>
            </w:r>
          </w:p>
        </w:tc>
        <w:tc>
          <w:tcPr>
            <w:tcW w:w="2001" w:type="dxa"/>
            <w:vMerge w:val="continue"/>
            <w:vAlign w:val="center"/>
          </w:tcPr>
          <w:p w14:paraId="4F8FC3C5">
            <w:pPr>
              <w:ind w:firstLine="10" w:firstLineChars="5"/>
              <w:rPr>
                <w:rFonts w:hint="eastAsia" w:ascii="宋体" w:hAnsi="宋体"/>
                <w:color w:val="auto"/>
                <w:sz w:val="21"/>
                <w:szCs w:val="21"/>
                <w:highlight w:val="none"/>
              </w:rPr>
            </w:pPr>
          </w:p>
        </w:tc>
        <w:tc>
          <w:tcPr>
            <w:tcW w:w="1220" w:type="dxa"/>
            <w:vMerge w:val="continue"/>
            <w:vAlign w:val="center"/>
          </w:tcPr>
          <w:p w14:paraId="59564039">
            <w:pPr>
              <w:ind w:firstLine="10" w:firstLineChars="5"/>
              <w:rPr>
                <w:rFonts w:hint="eastAsia" w:ascii="宋体" w:hAnsi="宋体"/>
                <w:color w:val="auto"/>
                <w:sz w:val="21"/>
                <w:szCs w:val="21"/>
                <w:highlight w:val="none"/>
              </w:rPr>
            </w:pPr>
          </w:p>
        </w:tc>
      </w:tr>
      <w:tr w14:paraId="3F37D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3008086C">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10、抗震支架</w:t>
            </w:r>
          </w:p>
        </w:tc>
      </w:tr>
      <w:tr w14:paraId="3DDE9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D84B5F7">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10.1</w:t>
            </w:r>
          </w:p>
        </w:tc>
        <w:tc>
          <w:tcPr>
            <w:tcW w:w="1379" w:type="dxa"/>
            <w:vAlign w:val="center"/>
          </w:tcPr>
          <w:p w14:paraId="4745A77C">
            <w:pPr>
              <w:ind w:left="-1" w:leftChars="-49" w:right="-77" w:rightChars="-35" w:hanging="107" w:hangingChars="51"/>
              <w:jc w:val="center"/>
              <w:rPr>
                <w:rFonts w:hint="eastAsia" w:ascii="宋体" w:hAnsi="宋体"/>
                <w:color w:val="auto"/>
                <w:sz w:val="21"/>
                <w:szCs w:val="21"/>
                <w:highlight w:val="none"/>
              </w:rPr>
            </w:pPr>
            <w:r>
              <w:rPr>
                <w:rFonts w:hint="eastAsia" w:ascii="宋体" w:hAnsi="宋体"/>
                <w:color w:val="auto"/>
                <w:sz w:val="21"/>
                <w:szCs w:val="21"/>
                <w:highlight w:val="none"/>
              </w:rPr>
              <w:t>抗震支架（成品支架）</w:t>
            </w:r>
          </w:p>
        </w:tc>
        <w:tc>
          <w:tcPr>
            <w:tcW w:w="3834" w:type="dxa"/>
            <w:vAlign w:val="center"/>
          </w:tcPr>
          <w:p w14:paraId="5637295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喜利得、华侨振动、江苏</w:t>
            </w:r>
          </w:p>
          <w:p w14:paraId="1D39107F">
            <w:pPr>
              <w:ind w:firstLine="10" w:firstLineChars="5"/>
              <w:rPr>
                <w:rFonts w:hint="eastAsia" w:ascii="宋体" w:hAnsi="宋体"/>
                <w:color w:val="auto"/>
                <w:sz w:val="21"/>
                <w:szCs w:val="21"/>
                <w:highlight w:val="none"/>
              </w:rPr>
            </w:pPr>
          </w:p>
          <w:p w14:paraId="313AAC95">
            <w:pPr>
              <w:ind w:firstLine="10" w:firstLineChars="5"/>
              <w:rPr>
                <w:rFonts w:hint="eastAsia" w:ascii="宋体" w:hAnsi="宋体"/>
                <w:color w:val="auto"/>
                <w:sz w:val="21"/>
                <w:szCs w:val="21"/>
                <w:highlight w:val="none"/>
              </w:rPr>
            </w:pPr>
          </w:p>
          <w:p w14:paraId="32FB9EC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迅杰、派来固、帕亮、伟固科技、冠蓝实业、凡祖</w:t>
            </w:r>
          </w:p>
        </w:tc>
        <w:tc>
          <w:tcPr>
            <w:tcW w:w="2001" w:type="dxa"/>
            <w:vAlign w:val="center"/>
          </w:tcPr>
          <w:p w14:paraId="7A08140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22F576E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3C357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208F8030">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11、智能化系统</w:t>
            </w:r>
          </w:p>
        </w:tc>
      </w:tr>
      <w:tr w14:paraId="459F0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B444A73">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11.1</w:t>
            </w:r>
          </w:p>
        </w:tc>
        <w:tc>
          <w:tcPr>
            <w:tcW w:w="1379" w:type="dxa"/>
            <w:vAlign w:val="center"/>
          </w:tcPr>
          <w:p w14:paraId="35E90135">
            <w:pPr>
              <w:jc w:val="center"/>
              <w:rPr>
                <w:rFonts w:hint="eastAsia" w:ascii="宋体" w:hAnsi="宋体"/>
                <w:color w:val="auto"/>
                <w:sz w:val="21"/>
                <w:szCs w:val="21"/>
                <w:highlight w:val="none"/>
              </w:rPr>
            </w:pPr>
            <w:r>
              <w:rPr>
                <w:rFonts w:hint="eastAsia" w:ascii="宋体" w:hAnsi="宋体"/>
                <w:color w:val="auto"/>
                <w:sz w:val="21"/>
                <w:szCs w:val="21"/>
                <w:highlight w:val="none"/>
              </w:rPr>
              <w:t>服务器</w:t>
            </w:r>
          </w:p>
        </w:tc>
        <w:tc>
          <w:tcPr>
            <w:tcW w:w="3834" w:type="dxa"/>
            <w:vAlign w:val="center"/>
          </w:tcPr>
          <w:p w14:paraId="46E0299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惠普、IBM、戴尔DELL、联想、浙江大华、同方</w:t>
            </w:r>
          </w:p>
        </w:tc>
        <w:tc>
          <w:tcPr>
            <w:tcW w:w="2001" w:type="dxa"/>
            <w:vAlign w:val="center"/>
          </w:tcPr>
          <w:p w14:paraId="20A86FC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78D6058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70CB3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10785AD">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11.2</w:t>
            </w:r>
          </w:p>
        </w:tc>
        <w:tc>
          <w:tcPr>
            <w:tcW w:w="1379" w:type="dxa"/>
            <w:vAlign w:val="center"/>
          </w:tcPr>
          <w:p w14:paraId="189FED5B">
            <w:pPr>
              <w:jc w:val="center"/>
              <w:rPr>
                <w:rFonts w:hint="eastAsia" w:ascii="宋体" w:hAnsi="宋体"/>
                <w:color w:val="auto"/>
                <w:sz w:val="21"/>
                <w:szCs w:val="21"/>
                <w:highlight w:val="none"/>
              </w:rPr>
            </w:pPr>
            <w:r>
              <w:rPr>
                <w:rFonts w:hint="eastAsia" w:ascii="宋体" w:hAnsi="宋体"/>
                <w:color w:val="auto"/>
                <w:sz w:val="21"/>
                <w:szCs w:val="21"/>
                <w:highlight w:val="none"/>
              </w:rPr>
              <w:t>计算机</w:t>
            </w:r>
          </w:p>
        </w:tc>
        <w:tc>
          <w:tcPr>
            <w:tcW w:w="3834" w:type="dxa"/>
            <w:vAlign w:val="center"/>
          </w:tcPr>
          <w:p w14:paraId="4A6175A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戴尔DELL、惠普、联想、同方、华硕</w:t>
            </w:r>
          </w:p>
        </w:tc>
        <w:tc>
          <w:tcPr>
            <w:tcW w:w="2001" w:type="dxa"/>
            <w:vAlign w:val="center"/>
          </w:tcPr>
          <w:p w14:paraId="17EC6D5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642B6B9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7F219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E045AFC">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11.3</w:t>
            </w:r>
          </w:p>
        </w:tc>
        <w:tc>
          <w:tcPr>
            <w:tcW w:w="1379" w:type="dxa"/>
            <w:vAlign w:val="center"/>
          </w:tcPr>
          <w:p w14:paraId="48233C34">
            <w:pPr>
              <w:jc w:val="center"/>
              <w:rPr>
                <w:rFonts w:hint="eastAsia" w:ascii="宋体" w:hAnsi="宋体"/>
                <w:color w:val="auto"/>
                <w:sz w:val="21"/>
                <w:szCs w:val="21"/>
                <w:highlight w:val="none"/>
              </w:rPr>
            </w:pPr>
            <w:r>
              <w:rPr>
                <w:rFonts w:hint="eastAsia" w:ascii="宋体" w:hAnsi="宋体"/>
                <w:color w:val="auto"/>
                <w:sz w:val="21"/>
                <w:szCs w:val="21"/>
                <w:highlight w:val="none"/>
              </w:rPr>
              <w:t>打印机</w:t>
            </w:r>
          </w:p>
        </w:tc>
        <w:tc>
          <w:tcPr>
            <w:tcW w:w="3834" w:type="dxa"/>
            <w:vAlign w:val="center"/>
          </w:tcPr>
          <w:p w14:paraId="0AC97BB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惠普、EPSON、佳能、联想、FUJI xerox</w:t>
            </w:r>
          </w:p>
        </w:tc>
        <w:tc>
          <w:tcPr>
            <w:tcW w:w="2001" w:type="dxa"/>
            <w:vAlign w:val="center"/>
          </w:tcPr>
          <w:p w14:paraId="6E9D149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1B2BECA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15B75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6603F9C">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w:t>
            </w:r>
            <w:r>
              <w:rPr>
                <w:rFonts w:ascii="宋体" w:hAnsi="宋体"/>
                <w:color w:val="auto"/>
                <w:sz w:val="21"/>
                <w:szCs w:val="21"/>
                <w:highlight w:val="none"/>
              </w:rPr>
              <w:t>4</w:t>
            </w:r>
          </w:p>
        </w:tc>
        <w:tc>
          <w:tcPr>
            <w:tcW w:w="1379" w:type="dxa"/>
            <w:vAlign w:val="center"/>
          </w:tcPr>
          <w:p w14:paraId="75751185">
            <w:pPr>
              <w:jc w:val="center"/>
              <w:rPr>
                <w:rFonts w:hint="eastAsia" w:ascii="宋体" w:hAnsi="宋体"/>
                <w:color w:val="auto"/>
                <w:sz w:val="21"/>
                <w:szCs w:val="21"/>
                <w:highlight w:val="none"/>
              </w:rPr>
            </w:pPr>
            <w:r>
              <w:rPr>
                <w:rFonts w:hint="eastAsia" w:ascii="宋体" w:hAnsi="宋体"/>
                <w:color w:val="auto"/>
                <w:sz w:val="21"/>
                <w:szCs w:val="21"/>
                <w:highlight w:val="none"/>
              </w:rPr>
              <w:t>楼宇对讲系统</w:t>
            </w:r>
          </w:p>
        </w:tc>
        <w:tc>
          <w:tcPr>
            <w:tcW w:w="3834" w:type="dxa"/>
            <w:vAlign w:val="center"/>
          </w:tcPr>
          <w:p w14:paraId="272E10F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先导视讯、安居宝、聚光电子、星光楼宇、浙江大华、FARBELL</w:t>
            </w:r>
          </w:p>
        </w:tc>
        <w:tc>
          <w:tcPr>
            <w:tcW w:w="2001" w:type="dxa"/>
            <w:vAlign w:val="center"/>
          </w:tcPr>
          <w:p w14:paraId="2D4D416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《智能建筑设计标准》GB50314-2006、《智能建筑工程质量验收规范》(GB50339-2013）</w:t>
            </w:r>
          </w:p>
        </w:tc>
        <w:tc>
          <w:tcPr>
            <w:tcW w:w="1220" w:type="dxa"/>
            <w:vAlign w:val="center"/>
          </w:tcPr>
          <w:p w14:paraId="07D1C67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1019E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52D4AA8">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11.</w:t>
            </w:r>
            <w:r>
              <w:rPr>
                <w:rFonts w:ascii="宋体" w:hAnsi="宋体"/>
                <w:color w:val="auto"/>
                <w:sz w:val="21"/>
                <w:szCs w:val="21"/>
                <w:highlight w:val="none"/>
              </w:rPr>
              <w:t>5</w:t>
            </w:r>
          </w:p>
        </w:tc>
        <w:tc>
          <w:tcPr>
            <w:tcW w:w="1379" w:type="dxa"/>
            <w:vAlign w:val="center"/>
          </w:tcPr>
          <w:p w14:paraId="2595F011">
            <w:pPr>
              <w:jc w:val="center"/>
              <w:rPr>
                <w:rFonts w:hint="eastAsia"/>
                <w:color w:val="auto"/>
                <w:highlight w:val="none"/>
              </w:rPr>
            </w:pPr>
            <w:r>
              <w:rPr>
                <w:rFonts w:hint="eastAsia" w:ascii="宋体" w:hAnsi="宋体"/>
                <w:color w:val="auto"/>
                <w:sz w:val="21"/>
                <w:szCs w:val="21"/>
                <w:highlight w:val="none"/>
              </w:rPr>
              <w:t>监控摄像机</w:t>
            </w:r>
          </w:p>
        </w:tc>
        <w:tc>
          <w:tcPr>
            <w:tcW w:w="3834" w:type="dxa"/>
            <w:vAlign w:val="center"/>
          </w:tcPr>
          <w:p w14:paraId="04277846">
            <w:pPr>
              <w:ind w:firstLine="10" w:firstLineChars="5"/>
              <w:rPr>
                <w:rFonts w:hint="eastAsia"/>
                <w:color w:val="auto"/>
                <w:highlight w:val="none"/>
              </w:rPr>
            </w:pPr>
            <w:r>
              <w:rPr>
                <w:rFonts w:hint="eastAsia" w:ascii="宋体" w:hAnsi="宋体"/>
                <w:color w:val="auto"/>
                <w:sz w:val="21"/>
                <w:szCs w:val="21"/>
                <w:highlight w:val="none"/>
              </w:rPr>
              <w:t>亚安科技、海康威视、英飞拓、宇视科技、浙江大华、BOSCH</w:t>
            </w:r>
          </w:p>
        </w:tc>
        <w:tc>
          <w:tcPr>
            <w:tcW w:w="2001" w:type="dxa"/>
            <w:vAlign w:val="center"/>
          </w:tcPr>
          <w:p w14:paraId="793DBC77">
            <w:pPr>
              <w:ind w:firstLine="10" w:firstLineChars="5"/>
              <w:rPr>
                <w:rFonts w:hint="eastAsia"/>
                <w:color w:val="auto"/>
                <w:highlight w:val="none"/>
              </w:rPr>
            </w:pPr>
            <w:r>
              <w:rPr>
                <w:rFonts w:hint="eastAsia" w:ascii="宋体" w:hAnsi="宋体"/>
                <w:color w:val="auto"/>
                <w:sz w:val="21"/>
                <w:szCs w:val="21"/>
                <w:highlight w:val="none"/>
              </w:rPr>
              <w:t>　</w:t>
            </w:r>
          </w:p>
        </w:tc>
        <w:tc>
          <w:tcPr>
            <w:tcW w:w="1220" w:type="dxa"/>
            <w:vAlign w:val="center"/>
          </w:tcPr>
          <w:p w14:paraId="5074136C">
            <w:pPr>
              <w:ind w:firstLine="10" w:firstLineChars="5"/>
              <w:rPr>
                <w:rFonts w:hint="eastAsia"/>
                <w:color w:val="auto"/>
                <w:highlight w:val="none"/>
              </w:rPr>
            </w:pPr>
            <w:r>
              <w:rPr>
                <w:rFonts w:hint="eastAsia" w:ascii="宋体" w:hAnsi="宋体"/>
                <w:color w:val="auto"/>
                <w:sz w:val="21"/>
                <w:szCs w:val="21"/>
                <w:highlight w:val="none"/>
              </w:rPr>
              <w:t>　</w:t>
            </w:r>
          </w:p>
        </w:tc>
      </w:tr>
      <w:tr w14:paraId="73D7B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D136679">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w:t>
            </w:r>
            <w:r>
              <w:rPr>
                <w:rFonts w:ascii="宋体" w:hAnsi="宋体"/>
                <w:color w:val="auto"/>
                <w:sz w:val="21"/>
                <w:szCs w:val="21"/>
                <w:highlight w:val="none"/>
              </w:rPr>
              <w:t>6</w:t>
            </w:r>
          </w:p>
        </w:tc>
        <w:tc>
          <w:tcPr>
            <w:tcW w:w="1379" w:type="dxa"/>
            <w:vAlign w:val="center"/>
          </w:tcPr>
          <w:p w14:paraId="7C4F04D9">
            <w:pPr>
              <w:jc w:val="center"/>
              <w:rPr>
                <w:rFonts w:hint="eastAsia" w:ascii="宋体" w:hAnsi="宋体"/>
                <w:color w:val="auto"/>
                <w:sz w:val="21"/>
                <w:szCs w:val="21"/>
                <w:highlight w:val="none"/>
              </w:rPr>
            </w:pPr>
            <w:r>
              <w:rPr>
                <w:rFonts w:hint="eastAsia" w:ascii="宋体" w:hAnsi="宋体"/>
                <w:color w:val="auto"/>
                <w:sz w:val="21"/>
                <w:szCs w:val="21"/>
                <w:highlight w:val="none"/>
              </w:rPr>
              <w:t>监控显示器</w:t>
            </w:r>
          </w:p>
        </w:tc>
        <w:tc>
          <w:tcPr>
            <w:tcW w:w="3834" w:type="dxa"/>
            <w:vAlign w:val="center"/>
          </w:tcPr>
          <w:p w14:paraId="7E79F15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TCL、三星、Skyworth、索尼、浙江大华、LG</w:t>
            </w:r>
          </w:p>
        </w:tc>
        <w:tc>
          <w:tcPr>
            <w:tcW w:w="2001" w:type="dxa"/>
            <w:vAlign w:val="center"/>
          </w:tcPr>
          <w:p w14:paraId="272B8D4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4CD71F4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3AEE8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64B00EE">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w:t>
            </w:r>
            <w:r>
              <w:rPr>
                <w:rFonts w:ascii="宋体" w:hAnsi="宋体"/>
                <w:color w:val="auto"/>
                <w:sz w:val="21"/>
                <w:szCs w:val="21"/>
                <w:highlight w:val="none"/>
              </w:rPr>
              <w:t>7</w:t>
            </w:r>
          </w:p>
        </w:tc>
        <w:tc>
          <w:tcPr>
            <w:tcW w:w="1379" w:type="dxa"/>
            <w:vAlign w:val="center"/>
          </w:tcPr>
          <w:p w14:paraId="766F833F">
            <w:pPr>
              <w:jc w:val="center"/>
              <w:rPr>
                <w:rFonts w:hint="eastAsia" w:ascii="宋体" w:hAnsi="宋体"/>
                <w:color w:val="auto"/>
                <w:sz w:val="21"/>
                <w:szCs w:val="21"/>
                <w:highlight w:val="none"/>
              </w:rPr>
            </w:pPr>
            <w:r>
              <w:rPr>
                <w:rFonts w:hint="eastAsia" w:ascii="宋体" w:hAnsi="宋体"/>
                <w:color w:val="auto"/>
                <w:sz w:val="21"/>
                <w:szCs w:val="21"/>
                <w:highlight w:val="none"/>
              </w:rPr>
              <w:t>光纤收发器/网络光端机</w:t>
            </w:r>
          </w:p>
        </w:tc>
        <w:tc>
          <w:tcPr>
            <w:tcW w:w="3834" w:type="dxa"/>
            <w:vAlign w:val="center"/>
          </w:tcPr>
          <w:p w14:paraId="2F0B117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天为电信、格林威尔、华为、广州邮通、浙江大华、安特视讯</w:t>
            </w:r>
          </w:p>
        </w:tc>
        <w:tc>
          <w:tcPr>
            <w:tcW w:w="2001" w:type="dxa"/>
            <w:vAlign w:val="center"/>
          </w:tcPr>
          <w:p w14:paraId="56A97BDC">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3F01964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422B1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B805399">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11.</w:t>
            </w:r>
            <w:r>
              <w:rPr>
                <w:rFonts w:ascii="宋体" w:hAnsi="宋体"/>
                <w:color w:val="auto"/>
                <w:sz w:val="21"/>
                <w:szCs w:val="21"/>
                <w:highlight w:val="none"/>
              </w:rPr>
              <w:t>8</w:t>
            </w:r>
          </w:p>
        </w:tc>
        <w:tc>
          <w:tcPr>
            <w:tcW w:w="1379" w:type="dxa"/>
            <w:vAlign w:val="center"/>
          </w:tcPr>
          <w:p w14:paraId="3514019B">
            <w:pPr>
              <w:jc w:val="center"/>
              <w:rPr>
                <w:rFonts w:hint="eastAsia"/>
                <w:color w:val="auto"/>
                <w:highlight w:val="none"/>
              </w:rPr>
            </w:pPr>
            <w:r>
              <w:rPr>
                <w:rFonts w:hint="eastAsia" w:ascii="宋体" w:hAnsi="宋体"/>
                <w:color w:val="auto"/>
                <w:sz w:val="21"/>
                <w:szCs w:val="21"/>
                <w:highlight w:val="none"/>
              </w:rPr>
              <w:t>交换机</w:t>
            </w:r>
          </w:p>
        </w:tc>
        <w:tc>
          <w:tcPr>
            <w:tcW w:w="3834" w:type="dxa"/>
            <w:vAlign w:val="center"/>
          </w:tcPr>
          <w:p w14:paraId="5B8E55DF">
            <w:pPr>
              <w:ind w:firstLine="10" w:firstLineChars="5"/>
              <w:rPr>
                <w:rFonts w:hint="eastAsia"/>
                <w:color w:val="auto"/>
                <w:highlight w:val="none"/>
              </w:rPr>
            </w:pPr>
            <w:r>
              <w:rPr>
                <w:rFonts w:hint="eastAsia" w:ascii="宋体" w:hAnsi="宋体"/>
                <w:color w:val="auto"/>
                <w:sz w:val="21"/>
                <w:szCs w:val="21"/>
                <w:highlight w:val="none"/>
              </w:rPr>
              <w:t>华为、CISCO、TP-LINK、D-LINK、H3C、浙江大华、中兴</w:t>
            </w:r>
          </w:p>
        </w:tc>
        <w:tc>
          <w:tcPr>
            <w:tcW w:w="2001" w:type="dxa"/>
            <w:vAlign w:val="center"/>
          </w:tcPr>
          <w:p w14:paraId="7E813F8C">
            <w:pPr>
              <w:ind w:firstLine="10" w:firstLineChars="5"/>
              <w:rPr>
                <w:rFonts w:hint="eastAsia"/>
                <w:color w:val="auto"/>
                <w:highlight w:val="none"/>
              </w:rPr>
            </w:pPr>
            <w:r>
              <w:rPr>
                <w:rFonts w:hint="eastAsia" w:ascii="宋体" w:hAnsi="宋体"/>
                <w:color w:val="auto"/>
                <w:sz w:val="21"/>
                <w:szCs w:val="21"/>
                <w:highlight w:val="none"/>
              </w:rPr>
              <w:t>　</w:t>
            </w:r>
          </w:p>
        </w:tc>
        <w:tc>
          <w:tcPr>
            <w:tcW w:w="1220" w:type="dxa"/>
            <w:vAlign w:val="center"/>
          </w:tcPr>
          <w:p w14:paraId="3F6FE182">
            <w:pPr>
              <w:ind w:firstLine="10" w:firstLineChars="5"/>
              <w:rPr>
                <w:rFonts w:hint="eastAsia"/>
                <w:color w:val="auto"/>
                <w:highlight w:val="none"/>
              </w:rPr>
            </w:pPr>
            <w:r>
              <w:rPr>
                <w:rFonts w:hint="eastAsia" w:ascii="宋体" w:hAnsi="宋体"/>
                <w:color w:val="auto"/>
                <w:sz w:val="21"/>
                <w:szCs w:val="21"/>
                <w:highlight w:val="none"/>
              </w:rPr>
              <w:t>　</w:t>
            </w:r>
          </w:p>
        </w:tc>
      </w:tr>
      <w:tr w14:paraId="238D0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A359E48">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w:t>
            </w:r>
            <w:r>
              <w:rPr>
                <w:rFonts w:ascii="宋体" w:hAnsi="宋体"/>
                <w:color w:val="auto"/>
                <w:sz w:val="21"/>
                <w:szCs w:val="21"/>
                <w:highlight w:val="none"/>
              </w:rPr>
              <w:t>9</w:t>
            </w:r>
          </w:p>
        </w:tc>
        <w:tc>
          <w:tcPr>
            <w:tcW w:w="1379" w:type="dxa"/>
            <w:vAlign w:val="center"/>
          </w:tcPr>
          <w:p w14:paraId="4605E521">
            <w:pPr>
              <w:jc w:val="center"/>
              <w:rPr>
                <w:rFonts w:hint="eastAsia" w:ascii="宋体" w:hAnsi="宋体"/>
                <w:color w:val="auto"/>
                <w:sz w:val="21"/>
                <w:szCs w:val="21"/>
                <w:highlight w:val="none"/>
              </w:rPr>
            </w:pPr>
            <w:r>
              <w:rPr>
                <w:rFonts w:hint="eastAsia" w:ascii="宋体" w:hAnsi="宋体"/>
                <w:color w:val="auto"/>
                <w:sz w:val="21"/>
                <w:szCs w:val="21"/>
                <w:highlight w:val="none"/>
              </w:rPr>
              <w:t>监控级硬盘</w:t>
            </w:r>
          </w:p>
        </w:tc>
        <w:tc>
          <w:tcPr>
            <w:tcW w:w="3834" w:type="dxa"/>
            <w:vAlign w:val="center"/>
          </w:tcPr>
          <w:p w14:paraId="6B340CE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富士通、浙江大华、易拓、磐基信息、帝视尼</w:t>
            </w:r>
          </w:p>
        </w:tc>
        <w:tc>
          <w:tcPr>
            <w:tcW w:w="2001" w:type="dxa"/>
            <w:vAlign w:val="center"/>
          </w:tcPr>
          <w:p w14:paraId="46E126E2">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469D81E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03FBA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45A4DFF">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11.1</w:t>
            </w:r>
            <w:r>
              <w:rPr>
                <w:rFonts w:ascii="宋体" w:hAnsi="宋体"/>
                <w:color w:val="auto"/>
                <w:sz w:val="21"/>
                <w:szCs w:val="21"/>
                <w:highlight w:val="none"/>
              </w:rPr>
              <w:t>0</w:t>
            </w:r>
          </w:p>
        </w:tc>
        <w:tc>
          <w:tcPr>
            <w:tcW w:w="1379" w:type="dxa"/>
            <w:vAlign w:val="center"/>
          </w:tcPr>
          <w:p w14:paraId="476F365C">
            <w:pPr>
              <w:jc w:val="center"/>
              <w:rPr>
                <w:rFonts w:hint="eastAsia"/>
                <w:color w:val="auto"/>
                <w:highlight w:val="none"/>
              </w:rPr>
            </w:pPr>
            <w:r>
              <w:rPr>
                <w:rFonts w:hint="eastAsia" w:ascii="宋体" w:hAnsi="宋体"/>
                <w:color w:val="auto"/>
                <w:sz w:val="21"/>
                <w:szCs w:val="21"/>
                <w:highlight w:val="none"/>
              </w:rPr>
              <w:t>电子巡更系统</w:t>
            </w:r>
          </w:p>
        </w:tc>
        <w:tc>
          <w:tcPr>
            <w:tcW w:w="3834" w:type="dxa"/>
            <w:vAlign w:val="center"/>
          </w:tcPr>
          <w:p w14:paraId="108531AE">
            <w:pPr>
              <w:ind w:firstLine="10" w:firstLineChars="5"/>
              <w:rPr>
                <w:rFonts w:hint="eastAsia"/>
                <w:color w:val="auto"/>
                <w:highlight w:val="none"/>
              </w:rPr>
            </w:pPr>
            <w:r>
              <w:rPr>
                <w:rFonts w:hint="eastAsia" w:ascii="宋体" w:hAnsi="宋体"/>
                <w:color w:val="auto"/>
                <w:sz w:val="21"/>
                <w:szCs w:val="21"/>
                <w:highlight w:val="none"/>
              </w:rPr>
              <w:t>意通达、鼎信通、凯泰科技、兰德华电、浙江大华、奔恒电子</w:t>
            </w:r>
          </w:p>
        </w:tc>
        <w:tc>
          <w:tcPr>
            <w:tcW w:w="2001" w:type="dxa"/>
            <w:vAlign w:val="center"/>
          </w:tcPr>
          <w:p w14:paraId="60CF93E9">
            <w:pPr>
              <w:ind w:firstLine="10" w:firstLineChars="5"/>
              <w:rPr>
                <w:rFonts w:hint="eastAsia"/>
                <w:color w:val="auto"/>
                <w:highlight w:val="none"/>
              </w:rPr>
            </w:pPr>
            <w:r>
              <w:rPr>
                <w:rFonts w:hint="eastAsia" w:ascii="宋体" w:hAnsi="宋体"/>
                <w:color w:val="auto"/>
                <w:sz w:val="21"/>
                <w:szCs w:val="21"/>
                <w:highlight w:val="none"/>
              </w:rPr>
              <w:t>　</w:t>
            </w:r>
          </w:p>
        </w:tc>
        <w:tc>
          <w:tcPr>
            <w:tcW w:w="1220" w:type="dxa"/>
            <w:vAlign w:val="center"/>
          </w:tcPr>
          <w:p w14:paraId="166A3839">
            <w:pPr>
              <w:ind w:firstLine="10" w:firstLineChars="5"/>
              <w:rPr>
                <w:rFonts w:hint="eastAsia"/>
                <w:color w:val="auto"/>
                <w:highlight w:val="none"/>
              </w:rPr>
            </w:pPr>
            <w:r>
              <w:rPr>
                <w:rFonts w:hint="eastAsia" w:ascii="宋体" w:hAnsi="宋体"/>
                <w:color w:val="auto"/>
                <w:sz w:val="21"/>
                <w:szCs w:val="21"/>
                <w:highlight w:val="none"/>
              </w:rPr>
              <w:t>　</w:t>
            </w:r>
          </w:p>
        </w:tc>
      </w:tr>
      <w:tr w14:paraId="6679D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9918EA5">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11.1</w:t>
            </w:r>
            <w:r>
              <w:rPr>
                <w:rFonts w:ascii="宋体" w:hAnsi="宋体"/>
                <w:color w:val="auto"/>
                <w:sz w:val="21"/>
                <w:szCs w:val="21"/>
                <w:highlight w:val="none"/>
              </w:rPr>
              <w:t>1</w:t>
            </w:r>
          </w:p>
        </w:tc>
        <w:tc>
          <w:tcPr>
            <w:tcW w:w="1379" w:type="dxa"/>
            <w:vAlign w:val="center"/>
          </w:tcPr>
          <w:p w14:paraId="101A377F">
            <w:pPr>
              <w:jc w:val="center"/>
              <w:rPr>
                <w:rFonts w:hint="eastAsia" w:ascii="宋体" w:hAnsi="宋体"/>
                <w:color w:val="auto"/>
                <w:sz w:val="21"/>
                <w:szCs w:val="21"/>
                <w:highlight w:val="none"/>
              </w:rPr>
            </w:pPr>
            <w:r>
              <w:rPr>
                <w:rFonts w:hint="eastAsia" w:ascii="宋体" w:hAnsi="宋体"/>
                <w:color w:val="auto"/>
                <w:sz w:val="21"/>
                <w:szCs w:val="21"/>
                <w:highlight w:val="none"/>
              </w:rPr>
              <w:t>出入口控制/停车场管理系统</w:t>
            </w:r>
          </w:p>
        </w:tc>
        <w:tc>
          <w:tcPr>
            <w:tcW w:w="3834" w:type="dxa"/>
            <w:vAlign w:val="center"/>
          </w:tcPr>
          <w:p w14:paraId="58CFB7A9">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捷顺、瑞立德、创通、浙江大华、聚光电子</w:t>
            </w:r>
          </w:p>
        </w:tc>
        <w:tc>
          <w:tcPr>
            <w:tcW w:w="2001" w:type="dxa"/>
            <w:vAlign w:val="center"/>
          </w:tcPr>
          <w:p w14:paraId="33C5B4E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智能建筑设计标准》GB50314-2006、《智能建筑工程质量验收规范》(GB50339-2013）</w:t>
            </w:r>
          </w:p>
        </w:tc>
        <w:tc>
          <w:tcPr>
            <w:tcW w:w="1220" w:type="dxa"/>
            <w:vAlign w:val="center"/>
          </w:tcPr>
          <w:p w14:paraId="42B9A19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197BE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B4D570A">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11.1</w:t>
            </w:r>
            <w:r>
              <w:rPr>
                <w:rFonts w:ascii="宋体" w:hAnsi="宋体"/>
                <w:color w:val="auto"/>
                <w:sz w:val="21"/>
                <w:szCs w:val="21"/>
                <w:highlight w:val="none"/>
              </w:rPr>
              <w:t>2</w:t>
            </w:r>
          </w:p>
        </w:tc>
        <w:tc>
          <w:tcPr>
            <w:tcW w:w="1379" w:type="dxa"/>
            <w:vAlign w:val="center"/>
          </w:tcPr>
          <w:p w14:paraId="1110F90C">
            <w:pPr>
              <w:jc w:val="center"/>
              <w:rPr>
                <w:rFonts w:hint="eastAsia" w:ascii="宋体" w:hAnsi="宋体"/>
                <w:color w:val="auto"/>
                <w:sz w:val="21"/>
                <w:szCs w:val="21"/>
                <w:highlight w:val="none"/>
              </w:rPr>
            </w:pPr>
            <w:r>
              <w:rPr>
                <w:rFonts w:hint="eastAsia" w:ascii="宋体" w:hAnsi="宋体"/>
                <w:color w:val="auto"/>
                <w:sz w:val="21"/>
                <w:szCs w:val="21"/>
                <w:highlight w:val="none"/>
              </w:rPr>
              <w:t>建筑设备监控系统</w:t>
            </w:r>
          </w:p>
        </w:tc>
        <w:tc>
          <w:tcPr>
            <w:tcW w:w="3834" w:type="dxa"/>
            <w:vAlign w:val="center"/>
          </w:tcPr>
          <w:p w14:paraId="532EEFB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江森自控、同方泰德、CHNT、格瑞特、台达</w:t>
            </w:r>
          </w:p>
        </w:tc>
        <w:tc>
          <w:tcPr>
            <w:tcW w:w="2001" w:type="dxa"/>
            <w:vAlign w:val="center"/>
          </w:tcPr>
          <w:p w14:paraId="4AB0103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《智能建筑设计标准》GB50314-2006、《智能建筑工程质量验收规范》(GB50339-2013）</w:t>
            </w:r>
          </w:p>
        </w:tc>
        <w:tc>
          <w:tcPr>
            <w:tcW w:w="1220" w:type="dxa"/>
            <w:vAlign w:val="center"/>
          </w:tcPr>
          <w:p w14:paraId="5F6AA65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72BAA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41331651">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11.1</w:t>
            </w:r>
            <w:r>
              <w:rPr>
                <w:rFonts w:ascii="宋体" w:hAnsi="宋体"/>
                <w:color w:val="auto"/>
                <w:sz w:val="21"/>
                <w:szCs w:val="21"/>
                <w:highlight w:val="none"/>
              </w:rPr>
              <w:t>3</w:t>
            </w:r>
          </w:p>
        </w:tc>
        <w:tc>
          <w:tcPr>
            <w:tcW w:w="1379" w:type="dxa"/>
            <w:vAlign w:val="center"/>
          </w:tcPr>
          <w:p w14:paraId="5FEC017B">
            <w:pPr>
              <w:jc w:val="center"/>
              <w:rPr>
                <w:rFonts w:hint="eastAsia" w:ascii="宋体" w:hAnsi="宋体"/>
                <w:color w:val="auto"/>
                <w:sz w:val="21"/>
                <w:szCs w:val="21"/>
                <w:highlight w:val="none"/>
              </w:rPr>
            </w:pPr>
            <w:r>
              <w:rPr>
                <w:rFonts w:hint="eastAsia" w:ascii="宋体" w:hAnsi="宋体"/>
                <w:color w:val="auto"/>
                <w:sz w:val="21"/>
                <w:szCs w:val="21"/>
                <w:highlight w:val="none"/>
              </w:rPr>
              <w:t>防盗报警</w:t>
            </w:r>
          </w:p>
        </w:tc>
        <w:tc>
          <w:tcPr>
            <w:tcW w:w="3834" w:type="dxa"/>
            <w:vAlign w:val="center"/>
          </w:tcPr>
          <w:p w14:paraId="7C01C6A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BOSCH、科立信、tyco、康联、浙江大华、科鹰</w:t>
            </w:r>
          </w:p>
        </w:tc>
        <w:tc>
          <w:tcPr>
            <w:tcW w:w="2001" w:type="dxa"/>
            <w:vAlign w:val="center"/>
          </w:tcPr>
          <w:p w14:paraId="6B2E5E3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6CE044C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035CEB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CBC1422">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w:t>
            </w:r>
            <w:r>
              <w:rPr>
                <w:rFonts w:ascii="宋体" w:hAnsi="宋体"/>
                <w:color w:val="auto"/>
                <w:sz w:val="21"/>
                <w:szCs w:val="21"/>
                <w:highlight w:val="none"/>
              </w:rPr>
              <w:t>14</w:t>
            </w:r>
          </w:p>
        </w:tc>
        <w:tc>
          <w:tcPr>
            <w:tcW w:w="1379" w:type="dxa"/>
            <w:vAlign w:val="center"/>
          </w:tcPr>
          <w:p w14:paraId="565D688B">
            <w:pPr>
              <w:jc w:val="center"/>
              <w:rPr>
                <w:rFonts w:hint="eastAsia" w:ascii="宋体" w:hAnsi="宋体"/>
                <w:color w:val="auto"/>
                <w:sz w:val="21"/>
                <w:szCs w:val="21"/>
                <w:highlight w:val="none"/>
              </w:rPr>
            </w:pPr>
            <w:r>
              <w:rPr>
                <w:rFonts w:hint="eastAsia" w:ascii="宋体" w:hAnsi="宋体"/>
                <w:color w:val="auto"/>
                <w:sz w:val="21"/>
                <w:szCs w:val="21"/>
                <w:highlight w:val="none"/>
              </w:rPr>
              <w:t>弱电间配电箱</w:t>
            </w:r>
          </w:p>
        </w:tc>
        <w:tc>
          <w:tcPr>
            <w:tcW w:w="3834" w:type="dxa"/>
            <w:vAlign w:val="center"/>
          </w:tcPr>
          <w:p w14:paraId="588070A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BYE白云、基业、顺开电气、广高、南洋电器</w:t>
            </w:r>
          </w:p>
        </w:tc>
        <w:tc>
          <w:tcPr>
            <w:tcW w:w="2001" w:type="dxa"/>
            <w:vAlign w:val="center"/>
          </w:tcPr>
          <w:p w14:paraId="526E1CB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655184B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020C78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1ED194DE">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w:t>
            </w:r>
            <w:r>
              <w:rPr>
                <w:rFonts w:ascii="宋体" w:hAnsi="宋体"/>
                <w:color w:val="auto"/>
                <w:sz w:val="21"/>
                <w:szCs w:val="21"/>
                <w:highlight w:val="none"/>
              </w:rPr>
              <w:t>15</w:t>
            </w:r>
          </w:p>
        </w:tc>
        <w:tc>
          <w:tcPr>
            <w:tcW w:w="1379" w:type="dxa"/>
            <w:vAlign w:val="center"/>
          </w:tcPr>
          <w:p w14:paraId="6948CDBB">
            <w:pPr>
              <w:jc w:val="center"/>
              <w:rPr>
                <w:rFonts w:hint="eastAsia" w:ascii="宋体" w:hAnsi="宋体"/>
                <w:color w:val="auto"/>
                <w:sz w:val="21"/>
                <w:szCs w:val="21"/>
                <w:highlight w:val="none"/>
              </w:rPr>
            </w:pPr>
            <w:r>
              <w:rPr>
                <w:rFonts w:hint="eastAsia" w:ascii="宋体" w:hAnsi="宋体"/>
                <w:color w:val="auto"/>
                <w:sz w:val="21"/>
                <w:szCs w:val="21"/>
                <w:highlight w:val="none"/>
              </w:rPr>
              <w:t>光纤光缆</w:t>
            </w:r>
          </w:p>
        </w:tc>
        <w:tc>
          <w:tcPr>
            <w:tcW w:w="3834" w:type="dxa"/>
            <w:vAlign w:val="center"/>
          </w:tcPr>
          <w:p w14:paraId="29096AE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长飞、TGG、亨通、Fiber Home、浙江大华、中天科技</w:t>
            </w:r>
          </w:p>
        </w:tc>
        <w:tc>
          <w:tcPr>
            <w:tcW w:w="2001" w:type="dxa"/>
            <w:vAlign w:val="center"/>
          </w:tcPr>
          <w:p w14:paraId="6957164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4CFF87E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19B1B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337909A5">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11.</w:t>
            </w:r>
            <w:r>
              <w:rPr>
                <w:rFonts w:ascii="宋体" w:hAnsi="宋体"/>
                <w:color w:val="auto"/>
                <w:sz w:val="21"/>
                <w:szCs w:val="21"/>
                <w:highlight w:val="none"/>
              </w:rPr>
              <w:t>16</w:t>
            </w:r>
          </w:p>
        </w:tc>
        <w:tc>
          <w:tcPr>
            <w:tcW w:w="1379" w:type="dxa"/>
            <w:vAlign w:val="center"/>
          </w:tcPr>
          <w:p w14:paraId="4573CBAC">
            <w:pPr>
              <w:jc w:val="center"/>
              <w:rPr>
                <w:rFonts w:hint="eastAsia" w:ascii="宋体" w:hAnsi="宋体"/>
                <w:color w:val="auto"/>
                <w:sz w:val="21"/>
                <w:szCs w:val="21"/>
                <w:highlight w:val="none"/>
              </w:rPr>
            </w:pPr>
            <w:r>
              <w:rPr>
                <w:rFonts w:hint="eastAsia" w:ascii="宋体" w:hAnsi="宋体"/>
                <w:color w:val="auto"/>
                <w:sz w:val="21"/>
                <w:szCs w:val="21"/>
                <w:highlight w:val="none"/>
              </w:rPr>
              <w:t>弱电线缆/双绞线</w:t>
            </w:r>
          </w:p>
        </w:tc>
        <w:tc>
          <w:tcPr>
            <w:tcW w:w="3834" w:type="dxa"/>
            <w:vAlign w:val="center"/>
          </w:tcPr>
          <w:p w14:paraId="06594FF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爱谱华顿、TCL、宇洪科技、TC、中国普天</w:t>
            </w:r>
          </w:p>
        </w:tc>
        <w:tc>
          <w:tcPr>
            <w:tcW w:w="2001" w:type="dxa"/>
            <w:vAlign w:val="center"/>
          </w:tcPr>
          <w:p w14:paraId="2B5D7F56">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3CEAE07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43A09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51B90FD1">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12、电梯设备</w:t>
            </w:r>
          </w:p>
        </w:tc>
      </w:tr>
      <w:tr w14:paraId="313D4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0281E7B1">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12.1</w:t>
            </w:r>
          </w:p>
        </w:tc>
        <w:tc>
          <w:tcPr>
            <w:tcW w:w="1379" w:type="dxa"/>
            <w:vAlign w:val="center"/>
          </w:tcPr>
          <w:p w14:paraId="4CA222FA">
            <w:pPr>
              <w:jc w:val="center"/>
              <w:rPr>
                <w:rFonts w:hint="eastAsia" w:ascii="宋体" w:hAnsi="宋体"/>
                <w:color w:val="auto"/>
                <w:sz w:val="21"/>
                <w:szCs w:val="21"/>
                <w:highlight w:val="none"/>
              </w:rPr>
            </w:pPr>
            <w:r>
              <w:rPr>
                <w:rFonts w:hint="eastAsia" w:ascii="宋体" w:hAnsi="宋体"/>
                <w:color w:val="auto"/>
                <w:sz w:val="21"/>
                <w:szCs w:val="21"/>
                <w:highlight w:val="none"/>
              </w:rPr>
              <w:t>电梯</w:t>
            </w:r>
          </w:p>
        </w:tc>
        <w:tc>
          <w:tcPr>
            <w:tcW w:w="3834" w:type="dxa"/>
            <w:vAlign w:val="center"/>
          </w:tcPr>
          <w:p w14:paraId="0324BB1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日立、奥的斯、广日电梯、上海三菱、KONE通力</w:t>
            </w:r>
          </w:p>
        </w:tc>
        <w:tc>
          <w:tcPr>
            <w:tcW w:w="2001" w:type="dxa"/>
            <w:vAlign w:val="center"/>
          </w:tcPr>
          <w:p w14:paraId="332981C0">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电梯制造与安装安全规范（GB7588-2003）、GB 10060—2011《电梯安装验收规范》、《电梯工程施工质量验收规范》GB50301-2002</w:t>
            </w:r>
          </w:p>
        </w:tc>
        <w:tc>
          <w:tcPr>
            <w:tcW w:w="1220" w:type="dxa"/>
            <w:vAlign w:val="center"/>
          </w:tcPr>
          <w:p w14:paraId="5A635EE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3C4E8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171C8608">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三、市政工程</w:t>
            </w:r>
          </w:p>
        </w:tc>
      </w:tr>
      <w:tr w14:paraId="1549F8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2CC4CF1B">
            <w:pPr>
              <w:ind w:firstLine="372" w:firstLineChars="177"/>
              <w:rPr>
                <w:rFonts w:hint="eastAsia" w:ascii="宋体" w:hAnsi="宋体"/>
                <w:color w:val="auto"/>
                <w:sz w:val="21"/>
                <w:szCs w:val="21"/>
                <w:highlight w:val="none"/>
              </w:rPr>
            </w:pPr>
            <w:r>
              <w:rPr>
                <w:rFonts w:hint="eastAsia" w:ascii="宋体" w:hAnsi="宋体"/>
                <w:b/>
                <w:color w:val="auto"/>
                <w:sz w:val="21"/>
                <w:szCs w:val="21"/>
                <w:highlight w:val="none"/>
              </w:rPr>
              <w:t>13、市政、绿化</w:t>
            </w:r>
          </w:p>
        </w:tc>
      </w:tr>
      <w:tr w14:paraId="3DB36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51C0E21A">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13.</w:t>
            </w:r>
            <w:r>
              <w:rPr>
                <w:rFonts w:ascii="宋体" w:hAnsi="宋体"/>
                <w:color w:val="auto"/>
                <w:sz w:val="21"/>
                <w:szCs w:val="21"/>
                <w:highlight w:val="none"/>
              </w:rPr>
              <w:t>1</w:t>
            </w:r>
          </w:p>
        </w:tc>
        <w:tc>
          <w:tcPr>
            <w:tcW w:w="1379" w:type="dxa"/>
            <w:vMerge w:val="restart"/>
            <w:vAlign w:val="center"/>
          </w:tcPr>
          <w:p w14:paraId="6FAEF0A9">
            <w:pPr>
              <w:jc w:val="center"/>
              <w:rPr>
                <w:rFonts w:hint="eastAsia" w:ascii="宋体" w:hAnsi="宋体"/>
                <w:color w:val="auto"/>
                <w:sz w:val="21"/>
                <w:szCs w:val="21"/>
                <w:highlight w:val="none"/>
              </w:rPr>
            </w:pPr>
            <w:r>
              <w:rPr>
                <w:rFonts w:hint="eastAsia" w:ascii="宋体" w:hAnsi="宋体"/>
                <w:color w:val="auto"/>
                <w:sz w:val="21"/>
                <w:szCs w:val="21"/>
                <w:highlight w:val="none"/>
              </w:rPr>
              <w:t>井盖、井环</w:t>
            </w:r>
          </w:p>
        </w:tc>
        <w:tc>
          <w:tcPr>
            <w:tcW w:w="3834" w:type="dxa"/>
            <w:vAlign w:val="center"/>
          </w:tcPr>
          <w:p w14:paraId="25536ED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广州市吉信金属制品公司</w:t>
            </w:r>
          </w:p>
        </w:tc>
        <w:tc>
          <w:tcPr>
            <w:tcW w:w="2001" w:type="dxa"/>
            <w:vMerge w:val="restart"/>
            <w:vAlign w:val="center"/>
          </w:tcPr>
          <w:p w14:paraId="0CD01A3B">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满足行业主管部门要求</w:t>
            </w:r>
          </w:p>
        </w:tc>
        <w:tc>
          <w:tcPr>
            <w:tcW w:w="1220" w:type="dxa"/>
            <w:vMerge w:val="restart"/>
            <w:vAlign w:val="center"/>
          </w:tcPr>
          <w:p w14:paraId="268B010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4D40F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5A4E4CE">
            <w:pPr>
              <w:ind w:firstLine="35" w:firstLineChars="17"/>
              <w:jc w:val="center"/>
              <w:rPr>
                <w:rFonts w:hint="eastAsia" w:ascii="宋体" w:hAnsi="宋体"/>
                <w:color w:val="auto"/>
                <w:sz w:val="21"/>
                <w:szCs w:val="21"/>
                <w:highlight w:val="none"/>
              </w:rPr>
            </w:pPr>
          </w:p>
        </w:tc>
        <w:tc>
          <w:tcPr>
            <w:tcW w:w="1379" w:type="dxa"/>
            <w:vMerge w:val="continue"/>
            <w:vAlign w:val="center"/>
          </w:tcPr>
          <w:p w14:paraId="41EA6F4E">
            <w:pPr>
              <w:jc w:val="center"/>
              <w:rPr>
                <w:rFonts w:hint="eastAsia" w:ascii="宋体" w:hAnsi="宋体"/>
                <w:color w:val="auto"/>
                <w:sz w:val="21"/>
                <w:szCs w:val="21"/>
                <w:highlight w:val="none"/>
              </w:rPr>
            </w:pPr>
          </w:p>
        </w:tc>
        <w:tc>
          <w:tcPr>
            <w:tcW w:w="3834" w:type="dxa"/>
            <w:vAlign w:val="center"/>
          </w:tcPr>
          <w:p w14:paraId="59BCCD37">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禹州市安道金属制品有限公司</w:t>
            </w:r>
          </w:p>
        </w:tc>
        <w:tc>
          <w:tcPr>
            <w:tcW w:w="2001" w:type="dxa"/>
            <w:vMerge w:val="continue"/>
            <w:vAlign w:val="center"/>
          </w:tcPr>
          <w:p w14:paraId="3B199491">
            <w:pPr>
              <w:ind w:firstLine="10" w:firstLineChars="5"/>
              <w:rPr>
                <w:rFonts w:hint="eastAsia" w:ascii="宋体" w:hAnsi="宋体"/>
                <w:color w:val="auto"/>
                <w:sz w:val="21"/>
                <w:szCs w:val="21"/>
                <w:highlight w:val="none"/>
              </w:rPr>
            </w:pPr>
          </w:p>
        </w:tc>
        <w:tc>
          <w:tcPr>
            <w:tcW w:w="1220" w:type="dxa"/>
            <w:vMerge w:val="continue"/>
            <w:vAlign w:val="center"/>
          </w:tcPr>
          <w:p w14:paraId="5F65537E">
            <w:pPr>
              <w:ind w:firstLine="10" w:firstLineChars="5"/>
              <w:rPr>
                <w:rFonts w:hint="eastAsia" w:ascii="宋体" w:hAnsi="宋体"/>
                <w:color w:val="auto"/>
                <w:sz w:val="21"/>
                <w:szCs w:val="21"/>
                <w:highlight w:val="none"/>
              </w:rPr>
            </w:pPr>
          </w:p>
        </w:tc>
      </w:tr>
      <w:tr w14:paraId="3476E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0CEC9D7">
            <w:pPr>
              <w:ind w:firstLine="35" w:firstLineChars="17"/>
              <w:jc w:val="center"/>
              <w:rPr>
                <w:rFonts w:hint="eastAsia" w:ascii="宋体" w:hAnsi="宋体"/>
                <w:color w:val="auto"/>
                <w:sz w:val="21"/>
                <w:szCs w:val="21"/>
                <w:highlight w:val="none"/>
              </w:rPr>
            </w:pPr>
          </w:p>
        </w:tc>
        <w:tc>
          <w:tcPr>
            <w:tcW w:w="1379" w:type="dxa"/>
            <w:vMerge w:val="continue"/>
            <w:vAlign w:val="center"/>
          </w:tcPr>
          <w:p w14:paraId="28221898">
            <w:pPr>
              <w:jc w:val="center"/>
              <w:rPr>
                <w:rFonts w:hint="eastAsia" w:ascii="宋体" w:hAnsi="宋体"/>
                <w:color w:val="auto"/>
                <w:sz w:val="21"/>
                <w:szCs w:val="21"/>
                <w:highlight w:val="none"/>
              </w:rPr>
            </w:pPr>
          </w:p>
        </w:tc>
        <w:tc>
          <w:tcPr>
            <w:tcW w:w="3834" w:type="dxa"/>
            <w:vAlign w:val="center"/>
          </w:tcPr>
          <w:p w14:paraId="3F1650BE">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广州市市维建设工程有限公司</w:t>
            </w:r>
          </w:p>
        </w:tc>
        <w:tc>
          <w:tcPr>
            <w:tcW w:w="2001" w:type="dxa"/>
            <w:vMerge w:val="continue"/>
            <w:vAlign w:val="center"/>
          </w:tcPr>
          <w:p w14:paraId="5624547A">
            <w:pPr>
              <w:ind w:firstLine="10" w:firstLineChars="5"/>
              <w:rPr>
                <w:rFonts w:hint="eastAsia" w:ascii="宋体" w:hAnsi="宋体"/>
                <w:color w:val="auto"/>
                <w:sz w:val="21"/>
                <w:szCs w:val="21"/>
                <w:highlight w:val="none"/>
              </w:rPr>
            </w:pPr>
          </w:p>
        </w:tc>
        <w:tc>
          <w:tcPr>
            <w:tcW w:w="1220" w:type="dxa"/>
            <w:vMerge w:val="continue"/>
            <w:vAlign w:val="center"/>
          </w:tcPr>
          <w:p w14:paraId="4AC9A2CA">
            <w:pPr>
              <w:ind w:firstLine="10" w:firstLineChars="5"/>
              <w:rPr>
                <w:rFonts w:hint="eastAsia" w:ascii="宋体" w:hAnsi="宋体"/>
                <w:color w:val="auto"/>
                <w:sz w:val="21"/>
                <w:szCs w:val="21"/>
                <w:highlight w:val="none"/>
              </w:rPr>
            </w:pPr>
          </w:p>
        </w:tc>
      </w:tr>
      <w:tr w14:paraId="2A801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510AAAFC">
            <w:pPr>
              <w:ind w:firstLine="35" w:firstLineChars="17"/>
              <w:jc w:val="center"/>
              <w:rPr>
                <w:rFonts w:hint="eastAsia" w:ascii="宋体" w:hAnsi="宋体"/>
                <w:color w:val="auto"/>
                <w:sz w:val="21"/>
                <w:szCs w:val="21"/>
                <w:highlight w:val="none"/>
              </w:rPr>
            </w:pPr>
          </w:p>
        </w:tc>
        <w:tc>
          <w:tcPr>
            <w:tcW w:w="1379" w:type="dxa"/>
            <w:vMerge w:val="continue"/>
            <w:vAlign w:val="center"/>
          </w:tcPr>
          <w:p w14:paraId="214E6947">
            <w:pPr>
              <w:jc w:val="center"/>
              <w:rPr>
                <w:rFonts w:hint="eastAsia" w:ascii="宋体" w:hAnsi="宋体"/>
                <w:color w:val="auto"/>
                <w:sz w:val="21"/>
                <w:szCs w:val="21"/>
                <w:highlight w:val="none"/>
              </w:rPr>
            </w:pPr>
          </w:p>
        </w:tc>
        <w:tc>
          <w:tcPr>
            <w:tcW w:w="3834" w:type="dxa"/>
            <w:vAlign w:val="center"/>
          </w:tcPr>
          <w:p w14:paraId="5829999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无锡诺龙铸造有限公司</w:t>
            </w:r>
          </w:p>
        </w:tc>
        <w:tc>
          <w:tcPr>
            <w:tcW w:w="2001" w:type="dxa"/>
            <w:vMerge w:val="continue"/>
            <w:vAlign w:val="center"/>
          </w:tcPr>
          <w:p w14:paraId="4EF5222C">
            <w:pPr>
              <w:ind w:firstLine="10" w:firstLineChars="5"/>
              <w:rPr>
                <w:rFonts w:hint="eastAsia" w:ascii="宋体" w:hAnsi="宋体"/>
                <w:color w:val="auto"/>
                <w:sz w:val="21"/>
                <w:szCs w:val="21"/>
                <w:highlight w:val="none"/>
              </w:rPr>
            </w:pPr>
          </w:p>
        </w:tc>
        <w:tc>
          <w:tcPr>
            <w:tcW w:w="1220" w:type="dxa"/>
            <w:vMerge w:val="continue"/>
            <w:vAlign w:val="center"/>
          </w:tcPr>
          <w:p w14:paraId="2D2CCB4D">
            <w:pPr>
              <w:ind w:firstLine="10" w:firstLineChars="5"/>
              <w:rPr>
                <w:rFonts w:hint="eastAsia" w:ascii="宋体" w:hAnsi="宋体"/>
                <w:color w:val="auto"/>
                <w:sz w:val="21"/>
                <w:szCs w:val="21"/>
                <w:highlight w:val="none"/>
              </w:rPr>
            </w:pPr>
          </w:p>
        </w:tc>
      </w:tr>
      <w:tr w14:paraId="0C076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0DFB774F">
            <w:pPr>
              <w:ind w:firstLine="35" w:firstLineChars="17"/>
              <w:jc w:val="center"/>
              <w:rPr>
                <w:rFonts w:hint="eastAsia" w:ascii="宋体" w:hAnsi="宋体"/>
                <w:color w:val="auto"/>
                <w:sz w:val="21"/>
                <w:szCs w:val="21"/>
                <w:highlight w:val="none"/>
              </w:rPr>
            </w:pPr>
          </w:p>
        </w:tc>
        <w:tc>
          <w:tcPr>
            <w:tcW w:w="1379" w:type="dxa"/>
            <w:vMerge w:val="continue"/>
            <w:vAlign w:val="center"/>
          </w:tcPr>
          <w:p w14:paraId="031CDD4E">
            <w:pPr>
              <w:jc w:val="center"/>
              <w:rPr>
                <w:rFonts w:hint="eastAsia" w:ascii="宋体" w:hAnsi="宋体"/>
                <w:color w:val="auto"/>
                <w:sz w:val="21"/>
                <w:szCs w:val="21"/>
                <w:highlight w:val="none"/>
              </w:rPr>
            </w:pPr>
          </w:p>
        </w:tc>
        <w:tc>
          <w:tcPr>
            <w:tcW w:w="3834" w:type="dxa"/>
            <w:vAlign w:val="center"/>
          </w:tcPr>
          <w:p w14:paraId="0562B761">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广州市花都区永基冶铸厂</w:t>
            </w:r>
          </w:p>
        </w:tc>
        <w:tc>
          <w:tcPr>
            <w:tcW w:w="2001" w:type="dxa"/>
            <w:vMerge w:val="continue"/>
            <w:vAlign w:val="center"/>
          </w:tcPr>
          <w:p w14:paraId="3721C701">
            <w:pPr>
              <w:ind w:firstLine="10" w:firstLineChars="5"/>
              <w:rPr>
                <w:rFonts w:hint="eastAsia" w:ascii="宋体" w:hAnsi="宋体"/>
                <w:color w:val="auto"/>
                <w:sz w:val="21"/>
                <w:szCs w:val="21"/>
                <w:highlight w:val="none"/>
              </w:rPr>
            </w:pPr>
          </w:p>
        </w:tc>
        <w:tc>
          <w:tcPr>
            <w:tcW w:w="1220" w:type="dxa"/>
            <w:vMerge w:val="continue"/>
            <w:vAlign w:val="center"/>
          </w:tcPr>
          <w:p w14:paraId="25DC35C4">
            <w:pPr>
              <w:ind w:firstLine="10" w:firstLineChars="5"/>
              <w:rPr>
                <w:rFonts w:hint="eastAsia" w:ascii="宋体" w:hAnsi="宋体"/>
                <w:color w:val="auto"/>
                <w:sz w:val="21"/>
                <w:szCs w:val="21"/>
                <w:highlight w:val="none"/>
              </w:rPr>
            </w:pPr>
          </w:p>
        </w:tc>
      </w:tr>
      <w:tr w14:paraId="0970E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2A8CECA">
            <w:pPr>
              <w:ind w:firstLine="35" w:firstLineChars="17"/>
              <w:jc w:val="center"/>
              <w:rPr>
                <w:rFonts w:hint="eastAsia" w:ascii="宋体" w:hAnsi="宋体"/>
                <w:color w:val="auto"/>
                <w:sz w:val="21"/>
                <w:szCs w:val="21"/>
                <w:highlight w:val="none"/>
              </w:rPr>
            </w:pPr>
          </w:p>
        </w:tc>
        <w:tc>
          <w:tcPr>
            <w:tcW w:w="1379" w:type="dxa"/>
            <w:vMerge w:val="continue"/>
            <w:vAlign w:val="center"/>
          </w:tcPr>
          <w:p w14:paraId="7111C7E3">
            <w:pPr>
              <w:jc w:val="center"/>
              <w:rPr>
                <w:rFonts w:hint="eastAsia" w:ascii="宋体" w:hAnsi="宋体"/>
                <w:color w:val="auto"/>
                <w:sz w:val="21"/>
                <w:szCs w:val="21"/>
                <w:highlight w:val="none"/>
              </w:rPr>
            </w:pPr>
          </w:p>
        </w:tc>
        <w:tc>
          <w:tcPr>
            <w:tcW w:w="3834" w:type="dxa"/>
            <w:vAlign w:val="center"/>
          </w:tcPr>
          <w:p w14:paraId="522E4B9F">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广州市花都区炭步旺边冶金铸造厂</w:t>
            </w:r>
          </w:p>
        </w:tc>
        <w:tc>
          <w:tcPr>
            <w:tcW w:w="2001" w:type="dxa"/>
            <w:vMerge w:val="continue"/>
            <w:vAlign w:val="center"/>
          </w:tcPr>
          <w:p w14:paraId="5517EBDA">
            <w:pPr>
              <w:ind w:firstLine="10" w:firstLineChars="5"/>
              <w:rPr>
                <w:rFonts w:hint="eastAsia" w:ascii="宋体" w:hAnsi="宋体"/>
                <w:color w:val="auto"/>
                <w:sz w:val="21"/>
                <w:szCs w:val="21"/>
                <w:highlight w:val="none"/>
              </w:rPr>
            </w:pPr>
          </w:p>
        </w:tc>
        <w:tc>
          <w:tcPr>
            <w:tcW w:w="1220" w:type="dxa"/>
            <w:vMerge w:val="continue"/>
            <w:vAlign w:val="center"/>
          </w:tcPr>
          <w:p w14:paraId="11BFE2EA">
            <w:pPr>
              <w:ind w:firstLine="10" w:firstLineChars="5"/>
              <w:rPr>
                <w:rFonts w:hint="eastAsia" w:ascii="宋体" w:hAnsi="宋体"/>
                <w:color w:val="auto"/>
                <w:sz w:val="21"/>
                <w:szCs w:val="21"/>
                <w:highlight w:val="none"/>
              </w:rPr>
            </w:pPr>
          </w:p>
        </w:tc>
      </w:tr>
      <w:tr w14:paraId="15A18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restart"/>
            <w:vAlign w:val="center"/>
          </w:tcPr>
          <w:p w14:paraId="4A700894">
            <w:pPr>
              <w:ind w:firstLine="35" w:firstLineChars="17"/>
              <w:jc w:val="center"/>
              <w:rPr>
                <w:rFonts w:hint="eastAsia" w:ascii="宋体" w:hAnsi="宋体"/>
                <w:b/>
                <w:color w:val="auto"/>
                <w:sz w:val="21"/>
                <w:szCs w:val="21"/>
                <w:highlight w:val="none"/>
              </w:rPr>
            </w:pPr>
            <w:r>
              <w:rPr>
                <w:rFonts w:hint="eastAsia" w:ascii="宋体" w:hAnsi="宋体"/>
                <w:color w:val="auto"/>
                <w:sz w:val="21"/>
                <w:szCs w:val="21"/>
                <w:highlight w:val="none"/>
              </w:rPr>
              <w:t>13.</w:t>
            </w:r>
            <w:r>
              <w:rPr>
                <w:rFonts w:ascii="宋体" w:hAnsi="宋体"/>
                <w:color w:val="auto"/>
                <w:sz w:val="21"/>
                <w:szCs w:val="21"/>
                <w:highlight w:val="none"/>
              </w:rPr>
              <w:t>2</w:t>
            </w:r>
          </w:p>
        </w:tc>
        <w:tc>
          <w:tcPr>
            <w:tcW w:w="1379" w:type="dxa"/>
            <w:vMerge w:val="restart"/>
            <w:vAlign w:val="center"/>
          </w:tcPr>
          <w:p w14:paraId="470604BC">
            <w:pPr>
              <w:jc w:val="center"/>
              <w:rPr>
                <w:rFonts w:hint="eastAsia"/>
                <w:color w:val="auto"/>
                <w:highlight w:val="none"/>
              </w:rPr>
            </w:pPr>
            <w:r>
              <w:rPr>
                <w:rFonts w:hint="eastAsia" w:ascii="宋体" w:hAnsi="宋体"/>
                <w:color w:val="auto"/>
                <w:sz w:val="21"/>
                <w:szCs w:val="21"/>
                <w:highlight w:val="none"/>
              </w:rPr>
              <w:t>灯杆</w:t>
            </w:r>
          </w:p>
        </w:tc>
        <w:tc>
          <w:tcPr>
            <w:tcW w:w="3834" w:type="dxa"/>
            <w:vAlign w:val="center"/>
          </w:tcPr>
          <w:p w14:paraId="4CF07A83">
            <w:pPr>
              <w:ind w:firstLine="10" w:firstLineChars="5"/>
              <w:rPr>
                <w:rFonts w:hint="eastAsia"/>
                <w:color w:val="auto"/>
                <w:highlight w:val="none"/>
              </w:rPr>
            </w:pPr>
            <w:r>
              <w:rPr>
                <w:rFonts w:hint="eastAsia" w:ascii="宋体" w:hAnsi="宋体"/>
                <w:color w:val="auto"/>
                <w:sz w:val="21"/>
                <w:szCs w:val="21"/>
                <w:highlight w:val="none"/>
              </w:rPr>
              <w:t>广东雷士照明科技有限公司</w:t>
            </w:r>
          </w:p>
        </w:tc>
        <w:tc>
          <w:tcPr>
            <w:tcW w:w="2001" w:type="dxa"/>
            <w:vMerge w:val="restart"/>
            <w:vAlign w:val="center"/>
          </w:tcPr>
          <w:p w14:paraId="4098C1BE">
            <w:pPr>
              <w:ind w:firstLine="10" w:firstLineChars="5"/>
              <w:rPr>
                <w:rFonts w:hint="eastAsia"/>
                <w:color w:val="auto"/>
                <w:highlight w:val="none"/>
              </w:rPr>
            </w:pPr>
            <w:r>
              <w:rPr>
                <w:rFonts w:hint="eastAsia" w:ascii="宋体" w:hAnsi="宋体"/>
                <w:color w:val="auto"/>
                <w:sz w:val="21"/>
                <w:szCs w:val="21"/>
                <w:highlight w:val="none"/>
              </w:rPr>
              <w:t>　</w:t>
            </w:r>
          </w:p>
        </w:tc>
        <w:tc>
          <w:tcPr>
            <w:tcW w:w="1220" w:type="dxa"/>
            <w:vMerge w:val="restart"/>
            <w:vAlign w:val="center"/>
          </w:tcPr>
          <w:p w14:paraId="3F4D5ACF">
            <w:pPr>
              <w:ind w:firstLine="10" w:firstLineChars="5"/>
              <w:rPr>
                <w:rFonts w:hint="eastAsia"/>
                <w:color w:val="auto"/>
                <w:highlight w:val="none"/>
              </w:rPr>
            </w:pPr>
            <w:r>
              <w:rPr>
                <w:rFonts w:hint="eastAsia" w:ascii="宋体" w:hAnsi="宋体"/>
                <w:color w:val="auto"/>
                <w:sz w:val="21"/>
                <w:szCs w:val="21"/>
                <w:highlight w:val="none"/>
              </w:rPr>
              <w:t>　</w:t>
            </w:r>
          </w:p>
        </w:tc>
      </w:tr>
      <w:tr w14:paraId="66D98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0D04F1D">
            <w:pPr>
              <w:ind w:firstLine="35" w:firstLineChars="17"/>
              <w:jc w:val="center"/>
              <w:rPr>
                <w:rFonts w:hint="eastAsia" w:ascii="宋体" w:hAnsi="宋体"/>
                <w:color w:val="auto"/>
                <w:sz w:val="21"/>
                <w:szCs w:val="21"/>
                <w:highlight w:val="none"/>
              </w:rPr>
            </w:pPr>
          </w:p>
        </w:tc>
        <w:tc>
          <w:tcPr>
            <w:tcW w:w="1379" w:type="dxa"/>
            <w:vMerge w:val="continue"/>
            <w:vAlign w:val="center"/>
          </w:tcPr>
          <w:p w14:paraId="027809F1">
            <w:pPr>
              <w:jc w:val="center"/>
              <w:rPr>
                <w:rFonts w:hint="eastAsia" w:ascii="宋体" w:hAnsi="宋体"/>
                <w:color w:val="auto"/>
                <w:sz w:val="21"/>
                <w:szCs w:val="21"/>
                <w:highlight w:val="none"/>
              </w:rPr>
            </w:pPr>
          </w:p>
        </w:tc>
        <w:tc>
          <w:tcPr>
            <w:tcW w:w="3834" w:type="dxa"/>
            <w:vAlign w:val="center"/>
          </w:tcPr>
          <w:p w14:paraId="52222683">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广州虎辉照明科技公司</w:t>
            </w:r>
          </w:p>
        </w:tc>
        <w:tc>
          <w:tcPr>
            <w:tcW w:w="2001" w:type="dxa"/>
            <w:vMerge w:val="continue"/>
            <w:vAlign w:val="center"/>
          </w:tcPr>
          <w:p w14:paraId="032C3FC5">
            <w:pPr>
              <w:ind w:firstLine="10" w:firstLineChars="5"/>
              <w:rPr>
                <w:rFonts w:hint="eastAsia" w:ascii="宋体" w:hAnsi="宋体"/>
                <w:color w:val="auto"/>
                <w:sz w:val="21"/>
                <w:szCs w:val="21"/>
                <w:highlight w:val="none"/>
              </w:rPr>
            </w:pPr>
          </w:p>
        </w:tc>
        <w:tc>
          <w:tcPr>
            <w:tcW w:w="1220" w:type="dxa"/>
            <w:vMerge w:val="continue"/>
            <w:vAlign w:val="center"/>
          </w:tcPr>
          <w:p w14:paraId="53971A51">
            <w:pPr>
              <w:ind w:firstLine="10" w:firstLineChars="5"/>
              <w:rPr>
                <w:rFonts w:hint="eastAsia" w:ascii="宋体" w:hAnsi="宋体"/>
                <w:color w:val="auto"/>
                <w:sz w:val="21"/>
                <w:szCs w:val="21"/>
                <w:highlight w:val="none"/>
              </w:rPr>
            </w:pPr>
          </w:p>
        </w:tc>
      </w:tr>
      <w:tr w14:paraId="33B69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trPr>
        <w:tc>
          <w:tcPr>
            <w:tcW w:w="814" w:type="dxa"/>
            <w:vMerge w:val="continue"/>
            <w:vAlign w:val="center"/>
          </w:tcPr>
          <w:p w14:paraId="420F4407">
            <w:pPr>
              <w:ind w:firstLine="36" w:firstLineChars="17"/>
              <w:jc w:val="center"/>
              <w:rPr>
                <w:rFonts w:hint="eastAsia" w:ascii="宋体" w:hAnsi="宋体"/>
                <w:b/>
                <w:color w:val="auto"/>
                <w:sz w:val="21"/>
                <w:szCs w:val="21"/>
                <w:highlight w:val="none"/>
              </w:rPr>
            </w:pPr>
          </w:p>
        </w:tc>
        <w:tc>
          <w:tcPr>
            <w:tcW w:w="1379" w:type="dxa"/>
            <w:vMerge w:val="continue"/>
            <w:vAlign w:val="center"/>
          </w:tcPr>
          <w:p w14:paraId="5EB1A372">
            <w:pPr>
              <w:jc w:val="center"/>
              <w:rPr>
                <w:rFonts w:hint="eastAsia"/>
                <w:color w:val="auto"/>
                <w:highlight w:val="none"/>
              </w:rPr>
            </w:pPr>
          </w:p>
        </w:tc>
        <w:tc>
          <w:tcPr>
            <w:tcW w:w="3834" w:type="dxa"/>
            <w:vAlign w:val="center"/>
          </w:tcPr>
          <w:p w14:paraId="5FD843A0">
            <w:pPr>
              <w:ind w:firstLine="10" w:firstLineChars="5"/>
              <w:rPr>
                <w:rFonts w:hint="eastAsia"/>
                <w:color w:val="auto"/>
                <w:highlight w:val="none"/>
              </w:rPr>
            </w:pPr>
            <w:r>
              <w:rPr>
                <w:rFonts w:hint="eastAsia" w:ascii="宋体" w:hAnsi="宋体"/>
                <w:color w:val="auto"/>
                <w:sz w:val="21"/>
                <w:szCs w:val="21"/>
                <w:highlight w:val="none"/>
              </w:rPr>
              <w:t>广州市特朗照明电气有限公司</w:t>
            </w:r>
          </w:p>
        </w:tc>
        <w:tc>
          <w:tcPr>
            <w:tcW w:w="2001" w:type="dxa"/>
            <w:vMerge w:val="continue"/>
            <w:vAlign w:val="center"/>
          </w:tcPr>
          <w:p w14:paraId="06A72A98">
            <w:pPr>
              <w:ind w:firstLine="11" w:firstLineChars="5"/>
              <w:rPr>
                <w:rFonts w:hint="eastAsia"/>
                <w:color w:val="auto"/>
                <w:highlight w:val="none"/>
              </w:rPr>
            </w:pPr>
          </w:p>
        </w:tc>
        <w:tc>
          <w:tcPr>
            <w:tcW w:w="1220" w:type="dxa"/>
            <w:vMerge w:val="continue"/>
            <w:vAlign w:val="center"/>
          </w:tcPr>
          <w:p w14:paraId="5619B80C">
            <w:pPr>
              <w:ind w:firstLine="11" w:firstLineChars="5"/>
              <w:rPr>
                <w:rFonts w:hint="eastAsia"/>
                <w:color w:val="auto"/>
                <w:highlight w:val="none"/>
              </w:rPr>
            </w:pPr>
          </w:p>
        </w:tc>
      </w:tr>
      <w:tr w14:paraId="0F14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7E197968">
            <w:pPr>
              <w:ind w:firstLine="36" w:firstLineChars="17"/>
              <w:jc w:val="center"/>
              <w:rPr>
                <w:rFonts w:hint="eastAsia" w:ascii="宋体" w:hAnsi="宋体"/>
                <w:b/>
                <w:color w:val="auto"/>
                <w:sz w:val="21"/>
                <w:szCs w:val="21"/>
                <w:highlight w:val="none"/>
              </w:rPr>
            </w:pPr>
          </w:p>
        </w:tc>
        <w:tc>
          <w:tcPr>
            <w:tcW w:w="1379" w:type="dxa"/>
            <w:vMerge w:val="continue"/>
            <w:vAlign w:val="center"/>
          </w:tcPr>
          <w:p w14:paraId="32538E82">
            <w:pPr>
              <w:jc w:val="center"/>
              <w:rPr>
                <w:rFonts w:hint="eastAsia"/>
                <w:color w:val="auto"/>
                <w:highlight w:val="none"/>
              </w:rPr>
            </w:pPr>
          </w:p>
        </w:tc>
        <w:tc>
          <w:tcPr>
            <w:tcW w:w="3834" w:type="dxa"/>
            <w:vAlign w:val="center"/>
          </w:tcPr>
          <w:p w14:paraId="4A8ED14A">
            <w:pPr>
              <w:ind w:firstLine="10" w:firstLineChars="5"/>
              <w:rPr>
                <w:rFonts w:hint="eastAsia"/>
                <w:color w:val="auto"/>
                <w:highlight w:val="none"/>
              </w:rPr>
            </w:pPr>
            <w:r>
              <w:rPr>
                <w:rFonts w:hint="eastAsia" w:ascii="宋体" w:hAnsi="宋体"/>
                <w:color w:val="auto"/>
                <w:sz w:val="21"/>
                <w:szCs w:val="21"/>
                <w:highlight w:val="none"/>
              </w:rPr>
              <w:t>江门市宏天照明有限公司</w:t>
            </w:r>
          </w:p>
        </w:tc>
        <w:tc>
          <w:tcPr>
            <w:tcW w:w="2001" w:type="dxa"/>
            <w:vMerge w:val="continue"/>
            <w:vAlign w:val="center"/>
          </w:tcPr>
          <w:p w14:paraId="63FFE955">
            <w:pPr>
              <w:ind w:firstLine="11" w:firstLineChars="5"/>
              <w:rPr>
                <w:rFonts w:hint="eastAsia"/>
                <w:color w:val="auto"/>
                <w:highlight w:val="none"/>
              </w:rPr>
            </w:pPr>
          </w:p>
        </w:tc>
        <w:tc>
          <w:tcPr>
            <w:tcW w:w="1220" w:type="dxa"/>
            <w:vMerge w:val="continue"/>
            <w:vAlign w:val="center"/>
          </w:tcPr>
          <w:p w14:paraId="6BA75FD5">
            <w:pPr>
              <w:ind w:firstLine="11" w:firstLineChars="5"/>
              <w:rPr>
                <w:rFonts w:hint="eastAsia"/>
                <w:color w:val="auto"/>
                <w:highlight w:val="none"/>
              </w:rPr>
            </w:pPr>
          </w:p>
        </w:tc>
      </w:tr>
      <w:tr w14:paraId="719970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1A14A7A5">
            <w:pPr>
              <w:ind w:firstLine="35" w:firstLineChars="17"/>
              <w:jc w:val="center"/>
              <w:rPr>
                <w:rFonts w:hint="eastAsia" w:ascii="宋体" w:hAnsi="宋体"/>
                <w:color w:val="auto"/>
                <w:sz w:val="21"/>
                <w:szCs w:val="21"/>
                <w:highlight w:val="none"/>
              </w:rPr>
            </w:pPr>
          </w:p>
        </w:tc>
        <w:tc>
          <w:tcPr>
            <w:tcW w:w="1379" w:type="dxa"/>
            <w:vMerge w:val="continue"/>
            <w:vAlign w:val="center"/>
          </w:tcPr>
          <w:p w14:paraId="257027EE">
            <w:pPr>
              <w:jc w:val="center"/>
              <w:rPr>
                <w:rFonts w:hint="eastAsia" w:ascii="宋体" w:hAnsi="宋体"/>
                <w:color w:val="auto"/>
                <w:sz w:val="21"/>
                <w:szCs w:val="21"/>
                <w:highlight w:val="none"/>
              </w:rPr>
            </w:pPr>
          </w:p>
        </w:tc>
        <w:tc>
          <w:tcPr>
            <w:tcW w:w="3834" w:type="dxa"/>
            <w:vAlign w:val="center"/>
          </w:tcPr>
          <w:p w14:paraId="5AB897C5">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广东旭翔照明有限公司</w:t>
            </w:r>
          </w:p>
        </w:tc>
        <w:tc>
          <w:tcPr>
            <w:tcW w:w="2001" w:type="dxa"/>
            <w:vMerge w:val="continue"/>
            <w:vAlign w:val="center"/>
          </w:tcPr>
          <w:p w14:paraId="76A35740">
            <w:pPr>
              <w:ind w:firstLine="10" w:firstLineChars="5"/>
              <w:rPr>
                <w:rFonts w:hint="eastAsia" w:ascii="宋体" w:hAnsi="宋体"/>
                <w:color w:val="auto"/>
                <w:sz w:val="21"/>
                <w:szCs w:val="21"/>
                <w:highlight w:val="none"/>
              </w:rPr>
            </w:pPr>
          </w:p>
        </w:tc>
        <w:tc>
          <w:tcPr>
            <w:tcW w:w="1220" w:type="dxa"/>
            <w:vMerge w:val="continue"/>
            <w:vAlign w:val="center"/>
          </w:tcPr>
          <w:p w14:paraId="735727A9">
            <w:pPr>
              <w:ind w:firstLine="10" w:firstLineChars="5"/>
              <w:rPr>
                <w:rFonts w:hint="eastAsia" w:ascii="宋体" w:hAnsi="宋体"/>
                <w:color w:val="auto"/>
                <w:sz w:val="21"/>
                <w:szCs w:val="21"/>
                <w:highlight w:val="none"/>
              </w:rPr>
            </w:pPr>
          </w:p>
        </w:tc>
      </w:tr>
      <w:tr w14:paraId="17F69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Merge w:val="continue"/>
            <w:vAlign w:val="center"/>
          </w:tcPr>
          <w:p w14:paraId="267E1DA5">
            <w:pPr>
              <w:ind w:firstLine="35" w:firstLineChars="17"/>
              <w:jc w:val="center"/>
              <w:rPr>
                <w:rFonts w:hint="eastAsia" w:ascii="宋体" w:hAnsi="宋体"/>
                <w:color w:val="auto"/>
                <w:sz w:val="21"/>
                <w:szCs w:val="21"/>
                <w:highlight w:val="none"/>
              </w:rPr>
            </w:pPr>
          </w:p>
        </w:tc>
        <w:tc>
          <w:tcPr>
            <w:tcW w:w="1379" w:type="dxa"/>
            <w:vMerge w:val="continue"/>
            <w:vAlign w:val="center"/>
          </w:tcPr>
          <w:p w14:paraId="4F440481">
            <w:pPr>
              <w:jc w:val="center"/>
              <w:rPr>
                <w:rFonts w:hint="eastAsia" w:ascii="宋体" w:hAnsi="宋体"/>
                <w:color w:val="auto"/>
                <w:sz w:val="21"/>
                <w:szCs w:val="21"/>
                <w:highlight w:val="none"/>
              </w:rPr>
            </w:pPr>
          </w:p>
        </w:tc>
        <w:tc>
          <w:tcPr>
            <w:tcW w:w="3834" w:type="dxa"/>
            <w:vAlign w:val="center"/>
          </w:tcPr>
          <w:p w14:paraId="7F6DA03A">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中山市天贸照明电器厂</w:t>
            </w:r>
          </w:p>
        </w:tc>
        <w:tc>
          <w:tcPr>
            <w:tcW w:w="2001" w:type="dxa"/>
            <w:vMerge w:val="continue"/>
            <w:vAlign w:val="center"/>
          </w:tcPr>
          <w:p w14:paraId="2BA8C955">
            <w:pPr>
              <w:ind w:firstLine="10" w:firstLineChars="5"/>
              <w:rPr>
                <w:rFonts w:hint="eastAsia" w:ascii="宋体" w:hAnsi="宋体"/>
                <w:color w:val="auto"/>
                <w:sz w:val="21"/>
                <w:szCs w:val="21"/>
                <w:highlight w:val="none"/>
              </w:rPr>
            </w:pPr>
          </w:p>
        </w:tc>
        <w:tc>
          <w:tcPr>
            <w:tcW w:w="1220" w:type="dxa"/>
            <w:vMerge w:val="continue"/>
            <w:vAlign w:val="center"/>
          </w:tcPr>
          <w:p w14:paraId="054089E4">
            <w:pPr>
              <w:ind w:firstLine="10" w:firstLineChars="5"/>
              <w:rPr>
                <w:rFonts w:hint="eastAsia" w:ascii="宋体" w:hAnsi="宋体"/>
                <w:color w:val="auto"/>
                <w:sz w:val="21"/>
                <w:szCs w:val="21"/>
                <w:highlight w:val="none"/>
              </w:rPr>
            </w:pPr>
          </w:p>
        </w:tc>
      </w:tr>
      <w:tr w14:paraId="43B7F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957365D">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13.</w:t>
            </w:r>
            <w:r>
              <w:rPr>
                <w:rFonts w:ascii="宋体" w:hAnsi="宋体"/>
                <w:color w:val="auto"/>
                <w:sz w:val="21"/>
                <w:szCs w:val="21"/>
                <w:highlight w:val="none"/>
              </w:rPr>
              <w:t>3</w:t>
            </w:r>
          </w:p>
        </w:tc>
        <w:tc>
          <w:tcPr>
            <w:tcW w:w="1379" w:type="dxa"/>
            <w:vAlign w:val="center"/>
          </w:tcPr>
          <w:p w14:paraId="51CD75EF">
            <w:pPr>
              <w:jc w:val="center"/>
              <w:rPr>
                <w:rFonts w:hint="eastAsia" w:ascii="宋体" w:hAnsi="宋体"/>
                <w:color w:val="auto"/>
                <w:sz w:val="21"/>
                <w:szCs w:val="21"/>
                <w:highlight w:val="none"/>
              </w:rPr>
            </w:pPr>
            <w:r>
              <w:rPr>
                <w:rFonts w:hint="eastAsia" w:ascii="宋体" w:hAnsi="宋体"/>
                <w:color w:val="auto"/>
                <w:sz w:val="21"/>
                <w:szCs w:val="21"/>
                <w:highlight w:val="none"/>
              </w:rPr>
              <w:t>路灯光源</w:t>
            </w:r>
          </w:p>
        </w:tc>
        <w:tc>
          <w:tcPr>
            <w:tcW w:w="3834" w:type="dxa"/>
            <w:vAlign w:val="center"/>
          </w:tcPr>
          <w:p w14:paraId="52323E18">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参照7.15</w:t>
            </w:r>
          </w:p>
        </w:tc>
        <w:tc>
          <w:tcPr>
            <w:tcW w:w="2001" w:type="dxa"/>
            <w:vAlign w:val="center"/>
          </w:tcPr>
          <w:p w14:paraId="6C850A9D">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c>
          <w:tcPr>
            <w:tcW w:w="1220" w:type="dxa"/>
            <w:vAlign w:val="center"/>
          </w:tcPr>
          <w:p w14:paraId="46F5187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　</w:t>
            </w:r>
          </w:p>
        </w:tc>
      </w:tr>
      <w:tr w14:paraId="25F5E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03AD2F22">
            <w:pPr>
              <w:ind w:firstLine="373" w:firstLineChars="177"/>
              <w:rPr>
                <w:rFonts w:hint="eastAsia" w:ascii="宋体" w:hAnsi="宋体" w:eastAsia="宋体"/>
                <w:b/>
                <w:color w:val="auto"/>
                <w:sz w:val="21"/>
                <w:szCs w:val="21"/>
                <w:highlight w:val="none"/>
              </w:rPr>
            </w:pPr>
            <w:r>
              <w:rPr>
                <w:rFonts w:hint="eastAsia" w:ascii="宋体" w:hAnsi="宋体" w:eastAsia="宋体"/>
                <w:b/>
                <w:color w:val="auto"/>
                <w:sz w:val="21"/>
                <w:szCs w:val="21"/>
                <w:highlight w:val="none"/>
              </w:rPr>
              <w:t>四、5G室内覆盖分布系统工程</w:t>
            </w:r>
          </w:p>
        </w:tc>
      </w:tr>
      <w:tr w14:paraId="4A383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9248" w:type="dxa"/>
            <w:gridSpan w:val="5"/>
            <w:vAlign w:val="center"/>
          </w:tcPr>
          <w:p w14:paraId="66C2620B">
            <w:pPr>
              <w:ind w:firstLine="373" w:firstLineChars="177"/>
              <w:rPr>
                <w:rFonts w:hint="eastAsia" w:ascii="宋体" w:hAnsi="宋体" w:eastAsia="宋体"/>
                <w:b/>
                <w:color w:val="auto"/>
                <w:sz w:val="21"/>
                <w:szCs w:val="21"/>
                <w:highlight w:val="none"/>
              </w:rPr>
            </w:pPr>
            <w:r>
              <w:rPr>
                <w:rFonts w:hint="eastAsia" w:ascii="宋体" w:hAnsi="宋体" w:eastAsia="宋体"/>
                <w:b/>
                <w:color w:val="auto"/>
                <w:sz w:val="21"/>
                <w:szCs w:val="21"/>
                <w:highlight w:val="none"/>
              </w:rPr>
              <w:t>14、5G室内覆盖分布系统POI用户侧无源部分</w:t>
            </w:r>
          </w:p>
        </w:tc>
      </w:tr>
      <w:tr w14:paraId="0023B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6A34BF82">
            <w:pPr>
              <w:ind w:firstLine="35" w:firstLineChars="17"/>
              <w:jc w:val="center"/>
              <w:rPr>
                <w:rFonts w:hint="eastAsia" w:ascii="宋体" w:hAnsi="宋体" w:eastAsia="宋体"/>
                <w:color w:val="auto"/>
                <w:sz w:val="21"/>
                <w:szCs w:val="21"/>
                <w:highlight w:val="none"/>
              </w:rPr>
            </w:pPr>
            <w:r>
              <w:rPr>
                <w:rFonts w:hint="eastAsia" w:ascii="宋体" w:hAnsi="宋体"/>
                <w:color w:val="auto"/>
                <w:sz w:val="21"/>
                <w:szCs w:val="21"/>
                <w:highlight w:val="none"/>
              </w:rPr>
              <w:t>14.1</w:t>
            </w:r>
          </w:p>
        </w:tc>
        <w:tc>
          <w:tcPr>
            <w:tcW w:w="1379" w:type="dxa"/>
            <w:vAlign w:val="center"/>
          </w:tcPr>
          <w:p w14:paraId="04A3D3CB">
            <w:pPr>
              <w:jc w:val="center"/>
              <w:rPr>
                <w:rFonts w:hint="eastAsia" w:ascii="宋体" w:hAnsi="宋体"/>
                <w:color w:val="auto"/>
                <w:sz w:val="21"/>
                <w:szCs w:val="21"/>
                <w:highlight w:val="none"/>
              </w:rPr>
            </w:pPr>
            <w:r>
              <w:rPr>
                <w:rFonts w:hint="eastAsia" w:ascii="宋体" w:hAnsi="宋体"/>
                <w:color w:val="auto"/>
                <w:sz w:val="21"/>
                <w:szCs w:val="21"/>
                <w:highlight w:val="none"/>
              </w:rPr>
              <w:t>POI/合路器</w:t>
            </w:r>
          </w:p>
        </w:tc>
        <w:tc>
          <w:tcPr>
            <w:tcW w:w="3834" w:type="dxa"/>
            <w:vAlign w:val="center"/>
          </w:tcPr>
          <w:p w14:paraId="1C00C600">
            <w:pPr>
              <w:ind w:firstLine="10" w:firstLineChars="5"/>
              <w:rPr>
                <w:rFonts w:hint="eastAsia" w:ascii="宋体" w:hAnsi="宋体" w:eastAsia="宋体"/>
                <w:color w:val="auto"/>
                <w:sz w:val="21"/>
                <w:szCs w:val="21"/>
                <w:highlight w:val="none"/>
              </w:rPr>
            </w:pPr>
            <w:r>
              <w:rPr>
                <w:rFonts w:hint="eastAsia" w:ascii="宋体" w:hAnsi="宋体"/>
                <w:color w:val="auto"/>
                <w:sz w:val="21"/>
                <w:szCs w:val="21"/>
                <w:highlight w:val="none"/>
              </w:rPr>
              <w:t>ABB、施耐德、西门子、锐捷、中原天馈、大华、良信、海康威视</w:t>
            </w:r>
          </w:p>
        </w:tc>
        <w:tc>
          <w:tcPr>
            <w:tcW w:w="2001" w:type="dxa"/>
            <w:vAlign w:val="center"/>
          </w:tcPr>
          <w:p w14:paraId="64B8AAC4">
            <w:pPr>
              <w:ind w:firstLine="10" w:firstLineChars="5"/>
              <w:rPr>
                <w:rFonts w:hint="eastAsia" w:ascii="宋体" w:hAnsi="宋体"/>
                <w:color w:val="auto"/>
                <w:sz w:val="21"/>
                <w:szCs w:val="21"/>
                <w:highlight w:val="none"/>
              </w:rPr>
            </w:pPr>
          </w:p>
        </w:tc>
        <w:tc>
          <w:tcPr>
            <w:tcW w:w="1220" w:type="dxa"/>
            <w:vAlign w:val="center"/>
          </w:tcPr>
          <w:p w14:paraId="1B7C06F5">
            <w:pPr>
              <w:ind w:firstLine="10" w:firstLineChars="5"/>
              <w:rPr>
                <w:rFonts w:hint="eastAsia" w:ascii="宋体" w:hAnsi="宋体"/>
                <w:color w:val="auto"/>
                <w:sz w:val="21"/>
                <w:szCs w:val="21"/>
                <w:highlight w:val="none"/>
              </w:rPr>
            </w:pPr>
          </w:p>
        </w:tc>
      </w:tr>
      <w:tr w14:paraId="415EC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74748C20">
            <w:pPr>
              <w:rPr>
                <w:rFonts w:hint="eastAsia"/>
                <w:color w:val="auto"/>
                <w:highlight w:val="none"/>
              </w:rPr>
            </w:pPr>
          </w:p>
        </w:tc>
        <w:tc>
          <w:tcPr>
            <w:tcW w:w="1379" w:type="dxa"/>
            <w:vAlign w:val="center"/>
          </w:tcPr>
          <w:p w14:paraId="36308B0F">
            <w:pPr>
              <w:rPr>
                <w:rFonts w:hint="eastAsia"/>
                <w:color w:val="auto"/>
                <w:highlight w:val="none"/>
              </w:rPr>
            </w:pPr>
          </w:p>
        </w:tc>
        <w:tc>
          <w:tcPr>
            <w:tcW w:w="3834" w:type="dxa"/>
            <w:vAlign w:val="center"/>
          </w:tcPr>
          <w:p w14:paraId="7F5381CE">
            <w:pPr>
              <w:rPr>
                <w:rFonts w:hint="eastAsia"/>
                <w:color w:val="auto"/>
                <w:highlight w:val="none"/>
              </w:rPr>
            </w:pPr>
          </w:p>
        </w:tc>
        <w:tc>
          <w:tcPr>
            <w:tcW w:w="2001" w:type="dxa"/>
            <w:vAlign w:val="center"/>
          </w:tcPr>
          <w:p w14:paraId="41A7C75A">
            <w:pPr>
              <w:rPr>
                <w:rFonts w:hint="eastAsia"/>
                <w:color w:val="auto"/>
                <w:highlight w:val="none"/>
              </w:rPr>
            </w:pPr>
          </w:p>
        </w:tc>
        <w:tc>
          <w:tcPr>
            <w:tcW w:w="1220" w:type="dxa"/>
            <w:vAlign w:val="center"/>
          </w:tcPr>
          <w:p w14:paraId="5C97A9ED">
            <w:pPr>
              <w:rPr>
                <w:rFonts w:hint="eastAsia"/>
                <w:color w:val="auto"/>
                <w:highlight w:val="none"/>
              </w:rPr>
            </w:pPr>
          </w:p>
        </w:tc>
      </w:tr>
      <w:tr w14:paraId="499B1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60" w:hRule="atLeast"/>
        </w:trPr>
        <w:tc>
          <w:tcPr>
            <w:tcW w:w="814" w:type="dxa"/>
            <w:vAlign w:val="center"/>
          </w:tcPr>
          <w:p w14:paraId="6C29DA31">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14.2</w:t>
            </w:r>
          </w:p>
        </w:tc>
        <w:tc>
          <w:tcPr>
            <w:tcW w:w="1379" w:type="dxa"/>
            <w:vAlign w:val="center"/>
          </w:tcPr>
          <w:p w14:paraId="1CA481FD">
            <w:pPr>
              <w:jc w:val="center"/>
              <w:rPr>
                <w:rFonts w:hint="eastAsia" w:ascii="宋体" w:hAnsi="宋体"/>
                <w:color w:val="auto"/>
                <w:sz w:val="21"/>
                <w:szCs w:val="21"/>
                <w:highlight w:val="none"/>
              </w:rPr>
            </w:pPr>
            <w:r>
              <w:rPr>
                <w:rFonts w:hint="eastAsia" w:ascii="宋体" w:hAnsi="宋体"/>
                <w:color w:val="auto"/>
                <w:sz w:val="21"/>
                <w:szCs w:val="21"/>
                <w:highlight w:val="none"/>
              </w:rPr>
              <w:t>功分器、耦合器</w:t>
            </w:r>
          </w:p>
        </w:tc>
        <w:tc>
          <w:tcPr>
            <w:tcW w:w="3834" w:type="dxa"/>
            <w:vAlign w:val="center"/>
          </w:tcPr>
          <w:p w14:paraId="6E1B87DF">
            <w:pPr>
              <w:ind w:firstLine="10" w:firstLineChars="5"/>
              <w:rPr>
                <w:rFonts w:hint="eastAsia" w:ascii="宋体" w:hAnsi="宋体" w:eastAsia="宋体"/>
                <w:color w:val="auto"/>
                <w:sz w:val="21"/>
                <w:szCs w:val="21"/>
                <w:highlight w:val="none"/>
              </w:rPr>
            </w:pPr>
            <w:r>
              <w:rPr>
                <w:rFonts w:hint="eastAsia" w:ascii="宋体" w:hAnsi="宋体"/>
                <w:color w:val="auto"/>
                <w:sz w:val="21"/>
                <w:szCs w:val="21"/>
                <w:highlight w:val="none"/>
              </w:rPr>
              <w:t>爱谱华顿、罗格朗、耐克森、北大青鸟、清华同方、中国普天</w:t>
            </w:r>
          </w:p>
        </w:tc>
        <w:tc>
          <w:tcPr>
            <w:tcW w:w="2001" w:type="dxa"/>
            <w:vAlign w:val="center"/>
          </w:tcPr>
          <w:p w14:paraId="3138625C">
            <w:pPr>
              <w:ind w:firstLine="10" w:firstLineChars="5"/>
              <w:rPr>
                <w:rFonts w:hint="eastAsia" w:ascii="宋体" w:hAnsi="宋体"/>
                <w:color w:val="auto"/>
                <w:sz w:val="21"/>
                <w:szCs w:val="21"/>
                <w:highlight w:val="none"/>
              </w:rPr>
            </w:pPr>
          </w:p>
        </w:tc>
        <w:tc>
          <w:tcPr>
            <w:tcW w:w="1220" w:type="dxa"/>
            <w:vAlign w:val="center"/>
          </w:tcPr>
          <w:p w14:paraId="5B223012">
            <w:pPr>
              <w:ind w:firstLine="10" w:firstLineChars="5"/>
              <w:rPr>
                <w:rFonts w:hint="eastAsia" w:ascii="宋体" w:hAnsi="宋体"/>
                <w:color w:val="auto"/>
                <w:sz w:val="21"/>
                <w:szCs w:val="21"/>
                <w:highlight w:val="none"/>
              </w:rPr>
            </w:pPr>
          </w:p>
        </w:tc>
      </w:tr>
      <w:tr w14:paraId="265FF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trPr>
        <w:tc>
          <w:tcPr>
            <w:tcW w:w="814" w:type="dxa"/>
            <w:vAlign w:val="center"/>
          </w:tcPr>
          <w:p w14:paraId="5E8550B9">
            <w:pPr>
              <w:ind w:firstLine="35" w:firstLineChars="17"/>
              <w:jc w:val="center"/>
              <w:rPr>
                <w:rFonts w:hint="eastAsia" w:ascii="宋体" w:hAnsi="宋体"/>
                <w:color w:val="auto"/>
                <w:sz w:val="21"/>
                <w:szCs w:val="21"/>
                <w:highlight w:val="none"/>
              </w:rPr>
            </w:pPr>
            <w:r>
              <w:rPr>
                <w:rFonts w:hint="eastAsia" w:ascii="宋体" w:hAnsi="宋体"/>
                <w:color w:val="auto"/>
                <w:sz w:val="21"/>
                <w:szCs w:val="21"/>
                <w:highlight w:val="none"/>
              </w:rPr>
              <w:t>14.3</w:t>
            </w:r>
          </w:p>
        </w:tc>
        <w:tc>
          <w:tcPr>
            <w:tcW w:w="1379" w:type="dxa"/>
            <w:vAlign w:val="center"/>
          </w:tcPr>
          <w:p w14:paraId="3B76A239">
            <w:pPr>
              <w:jc w:val="center"/>
              <w:rPr>
                <w:rFonts w:hint="eastAsia" w:ascii="宋体" w:hAnsi="宋体" w:eastAsia="宋体"/>
                <w:color w:val="auto"/>
                <w:sz w:val="21"/>
                <w:szCs w:val="21"/>
                <w:highlight w:val="none"/>
              </w:rPr>
            </w:pPr>
            <w:r>
              <w:rPr>
                <w:rFonts w:hint="eastAsia" w:ascii="宋体" w:hAnsi="宋体"/>
                <w:color w:val="auto"/>
                <w:sz w:val="21"/>
                <w:szCs w:val="21"/>
                <w:highlight w:val="none"/>
              </w:rPr>
              <w:t>馈线接头、电源线</w:t>
            </w:r>
          </w:p>
        </w:tc>
        <w:tc>
          <w:tcPr>
            <w:tcW w:w="3834" w:type="dxa"/>
            <w:vAlign w:val="center"/>
          </w:tcPr>
          <w:p w14:paraId="513A3674">
            <w:pPr>
              <w:ind w:firstLine="10" w:firstLineChars="5"/>
              <w:rPr>
                <w:rFonts w:hint="eastAsia" w:ascii="宋体" w:hAnsi="宋体"/>
                <w:color w:val="auto"/>
                <w:sz w:val="21"/>
                <w:szCs w:val="21"/>
                <w:highlight w:val="none"/>
              </w:rPr>
            </w:pPr>
            <w:r>
              <w:rPr>
                <w:rFonts w:hint="eastAsia" w:ascii="宋体" w:hAnsi="宋体"/>
                <w:color w:val="auto"/>
                <w:sz w:val="21"/>
                <w:szCs w:val="21"/>
                <w:highlight w:val="none"/>
              </w:rPr>
              <w:t>起帆、上上、熊猫、远东</w:t>
            </w:r>
          </w:p>
        </w:tc>
        <w:tc>
          <w:tcPr>
            <w:tcW w:w="2001" w:type="dxa"/>
            <w:vAlign w:val="center"/>
          </w:tcPr>
          <w:p w14:paraId="4147E080">
            <w:pPr>
              <w:ind w:firstLine="10" w:firstLineChars="5"/>
              <w:rPr>
                <w:rFonts w:hint="eastAsia" w:ascii="宋体" w:hAnsi="宋体"/>
                <w:color w:val="auto"/>
                <w:sz w:val="21"/>
                <w:szCs w:val="21"/>
                <w:highlight w:val="none"/>
              </w:rPr>
            </w:pPr>
          </w:p>
        </w:tc>
        <w:tc>
          <w:tcPr>
            <w:tcW w:w="1220" w:type="dxa"/>
            <w:vAlign w:val="center"/>
          </w:tcPr>
          <w:p w14:paraId="7D7C589A">
            <w:pPr>
              <w:ind w:firstLine="10" w:firstLineChars="5"/>
              <w:rPr>
                <w:rFonts w:hint="eastAsia" w:ascii="宋体" w:hAnsi="宋体"/>
                <w:color w:val="auto"/>
                <w:sz w:val="21"/>
                <w:szCs w:val="21"/>
                <w:highlight w:val="none"/>
              </w:rPr>
            </w:pPr>
          </w:p>
        </w:tc>
      </w:tr>
    </w:tbl>
    <w:p w14:paraId="4BB0D725">
      <w:pPr>
        <w:pStyle w:val="24"/>
        <w:widowControl/>
        <w:ind w:firstLine="0" w:firstLineChars="0"/>
        <w:rPr>
          <w:highlight w:val="none"/>
        </w:rPr>
      </w:pPr>
    </w:p>
    <w:p w14:paraId="5A3A72B8">
      <w:pPr>
        <w:pStyle w:val="107"/>
        <w:outlineLvl w:val="9"/>
        <w:rPr>
          <w:rFonts w:hint="eastAsia" w:cs="宋体"/>
          <w:highlight w:val="none"/>
        </w:rPr>
      </w:pPr>
    </w:p>
    <w:sectPr>
      <w:headerReference r:id="rId12" w:type="default"/>
      <w:footerReference r:id="rId13" w:type="default"/>
      <w:pgSz w:w="11905" w:h="16838"/>
      <w:pgMar w:top="1440" w:right="1440" w:bottom="1440" w:left="144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MS UI Gothic">
    <w:panose1 w:val="020B0600070205080204"/>
    <w:charset w:val="80"/>
    <w:family w:val="swiss"/>
    <w:pitch w:val="default"/>
    <w:sig w:usb0="E00002FF" w:usb1="6AC7FDFB" w:usb2="08000012" w:usb3="00000000" w:csb0="4002009F" w:csb1="DFD70000"/>
  </w:font>
  <w:font w:name="Verdana">
    <w:panose1 w:val="020B0604030504040204"/>
    <w:charset w:val="00"/>
    <w:family w:val="swiss"/>
    <w:pitch w:val="default"/>
    <w:sig w:usb0="A00006FF" w:usb1="4000205B" w:usb2="00000010" w:usb3="00000000" w:csb0="2000019F"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BC73A0">
    <w:pPr>
      <w:pStyle w:val="29"/>
      <w:rPr>
        <w:rFonts w:hint="eastAsia"/>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60325" cy="231140"/>
              <wp:effectExtent l="0" t="0" r="0" b="0"/>
              <wp:wrapNone/>
              <wp:docPr id="1" name="文本框 1"/>
              <wp:cNvGraphicFramePr/>
              <a:graphic xmlns:a="http://schemas.openxmlformats.org/drawingml/2006/main">
                <a:graphicData uri="http://schemas.microsoft.com/office/word/2010/wordprocessingShape">
                  <wps:wsp>
                    <wps:cNvSpPr txBox="1"/>
                    <wps:spPr>
                      <a:xfrm>
                        <a:off x="0" y="0"/>
                        <a:ext cx="60325" cy="231140"/>
                      </a:xfrm>
                      <a:prstGeom prst="rect">
                        <a:avLst/>
                      </a:prstGeom>
                      <a:noFill/>
                      <a:ln w="6350">
                        <a:noFill/>
                      </a:ln>
                      <a:effectLst/>
                    </wps:spPr>
                    <wps:txbx>
                      <w:txbxContent>
                        <w:p w14:paraId="49BDD3A9">
                          <w:pPr>
                            <w:pStyle w:val="29"/>
                            <w:rPr>
                              <w:rFonts w:hint="eastAsia"/>
                            </w:rP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8.2pt;width:4.75pt;mso-position-horizontal:center;mso-position-horizontal-relative:margin;mso-wrap-style:none;z-index:251659264;mso-width-relative:page;mso-height-relative:page;" filled="f" stroked="f" coordsize="21600,21600" o:gfxdata="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TE/ugdIAAAACAQAADwAAAAAAAAABACAAAAAiAAAAZHJzL2Rvd25yZXYueG1sUEsB&#10;AhQAFAAAAAgAh07iQFsz8Gg0AgAAYAQAAA4AAAAAAAAAAQAgAAAAIQEAAGRycy9lMm9Eb2MueG1s&#10;UEsFBgAAAAAGAAYAWQEAAMcFAAAAAA==&#10;">
              <v:fill on="f" focussize="0,0"/>
              <v:stroke on="f" weight="0.5pt"/>
              <v:imagedata o:title=""/>
              <o:lock v:ext="edit" aspectratio="f"/>
              <v:textbox inset="0mm,0mm,0mm,0mm" style="mso-fit-shape-to-text:t;">
                <w:txbxContent>
                  <w:p w14:paraId="49BDD3A9">
                    <w:pPr>
                      <w:pStyle w:val="29"/>
                      <w:rPr>
                        <w:rFonts w:hint="eastAsia"/>
                      </w:rPr>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B0C5B4">
    <w:pPr>
      <w:pStyle w:val="29"/>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868AB02">
                          <w:pPr>
                            <w:pStyle w:val="29"/>
                            <w:rPr>
                              <w:rFonts w:hint="eastAsia"/>
                            </w:rPr>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SJGuwyAgAAY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jB5loWN&#10;3loeoaM83i4PAXImlaMonRLoTjxg9lKfLnsSh/vPc4p6+m9YP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NIka7DICAABjBAAADgAAAAAAAAABACAAAAAfAQAAZHJzL2Uyb0RvYy54bWxQSwUG&#10;AAAAAAYABgBZAQAAwwUAAAAA&#10;">
              <v:fill on="f" focussize="0,0"/>
              <v:stroke on="f" weight="0.5pt"/>
              <v:imagedata o:title=""/>
              <o:lock v:ext="edit" aspectratio="f"/>
              <v:textbox inset="0mm,0mm,0mm,0mm" style="mso-fit-shape-to-text:t;">
                <w:txbxContent>
                  <w:p w14:paraId="1868AB02">
                    <w:pPr>
                      <w:pStyle w:val="29"/>
                      <w:rPr>
                        <w:rFonts w:hint="eastAsia"/>
                      </w:rPr>
                    </w:pPr>
                    <w:r>
                      <w:fldChar w:fldCharType="begin"/>
                    </w:r>
                    <w:r>
                      <w:instrText xml:space="preserve"> PAGE  \* MERGEFORMAT </w:instrText>
                    </w:r>
                    <w:r>
                      <w:fldChar w:fldCharType="separate"/>
                    </w:r>
                    <w:r>
                      <w:t>7</w:t>
                    </w:r>
                    <w:r>
                      <w:fldChar w:fldCharType="end"/>
                    </w:r>
                  </w:p>
                </w:txbxContent>
              </v:textbox>
            </v:shape>
          </w:pict>
        </mc:Fallback>
      </mc:AlternateContent>
    </w:r>
  </w:p>
  <w:p w14:paraId="269D776A">
    <w:pPr>
      <w:pStyle w:val="29"/>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79E5FC">
    <w:pPr>
      <w:pStyle w:val="29"/>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5543BDE">
                          <w:pPr>
                            <w:pStyle w:val="29"/>
                            <w:rPr>
                              <w:rFonts w:hint="eastAsia"/>
                            </w:rPr>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2Zxg5DICAABjBAAADgAAAAAAAAABACAAAAAfAQAAZHJzL2Uyb0RvYy54bWxQSwUG&#10;AAAAAAYABgBZAQAAwwUAAAAA&#10;">
              <v:fill on="f" focussize="0,0"/>
              <v:stroke on="f" weight="0.5pt"/>
              <v:imagedata o:title=""/>
              <o:lock v:ext="edit" aspectratio="f"/>
              <v:textbox inset="0mm,0mm,0mm,0mm" style="mso-fit-shape-to-text:t;">
                <w:txbxContent>
                  <w:p w14:paraId="65543BDE">
                    <w:pPr>
                      <w:pStyle w:val="29"/>
                      <w:rPr>
                        <w:rFonts w:hint="eastAsia"/>
                      </w:rPr>
                    </w:pPr>
                    <w:r>
                      <w:fldChar w:fldCharType="begin"/>
                    </w:r>
                    <w:r>
                      <w:instrText xml:space="preserve"> PAGE  \* MERGEFORMAT </w:instrText>
                    </w:r>
                    <w:r>
                      <w:fldChar w:fldCharType="separate"/>
                    </w:r>
                    <w:r>
                      <w:t>9</w:t>
                    </w:r>
                    <w:r>
                      <w:fldChar w:fldCharType="end"/>
                    </w:r>
                  </w:p>
                </w:txbxContent>
              </v:textbox>
            </v:shape>
          </w:pict>
        </mc:Fallback>
      </mc:AlternateContent>
    </w:r>
  </w:p>
  <w:p w14:paraId="2B78B5D0">
    <w:pPr>
      <w:pStyle w:val="29"/>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B30377">
    <w:pPr>
      <w:pStyle w:val="29"/>
      <w:jc w:val="center"/>
      <w:rPr>
        <w:rFonts w:hint="eastAsia"/>
        <w:sz w:val="21"/>
        <w:szCs w:val="21"/>
      </w:rPr>
    </w:pPr>
    <w:r>
      <w:rPr>
        <w:sz w:val="21"/>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8FA0696">
                          <w:pPr>
                            <w:pStyle w:val="29"/>
                            <w:rPr>
                              <w:rFonts w:hint="eastAsia"/>
                            </w:rPr>
                          </w:pPr>
                          <w:r>
                            <w:fldChar w:fldCharType="begin"/>
                          </w:r>
                          <w:r>
                            <w:instrText xml:space="preserve"> PAGE  \* MERGEFORMAT </w:instrText>
                          </w:r>
                          <w:r>
                            <w:fldChar w:fldCharType="separate"/>
                          </w:r>
                          <w:r>
                            <w:t>19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bxmbQ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G8Zm0MQIAAGMEAAAOAAAAAAAAAAEAIAAAAB8BAABkcnMvZTJvRG9jLnhtbFBLBQYA&#10;AAAABgAGAFkBAADCBQAAAAA=&#10;">
              <v:fill on="f" focussize="0,0"/>
              <v:stroke on="f" weight="0.5pt"/>
              <v:imagedata o:title=""/>
              <o:lock v:ext="edit" aspectratio="f"/>
              <v:textbox inset="0mm,0mm,0mm,0mm" style="mso-fit-shape-to-text:t;">
                <w:txbxContent>
                  <w:p w14:paraId="18FA0696">
                    <w:pPr>
                      <w:pStyle w:val="29"/>
                      <w:rPr>
                        <w:rFonts w:hint="eastAsia"/>
                      </w:rPr>
                    </w:pPr>
                    <w:r>
                      <w:fldChar w:fldCharType="begin"/>
                    </w:r>
                    <w:r>
                      <w:instrText xml:space="preserve"> PAGE  \* MERGEFORMAT </w:instrText>
                    </w:r>
                    <w:r>
                      <w:fldChar w:fldCharType="separate"/>
                    </w:r>
                    <w:r>
                      <w:t>19</w:t>
                    </w:r>
                    <w:r>
                      <w:fldChar w:fldCharType="end"/>
                    </w:r>
                  </w:p>
                </w:txbxContent>
              </v:textbox>
            </v:shape>
          </w:pict>
        </mc:Fallback>
      </mc:AlternateContent>
    </w:r>
  </w:p>
  <w:p w14:paraId="1698D907">
    <w:pPr>
      <w:pStyle w:val="29"/>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F4255E">
    <w:pPr>
      <w:pStyle w:val="29"/>
      <w:jc w:val="center"/>
      <w:rPr>
        <w:rFonts w:hint="eastAsia"/>
        <w:sz w:val="21"/>
        <w:szCs w:val="21"/>
      </w:rPr>
    </w:pPr>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C006A0">
                          <w:pPr>
                            <w:pStyle w:val="29"/>
                            <w:rPr>
                              <w:rFonts w:hint="eastAsia"/>
                            </w:rPr>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5CC006A0">
                    <w:pPr>
                      <w:pStyle w:val="29"/>
                      <w:rPr>
                        <w:rFonts w:hint="eastAsia"/>
                      </w:rPr>
                    </w:pPr>
                    <w:r>
                      <w:fldChar w:fldCharType="begin"/>
                    </w:r>
                    <w:r>
                      <w:instrText xml:space="preserve"> PAGE  \* MERGEFORMAT </w:instrText>
                    </w:r>
                    <w:r>
                      <w:fldChar w:fldCharType="separate"/>
                    </w:r>
                    <w:r>
                      <w:t>51</w:t>
                    </w:r>
                    <w:r>
                      <w:fldChar w:fldCharType="end"/>
                    </w:r>
                  </w:p>
                </w:txbxContent>
              </v:textbox>
            </v:shape>
          </w:pict>
        </mc:Fallback>
      </mc:AlternateContent>
    </w:r>
  </w:p>
  <w:p w14:paraId="3B4A3707">
    <w:pPr>
      <w:pStyle w:val="29"/>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12" w:lineRule="auto"/>
      </w:pPr>
      <w:r>
        <w:separator/>
      </w:r>
    </w:p>
  </w:footnote>
  <w:footnote w:type="continuationSeparator" w:id="1">
    <w:p>
      <w:pPr>
        <w:spacing w:before="0" w:after="0" w:line="312"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66907">
    <w:pPr>
      <w:pStyle w:val="30"/>
      <w:pBdr>
        <w:bottom w:val="none" w:color="auto" w:sz="0" w:space="1"/>
      </w:pBdr>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D6B236">
    <w:pPr>
      <w:pStyle w:val="30"/>
      <w:jc w:val="both"/>
      <w:rPr>
        <w:rFonts w:hint="eastAsia"/>
      </w:rPr>
    </w:pPr>
    <w:r>
      <w:rPr>
        <w:rFonts w:hint="eastAsia" w:ascii="宋体" w:hAnsi="宋体"/>
        <w:sz w:val="24"/>
      </w:rPr>
      <w:t>GIECC                        广州白云国际机场扩建工程噪音区治理项目项目建议书</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DE5555">
    <w:pPr>
      <w:pStyle w:val="30"/>
      <w:pBdr>
        <w:bottom w:val="none" w:color="auto" w:sz="0" w:space="1"/>
      </w:pBdr>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080157">
    <w:pPr>
      <w:pStyle w:val="3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BB9FB"/>
    <w:multiLevelType w:val="singleLevel"/>
    <w:tmpl w:val="811BB9FB"/>
    <w:lvl w:ilvl="0" w:tentative="0">
      <w:start w:val="1"/>
      <w:numFmt w:val="decimal"/>
      <w:suff w:val="nothing"/>
      <w:lvlText w:val="%1、"/>
      <w:lvlJc w:val="left"/>
      <w:pPr>
        <w:ind w:left="0" w:firstLine="403"/>
      </w:pPr>
      <w:rPr>
        <w:rFonts w:hint="default"/>
      </w:rPr>
    </w:lvl>
  </w:abstractNum>
  <w:abstractNum w:abstractNumId="1">
    <w:nsid w:val="8AF496DA"/>
    <w:multiLevelType w:val="singleLevel"/>
    <w:tmpl w:val="8AF496DA"/>
    <w:lvl w:ilvl="0" w:tentative="0">
      <w:start w:val="1"/>
      <w:numFmt w:val="decimal"/>
      <w:suff w:val="nothing"/>
      <w:lvlText w:val="%1、"/>
      <w:lvlJc w:val="left"/>
      <w:pPr>
        <w:ind w:left="0" w:firstLine="403"/>
      </w:pPr>
      <w:rPr>
        <w:rFonts w:hint="default"/>
      </w:rPr>
    </w:lvl>
  </w:abstractNum>
  <w:abstractNum w:abstractNumId="2">
    <w:nsid w:val="8F34D224"/>
    <w:multiLevelType w:val="singleLevel"/>
    <w:tmpl w:val="8F34D224"/>
    <w:lvl w:ilvl="0" w:tentative="0">
      <w:start w:val="1"/>
      <w:numFmt w:val="decimal"/>
      <w:lvlText w:val="(%1)"/>
      <w:lvlJc w:val="left"/>
      <w:pPr>
        <w:ind w:left="425" w:hanging="425"/>
      </w:pPr>
      <w:rPr>
        <w:rFonts w:hint="default"/>
      </w:rPr>
    </w:lvl>
  </w:abstractNum>
  <w:abstractNum w:abstractNumId="3">
    <w:nsid w:val="967F36FE"/>
    <w:multiLevelType w:val="singleLevel"/>
    <w:tmpl w:val="967F36FE"/>
    <w:lvl w:ilvl="0" w:tentative="0">
      <w:start w:val="1"/>
      <w:numFmt w:val="decimal"/>
      <w:suff w:val="nothing"/>
      <w:lvlText w:val="%1、"/>
      <w:lvlJc w:val="left"/>
      <w:pPr>
        <w:ind w:left="0" w:firstLine="403"/>
      </w:pPr>
      <w:rPr>
        <w:rFonts w:hint="default"/>
      </w:rPr>
    </w:lvl>
  </w:abstractNum>
  <w:abstractNum w:abstractNumId="4">
    <w:nsid w:val="9EAC77C1"/>
    <w:multiLevelType w:val="singleLevel"/>
    <w:tmpl w:val="9EAC77C1"/>
    <w:lvl w:ilvl="0" w:tentative="0">
      <w:start w:val="1"/>
      <w:numFmt w:val="decimal"/>
      <w:lvlText w:val="(%1)"/>
      <w:lvlJc w:val="left"/>
      <w:pPr>
        <w:ind w:left="425" w:hanging="425"/>
      </w:pPr>
      <w:rPr>
        <w:rFonts w:hint="default"/>
      </w:rPr>
    </w:lvl>
  </w:abstractNum>
  <w:abstractNum w:abstractNumId="5">
    <w:nsid w:val="A7C74683"/>
    <w:multiLevelType w:val="singleLevel"/>
    <w:tmpl w:val="A7C74683"/>
    <w:lvl w:ilvl="0" w:tentative="0">
      <w:start w:val="1"/>
      <w:numFmt w:val="decimal"/>
      <w:lvlText w:val="(%1)"/>
      <w:lvlJc w:val="left"/>
      <w:pPr>
        <w:ind w:left="425" w:hanging="425"/>
      </w:pPr>
      <w:rPr>
        <w:rFonts w:hint="default"/>
      </w:rPr>
    </w:lvl>
  </w:abstractNum>
  <w:abstractNum w:abstractNumId="6">
    <w:nsid w:val="A92E09C8"/>
    <w:multiLevelType w:val="singleLevel"/>
    <w:tmpl w:val="A92E09C8"/>
    <w:lvl w:ilvl="0" w:tentative="0">
      <w:start w:val="1"/>
      <w:numFmt w:val="decimal"/>
      <w:lvlText w:val="(%1)"/>
      <w:lvlJc w:val="left"/>
      <w:pPr>
        <w:ind w:left="425" w:hanging="425"/>
      </w:pPr>
      <w:rPr>
        <w:rFonts w:hint="default"/>
      </w:rPr>
    </w:lvl>
  </w:abstractNum>
  <w:abstractNum w:abstractNumId="7">
    <w:nsid w:val="B975F48E"/>
    <w:multiLevelType w:val="singleLevel"/>
    <w:tmpl w:val="B975F48E"/>
    <w:lvl w:ilvl="0" w:tentative="0">
      <w:start w:val="1"/>
      <w:numFmt w:val="upperRoman"/>
      <w:lvlText w:val="%1."/>
      <w:lvlJc w:val="left"/>
      <w:pPr>
        <w:tabs>
          <w:tab w:val="left" w:pos="420"/>
        </w:tabs>
        <w:ind w:left="425" w:hanging="425"/>
      </w:pPr>
      <w:rPr>
        <w:rFonts w:hint="default"/>
      </w:rPr>
    </w:lvl>
  </w:abstractNum>
  <w:abstractNum w:abstractNumId="8">
    <w:nsid w:val="C82AE6BD"/>
    <w:multiLevelType w:val="singleLevel"/>
    <w:tmpl w:val="C82AE6BD"/>
    <w:lvl w:ilvl="0" w:tentative="0">
      <w:start w:val="1"/>
      <w:numFmt w:val="decimal"/>
      <w:suff w:val="nothing"/>
      <w:lvlText w:val="%1、"/>
      <w:lvlJc w:val="left"/>
      <w:pPr>
        <w:ind w:left="0" w:firstLine="403"/>
      </w:pPr>
      <w:rPr>
        <w:rFonts w:hint="default"/>
      </w:rPr>
    </w:lvl>
  </w:abstractNum>
  <w:abstractNum w:abstractNumId="9">
    <w:nsid w:val="E11E910D"/>
    <w:multiLevelType w:val="singleLevel"/>
    <w:tmpl w:val="E11E910D"/>
    <w:lvl w:ilvl="0" w:tentative="0">
      <w:start w:val="1"/>
      <w:numFmt w:val="decimal"/>
      <w:suff w:val="nothing"/>
      <w:lvlText w:val="%1、"/>
      <w:lvlJc w:val="left"/>
      <w:pPr>
        <w:ind w:left="0" w:firstLine="403"/>
      </w:pPr>
      <w:rPr>
        <w:rFonts w:hint="default"/>
      </w:rPr>
    </w:lvl>
  </w:abstractNum>
  <w:abstractNum w:abstractNumId="10">
    <w:nsid w:val="E3873E61"/>
    <w:multiLevelType w:val="singleLevel"/>
    <w:tmpl w:val="E3873E61"/>
    <w:lvl w:ilvl="0" w:tentative="0">
      <w:start w:val="1"/>
      <w:numFmt w:val="decimal"/>
      <w:lvlText w:val="(%1)"/>
      <w:lvlJc w:val="left"/>
      <w:pPr>
        <w:ind w:left="425" w:hanging="425"/>
      </w:pPr>
      <w:rPr>
        <w:rFonts w:hint="default"/>
      </w:rPr>
    </w:lvl>
  </w:abstractNum>
  <w:abstractNum w:abstractNumId="11">
    <w:nsid w:val="EC216FF2"/>
    <w:multiLevelType w:val="multilevel"/>
    <w:tmpl w:val="EC216FF2"/>
    <w:lvl w:ilvl="0" w:tentative="0">
      <w:start w:val="1"/>
      <w:numFmt w:val="chineseCountingThousand"/>
      <w:suff w:val="nothing"/>
      <w:lvlText w:val="%1、"/>
      <w:lvlJc w:val="center"/>
      <w:pPr>
        <w:ind w:left="2860" w:firstLine="0"/>
      </w:pPr>
      <w:rPr>
        <w:rFonts w:hint="eastAsia"/>
      </w:rPr>
    </w:lvl>
    <w:lvl w:ilvl="1" w:tentative="0">
      <w:start w:val="1"/>
      <w:numFmt w:val="decimal"/>
      <w:isLgl/>
      <w:suff w:val="space"/>
      <w:lvlText w:val="%1.%2"/>
      <w:lvlJc w:val="left"/>
      <w:pPr>
        <w:ind w:left="0" w:firstLine="0"/>
      </w:pPr>
      <w:rPr>
        <w:rFonts w:hint="default" w:ascii="Times New Roman" w:hAnsi="Times New Roman" w:cs="Times New Roman"/>
        <w:sz w:val="28"/>
        <w:szCs w:val="28"/>
      </w:rPr>
    </w:lvl>
    <w:lvl w:ilvl="2" w:tentative="0">
      <w:start w:val="1"/>
      <w:numFmt w:val="decimal"/>
      <w:isLgl/>
      <w:suff w:val="space"/>
      <w:lvlText w:val="%1.%2.%3"/>
      <w:lvlJc w:val="left"/>
      <w:pPr>
        <w:tabs>
          <w:tab w:val="left" w:pos="420"/>
        </w:tabs>
        <w:ind w:left="0" w:firstLine="0"/>
      </w:pPr>
      <w:rPr>
        <w:rFonts w:hint="default" w:ascii="宋体" w:hAnsi="宋体" w:eastAsia="宋体" w:cs="宋体"/>
        <w:sz w:val="28"/>
        <w:szCs w:val="28"/>
      </w:rPr>
    </w:lvl>
    <w:lvl w:ilvl="3" w:tentative="0">
      <w:start w:val="1"/>
      <w:numFmt w:val="decimal"/>
      <w:lvlRestart w:val="1"/>
      <w:isLgl/>
      <w:suff w:val="nothing"/>
      <w:lvlText w:val="表%1-%4"/>
      <w:lvlJc w:val="center"/>
      <w:pPr>
        <w:tabs>
          <w:tab w:val="left" w:pos="0"/>
        </w:tabs>
        <w:ind w:left="426" w:hanging="426"/>
      </w:pPr>
      <w:rPr>
        <w:rFonts w:hint="eastAsia" w:ascii="宋体" w:hAnsi="宋体" w:eastAsia="宋体" w:cs="宋体"/>
        <w:b/>
        <w:bCs/>
        <w:strike w:val="0"/>
        <w:sz w:val="24"/>
        <w:szCs w:val="24"/>
        <w:u w:val="none"/>
      </w:rPr>
    </w:lvl>
    <w:lvl w:ilvl="4" w:tentative="0">
      <w:start w:val="1"/>
      <w:numFmt w:val="decimal"/>
      <w:lvlText w:val="%1.%2.%3.%4.%5"/>
      <w:lvlJc w:val="left"/>
      <w:pPr>
        <w:ind w:left="2551" w:hanging="850"/>
      </w:pPr>
      <w:rPr>
        <w:rFonts w:hint="eastAsia"/>
      </w:rPr>
    </w:lvl>
    <w:lvl w:ilvl="5" w:tentative="0">
      <w:start w:val="1"/>
      <w:numFmt w:val="decimal"/>
      <w:suff w:val="nothing"/>
      <w:lvlText w:val="%6、"/>
      <w:lvlJc w:val="left"/>
      <w:pPr>
        <w:ind w:left="0" w:firstLine="0"/>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2">
    <w:nsid w:val="EF7F2D71"/>
    <w:multiLevelType w:val="singleLevel"/>
    <w:tmpl w:val="EF7F2D71"/>
    <w:lvl w:ilvl="0" w:tentative="0">
      <w:start w:val="2"/>
      <w:numFmt w:val="decimal"/>
      <w:suff w:val="nothing"/>
      <w:lvlText w:val="（%1）"/>
      <w:lvlJc w:val="left"/>
    </w:lvl>
  </w:abstractNum>
  <w:abstractNum w:abstractNumId="13">
    <w:nsid w:val="F0E6149F"/>
    <w:multiLevelType w:val="singleLevel"/>
    <w:tmpl w:val="F0E6149F"/>
    <w:lvl w:ilvl="0" w:tentative="0">
      <w:start w:val="10"/>
      <w:numFmt w:val="decimal"/>
      <w:suff w:val="space"/>
      <w:lvlText w:val="%1."/>
      <w:lvlJc w:val="left"/>
    </w:lvl>
  </w:abstractNum>
  <w:abstractNum w:abstractNumId="14">
    <w:nsid w:val="FD6BA031"/>
    <w:multiLevelType w:val="singleLevel"/>
    <w:tmpl w:val="FD6BA031"/>
    <w:lvl w:ilvl="0" w:tentative="0">
      <w:start w:val="1"/>
      <w:numFmt w:val="decimal"/>
      <w:suff w:val="nothing"/>
      <w:lvlText w:val="%1、"/>
      <w:lvlJc w:val="left"/>
      <w:pPr>
        <w:ind w:left="0" w:firstLine="403"/>
      </w:pPr>
      <w:rPr>
        <w:rFonts w:hint="default"/>
      </w:rPr>
    </w:lvl>
  </w:abstractNum>
  <w:abstractNum w:abstractNumId="15">
    <w:nsid w:val="00000010"/>
    <w:multiLevelType w:val="multilevel"/>
    <w:tmpl w:val="00000010"/>
    <w:lvl w:ilvl="0" w:tentative="0">
      <w:start w:val="1"/>
      <w:numFmt w:val="chineseCountingThousand"/>
      <w:pStyle w:val="105"/>
      <w:lvlText w:val="第%1条"/>
      <w:lvlJc w:val="left"/>
      <w:pPr>
        <w:tabs>
          <w:tab w:val="left" w:pos="2565"/>
        </w:tabs>
        <w:ind w:left="1845" w:firstLine="0"/>
      </w:pPr>
      <w:rPr>
        <w:rFonts w:hint="eastAsia" w:eastAsia="黑体"/>
        <w:b/>
        <w:i w:val="0"/>
        <w:color w:val="auto"/>
        <w:sz w:val="24"/>
        <w:lang w:val="en-US"/>
      </w:rPr>
    </w:lvl>
    <w:lvl w:ilvl="1" w:tentative="0">
      <w:start w:val="1"/>
      <w:numFmt w:val="decimal"/>
      <w:lvlText w:val="%2、"/>
      <w:lvlJc w:val="left"/>
      <w:pPr>
        <w:tabs>
          <w:tab w:val="left" w:pos="1140"/>
        </w:tabs>
        <w:ind w:left="420" w:firstLine="0"/>
      </w:pPr>
      <w:rPr>
        <w:rFonts w:ascii="黑体" w:hAnsi="Tahoma" w:eastAsia="黑体"/>
        <w:b w:val="0"/>
        <w:i w:val="0"/>
        <w:sz w:val="24"/>
      </w:rPr>
    </w:lvl>
    <w:lvl w:ilvl="2" w:tentative="0">
      <w:start w:val="1"/>
      <w:numFmt w:val="decimal"/>
      <w:lvlText w:val="%3、"/>
      <w:lvlJc w:val="left"/>
      <w:pPr>
        <w:tabs>
          <w:tab w:val="left" w:pos="1200"/>
        </w:tabs>
        <w:ind w:left="1200" w:hanging="360"/>
      </w:pPr>
      <w:rPr>
        <w:rFonts w:hint="eastAsia"/>
      </w:rPr>
    </w:lvl>
    <w:lvl w:ilvl="3" w:tentative="0">
      <w:start w:val="1"/>
      <w:numFmt w:val="decimal"/>
      <w:lvlText w:val="（%4）"/>
      <w:lvlJc w:val="left"/>
      <w:pPr>
        <w:tabs>
          <w:tab w:val="left" w:pos="1980"/>
        </w:tabs>
        <w:ind w:left="1980" w:hanging="720"/>
      </w:pPr>
      <w:rPr>
        <w:rFonts w:hint="default"/>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6">
    <w:nsid w:val="053621EA"/>
    <w:multiLevelType w:val="multilevel"/>
    <w:tmpl w:val="053621EA"/>
    <w:lvl w:ilvl="0" w:tentative="0">
      <w:start w:val="14"/>
      <w:numFmt w:val="decimal"/>
      <w:lvlText w:val="%1"/>
      <w:lvlJc w:val="left"/>
      <w:pPr>
        <w:ind w:left="425" w:hanging="425"/>
      </w:pPr>
      <w:rPr>
        <w:rFonts w:hint="eastAsia"/>
      </w:rPr>
    </w:lvl>
    <w:lvl w:ilvl="1" w:tentative="0">
      <w:start w:val="1"/>
      <w:numFmt w:val="decimal"/>
      <w:suff w:val="nothing"/>
      <w:lvlText w:val="%1.%2"/>
      <w:lvlJc w:val="left"/>
      <w:pPr>
        <w:ind w:left="0" w:firstLine="0"/>
      </w:pPr>
      <w:rPr>
        <w:rFonts w:hint="eastAsia"/>
      </w:rPr>
    </w:lvl>
    <w:lvl w:ilvl="2" w:tentative="0">
      <w:start w:val="1"/>
      <w:numFmt w:val="decimal"/>
      <w:suff w:val="nothing"/>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7">
    <w:nsid w:val="078295EB"/>
    <w:multiLevelType w:val="singleLevel"/>
    <w:tmpl w:val="078295EB"/>
    <w:lvl w:ilvl="0" w:tentative="0">
      <w:start w:val="1"/>
      <w:numFmt w:val="decimal"/>
      <w:lvlText w:val="(%1)"/>
      <w:lvlJc w:val="left"/>
      <w:pPr>
        <w:ind w:left="425" w:hanging="425"/>
      </w:pPr>
      <w:rPr>
        <w:rFonts w:hint="default"/>
      </w:rPr>
    </w:lvl>
  </w:abstractNum>
  <w:abstractNum w:abstractNumId="18">
    <w:nsid w:val="07AC121F"/>
    <w:multiLevelType w:val="multilevel"/>
    <w:tmpl w:val="07AC121F"/>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19">
    <w:nsid w:val="0B79A66E"/>
    <w:multiLevelType w:val="singleLevel"/>
    <w:tmpl w:val="0B79A66E"/>
    <w:lvl w:ilvl="0" w:tentative="0">
      <w:start w:val="1"/>
      <w:numFmt w:val="decimal"/>
      <w:suff w:val="nothing"/>
      <w:lvlText w:val="%1、"/>
      <w:lvlJc w:val="left"/>
      <w:pPr>
        <w:ind w:left="0" w:firstLine="403"/>
      </w:pPr>
      <w:rPr>
        <w:rFonts w:hint="default"/>
      </w:rPr>
    </w:lvl>
  </w:abstractNum>
  <w:abstractNum w:abstractNumId="20">
    <w:nsid w:val="0C85790D"/>
    <w:multiLevelType w:val="multilevel"/>
    <w:tmpl w:val="0C85790D"/>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21">
    <w:nsid w:val="0CAEA2DB"/>
    <w:multiLevelType w:val="singleLevel"/>
    <w:tmpl w:val="0CAEA2DB"/>
    <w:lvl w:ilvl="0" w:tentative="0">
      <w:start w:val="1"/>
      <w:numFmt w:val="decimal"/>
      <w:lvlText w:val="(%1)"/>
      <w:lvlJc w:val="left"/>
      <w:pPr>
        <w:ind w:left="425" w:hanging="425"/>
      </w:pPr>
      <w:rPr>
        <w:rFonts w:hint="default"/>
      </w:rPr>
    </w:lvl>
  </w:abstractNum>
  <w:abstractNum w:abstractNumId="22">
    <w:nsid w:val="0FC65731"/>
    <w:multiLevelType w:val="multilevel"/>
    <w:tmpl w:val="0FC65731"/>
    <w:lvl w:ilvl="0" w:tentative="0">
      <w:start w:val="1"/>
      <w:numFmt w:val="decimal"/>
      <w:suff w:val="nothing"/>
      <w:lvlText w:val="%1"/>
      <w:lvlJc w:val="center"/>
      <w:pPr>
        <w:ind w:left="0" w:firstLine="0"/>
      </w:pPr>
      <w:rPr>
        <w:rFonts w:hint="default"/>
        <w:strike w:val="0"/>
        <w:dstrike w:val="0"/>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3">
    <w:nsid w:val="17185A54"/>
    <w:multiLevelType w:val="singleLevel"/>
    <w:tmpl w:val="17185A54"/>
    <w:lvl w:ilvl="0" w:tentative="0">
      <w:start w:val="1"/>
      <w:numFmt w:val="upperLetter"/>
      <w:lvlText w:val="%1."/>
      <w:lvlJc w:val="left"/>
      <w:pPr>
        <w:ind w:left="425" w:hanging="425"/>
      </w:pPr>
      <w:rPr>
        <w:rFonts w:hint="default"/>
      </w:rPr>
    </w:lvl>
  </w:abstractNum>
  <w:abstractNum w:abstractNumId="24">
    <w:nsid w:val="1E833B8C"/>
    <w:multiLevelType w:val="multilevel"/>
    <w:tmpl w:val="1E833B8C"/>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25">
    <w:nsid w:val="22071A99"/>
    <w:multiLevelType w:val="multilevel"/>
    <w:tmpl w:val="22071A99"/>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26">
    <w:nsid w:val="22607BF1"/>
    <w:multiLevelType w:val="multilevel"/>
    <w:tmpl w:val="22607BF1"/>
    <w:lvl w:ilvl="0" w:tentative="0">
      <w:start w:val="1"/>
      <w:numFmt w:val="decimal"/>
      <w:lvlText w:val="（%1）"/>
      <w:lvlJc w:val="left"/>
      <w:pPr>
        <w:ind w:left="1080" w:hanging="720"/>
      </w:pPr>
      <w:rPr>
        <w:rFonts w:hint="default"/>
        <w:color w:val="000000"/>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27">
    <w:nsid w:val="302B5E34"/>
    <w:multiLevelType w:val="singleLevel"/>
    <w:tmpl w:val="302B5E34"/>
    <w:lvl w:ilvl="0" w:tentative="0">
      <w:start w:val="1"/>
      <w:numFmt w:val="decimal"/>
      <w:suff w:val="nothing"/>
      <w:lvlText w:val="%1、"/>
      <w:lvlJc w:val="left"/>
      <w:pPr>
        <w:ind w:left="0" w:firstLine="403"/>
      </w:pPr>
      <w:rPr>
        <w:rFonts w:hint="default"/>
      </w:rPr>
    </w:lvl>
  </w:abstractNum>
  <w:abstractNum w:abstractNumId="28">
    <w:nsid w:val="31E97188"/>
    <w:multiLevelType w:val="multilevel"/>
    <w:tmpl w:val="31E97188"/>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29">
    <w:nsid w:val="32634638"/>
    <w:multiLevelType w:val="multilevel"/>
    <w:tmpl w:val="32634638"/>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30">
    <w:nsid w:val="38A07E93"/>
    <w:multiLevelType w:val="multilevel"/>
    <w:tmpl w:val="38A07E93"/>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31">
    <w:nsid w:val="3953AE72"/>
    <w:multiLevelType w:val="singleLevel"/>
    <w:tmpl w:val="3953AE72"/>
    <w:lvl w:ilvl="0" w:tentative="0">
      <w:start w:val="1"/>
      <w:numFmt w:val="decimal"/>
      <w:suff w:val="nothing"/>
      <w:lvlText w:val="%1、"/>
      <w:lvlJc w:val="left"/>
      <w:pPr>
        <w:ind w:left="0" w:firstLine="403"/>
      </w:pPr>
      <w:rPr>
        <w:rFonts w:hint="default"/>
      </w:rPr>
    </w:lvl>
  </w:abstractNum>
  <w:abstractNum w:abstractNumId="32">
    <w:nsid w:val="3B5025A6"/>
    <w:multiLevelType w:val="multilevel"/>
    <w:tmpl w:val="3B5025A6"/>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33">
    <w:nsid w:val="3BABDE40"/>
    <w:multiLevelType w:val="singleLevel"/>
    <w:tmpl w:val="3BABDE40"/>
    <w:lvl w:ilvl="0" w:tentative="0">
      <w:start w:val="1"/>
      <w:numFmt w:val="decimal"/>
      <w:lvlText w:val="(%1)"/>
      <w:lvlJc w:val="left"/>
      <w:pPr>
        <w:ind w:left="425" w:hanging="425"/>
      </w:pPr>
      <w:rPr>
        <w:rFonts w:hint="default"/>
      </w:rPr>
    </w:lvl>
  </w:abstractNum>
  <w:abstractNum w:abstractNumId="34">
    <w:nsid w:val="3C2D5C2D"/>
    <w:multiLevelType w:val="multilevel"/>
    <w:tmpl w:val="3C2D5C2D"/>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35">
    <w:nsid w:val="4364C7CF"/>
    <w:multiLevelType w:val="singleLevel"/>
    <w:tmpl w:val="4364C7CF"/>
    <w:lvl w:ilvl="0" w:tentative="0">
      <w:start w:val="1"/>
      <w:numFmt w:val="decimal"/>
      <w:lvlText w:val="(%1)"/>
      <w:lvlJc w:val="left"/>
      <w:pPr>
        <w:ind w:left="425" w:hanging="425"/>
      </w:pPr>
      <w:rPr>
        <w:rFonts w:hint="default"/>
      </w:rPr>
    </w:lvl>
  </w:abstractNum>
  <w:abstractNum w:abstractNumId="36">
    <w:nsid w:val="436C5456"/>
    <w:multiLevelType w:val="multilevel"/>
    <w:tmpl w:val="436C5456"/>
    <w:lvl w:ilvl="0" w:tentative="0">
      <w:start w:val="10"/>
      <w:numFmt w:val="decimal"/>
      <w:lvlText w:val="%1"/>
      <w:lvlJc w:val="left"/>
      <w:pPr>
        <w:ind w:left="425" w:hanging="425"/>
      </w:pPr>
      <w:rPr>
        <w:rFonts w:hint="eastAsia"/>
      </w:rPr>
    </w:lvl>
    <w:lvl w:ilvl="1" w:tentative="0">
      <w:start w:val="1"/>
      <w:numFmt w:val="decimal"/>
      <w:suff w:val="nothing"/>
      <w:lvlText w:val="%1.%2"/>
      <w:lvlJc w:val="left"/>
      <w:pPr>
        <w:ind w:left="0" w:firstLine="0"/>
      </w:pPr>
      <w:rPr>
        <w:rFonts w:hint="eastAsia"/>
      </w:rPr>
    </w:lvl>
    <w:lvl w:ilvl="2" w:tentative="0">
      <w:start w:val="1"/>
      <w:numFmt w:val="decimal"/>
      <w:suff w:val="nothing"/>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7">
    <w:nsid w:val="48DA1851"/>
    <w:multiLevelType w:val="multilevel"/>
    <w:tmpl w:val="48DA1851"/>
    <w:lvl w:ilvl="0" w:tentative="0">
      <w:start w:val="19"/>
      <w:numFmt w:val="decimal"/>
      <w:lvlText w:val="%1"/>
      <w:lvlJc w:val="left"/>
      <w:pPr>
        <w:ind w:left="425" w:hanging="425"/>
      </w:pPr>
      <w:rPr>
        <w:rFonts w:hint="eastAsia"/>
      </w:rPr>
    </w:lvl>
    <w:lvl w:ilvl="1" w:tentative="0">
      <w:start w:val="1"/>
      <w:numFmt w:val="decimal"/>
      <w:suff w:val="nothing"/>
      <w:lvlText w:val="%1.%2"/>
      <w:lvlJc w:val="left"/>
      <w:pPr>
        <w:ind w:left="0" w:firstLine="0"/>
      </w:pPr>
      <w:rPr>
        <w:rFonts w:hint="eastAsia"/>
      </w:rPr>
    </w:lvl>
    <w:lvl w:ilvl="2" w:tentative="0">
      <w:start w:val="1"/>
      <w:numFmt w:val="decimal"/>
      <w:suff w:val="nothing"/>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8">
    <w:nsid w:val="4BC504DD"/>
    <w:multiLevelType w:val="multilevel"/>
    <w:tmpl w:val="4BC504D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9">
    <w:nsid w:val="521A662C"/>
    <w:multiLevelType w:val="multilevel"/>
    <w:tmpl w:val="521A662C"/>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0">
    <w:nsid w:val="5800B938"/>
    <w:multiLevelType w:val="singleLevel"/>
    <w:tmpl w:val="5800B938"/>
    <w:lvl w:ilvl="0" w:tentative="0">
      <w:start w:val="1"/>
      <w:numFmt w:val="decimal"/>
      <w:lvlText w:val="(%1)"/>
      <w:lvlJc w:val="left"/>
      <w:pPr>
        <w:ind w:left="425" w:hanging="425"/>
      </w:pPr>
      <w:rPr>
        <w:rFonts w:hint="default"/>
      </w:rPr>
    </w:lvl>
  </w:abstractNum>
  <w:abstractNum w:abstractNumId="41">
    <w:nsid w:val="5B1708B9"/>
    <w:multiLevelType w:val="singleLevel"/>
    <w:tmpl w:val="5B1708B9"/>
    <w:lvl w:ilvl="0" w:tentative="0">
      <w:start w:val="1"/>
      <w:numFmt w:val="decimal"/>
      <w:suff w:val="nothing"/>
      <w:lvlText w:val="%1、"/>
      <w:lvlJc w:val="left"/>
      <w:pPr>
        <w:ind w:left="0" w:firstLine="403"/>
      </w:pPr>
      <w:rPr>
        <w:rFonts w:hint="default"/>
      </w:rPr>
    </w:lvl>
  </w:abstractNum>
  <w:abstractNum w:abstractNumId="42">
    <w:nsid w:val="5C282434"/>
    <w:multiLevelType w:val="multilevel"/>
    <w:tmpl w:val="5C282434"/>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3">
    <w:nsid w:val="64DD47A0"/>
    <w:multiLevelType w:val="multilevel"/>
    <w:tmpl w:val="64DD47A0"/>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4">
    <w:nsid w:val="64EB54DD"/>
    <w:multiLevelType w:val="multilevel"/>
    <w:tmpl w:val="64EB54DD"/>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5">
    <w:nsid w:val="66830454"/>
    <w:multiLevelType w:val="multilevel"/>
    <w:tmpl w:val="6683045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6">
    <w:nsid w:val="6EEF07AA"/>
    <w:multiLevelType w:val="multilevel"/>
    <w:tmpl w:val="6EEF07AA"/>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7">
    <w:nsid w:val="71A8062F"/>
    <w:multiLevelType w:val="multilevel"/>
    <w:tmpl w:val="71A8062F"/>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abstractNum w:abstractNumId="48">
    <w:nsid w:val="765F7A29"/>
    <w:multiLevelType w:val="multilevel"/>
    <w:tmpl w:val="765F7A29"/>
    <w:lvl w:ilvl="0" w:tentative="0">
      <w:start w:val="13"/>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suff w:val="nothing"/>
      <w:lvlText w:val="%1.%2.%3"/>
      <w:lvlJc w:val="left"/>
      <w:pPr>
        <w:ind w:left="0" w:firstLine="0"/>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9">
    <w:nsid w:val="7C7279AE"/>
    <w:multiLevelType w:val="multilevel"/>
    <w:tmpl w:val="7C7279AE"/>
    <w:lvl w:ilvl="0" w:tentative="0">
      <w:start w:val="1"/>
      <w:numFmt w:val="decimal"/>
      <w:suff w:val="nothing"/>
      <w:lvlText w:val="(%1)"/>
      <w:lvlJc w:val="left"/>
      <w:pPr>
        <w:ind w:left="0" w:firstLine="0"/>
      </w:pPr>
      <w:rPr>
        <w:rFonts w:hint="eastAsia"/>
      </w:rPr>
    </w:lvl>
    <w:lvl w:ilvl="1" w:tentative="0">
      <w:start w:val="1"/>
      <w:numFmt w:val="lowerLetter"/>
      <w:lvlText w:val="%2)"/>
      <w:lvlJc w:val="left"/>
      <w:pPr>
        <w:ind w:left="1368" w:hanging="440"/>
      </w:pPr>
    </w:lvl>
    <w:lvl w:ilvl="2" w:tentative="0">
      <w:start w:val="1"/>
      <w:numFmt w:val="lowerRoman"/>
      <w:lvlText w:val="%3."/>
      <w:lvlJc w:val="right"/>
      <w:pPr>
        <w:ind w:left="1808" w:hanging="440"/>
      </w:pPr>
    </w:lvl>
    <w:lvl w:ilvl="3" w:tentative="0">
      <w:start w:val="1"/>
      <w:numFmt w:val="decimal"/>
      <w:lvlText w:val="%4."/>
      <w:lvlJc w:val="left"/>
      <w:pPr>
        <w:ind w:left="2248" w:hanging="440"/>
      </w:pPr>
    </w:lvl>
    <w:lvl w:ilvl="4" w:tentative="0">
      <w:start w:val="1"/>
      <w:numFmt w:val="lowerLetter"/>
      <w:lvlText w:val="%5)"/>
      <w:lvlJc w:val="left"/>
      <w:pPr>
        <w:ind w:left="2688" w:hanging="440"/>
      </w:pPr>
    </w:lvl>
    <w:lvl w:ilvl="5" w:tentative="0">
      <w:start w:val="1"/>
      <w:numFmt w:val="lowerRoman"/>
      <w:lvlText w:val="%6."/>
      <w:lvlJc w:val="right"/>
      <w:pPr>
        <w:ind w:left="3128" w:hanging="440"/>
      </w:pPr>
    </w:lvl>
    <w:lvl w:ilvl="6" w:tentative="0">
      <w:start w:val="1"/>
      <w:numFmt w:val="decimal"/>
      <w:lvlText w:val="%7."/>
      <w:lvlJc w:val="left"/>
      <w:pPr>
        <w:ind w:left="3568" w:hanging="440"/>
      </w:pPr>
    </w:lvl>
    <w:lvl w:ilvl="7" w:tentative="0">
      <w:start w:val="1"/>
      <w:numFmt w:val="lowerLetter"/>
      <w:lvlText w:val="%8)"/>
      <w:lvlJc w:val="left"/>
      <w:pPr>
        <w:ind w:left="4008" w:hanging="440"/>
      </w:pPr>
    </w:lvl>
    <w:lvl w:ilvl="8" w:tentative="0">
      <w:start w:val="1"/>
      <w:numFmt w:val="lowerRoman"/>
      <w:lvlText w:val="%9."/>
      <w:lvlJc w:val="right"/>
      <w:pPr>
        <w:ind w:left="4448" w:hanging="440"/>
      </w:pPr>
    </w:lvl>
  </w:abstractNum>
  <w:num w:numId="1">
    <w:abstractNumId w:val="15"/>
  </w:num>
  <w:num w:numId="2">
    <w:abstractNumId w:val="23"/>
  </w:num>
  <w:num w:numId="3">
    <w:abstractNumId w:val="3"/>
  </w:num>
  <w:num w:numId="4">
    <w:abstractNumId w:val="19"/>
  </w:num>
  <w:num w:numId="5">
    <w:abstractNumId w:val="1"/>
  </w:num>
  <w:num w:numId="6">
    <w:abstractNumId w:val="7"/>
  </w:num>
  <w:num w:numId="7">
    <w:abstractNumId w:val="27"/>
  </w:num>
  <w:num w:numId="8">
    <w:abstractNumId w:val="14"/>
  </w:num>
  <w:num w:numId="9">
    <w:abstractNumId w:val="4"/>
  </w:num>
  <w:num w:numId="10">
    <w:abstractNumId w:val="31"/>
  </w:num>
  <w:num w:numId="11">
    <w:abstractNumId w:val="41"/>
  </w:num>
  <w:num w:numId="12">
    <w:abstractNumId w:val="9"/>
  </w:num>
  <w:num w:numId="13">
    <w:abstractNumId w:val="8"/>
  </w:num>
  <w:num w:numId="14">
    <w:abstractNumId w:val="38"/>
  </w:num>
  <w:num w:numId="15">
    <w:abstractNumId w:val="11"/>
  </w:num>
  <w:num w:numId="16">
    <w:abstractNumId w:val="13"/>
  </w:num>
  <w:num w:numId="17">
    <w:abstractNumId w:val="36"/>
  </w:num>
  <w:num w:numId="18">
    <w:abstractNumId w:val="0"/>
  </w:num>
  <w:num w:numId="19">
    <w:abstractNumId w:val="35"/>
  </w:num>
  <w:num w:numId="20">
    <w:abstractNumId w:val="40"/>
  </w:num>
  <w:num w:numId="21">
    <w:abstractNumId w:val="6"/>
  </w:num>
  <w:num w:numId="22">
    <w:abstractNumId w:val="2"/>
  </w:num>
  <w:num w:numId="23">
    <w:abstractNumId w:val="10"/>
  </w:num>
  <w:num w:numId="24">
    <w:abstractNumId w:val="33"/>
  </w:num>
  <w:num w:numId="25">
    <w:abstractNumId w:val="5"/>
  </w:num>
  <w:num w:numId="26">
    <w:abstractNumId w:val="21"/>
  </w:num>
  <w:num w:numId="27">
    <w:abstractNumId w:val="17"/>
  </w:num>
  <w:num w:numId="28">
    <w:abstractNumId w:val="29"/>
  </w:num>
  <w:num w:numId="29">
    <w:abstractNumId w:val="20"/>
  </w:num>
  <w:num w:numId="30">
    <w:abstractNumId w:val="22"/>
  </w:num>
  <w:num w:numId="31">
    <w:abstractNumId w:val="12"/>
  </w:num>
  <w:num w:numId="32">
    <w:abstractNumId w:val="48"/>
    <w:lvlOverride w:ilvl="0">
      <w:lvl w:ilvl="0" w:tentative="1">
        <w:start w:val="13"/>
        <w:numFmt w:val="decimal"/>
        <w:lvlText w:val="%1"/>
        <w:lvlJc w:val="left"/>
        <w:pPr>
          <w:ind w:left="425" w:hanging="425"/>
        </w:pPr>
        <w:rPr>
          <w:rFonts w:hint="eastAsia"/>
        </w:rPr>
      </w:lvl>
    </w:lvlOverride>
    <w:lvlOverride w:ilvl="1">
      <w:lvl w:ilvl="1" w:tentative="1">
        <w:start w:val="1"/>
        <w:numFmt w:val="decimal"/>
        <w:suff w:val="nothing"/>
        <w:lvlText w:val="%1.%2"/>
        <w:lvlJc w:val="left"/>
        <w:pPr>
          <w:ind w:left="0" w:firstLine="0"/>
        </w:pPr>
        <w:rPr>
          <w:rFonts w:hint="eastAsia"/>
        </w:rPr>
      </w:lvl>
    </w:lvlOverride>
    <w:lvlOverride w:ilvl="2">
      <w:lvl w:ilvl="2" w:tentative="1">
        <w:start w:val="1"/>
        <w:numFmt w:val="decimal"/>
        <w:suff w:val="nothing"/>
        <w:lvlText w:val="%1.%2.%3"/>
        <w:lvlJc w:val="left"/>
        <w:pPr>
          <w:ind w:left="0" w:firstLine="0"/>
        </w:pPr>
        <w:rPr>
          <w:rFonts w:hint="eastAsia"/>
        </w:rPr>
      </w:lvl>
    </w:lvlOverride>
    <w:lvlOverride w:ilvl="3">
      <w:lvl w:ilvl="3" w:tentative="1">
        <w:start w:val="1"/>
        <w:numFmt w:val="decimal"/>
        <w:lvlText w:val="%1.%2.%3.%4"/>
        <w:lvlJc w:val="left"/>
        <w:pPr>
          <w:ind w:left="1984" w:hanging="708"/>
        </w:pPr>
        <w:rPr>
          <w:rFonts w:hint="eastAsia"/>
        </w:rPr>
      </w:lvl>
    </w:lvlOverride>
    <w:lvlOverride w:ilvl="4">
      <w:lvl w:ilvl="4" w:tentative="1">
        <w:start w:val="1"/>
        <w:numFmt w:val="decimal"/>
        <w:lvlText w:val="%1.%2.%3.%4.%5"/>
        <w:lvlJc w:val="left"/>
        <w:pPr>
          <w:ind w:left="2551" w:hanging="850"/>
        </w:pPr>
        <w:rPr>
          <w:rFonts w:hint="eastAsia"/>
        </w:rPr>
      </w:lvl>
    </w:lvlOverride>
    <w:lvlOverride w:ilvl="5">
      <w:lvl w:ilvl="5" w:tentative="1">
        <w:start w:val="1"/>
        <w:numFmt w:val="decimal"/>
        <w:lvlText w:val="%1.%2.%3.%4.%5.%6"/>
        <w:lvlJc w:val="left"/>
        <w:pPr>
          <w:ind w:left="3260" w:hanging="1134"/>
        </w:pPr>
        <w:rPr>
          <w:rFonts w:hint="eastAsia"/>
        </w:rPr>
      </w:lvl>
    </w:lvlOverride>
    <w:lvlOverride w:ilvl="6">
      <w:lvl w:ilvl="6" w:tentative="1">
        <w:start w:val="1"/>
        <w:numFmt w:val="decimal"/>
        <w:lvlText w:val="%1.%2.%3.%4.%5.%6.%7"/>
        <w:lvlJc w:val="left"/>
        <w:pPr>
          <w:ind w:left="3827" w:hanging="1276"/>
        </w:pPr>
        <w:rPr>
          <w:rFonts w:hint="eastAsia"/>
        </w:rPr>
      </w:lvl>
    </w:lvlOverride>
    <w:lvlOverride w:ilvl="7">
      <w:lvl w:ilvl="7" w:tentative="1">
        <w:start w:val="1"/>
        <w:numFmt w:val="decimal"/>
        <w:lvlText w:val="%1.%2.%3.%4.%5.%6.%7.%8"/>
        <w:lvlJc w:val="left"/>
        <w:pPr>
          <w:ind w:left="4394" w:hanging="1418"/>
        </w:pPr>
        <w:rPr>
          <w:rFonts w:hint="eastAsia"/>
        </w:rPr>
      </w:lvl>
    </w:lvlOverride>
    <w:lvlOverride w:ilvl="8">
      <w:lvl w:ilvl="8" w:tentative="1">
        <w:start w:val="1"/>
        <w:numFmt w:val="decimal"/>
        <w:lvlText w:val="%1.%2.%3.%4.%5.%6.%7.%8.%9"/>
        <w:lvlJc w:val="left"/>
        <w:pPr>
          <w:ind w:left="5102" w:hanging="1700"/>
        </w:pPr>
        <w:rPr>
          <w:rFonts w:hint="eastAsia"/>
        </w:rPr>
      </w:lvl>
    </w:lvlOverride>
  </w:num>
  <w:num w:numId="33">
    <w:abstractNumId w:val="30"/>
  </w:num>
  <w:num w:numId="34">
    <w:abstractNumId w:val="32"/>
  </w:num>
  <w:num w:numId="35">
    <w:abstractNumId w:val="34"/>
  </w:num>
  <w:num w:numId="36">
    <w:abstractNumId w:val="28"/>
  </w:num>
  <w:num w:numId="37">
    <w:abstractNumId w:val="16"/>
  </w:num>
  <w:num w:numId="38">
    <w:abstractNumId w:val="42"/>
  </w:num>
  <w:num w:numId="39">
    <w:abstractNumId w:val="39"/>
  </w:num>
  <w:num w:numId="40">
    <w:abstractNumId w:val="47"/>
  </w:num>
  <w:num w:numId="41">
    <w:abstractNumId w:val="37"/>
  </w:num>
  <w:num w:numId="42">
    <w:abstractNumId w:val="46"/>
  </w:num>
  <w:num w:numId="43">
    <w:abstractNumId w:val="18"/>
  </w:num>
  <w:num w:numId="44">
    <w:abstractNumId w:val="49"/>
  </w:num>
  <w:num w:numId="45">
    <w:abstractNumId w:val="44"/>
  </w:num>
  <w:num w:numId="46">
    <w:abstractNumId w:val="43"/>
  </w:num>
  <w:num w:numId="47">
    <w:abstractNumId w:val="24"/>
  </w:num>
  <w:num w:numId="48">
    <w:abstractNumId w:val="25"/>
  </w:num>
  <w:num w:numId="49">
    <w:abstractNumId w:val="45"/>
  </w:num>
  <w:num w:numId="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hideSpellingErrors/>
  <w:trackRevisions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FjZDk3NzRiMTVmNWM3ZGEwNGVkN2RhYTgwZTM2NjgifQ=="/>
  </w:docVars>
  <w:rsids>
    <w:rsidRoot w:val="00E3606B"/>
    <w:rsid w:val="00001830"/>
    <w:rsid w:val="00010D7B"/>
    <w:rsid w:val="00010F31"/>
    <w:rsid w:val="00021538"/>
    <w:rsid w:val="00022D87"/>
    <w:rsid w:val="00022DA8"/>
    <w:rsid w:val="00034162"/>
    <w:rsid w:val="00034FC1"/>
    <w:rsid w:val="00040006"/>
    <w:rsid w:val="00045F70"/>
    <w:rsid w:val="000477F7"/>
    <w:rsid w:val="00056283"/>
    <w:rsid w:val="00056A0B"/>
    <w:rsid w:val="0006732A"/>
    <w:rsid w:val="00072CE5"/>
    <w:rsid w:val="00073ADB"/>
    <w:rsid w:val="0007470C"/>
    <w:rsid w:val="00080329"/>
    <w:rsid w:val="000804B4"/>
    <w:rsid w:val="000819A9"/>
    <w:rsid w:val="00087211"/>
    <w:rsid w:val="000A0010"/>
    <w:rsid w:val="000A7373"/>
    <w:rsid w:val="000B2044"/>
    <w:rsid w:val="000B4EDD"/>
    <w:rsid w:val="000D09BC"/>
    <w:rsid w:val="000D3368"/>
    <w:rsid w:val="000D3CFD"/>
    <w:rsid w:val="000D64BD"/>
    <w:rsid w:val="000E390E"/>
    <w:rsid w:val="000E3D33"/>
    <w:rsid w:val="000E4783"/>
    <w:rsid w:val="000E5E6B"/>
    <w:rsid w:val="000F6834"/>
    <w:rsid w:val="000F6972"/>
    <w:rsid w:val="00100758"/>
    <w:rsid w:val="00106E89"/>
    <w:rsid w:val="00122213"/>
    <w:rsid w:val="00124B79"/>
    <w:rsid w:val="00126619"/>
    <w:rsid w:val="00127FCF"/>
    <w:rsid w:val="00135A20"/>
    <w:rsid w:val="00136949"/>
    <w:rsid w:val="00140628"/>
    <w:rsid w:val="001414DC"/>
    <w:rsid w:val="001446C0"/>
    <w:rsid w:val="00155824"/>
    <w:rsid w:val="00156DB3"/>
    <w:rsid w:val="00157B18"/>
    <w:rsid w:val="001617B9"/>
    <w:rsid w:val="0016308A"/>
    <w:rsid w:val="00163605"/>
    <w:rsid w:val="00167B1E"/>
    <w:rsid w:val="00181424"/>
    <w:rsid w:val="001818D8"/>
    <w:rsid w:val="00191081"/>
    <w:rsid w:val="001935DB"/>
    <w:rsid w:val="00194F36"/>
    <w:rsid w:val="00196062"/>
    <w:rsid w:val="001A0CE9"/>
    <w:rsid w:val="001B1D32"/>
    <w:rsid w:val="001C77FC"/>
    <w:rsid w:val="001C7FDB"/>
    <w:rsid w:val="001E30DC"/>
    <w:rsid w:val="001E3465"/>
    <w:rsid w:val="001E7731"/>
    <w:rsid w:val="001F0A21"/>
    <w:rsid w:val="002022ED"/>
    <w:rsid w:val="002046DE"/>
    <w:rsid w:val="002055D0"/>
    <w:rsid w:val="0021475F"/>
    <w:rsid w:val="0021518E"/>
    <w:rsid w:val="00222BCF"/>
    <w:rsid w:val="00225056"/>
    <w:rsid w:val="00225FC8"/>
    <w:rsid w:val="002345AC"/>
    <w:rsid w:val="002447C4"/>
    <w:rsid w:val="002657F9"/>
    <w:rsid w:val="0027416D"/>
    <w:rsid w:val="002764BD"/>
    <w:rsid w:val="002828BC"/>
    <w:rsid w:val="00284B35"/>
    <w:rsid w:val="002A08F5"/>
    <w:rsid w:val="002A2312"/>
    <w:rsid w:val="002A5B3C"/>
    <w:rsid w:val="002A7DFD"/>
    <w:rsid w:val="002C013F"/>
    <w:rsid w:val="002C0AC4"/>
    <w:rsid w:val="002C5BB2"/>
    <w:rsid w:val="002F00DA"/>
    <w:rsid w:val="002F5104"/>
    <w:rsid w:val="002F7A89"/>
    <w:rsid w:val="00304F19"/>
    <w:rsid w:val="00330140"/>
    <w:rsid w:val="00335F15"/>
    <w:rsid w:val="0033630C"/>
    <w:rsid w:val="00337264"/>
    <w:rsid w:val="0036006D"/>
    <w:rsid w:val="003607E1"/>
    <w:rsid w:val="0036569F"/>
    <w:rsid w:val="00370900"/>
    <w:rsid w:val="00371F9D"/>
    <w:rsid w:val="00372ECC"/>
    <w:rsid w:val="00383A9A"/>
    <w:rsid w:val="003A02B8"/>
    <w:rsid w:val="003A0E4E"/>
    <w:rsid w:val="003A1854"/>
    <w:rsid w:val="003A3552"/>
    <w:rsid w:val="003A5528"/>
    <w:rsid w:val="003A787A"/>
    <w:rsid w:val="003B0266"/>
    <w:rsid w:val="003B1F9E"/>
    <w:rsid w:val="003B6D8A"/>
    <w:rsid w:val="003B77B6"/>
    <w:rsid w:val="003C716F"/>
    <w:rsid w:val="003D51D0"/>
    <w:rsid w:val="003D75D7"/>
    <w:rsid w:val="003E11A7"/>
    <w:rsid w:val="003E1C99"/>
    <w:rsid w:val="003E1F11"/>
    <w:rsid w:val="003F129A"/>
    <w:rsid w:val="00403E2E"/>
    <w:rsid w:val="00410633"/>
    <w:rsid w:val="00411330"/>
    <w:rsid w:val="00411E1C"/>
    <w:rsid w:val="00421136"/>
    <w:rsid w:val="00425861"/>
    <w:rsid w:val="00425D71"/>
    <w:rsid w:val="00433A3D"/>
    <w:rsid w:val="004536FE"/>
    <w:rsid w:val="004847B6"/>
    <w:rsid w:val="00486969"/>
    <w:rsid w:val="00492B47"/>
    <w:rsid w:val="00492E39"/>
    <w:rsid w:val="00495209"/>
    <w:rsid w:val="004A30E0"/>
    <w:rsid w:val="004A4EBB"/>
    <w:rsid w:val="004C1363"/>
    <w:rsid w:val="004C2A69"/>
    <w:rsid w:val="004C5E8B"/>
    <w:rsid w:val="004D2285"/>
    <w:rsid w:val="004D3EC3"/>
    <w:rsid w:val="004E22BA"/>
    <w:rsid w:val="00503AAD"/>
    <w:rsid w:val="00505BAE"/>
    <w:rsid w:val="005130A7"/>
    <w:rsid w:val="00513934"/>
    <w:rsid w:val="00513C89"/>
    <w:rsid w:val="005236AD"/>
    <w:rsid w:val="00524173"/>
    <w:rsid w:val="00541A70"/>
    <w:rsid w:val="005427C9"/>
    <w:rsid w:val="00543C0B"/>
    <w:rsid w:val="0054632D"/>
    <w:rsid w:val="00560ACB"/>
    <w:rsid w:val="00563EDC"/>
    <w:rsid w:val="00564435"/>
    <w:rsid w:val="00566020"/>
    <w:rsid w:val="00577A39"/>
    <w:rsid w:val="00577D32"/>
    <w:rsid w:val="00580FD2"/>
    <w:rsid w:val="005823CF"/>
    <w:rsid w:val="005860BF"/>
    <w:rsid w:val="00587FB6"/>
    <w:rsid w:val="00591A48"/>
    <w:rsid w:val="005A4C84"/>
    <w:rsid w:val="005A7869"/>
    <w:rsid w:val="005B4B47"/>
    <w:rsid w:val="005D2A3E"/>
    <w:rsid w:val="005D61E2"/>
    <w:rsid w:val="005D7571"/>
    <w:rsid w:val="005E6927"/>
    <w:rsid w:val="005E7A5D"/>
    <w:rsid w:val="005F075B"/>
    <w:rsid w:val="005F08C8"/>
    <w:rsid w:val="005F3AEB"/>
    <w:rsid w:val="005F570E"/>
    <w:rsid w:val="00601B3B"/>
    <w:rsid w:val="00601D05"/>
    <w:rsid w:val="0060366E"/>
    <w:rsid w:val="00604D0C"/>
    <w:rsid w:val="006110E6"/>
    <w:rsid w:val="006116BF"/>
    <w:rsid w:val="0061324D"/>
    <w:rsid w:val="00620052"/>
    <w:rsid w:val="00621A7D"/>
    <w:rsid w:val="006226DE"/>
    <w:rsid w:val="006324C7"/>
    <w:rsid w:val="0063342D"/>
    <w:rsid w:val="00634151"/>
    <w:rsid w:val="006379B2"/>
    <w:rsid w:val="006478DE"/>
    <w:rsid w:val="006523BB"/>
    <w:rsid w:val="0065397E"/>
    <w:rsid w:val="00657A06"/>
    <w:rsid w:val="00674AEB"/>
    <w:rsid w:val="0068074C"/>
    <w:rsid w:val="006819B5"/>
    <w:rsid w:val="00685031"/>
    <w:rsid w:val="00694AB0"/>
    <w:rsid w:val="00695867"/>
    <w:rsid w:val="00695A7B"/>
    <w:rsid w:val="006A2B48"/>
    <w:rsid w:val="006A46C3"/>
    <w:rsid w:val="006A72B0"/>
    <w:rsid w:val="006D1190"/>
    <w:rsid w:val="006E63ED"/>
    <w:rsid w:val="00704091"/>
    <w:rsid w:val="007069AA"/>
    <w:rsid w:val="00714760"/>
    <w:rsid w:val="00725330"/>
    <w:rsid w:val="00734E1A"/>
    <w:rsid w:val="00743811"/>
    <w:rsid w:val="00750810"/>
    <w:rsid w:val="0075242E"/>
    <w:rsid w:val="0075282D"/>
    <w:rsid w:val="00753D6F"/>
    <w:rsid w:val="00756937"/>
    <w:rsid w:val="0077094E"/>
    <w:rsid w:val="0077474E"/>
    <w:rsid w:val="00774B79"/>
    <w:rsid w:val="007765C2"/>
    <w:rsid w:val="00781E41"/>
    <w:rsid w:val="00784CE1"/>
    <w:rsid w:val="0079474D"/>
    <w:rsid w:val="00796C33"/>
    <w:rsid w:val="007A06A2"/>
    <w:rsid w:val="007B710C"/>
    <w:rsid w:val="007C0B64"/>
    <w:rsid w:val="007C661C"/>
    <w:rsid w:val="007C6A51"/>
    <w:rsid w:val="007D35BF"/>
    <w:rsid w:val="007E2D62"/>
    <w:rsid w:val="007E7F9D"/>
    <w:rsid w:val="007F7910"/>
    <w:rsid w:val="00803579"/>
    <w:rsid w:val="00805E4F"/>
    <w:rsid w:val="008073A9"/>
    <w:rsid w:val="00817B06"/>
    <w:rsid w:val="00821777"/>
    <w:rsid w:val="00821B89"/>
    <w:rsid w:val="00823E95"/>
    <w:rsid w:val="008251F1"/>
    <w:rsid w:val="00833C67"/>
    <w:rsid w:val="008365F5"/>
    <w:rsid w:val="00840E38"/>
    <w:rsid w:val="00841E97"/>
    <w:rsid w:val="00842586"/>
    <w:rsid w:val="00843357"/>
    <w:rsid w:val="00860CE6"/>
    <w:rsid w:val="00867202"/>
    <w:rsid w:val="0087082A"/>
    <w:rsid w:val="00873FFE"/>
    <w:rsid w:val="00883F54"/>
    <w:rsid w:val="00885D9C"/>
    <w:rsid w:val="00887239"/>
    <w:rsid w:val="008902E0"/>
    <w:rsid w:val="00890980"/>
    <w:rsid w:val="008955ED"/>
    <w:rsid w:val="00896042"/>
    <w:rsid w:val="008B0DA7"/>
    <w:rsid w:val="008B4798"/>
    <w:rsid w:val="008B7E74"/>
    <w:rsid w:val="008C1547"/>
    <w:rsid w:val="008C21E4"/>
    <w:rsid w:val="008C2B8B"/>
    <w:rsid w:val="008C47FF"/>
    <w:rsid w:val="008D332F"/>
    <w:rsid w:val="008E023D"/>
    <w:rsid w:val="008E1542"/>
    <w:rsid w:val="008E3114"/>
    <w:rsid w:val="008E3850"/>
    <w:rsid w:val="008E45FE"/>
    <w:rsid w:val="008E5D16"/>
    <w:rsid w:val="008E5E78"/>
    <w:rsid w:val="008E72D2"/>
    <w:rsid w:val="008E7EAE"/>
    <w:rsid w:val="008F2714"/>
    <w:rsid w:val="00900FD9"/>
    <w:rsid w:val="0091099F"/>
    <w:rsid w:val="009210F9"/>
    <w:rsid w:val="00923E95"/>
    <w:rsid w:val="00924B6E"/>
    <w:rsid w:val="00924E6A"/>
    <w:rsid w:val="00926193"/>
    <w:rsid w:val="00930492"/>
    <w:rsid w:val="00931FF2"/>
    <w:rsid w:val="0093368B"/>
    <w:rsid w:val="00934D07"/>
    <w:rsid w:val="009365ED"/>
    <w:rsid w:val="009418A2"/>
    <w:rsid w:val="00942DD6"/>
    <w:rsid w:val="0094535B"/>
    <w:rsid w:val="009454F9"/>
    <w:rsid w:val="00946C43"/>
    <w:rsid w:val="0096384E"/>
    <w:rsid w:val="0096739E"/>
    <w:rsid w:val="009765E0"/>
    <w:rsid w:val="009806D4"/>
    <w:rsid w:val="009A1FE4"/>
    <w:rsid w:val="009B00E4"/>
    <w:rsid w:val="009B3093"/>
    <w:rsid w:val="009C0C59"/>
    <w:rsid w:val="009C6003"/>
    <w:rsid w:val="009D5879"/>
    <w:rsid w:val="009D6084"/>
    <w:rsid w:val="009D6BEA"/>
    <w:rsid w:val="009E2D8F"/>
    <w:rsid w:val="00A21248"/>
    <w:rsid w:val="00A30300"/>
    <w:rsid w:val="00A331D6"/>
    <w:rsid w:val="00A34129"/>
    <w:rsid w:val="00A40871"/>
    <w:rsid w:val="00A43E89"/>
    <w:rsid w:val="00A569B9"/>
    <w:rsid w:val="00A57E5A"/>
    <w:rsid w:val="00A62359"/>
    <w:rsid w:val="00A63033"/>
    <w:rsid w:val="00A63FEC"/>
    <w:rsid w:val="00A6518F"/>
    <w:rsid w:val="00A758BB"/>
    <w:rsid w:val="00A76FD4"/>
    <w:rsid w:val="00A84940"/>
    <w:rsid w:val="00A94396"/>
    <w:rsid w:val="00A964E8"/>
    <w:rsid w:val="00AB004D"/>
    <w:rsid w:val="00AB2409"/>
    <w:rsid w:val="00AB43FC"/>
    <w:rsid w:val="00AC19DD"/>
    <w:rsid w:val="00AC4FE8"/>
    <w:rsid w:val="00AD18A6"/>
    <w:rsid w:val="00AD62F0"/>
    <w:rsid w:val="00AE3599"/>
    <w:rsid w:val="00B038EB"/>
    <w:rsid w:val="00B06821"/>
    <w:rsid w:val="00B121CC"/>
    <w:rsid w:val="00B12F4A"/>
    <w:rsid w:val="00B1792C"/>
    <w:rsid w:val="00B247AA"/>
    <w:rsid w:val="00B33D3C"/>
    <w:rsid w:val="00B4067B"/>
    <w:rsid w:val="00B47625"/>
    <w:rsid w:val="00B5206F"/>
    <w:rsid w:val="00B54F95"/>
    <w:rsid w:val="00B57C2A"/>
    <w:rsid w:val="00B74CD7"/>
    <w:rsid w:val="00B807A8"/>
    <w:rsid w:val="00B92FB4"/>
    <w:rsid w:val="00B95CDD"/>
    <w:rsid w:val="00B973A2"/>
    <w:rsid w:val="00BA07FD"/>
    <w:rsid w:val="00BA264C"/>
    <w:rsid w:val="00BA406A"/>
    <w:rsid w:val="00BC441C"/>
    <w:rsid w:val="00BE620D"/>
    <w:rsid w:val="00BE699B"/>
    <w:rsid w:val="00BE7767"/>
    <w:rsid w:val="00C00263"/>
    <w:rsid w:val="00C03165"/>
    <w:rsid w:val="00C111C0"/>
    <w:rsid w:val="00C11551"/>
    <w:rsid w:val="00C20143"/>
    <w:rsid w:val="00C24E18"/>
    <w:rsid w:val="00C2612F"/>
    <w:rsid w:val="00C327FE"/>
    <w:rsid w:val="00C34760"/>
    <w:rsid w:val="00C43A7C"/>
    <w:rsid w:val="00C45671"/>
    <w:rsid w:val="00C56755"/>
    <w:rsid w:val="00C6116B"/>
    <w:rsid w:val="00C61CEA"/>
    <w:rsid w:val="00C70F47"/>
    <w:rsid w:val="00C749FB"/>
    <w:rsid w:val="00C76EF7"/>
    <w:rsid w:val="00C945D2"/>
    <w:rsid w:val="00CB16ED"/>
    <w:rsid w:val="00CB26DD"/>
    <w:rsid w:val="00CC0303"/>
    <w:rsid w:val="00CC12C8"/>
    <w:rsid w:val="00CC4D5A"/>
    <w:rsid w:val="00CD1680"/>
    <w:rsid w:val="00CD4D4C"/>
    <w:rsid w:val="00CE117F"/>
    <w:rsid w:val="00CF27F8"/>
    <w:rsid w:val="00CF4A8D"/>
    <w:rsid w:val="00D263F5"/>
    <w:rsid w:val="00D3030A"/>
    <w:rsid w:val="00D313E9"/>
    <w:rsid w:val="00D500F3"/>
    <w:rsid w:val="00D57081"/>
    <w:rsid w:val="00D5757D"/>
    <w:rsid w:val="00D67DC1"/>
    <w:rsid w:val="00D749AD"/>
    <w:rsid w:val="00D809E4"/>
    <w:rsid w:val="00D832C2"/>
    <w:rsid w:val="00D8361E"/>
    <w:rsid w:val="00D84A23"/>
    <w:rsid w:val="00D911AE"/>
    <w:rsid w:val="00D96047"/>
    <w:rsid w:val="00D9652E"/>
    <w:rsid w:val="00D978C8"/>
    <w:rsid w:val="00DA03A0"/>
    <w:rsid w:val="00DA0445"/>
    <w:rsid w:val="00DA3720"/>
    <w:rsid w:val="00DA536D"/>
    <w:rsid w:val="00DA5C3A"/>
    <w:rsid w:val="00DA683D"/>
    <w:rsid w:val="00DA6F40"/>
    <w:rsid w:val="00DA7836"/>
    <w:rsid w:val="00DB4F47"/>
    <w:rsid w:val="00DB504C"/>
    <w:rsid w:val="00DC6F46"/>
    <w:rsid w:val="00DD0C7E"/>
    <w:rsid w:val="00DD7016"/>
    <w:rsid w:val="00DE2298"/>
    <w:rsid w:val="00DE2402"/>
    <w:rsid w:val="00DE339B"/>
    <w:rsid w:val="00DE3AD3"/>
    <w:rsid w:val="00DE5B81"/>
    <w:rsid w:val="00DF286F"/>
    <w:rsid w:val="00DF585F"/>
    <w:rsid w:val="00E04F73"/>
    <w:rsid w:val="00E068B4"/>
    <w:rsid w:val="00E16C3B"/>
    <w:rsid w:val="00E23344"/>
    <w:rsid w:val="00E3606B"/>
    <w:rsid w:val="00E4697F"/>
    <w:rsid w:val="00E521D8"/>
    <w:rsid w:val="00E54ACA"/>
    <w:rsid w:val="00E54B8A"/>
    <w:rsid w:val="00E577BA"/>
    <w:rsid w:val="00E71330"/>
    <w:rsid w:val="00E744F9"/>
    <w:rsid w:val="00E8465C"/>
    <w:rsid w:val="00E904D6"/>
    <w:rsid w:val="00E90AB9"/>
    <w:rsid w:val="00E934A9"/>
    <w:rsid w:val="00E95BE4"/>
    <w:rsid w:val="00E97457"/>
    <w:rsid w:val="00EA6CEE"/>
    <w:rsid w:val="00EA7113"/>
    <w:rsid w:val="00EA789F"/>
    <w:rsid w:val="00EB4E09"/>
    <w:rsid w:val="00ED368F"/>
    <w:rsid w:val="00EF7C22"/>
    <w:rsid w:val="00F00A6B"/>
    <w:rsid w:val="00F06A7E"/>
    <w:rsid w:val="00F11AC0"/>
    <w:rsid w:val="00F23A03"/>
    <w:rsid w:val="00F30856"/>
    <w:rsid w:val="00F31C3B"/>
    <w:rsid w:val="00F400A8"/>
    <w:rsid w:val="00F401DE"/>
    <w:rsid w:val="00F53AE0"/>
    <w:rsid w:val="00F54EAB"/>
    <w:rsid w:val="00F556BC"/>
    <w:rsid w:val="00F65C9A"/>
    <w:rsid w:val="00F70D59"/>
    <w:rsid w:val="00F725C3"/>
    <w:rsid w:val="00F762DA"/>
    <w:rsid w:val="00F8682B"/>
    <w:rsid w:val="00F93E60"/>
    <w:rsid w:val="00F96CBA"/>
    <w:rsid w:val="00FA46AC"/>
    <w:rsid w:val="00FB2B68"/>
    <w:rsid w:val="00FC1229"/>
    <w:rsid w:val="00FD1FC5"/>
    <w:rsid w:val="00FE1D49"/>
    <w:rsid w:val="00FF1540"/>
    <w:rsid w:val="00FF2120"/>
    <w:rsid w:val="00FF3FA5"/>
    <w:rsid w:val="00FF4504"/>
    <w:rsid w:val="018B2804"/>
    <w:rsid w:val="019A277D"/>
    <w:rsid w:val="02295C36"/>
    <w:rsid w:val="024744F7"/>
    <w:rsid w:val="02516997"/>
    <w:rsid w:val="02661B78"/>
    <w:rsid w:val="02670616"/>
    <w:rsid w:val="029311FE"/>
    <w:rsid w:val="029439C7"/>
    <w:rsid w:val="02A81B3F"/>
    <w:rsid w:val="03103BAE"/>
    <w:rsid w:val="03105E59"/>
    <w:rsid w:val="0327023E"/>
    <w:rsid w:val="033F6241"/>
    <w:rsid w:val="03942A31"/>
    <w:rsid w:val="03EE2B0A"/>
    <w:rsid w:val="03F322A9"/>
    <w:rsid w:val="03F87308"/>
    <w:rsid w:val="03FC51EF"/>
    <w:rsid w:val="03FE6732"/>
    <w:rsid w:val="040D7C57"/>
    <w:rsid w:val="04601293"/>
    <w:rsid w:val="04A40D64"/>
    <w:rsid w:val="04B34FC6"/>
    <w:rsid w:val="04C609C8"/>
    <w:rsid w:val="04C9495C"/>
    <w:rsid w:val="05047743"/>
    <w:rsid w:val="056D5BDA"/>
    <w:rsid w:val="05850883"/>
    <w:rsid w:val="05976809"/>
    <w:rsid w:val="05BC1DCB"/>
    <w:rsid w:val="05C135AC"/>
    <w:rsid w:val="05CA098C"/>
    <w:rsid w:val="05D8675E"/>
    <w:rsid w:val="05E972C7"/>
    <w:rsid w:val="0603173B"/>
    <w:rsid w:val="0609596A"/>
    <w:rsid w:val="065E775E"/>
    <w:rsid w:val="066466EB"/>
    <w:rsid w:val="06A9032C"/>
    <w:rsid w:val="06AC1E40"/>
    <w:rsid w:val="06AD6562"/>
    <w:rsid w:val="06B72BC7"/>
    <w:rsid w:val="070457D8"/>
    <w:rsid w:val="0714493C"/>
    <w:rsid w:val="071F0864"/>
    <w:rsid w:val="0758433E"/>
    <w:rsid w:val="076610DF"/>
    <w:rsid w:val="077C659D"/>
    <w:rsid w:val="07BE5D63"/>
    <w:rsid w:val="084775F0"/>
    <w:rsid w:val="086E7883"/>
    <w:rsid w:val="08D444DB"/>
    <w:rsid w:val="08F05ECB"/>
    <w:rsid w:val="08F655F4"/>
    <w:rsid w:val="09970B85"/>
    <w:rsid w:val="0A187F18"/>
    <w:rsid w:val="0A391C3C"/>
    <w:rsid w:val="0AAD186D"/>
    <w:rsid w:val="0AD96F48"/>
    <w:rsid w:val="0ADF0A36"/>
    <w:rsid w:val="0AF65D7F"/>
    <w:rsid w:val="0BB16A87"/>
    <w:rsid w:val="0C20461B"/>
    <w:rsid w:val="0C5600D7"/>
    <w:rsid w:val="0C9E222B"/>
    <w:rsid w:val="0CA21D1B"/>
    <w:rsid w:val="0CAF4438"/>
    <w:rsid w:val="0CB0345E"/>
    <w:rsid w:val="0CB87790"/>
    <w:rsid w:val="0CCC323C"/>
    <w:rsid w:val="0CD45219"/>
    <w:rsid w:val="0CDA2B57"/>
    <w:rsid w:val="0CDA7428"/>
    <w:rsid w:val="0DDB589B"/>
    <w:rsid w:val="0E255382"/>
    <w:rsid w:val="0E534C35"/>
    <w:rsid w:val="0E8B67DF"/>
    <w:rsid w:val="0E9C6997"/>
    <w:rsid w:val="0EA33EA0"/>
    <w:rsid w:val="0ED71C56"/>
    <w:rsid w:val="0EF3685E"/>
    <w:rsid w:val="0F1A7F5F"/>
    <w:rsid w:val="0F5E1F18"/>
    <w:rsid w:val="0F782114"/>
    <w:rsid w:val="0FA83403"/>
    <w:rsid w:val="0FB11199"/>
    <w:rsid w:val="0FDA07DE"/>
    <w:rsid w:val="0FE81AE1"/>
    <w:rsid w:val="0FEE34C9"/>
    <w:rsid w:val="0FF56606"/>
    <w:rsid w:val="0FF641CD"/>
    <w:rsid w:val="10020DC3"/>
    <w:rsid w:val="10577557"/>
    <w:rsid w:val="105F7F23"/>
    <w:rsid w:val="1060794F"/>
    <w:rsid w:val="10991A79"/>
    <w:rsid w:val="10C83E73"/>
    <w:rsid w:val="11067180"/>
    <w:rsid w:val="110765F0"/>
    <w:rsid w:val="11546651"/>
    <w:rsid w:val="116D7F23"/>
    <w:rsid w:val="11943BFC"/>
    <w:rsid w:val="11C75D80"/>
    <w:rsid w:val="12087AEF"/>
    <w:rsid w:val="122139F3"/>
    <w:rsid w:val="12244F80"/>
    <w:rsid w:val="1227056E"/>
    <w:rsid w:val="12665599"/>
    <w:rsid w:val="126B0E01"/>
    <w:rsid w:val="128C34F7"/>
    <w:rsid w:val="12BB381B"/>
    <w:rsid w:val="12ED1816"/>
    <w:rsid w:val="12EF5F14"/>
    <w:rsid w:val="12F6758B"/>
    <w:rsid w:val="13143D57"/>
    <w:rsid w:val="13637D2A"/>
    <w:rsid w:val="13E501E2"/>
    <w:rsid w:val="144E63E0"/>
    <w:rsid w:val="145F04F1"/>
    <w:rsid w:val="148E2AD3"/>
    <w:rsid w:val="14CB229C"/>
    <w:rsid w:val="14D032C8"/>
    <w:rsid w:val="14D42C8D"/>
    <w:rsid w:val="152403E0"/>
    <w:rsid w:val="1555205F"/>
    <w:rsid w:val="15A0686E"/>
    <w:rsid w:val="16653F89"/>
    <w:rsid w:val="169F551D"/>
    <w:rsid w:val="16AE11E8"/>
    <w:rsid w:val="16BC60CF"/>
    <w:rsid w:val="16D50F3F"/>
    <w:rsid w:val="170434D7"/>
    <w:rsid w:val="17045380"/>
    <w:rsid w:val="17263548"/>
    <w:rsid w:val="178F0AFA"/>
    <w:rsid w:val="17B35C58"/>
    <w:rsid w:val="17CE60BA"/>
    <w:rsid w:val="181D0DEF"/>
    <w:rsid w:val="181F6915"/>
    <w:rsid w:val="183121A5"/>
    <w:rsid w:val="18355E7E"/>
    <w:rsid w:val="185A2CAF"/>
    <w:rsid w:val="189448FE"/>
    <w:rsid w:val="18AB0EF7"/>
    <w:rsid w:val="18B84F77"/>
    <w:rsid w:val="18D97E3B"/>
    <w:rsid w:val="18F5307E"/>
    <w:rsid w:val="191777B1"/>
    <w:rsid w:val="191E27BC"/>
    <w:rsid w:val="1945721F"/>
    <w:rsid w:val="19490122"/>
    <w:rsid w:val="194D1260"/>
    <w:rsid w:val="194E3A44"/>
    <w:rsid w:val="19575C3B"/>
    <w:rsid w:val="19597C05"/>
    <w:rsid w:val="19F85670"/>
    <w:rsid w:val="1A36737A"/>
    <w:rsid w:val="1ABC0630"/>
    <w:rsid w:val="1B1C4540"/>
    <w:rsid w:val="1B342FE6"/>
    <w:rsid w:val="1B6E3F4F"/>
    <w:rsid w:val="1B7A5039"/>
    <w:rsid w:val="1B8B42C2"/>
    <w:rsid w:val="1BB325C6"/>
    <w:rsid w:val="1BC03F6C"/>
    <w:rsid w:val="1BC7354C"/>
    <w:rsid w:val="1C105CB0"/>
    <w:rsid w:val="1C40595E"/>
    <w:rsid w:val="1C522A29"/>
    <w:rsid w:val="1C6D1F48"/>
    <w:rsid w:val="1CA24DC3"/>
    <w:rsid w:val="1CB3587E"/>
    <w:rsid w:val="1CB47446"/>
    <w:rsid w:val="1CD6156D"/>
    <w:rsid w:val="1CDE3AE3"/>
    <w:rsid w:val="1CF540E9"/>
    <w:rsid w:val="1D0D3F8F"/>
    <w:rsid w:val="1D2B7B0B"/>
    <w:rsid w:val="1D474C36"/>
    <w:rsid w:val="1D670577"/>
    <w:rsid w:val="1D6A3F38"/>
    <w:rsid w:val="1DD42DD9"/>
    <w:rsid w:val="1DFC28DD"/>
    <w:rsid w:val="1DFC3255"/>
    <w:rsid w:val="1E5D6BE6"/>
    <w:rsid w:val="1E814A31"/>
    <w:rsid w:val="1EA96ECE"/>
    <w:rsid w:val="1ECE2E43"/>
    <w:rsid w:val="1F69532E"/>
    <w:rsid w:val="1F721A21"/>
    <w:rsid w:val="1FC658C9"/>
    <w:rsid w:val="1FE01603"/>
    <w:rsid w:val="1FE25C23"/>
    <w:rsid w:val="1FFB0FBF"/>
    <w:rsid w:val="20124FB2"/>
    <w:rsid w:val="20457135"/>
    <w:rsid w:val="20542ED4"/>
    <w:rsid w:val="20974600"/>
    <w:rsid w:val="209B0B03"/>
    <w:rsid w:val="211A5ECC"/>
    <w:rsid w:val="21224E39"/>
    <w:rsid w:val="213A031C"/>
    <w:rsid w:val="217A6BD0"/>
    <w:rsid w:val="217B0D8B"/>
    <w:rsid w:val="21A5067B"/>
    <w:rsid w:val="21AB746C"/>
    <w:rsid w:val="21B94BF8"/>
    <w:rsid w:val="21DD67F8"/>
    <w:rsid w:val="22031B98"/>
    <w:rsid w:val="22273576"/>
    <w:rsid w:val="22FB2D4B"/>
    <w:rsid w:val="23152DEF"/>
    <w:rsid w:val="231908F9"/>
    <w:rsid w:val="23712C4B"/>
    <w:rsid w:val="2375388E"/>
    <w:rsid w:val="237F64BA"/>
    <w:rsid w:val="23943321"/>
    <w:rsid w:val="23AE26D8"/>
    <w:rsid w:val="23B56380"/>
    <w:rsid w:val="23C87E61"/>
    <w:rsid w:val="2419690F"/>
    <w:rsid w:val="241C1F5B"/>
    <w:rsid w:val="242B6642"/>
    <w:rsid w:val="244558F0"/>
    <w:rsid w:val="245F1650"/>
    <w:rsid w:val="24B01689"/>
    <w:rsid w:val="24EF58C2"/>
    <w:rsid w:val="25062E30"/>
    <w:rsid w:val="250840A4"/>
    <w:rsid w:val="251F561F"/>
    <w:rsid w:val="25380CA0"/>
    <w:rsid w:val="254133D1"/>
    <w:rsid w:val="25551BC9"/>
    <w:rsid w:val="2566066D"/>
    <w:rsid w:val="258B383C"/>
    <w:rsid w:val="25916979"/>
    <w:rsid w:val="25E55AE9"/>
    <w:rsid w:val="25EC1DEC"/>
    <w:rsid w:val="25FF38E2"/>
    <w:rsid w:val="26037179"/>
    <w:rsid w:val="262C161A"/>
    <w:rsid w:val="26D044DE"/>
    <w:rsid w:val="26D17B41"/>
    <w:rsid w:val="26FC5D51"/>
    <w:rsid w:val="26FD2518"/>
    <w:rsid w:val="27500F62"/>
    <w:rsid w:val="27653C19"/>
    <w:rsid w:val="27856F8C"/>
    <w:rsid w:val="28731C52"/>
    <w:rsid w:val="287859C9"/>
    <w:rsid w:val="28885E11"/>
    <w:rsid w:val="29122433"/>
    <w:rsid w:val="295C3415"/>
    <w:rsid w:val="29735E95"/>
    <w:rsid w:val="298E48DA"/>
    <w:rsid w:val="29F0536A"/>
    <w:rsid w:val="29F85218"/>
    <w:rsid w:val="2A760392"/>
    <w:rsid w:val="2A9F38E6"/>
    <w:rsid w:val="2ABB5CB3"/>
    <w:rsid w:val="2AC375D4"/>
    <w:rsid w:val="2B99123F"/>
    <w:rsid w:val="2B9B5E5B"/>
    <w:rsid w:val="2BF276F0"/>
    <w:rsid w:val="2C057779"/>
    <w:rsid w:val="2C1764C2"/>
    <w:rsid w:val="2C2053A7"/>
    <w:rsid w:val="2C532BDA"/>
    <w:rsid w:val="2D0B67E9"/>
    <w:rsid w:val="2D12358F"/>
    <w:rsid w:val="2D371BB4"/>
    <w:rsid w:val="2D4B2046"/>
    <w:rsid w:val="2D647CB4"/>
    <w:rsid w:val="2D7626DC"/>
    <w:rsid w:val="2D7828F8"/>
    <w:rsid w:val="2D9D7593"/>
    <w:rsid w:val="2E2012C3"/>
    <w:rsid w:val="2E4D65DF"/>
    <w:rsid w:val="2E61338C"/>
    <w:rsid w:val="2E8F3097"/>
    <w:rsid w:val="2EAE400D"/>
    <w:rsid w:val="2EC17F9C"/>
    <w:rsid w:val="2EFF4953"/>
    <w:rsid w:val="2F20265F"/>
    <w:rsid w:val="2F2208FC"/>
    <w:rsid w:val="2F2A01FC"/>
    <w:rsid w:val="2F2B399A"/>
    <w:rsid w:val="2F5614CA"/>
    <w:rsid w:val="2FA95BB6"/>
    <w:rsid w:val="2FCD0BB1"/>
    <w:rsid w:val="2FD63906"/>
    <w:rsid w:val="2FF05140"/>
    <w:rsid w:val="2FF124EE"/>
    <w:rsid w:val="301F52AD"/>
    <w:rsid w:val="302E3742"/>
    <w:rsid w:val="30403475"/>
    <w:rsid w:val="304271ED"/>
    <w:rsid w:val="30542A7D"/>
    <w:rsid w:val="30893EE7"/>
    <w:rsid w:val="30950F2B"/>
    <w:rsid w:val="30D81900"/>
    <w:rsid w:val="310F7CD1"/>
    <w:rsid w:val="313308E4"/>
    <w:rsid w:val="314243E7"/>
    <w:rsid w:val="320261C4"/>
    <w:rsid w:val="322B7D76"/>
    <w:rsid w:val="322E7A29"/>
    <w:rsid w:val="323E6274"/>
    <w:rsid w:val="324F44D1"/>
    <w:rsid w:val="3269799D"/>
    <w:rsid w:val="32894C60"/>
    <w:rsid w:val="32C76FCF"/>
    <w:rsid w:val="32C92530"/>
    <w:rsid w:val="333A7C99"/>
    <w:rsid w:val="33427232"/>
    <w:rsid w:val="334D791B"/>
    <w:rsid w:val="33574D5E"/>
    <w:rsid w:val="33615BDC"/>
    <w:rsid w:val="33B05E45"/>
    <w:rsid w:val="33D35665"/>
    <w:rsid w:val="33D60378"/>
    <w:rsid w:val="33EA3F37"/>
    <w:rsid w:val="342D5C6E"/>
    <w:rsid w:val="34680895"/>
    <w:rsid w:val="349712E1"/>
    <w:rsid w:val="34BE410B"/>
    <w:rsid w:val="34D5533B"/>
    <w:rsid w:val="351312B3"/>
    <w:rsid w:val="353115DE"/>
    <w:rsid w:val="35572C59"/>
    <w:rsid w:val="35B77FD8"/>
    <w:rsid w:val="35CD6378"/>
    <w:rsid w:val="35D501BC"/>
    <w:rsid w:val="35DB533C"/>
    <w:rsid w:val="35F178DE"/>
    <w:rsid w:val="36201CA5"/>
    <w:rsid w:val="36227D2F"/>
    <w:rsid w:val="3652172C"/>
    <w:rsid w:val="36984A37"/>
    <w:rsid w:val="36B50719"/>
    <w:rsid w:val="36B60D45"/>
    <w:rsid w:val="36BC355C"/>
    <w:rsid w:val="36D63769"/>
    <w:rsid w:val="36F37F0E"/>
    <w:rsid w:val="376C68FE"/>
    <w:rsid w:val="37976071"/>
    <w:rsid w:val="381D3A12"/>
    <w:rsid w:val="38530603"/>
    <w:rsid w:val="38A67D7E"/>
    <w:rsid w:val="38B467AE"/>
    <w:rsid w:val="38BB18EB"/>
    <w:rsid w:val="38E444E4"/>
    <w:rsid w:val="38EA21D0"/>
    <w:rsid w:val="38FB575B"/>
    <w:rsid w:val="39254928"/>
    <w:rsid w:val="392E030F"/>
    <w:rsid w:val="393B1BB5"/>
    <w:rsid w:val="394418E0"/>
    <w:rsid w:val="39581830"/>
    <w:rsid w:val="3968080E"/>
    <w:rsid w:val="39873EC3"/>
    <w:rsid w:val="39C064A6"/>
    <w:rsid w:val="39D83EE5"/>
    <w:rsid w:val="3A8664B2"/>
    <w:rsid w:val="3AEB5C4C"/>
    <w:rsid w:val="3AF909BA"/>
    <w:rsid w:val="3B313993"/>
    <w:rsid w:val="3B557FE6"/>
    <w:rsid w:val="3B7A5413"/>
    <w:rsid w:val="3B865CB0"/>
    <w:rsid w:val="3BBA7C64"/>
    <w:rsid w:val="3C3E10BB"/>
    <w:rsid w:val="3C4C4925"/>
    <w:rsid w:val="3C4D6CFE"/>
    <w:rsid w:val="3C5F1DD5"/>
    <w:rsid w:val="3C8A6140"/>
    <w:rsid w:val="3C957A94"/>
    <w:rsid w:val="3CC04858"/>
    <w:rsid w:val="3CFE624A"/>
    <w:rsid w:val="3D0E7876"/>
    <w:rsid w:val="3D141416"/>
    <w:rsid w:val="3D362977"/>
    <w:rsid w:val="3D63267C"/>
    <w:rsid w:val="3D72372C"/>
    <w:rsid w:val="3D734E8A"/>
    <w:rsid w:val="3D736480"/>
    <w:rsid w:val="3DC35521"/>
    <w:rsid w:val="3DDC47DD"/>
    <w:rsid w:val="3E1E46AB"/>
    <w:rsid w:val="3E304B60"/>
    <w:rsid w:val="3E357291"/>
    <w:rsid w:val="3E47535C"/>
    <w:rsid w:val="3E5A7DF8"/>
    <w:rsid w:val="3E814046"/>
    <w:rsid w:val="3EC16FCC"/>
    <w:rsid w:val="3EC67F79"/>
    <w:rsid w:val="3EE34114"/>
    <w:rsid w:val="3EFB6552"/>
    <w:rsid w:val="3F294894"/>
    <w:rsid w:val="3F746008"/>
    <w:rsid w:val="3FB926FD"/>
    <w:rsid w:val="3FF12096"/>
    <w:rsid w:val="401A339B"/>
    <w:rsid w:val="403311B0"/>
    <w:rsid w:val="40D27AFD"/>
    <w:rsid w:val="40EF2A79"/>
    <w:rsid w:val="41691C24"/>
    <w:rsid w:val="417D0ABD"/>
    <w:rsid w:val="422B5D33"/>
    <w:rsid w:val="426621C4"/>
    <w:rsid w:val="427E08C7"/>
    <w:rsid w:val="43AD49E6"/>
    <w:rsid w:val="43D46C6D"/>
    <w:rsid w:val="43D917BF"/>
    <w:rsid w:val="43E4263E"/>
    <w:rsid w:val="43FB7987"/>
    <w:rsid w:val="441C376E"/>
    <w:rsid w:val="442D18F9"/>
    <w:rsid w:val="44386958"/>
    <w:rsid w:val="44395BA8"/>
    <w:rsid w:val="446B551E"/>
    <w:rsid w:val="44F16E01"/>
    <w:rsid w:val="45110C7F"/>
    <w:rsid w:val="45886D5E"/>
    <w:rsid w:val="45947F95"/>
    <w:rsid w:val="45F67C81"/>
    <w:rsid w:val="4645313C"/>
    <w:rsid w:val="465B79C9"/>
    <w:rsid w:val="46896313"/>
    <w:rsid w:val="46AF5039"/>
    <w:rsid w:val="46C2478C"/>
    <w:rsid w:val="4743459D"/>
    <w:rsid w:val="47E309EA"/>
    <w:rsid w:val="47FE7D12"/>
    <w:rsid w:val="480602B6"/>
    <w:rsid w:val="48C60564"/>
    <w:rsid w:val="48CB18D6"/>
    <w:rsid w:val="48D12A65"/>
    <w:rsid w:val="48DF3F23"/>
    <w:rsid w:val="48ED1CCD"/>
    <w:rsid w:val="49064506"/>
    <w:rsid w:val="492C1D2E"/>
    <w:rsid w:val="492F7ED0"/>
    <w:rsid w:val="493C0826"/>
    <w:rsid w:val="4955220D"/>
    <w:rsid w:val="49660D9D"/>
    <w:rsid w:val="496865DC"/>
    <w:rsid w:val="49AB04EC"/>
    <w:rsid w:val="49D140CF"/>
    <w:rsid w:val="49F00709"/>
    <w:rsid w:val="49F25388"/>
    <w:rsid w:val="4A2B0285"/>
    <w:rsid w:val="4A4C6847"/>
    <w:rsid w:val="4A6A7625"/>
    <w:rsid w:val="4A802994"/>
    <w:rsid w:val="4AAF595E"/>
    <w:rsid w:val="4AC5270B"/>
    <w:rsid w:val="4AE70FA1"/>
    <w:rsid w:val="4AF22833"/>
    <w:rsid w:val="4AF4451A"/>
    <w:rsid w:val="4B907714"/>
    <w:rsid w:val="4B9A1D3E"/>
    <w:rsid w:val="4B9A5CD8"/>
    <w:rsid w:val="4BBE19C6"/>
    <w:rsid w:val="4C26756B"/>
    <w:rsid w:val="4C3B2E73"/>
    <w:rsid w:val="4C82133E"/>
    <w:rsid w:val="4CD67C42"/>
    <w:rsid w:val="4CF85F6B"/>
    <w:rsid w:val="4D27760E"/>
    <w:rsid w:val="4D2E66D8"/>
    <w:rsid w:val="4D325DBC"/>
    <w:rsid w:val="4DB00DC5"/>
    <w:rsid w:val="4DF37D3C"/>
    <w:rsid w:val="4E1D36F4"/>
    <w:rsid w:val="4E2730CC"/>
    <w:rsid w:val="4E3F7A75"/>
    <w:rsid w:val="4E6C395B"/>
    <w:rsid w:val="4EC54E1A"/>
    <w:rsid w:val="4ECB1AB8"/>
    <w:rsid w:val="4EED3F2E"/>
    <w:rsid w:val="4F0D2CAA"/>
    <w:rsid w:val="4F4026F2"/>
    <w:rsid w:val="4F4E3061"/>
    <w:rsid w:val="4F534D39"/>
    <w:rsid w:val="4FA07362"/>
    <w:rsid w:val="4FF5545D"/>
    <w:rsid w:val="4FFC2ABD"/>
    <w:rsid w:val="500776F9"/>
    <w:rsid w:val="50113993"/>
    <w:rsid w:val="501E6294"/>
    <w:rsid w:val="50632B3C"/>
    <w:rsid w:val="506A2C79"/>
    <w:rsid w:val="506C70C1"/>
    <w:rsid w:val="506D7517"/>
    <w:rsid w:val="50AF18DD"/>
    <w:rsid w:val="50B213CE"/>
    <w:rsid w:val="50B27620"/>
    <w:rsid w:val="50E750E8"/>
    <w:rsid w:val="50F149A8"/>
    <w:rsid w:val="513639C0"/>
    <w:rsid w:val="51402E7D"/>
    <w:rsid w:val="51956D25"/>
    <w:rsid w:val="51DE4C48"/>
    <w:rsid w:val="522001DE"/>
    <w:rsid w:val="52806EB4"/>
    <w:rsid w:val="52D57EE1"/>
    <w:rsid w:val="531319AA"/>
    <w:rsid w:val="53197521"/>
    <w:rsid w:val="53733096"/>
    <w:rsid w:val="53C21A98"/>
    <w:rsid w:val="53CC09F8"/>
    <w:rsid w:val="54030D4F"/>
    <w:rsid w:val="542B1822"/>
    <w:rsid w:val="544D7D8B"/>
    <w:rsid w:val="54857525"/>
    <w:rsid w:val="54C0055D"/>
    <w:rsid w:val="54D23DEC"/>
    <w:rsid w:val="54D27300"/>
    <w:rsid w:val="54D43CAD"/>
    <w:rsid w:val="54F621D1"/>
    <w:rsid w:val="552971E1"/>
    <w:rsid w:val="55A75279"/>
    <w:rsid w:val="55E02539"/>
    <w:rsid w:val="5630526E"/>
    <w:rsid w:val="564B56A1"/>
    <w:rsid w:val="565810A1"/>
    <w:rsid w:val="569272B9"/>
    <w:rsid w:val="56B325D6"/>
    <w:rsid w:val="56B8595F"/>
    <w:rsid w:val="56F6683A"/>
    <w:rsid w:val="571045D1"/>
    <w:rsid w:val="575D6537"/>
    <w:rsid w:val="576B4AD2"/>
    <w:rsid w:val="577B4594"/>
    <w:rsid w:val="57B37D95"/>
    <w:rsid w:val="57F02618"/>
    <w:rsid w:val="58153B2A"/>
    <w:rsid w:val="583A23D4"/>
    <w:rsid w:val="58A2699C"/>
    <w:rsid w:val="58A81A34"/>
    <w:rsid w:val="58DB3C34"/>
    <w:rsid w:val="58FF2611"/>
    <w:rsid w:val="59205A6E"/>
    <w:rsid w:val="5928495F"/>
    <w:rsid w:val="593A5382"/>
    <w:rsid w:val="59597197"/>
    <w:rsid w:val="59D6648F"/>
    <w:rsid w:val="59D86349"/>
    <w:rsid w:val="5A1E5727"/>
    <w:rsid w:val="5A2C3F03"/>
    <w:rsid w:val="5ADD3F38"/>
    <w:rsid w:val="5AE43C69"/>
    <w:rsid w:val="5B1E08A3"/>
    <w:rsid w:val="5B5C6B06"/>
    <w:rsid w:val="5B7E4A2B"/>
    <w:rsid w:val="5B9E298E"/>
    <w:rsid w:val="5C0C4E98"/>
    <w:rsid w:val="5C114B89"/>
    <w:rsid w:val="5C667A99"/>
    <w:rsid w:val="5C9F3FFC"/>
    <w:rsid w:val="5CC6692D"/>
    <w:rsid w:val="5CC97269"/>
    <w:rsid w:val="5CF50FC0"/>
    <w:rsid w:val="5D04446A"/>
    <w:rsid w:val="5D090C40"/>
    <w:rsid w:val="5D2D3AF7"/>
    <w:rsid w:val="5D79399F"/>
    <w:rsid w:val="5D8A795A"/>
    <w:rsid w:val="5DB1365C"/>
    <w:rsid w:val="5DB7464C"/>
    <w:rsid w:val="5DDE3089"/>
    <w:rsid w:val="5E192A8C"/>
    <w:rsid w:val="5E7A6A32"/>
    <w:rsid w:val="5EA47734"/>
    <w:rsid w:val="5EB34C8F"/>
    <w:rsid w:val="5ED6503F"/>
    <w:rsid w:val="5EDB3860"/>
    <w:rsid w:val="5EE7053E"/>
    <w:rsid w:val="5F930666"/>
    <w:rsid w:val="5FB26B3A"/>
    <w:rsid w:val="5FD92964"/>
    <w:rsid w:val="603C0CB4"/>
    <w:rsid w:val="60795A64"/>
    <w:rsid w:val="60B4267D"/>
    <w:rsid w:val="60E2116F"/>
    <w:rsid w:val="61326FAE"/>
    <w:rsid w:val="613F0A5C"/>
    <w:rsid w:val="614F39EC"/>
    <w:rsid w:val="61637BA0"/>
    <w:rsid w:val="61D26580"/>
    <w:rsid w:val="61D5316E"/>
    <w:rsid w:val="61E15E5A"/>
    <w:rsid w:val="61EF2482"/>
    <w:rsid w:val="61F817BB"/>
    <w:rsid w:val="61FA4982"/>
    <w:rsid w:val="623B0F85"/>
    <w:rsid w:val="62CD70A4"/>
    <w:rsid w:val="62DA7A71"/>
    <w:rsid w:val="632E4E68"/>
    <w:rsid w:val="634E31D8"/>
    <w:rsid w:val="635A4089"/>
    <w:rsid w:val="63626C83"/>
    <w:rsid w:val="63847969"/>
    <w:rsid w:val="638D614B"/>
    <w:rsid w:val="63A94039"/>
    <w:rsid w:val="63AF74DC"/>
    <w:rsid w:val="63FC2C34"/>
    <w:rsid w:val="63FF1C76"/>
    <w:rsid w:val="64446389"/>
    <w:rsid w:val="64A37553"/>
    <w:rsid w:val="64DE058B"/>
    <w:rsid w:val="650A43FB"/>
    <w:rsid w:val="65735178"/>
    <w:rsid w:val="657B7F91"/>
    <w:rsid w:val="65B03CD6"/>
    <w:rsid w:val="65C0401D"/>
    <w:rsid w:val="65E144AD"/>
    <w:rsid w:val="666A1688"/>
    <w:rsid w:val="66754F1F"/>
    <w:rsid w:val="66897701"/>
    <w:rsid w:val="669C425A"/>
    <w:rsid w:val="66A67654"/>
    <w:rsid w:val="66CD28BF"/>
    <w:rsid w:val="66F35CB5"/>
    <w:rsid w:val="66F8358E"/>
    <w:rsid w:val="67187863"/>
    <w:rsid w:val="6727621A"/>
    <w:rsid w:val="672A245F"/>
    <w:rsid w:val="67562FF1"/>
    <w:rsid w:val="67650AF0"/>
    <w:rsid w:val="67BB77DC"/>
    <w:rsid w:val="67BC362F"/>
    <w:rsid w:val="67E946FC"/>
    <w:rsid w:val="68025172"/>
    <w:rsid w:val="680B4215"/>
    <w:rsid w:val="683D68AF"/>
    <w:rsid w:val="68772494"/>
    <w:rsid w:val="688753E3"/>
    <w:rsid w:val="6896496E"/>
    <w:rsid w:val="68A5389A"/>
    <w:rsid w:val="68B774CA"/>
    <w:rsid w:val="69286279"/>
    <w:rsid w:val="694D1AF9"/>
    <w:rsid w:val="696411DB"/>
    <w:rsid w:val="69695723"/>
    <w:rsid w:val="6A06384E"/>
    <w:rsid w:val="6A3048AE"/>
    <w:rsid w:val="6A40212B"/>
    <w:rsid w:val="6A9F068D"/>
    <w:rsid w:val="6ABD240C"/>
    <w:rsid w:val="6ABE6E95"/>
    <w:rsid w:val="6AD870E9"/>
    <w:rsid w:val="6ADC731B"/>
    <w:rsid w:val="6B4759DA"/>
    <w:rsid w:val="6B5477F9"/>
    <w:rsid w:val="6B7E5284"/>
    <w:rsid w:val="6B8031C7"/>
    <w:rsid w:val="6BAA4A2F"/>
    <w:rsid w:val="6BDB515C"/>
    <w:rsid w:val="6C2B2308"/>
    <w:rsid w:val="6C3870FA"/>
    <w:rsid w:val="6C3A079D"/>
    <w:rsid w:val="6C4B3AAF"/>
    <w:rsid w:val="6C5055CD"/>
    <w:rsid w:val="6C5F63CA"/>
    <w:rsid w:val="6D6108A6"/>
    <w:rsid w:val="6D6A73AF"/>
    <w:rsid w:val="6D7A70D0"/>
    <w:rsid w:val="6D8A50A2"/>
    <w:rsid w:val="6DD93FE6"/>
    <w:rsid w:val="6E10454B"/>
    <w:rsid w:val="6E4F56EC"/>
    <w:rsid w:val="6EA81EBB"/>
    <w:rsid w:val="6EBF7C57"/>
    <w:rsid w:val="6ED30A35"/>
    <w:rsid w:val="6F070893"/>
    <w:rsid w:val="6F240921"/>
    <w:rsid w:val="6F505485"/>
    <w:rsid w:val="6F6F4C02"/>
    <w:rsid w:val="6F966F72"/>
    <w:rsid w:val="6FC001DE"/>
    <w:rsid w:val="6FC018AC"/>
    <w:rsid w:val="6FD809F9"/>
    <w:rsid w:val="6FF66B71"/>
    <w:rsid w:val="700215D2"/>
    <w:rsid w:val="700222B2"/>
    <w:rsid w:val="70153D32"/>
    <w:rsid w:val="70441100"/>
    <w:rsid w:val="70A16363"/>
    <w:rsid w:val="70AD36ED"/>
    <w:rsid w:val="70C42D2B"/>
    <w:rsid w:val="710547C7"/>
    <w:rsid w:val="7109266A"/>
    <w:rsid w:val="710A6CC4"/>
    <w:rsid w:val="7123359C"/>
    <w:rsid w:val="71352F34"/>
    <w:rsid w:val="713954C7"/>
    <w:rsid w:val="71664295"/>
    <w:rsid w:val="71A62431"/>
    <w:rsid w:val="71C32FE3"/>
    <w:rsid w:val="71ED630E"/>
    <w:rsid w:val="72065E82"/>
    <w:rsid w:val="72146BC2"/>
    <w:rsid w:val="722D066E"/>
    <w:rsid w:val="72635250"/>
    <w:rsid w:val="727138BB"/>
    <w:rsid w:val="72965F01"/>
    <w:rsid w:val="72CB65F3"/>
    <w:rsid w:val="72EE72CB"/>
    <w:rsid w:val="72F1592E"/>
    <w:rsid w:val="732C0596"/>
    <w:rsid w:val="73412411"/>
    <w:rsid w:val="734C0309"/>
    <w:rsid w:val="7364640B"/>
    <w:rsid w:val="7368745A"/>
    <w:rsid w:val="73780388"/>
    <w:rsid w:val="73C2272E"/>
    <w:rsid w:val="73D347D4"/>
    <w:rsid w:val="74051691"/>
    <w:rsid w:val="74886410"/>
    <w:rsid w:val="748D1686"/>
    <w:rsid w:val="7490285F"/>
    <w:rsid w:val="74C460BA"/>
    <w:rsid w:val="74F717E2"/>
    <w:rsid w:val="75324707"/>
    <w:rsid w:val="756D47FB"/>
    <w:rsid w:val="75B965F4"/>
    <w:rsid w:val="75D827AD"/>
    <w:rsid w:val="75ED3686"/>
    <w:rsid w:val="75FB71EF"/>
    <w:rsid w:val="76045978"/>
    <w:rsid w:val="76320737"/>
    <w:rsid w:val="766C1283"/>
    <w:rsid w:val="76764AC8"/>
    <w:rsid w:val="76903014"/>
    <w:rsid w:val="76DA5057"/>
    <w:rsid w:val="76F00D27"/>
    <w:rsid w:val="76F358AB"/>
    <w:rsid w:val="77043E82"/>
    <w:rsid w:val="775E08C3"/>
    <w:rsid w:val="77614232"/>
    <w:rsid w:val="777F6687"/>
    <w:rsid w:val="77996139"/>
    <w:rsid w:val="77ED0DBA"/>
    <w:rsid w:val="78120820"/>
    <w:rsid w:val="781D00C9"/>
    <w:rsid w:val="78300CA6"/>
    <w:rsid w:val="7842109B"/>
    <w:rsid w:val="784D4E3B"/>
    <w:rsid w:val="7859399F"/>
    <w:rsid w:val="786D1EFA"/>
    <w:rsid w:val="789708FF"/>
    <w:rsid w:val="78E21FA1"/>
    <w:rsid w:val="78E36E9D"/>
    <w:rsid w:val="79037DA4"/>
    <w:rsid w:val="793D367B"/>
    <w:rsid w:val="79426EE3"/>
    <w:rsid w:val="79450F83"/>
    <w:rsid w:val="797236F7"/>
    <w:rsid w:val="7993773F"/>
    <w:rsid w:val="79E47F9A"/>
    <w:rsid w:val="79EB757B"/>
    <w:rsid w:val="7A100661"/>
    <w:rsid w:val="7A20128A"/>
    <w:rsid w:val="7A2544C3"/>
    <w:rsid w:val="7A3C7DD6"/>
    <w:rsid w:val="7A8F4FCE"/>
    <w:rsid w:val="7A902D98"/>
    <w:rsid w:val="7A9C1E1C"/>
    <w:rsid w:val="7B095F0A"/>
    <w:rsid w:val="7B3D7370"/>
    <w:rsid w:val="7B414E61"/>
    <w:rsid w:val="7B637EF6"/>
    <w:rsid w:val="7B8626B2"/>
    <w:rsid w:val="7B9E3DDC"/>
    <w:rsid w:val="7BA479E1"/>
    <w:rsid w:val="7BA97FC7"/>
    <w:rsid w:val="7BF546E1"/>
    <w:rsid w:val="7C0A4C0C"/>
    <w:rsid w:val="7C2D5C29"/>
    <w:rsid w:val="7C336FB7"/>
    <w:rsid w:val="7C385727"/>
    <w:rsid w:val="7C5739AD"/>
    <w:rsid w:val="7CAB57A7"/>
    <w:rsid w:val="7CE23473"/>
    <w:rsid w:val="7D3350C5"/>
    <w:rsid w:val="7D356644"/>
    <w:rsid w:val="7D71202A"/>
    <w:rsid w:val="7D8E26F7"/>
    <w:rsid w:val="7DA57939"/>
    <w:rsid w:val="7DC10D1E"/>
    <w:rsid w:val="7DC3531E"/>
    <w:rsid w:val="7DEC2C45"/>
    <w:rsid w:val="7DF478B8"/>
    <w:rsid w:val="7E250825"/>
    <w:rsid w:val="7E590F57"/>
    <w:rsid w:val="7E5C69D0"/>
    <w:rsid w:val="7E65648D"/>
    <w:rsid w:val="7E9300B5"/>
    <w:rsid w:val="7EA44CAC"/>
    <w:rsid w:val="7EB4618D"/>
    <w:rsid w:val="7EC67CEE"/>
    <w:rsid w:val="7EF02F3D"/>
    <w:rsid w:val="7F361780"/>
    <w:rsid w:val="7F4A3514"/>
    <w:rsid w:val="7F71407E"/>
    <w:rsid w:val="7F807128"/>
    <w:rsid w:val="7F9B559F"/>
    <w:rsid w:val="7FA06540"/>
    <w:rsid w:val="7FBB35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9" w:semiHidden="0" w:name="heading 7"/>
    <w:lsdException w:qFormat="1" w:unhideWhenUsed="0" w:uiPriority="9"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semiHidden="0" w:name="footnote reference"/>
    <w:lsdException w:qFormat="1"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iPriority="99"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before="60" w:after="60" w:line="312" w:lineRule="auto"/>
    </w:pPr>
    <w:rPr>
      <w:rFonts w:asciiTheme="minorHAnsi" w:hAnsiTheme="minorHAnsi" w:eastAsiaTheme="minorEastAsia" w:cstheme="minorBidi"/>
      <w:color w:val="333333"/>
      <w:kern w:val="2"/>
      <w:sz w:val="22"/>
      <w:szCs w:val="22"/>
      <w:lang w:val="en-US" w:eastAsia="zh-CN" w:bidi="ar-SA"/>
    </w:rPr>
  </w:style>
  <w:style w:type="paragraph" w:styleId="2">
    <w:name w:val="heading 1"/>
    <w:basedOn w:val="1"/>
    <w:next w:val="3"/>
    <w:link w:val="157"/>
    <w:qFormat/>
    <w:uiPriority w:val="0"/>
    <w:pPr>
      <w:keepNext/>
      <w:keepLines/>
      <w:spacing w:before="0" w:after="0" w:line="408" w:lineRule="auto"/>
      <w:outlineLvl w:val="0"/>
    </w:pPr>
    <w:rPr>
      <w:rFonts w:eastAsia="仿宋_GB2312"/>
      <w:b/>
      <w:bCs/>
      <w:color w:val="1A1A1A"/>
      <w:sz w:val="28"/>
      <w:szCs w:val="36"/>
    </w:rPr>
  </w:style>
  <w:style w:type="paragraph" w:styleId="5">
    <w:name w:val="heading 2"/>
    <w:basedOn w:val="1"/>
    <w:next w:val="1"/>
    <w:link w:val="53"/>
    <w:unhideWhenUsed/>
    <w:qFormat/>
    <w:uiPriority w:val="0"/>
    <w:pPr>
      <w:keepNext/>
      <w:keepLines/>
      <w:spacing w:before="260" w:after="260" w:line="360" w:lineRule="auto"/>
      <w:outlineLvl w:val="1"/>
    </w:pPr>
    <w:rPr>
      <w:rFonts w:eastAsia="仿宋_GB2312" w:asciiTheme="majorHAnsi" w:hAnsiTheme="majorHAnsi" w:cstheme="majorBidi"/>
      <w:b/>
      <w:bCs/>
      <w:sz w:val="28"/>
      <w:szCs w:val="32"/>
    </w:rPr>
  </w:style>
  <w:style w:type="paragraph" w:styleId="6">
    <w:name w:val="heading 3"/>
    <w:basedOn w:val="1"/>
    <w:next w:val="1"/>
    <w:link w:val="54"/>
    <w:qFormat/>
    <w:uiPriority w:val="0"/>
    <w:pPr>
      <w:keepNext/>
      <w:keepLines/>
      <w:spacing w:before="0" w:after="0" w:line="408" w:lineRule="auto"/>
      <w:outlineLvl w:val="2"/>
    </w:pPr>
    <w:rPr>
      <w:b/>
      <w:bCs/>
      <w:color w:val="1A1A1A"/>
      <w:sz w:val="28"/>
      <w:szCs w:val="28"/>
    </w:rPr>
  </w:style>
  <w:style w:type="paragraph" w:styleId="7">
    <w:name w:val="heading 4"/>
    <w:basedOn w:val="1"/>
    <w:next w:val="1"/>
    <w:link w:val="55"/>
    <w:qFormat/>
    <w:uiPriority w:val="0"/>
    <w:pPr>
      <w:tabs>
        <w:tab w:val="left" w:pos="0"/>
      </w:tabs>
      <w:snapToGrid/>
      <w:spacing w:before="0" w:after="0" w:line="360" w:lineRule="auto"/>
      <w:ind w:left="426" w:hanging="426"/>
      <w:jc w:val="center"/>
      <w:outlineLvl w:val="3"/>
    </w:pPr>
    <w:rPr>
      <w:rFonts w:ascii="Arial" w:hAnsi="Arial" w:eastAsia="宋体" w:cs="Times New Roman"/>
      <w:b/>
      <w:color w:val="auto"/>
      <w:sz w:val="24"/>
      <w:szCs w:val="20"/>
    </w:rPr>
  </w:style>
  <w:style w:type="paragraph" w:styleId="8">
    <w:name w:val="heading 5"/>
    <w:basedOn w:val="1"/>
    <w:next w:val="1"/>
    <w:link w:val="56"/>
    <w:qFormat/>
    <w:uiPriority w:val="0"/>
    <w:pPr>
      <w:keepNext/>
      <w:keepLines/>
      <w:snapToGrid/>
      <w:spacing w:before="280" w:after="290" w:line="374" w:lineRule="auto"/>
      <w:jc w:val="both"/>
      <w:outlineLvl w:val="4"/>
    </w:pPr>
    <w:rPr>
      <w:rFonts w:ascii="Times New Roman" w:hAnsi="Times New Roman" w:eastAsia="宋体" w:cs="Times New Roman"/>
      <w:b/>
      <w:color w:val="auto"/>
      <w:sz w:val="28"/>
      <w:szCs w:val="20"/>
    </w:rPr>
  </w:style>
  <w:style w:type="paragraph" w:styleId="9">
    <w:name w:val="heading 6"/>
    <w:basedOn w:val="1"/>
    <w:next w:val="1"/>
    <w:link w:val="57"/>
    <w:qFormat/>
    <w:uiPriority w:val="0"/>
    <w:pPr>
      <w:keepNext/>
      <w:keepLines/>
      <w:tabs>
        <w:tab w:val="left" w:pos="1152"/>
      </w:tabs>
      <w:snapToGrid/>
      <w:spacing w:before="0" w:after="0" w:line="360" w:lineRule="auto"/>
      <w:jc w:val="center"/>
      <w:outlineLvl w:val="5"/>
    </w:pPr>
    <w:rPr>
      <w:rFonts w:ascii="Arial" w:hAnsi="Arial" w:eastAsia="黑体" w:cs="Times New Roman"/>
      <w:b/>
      <w:color w:val="auto"/>
      <w:sz w:val="24"/>
      <w:szCs w:val="20"/>
    </w:rPr>
  </w:style>
  <w:style w:type="paragraph" w:styleId="10">
    <w:name w:val="heading 7"/>
    <w:basedOn w:val="1"/>
    <w:next w:val="1"/>
    <w:link w:val="58"/>
    <w:qFormat/>
    <w:uiPriority w:val="9"/>
    <w:pPr>
      <w:keepNext/>
      <w:keepLines/>
      <w:tabs>
        <w:tab w:val="left" w:pos="1296"/>
      </w:tabs>
      <w:snapToGrid/>
      <w:spacing w:before="240" w:after="64" w:line="319" w:lineRule="auto"/>
      <w:ind w:left="1296" w:hanging="1296"/>
      <w:jc w:val="both"/>
      <w:outlineLvl w:val="6"/>
    </w:pPr>
    <w:rPr>
      <w:rFonts w:ascii="Times New Roman" w:hAnsi="Times New Roman" w:eastAsia="宋体" w:cs="Times New Roman"/>
      <w:b/>
      <w:color w:val="auto"/>
      <w:sz w:val="24"/>
      <w:szCs w:val="20"/>
    </w:rPr>
  </w:style>
  <w:style w:type="paragraph" w:styleId="11">
    <w:name w:val="heading 8"/>
    <w:basedOn w:val="1"/>
    <w:next w:val="1"/>
    <w:link w:val="59"/>
    <w:qFormat/>
    <w:uiPriority w:val="9"/>
    <w:pPr>
      <w:keepNext/>
      <w:keepLines/>
      <w:snapToGrid/>
      <w:spacing w:before="0" w:after="0" w:line="317" w:lineRule="auto"/>
      <w:jc w:val="both"/>
      <w:outlineLvl w:val="7"/>
    </w:pPr>
    <w:rPr>
      <w:rFonts w:ascii="Arial" w:hAnsi="Arial" w:eastAsia="黑体" w:cs="Times New Roman"/>
      <w:color w:val="auto"/>
      <w:sz w:val="24"/>
      <w:szCs w:val="21"/>
    </w:rPr>
  </w:style>
  <w:style w:type="paragraph" w:styleId="12">
    <w:name w:val="heading 9"/>
    <w:basedOn w:val="1"/>
    <w:next w:val="1"/>
    <w:link w:val="60"/>
    <w:qFormat/>
    <w:uiPriority w:val="0"/>
    <w:pPr>
      <w:keepNext/>
      <w:keepLines/>
      <w:tabs>
        <w:tab w:val="left" w:pos="1584"/>
      </w:tabs>
      <w:snapToGrid/>
      <w:spacing w:before="240" w:after="64" w:line="319" w:lineRule="auto"/>
      <w:ind w:left="1584" w:hanging="1584"/>
      <w:jc w:val="both"/>
      <w:outlineLvl w:val="8"/>
    </w:pPr>
    <w:rPr>
      <w:rFonts w:ascii="Arial" w:hAnsi="Arial" w:eastAsia="黑体" w:cs="Times New Roman"/>
      <w:color w:val="auto"/>
      <w:sz w:val="21"/>
      <w:szCs w:val="20"/>
    </w:rPr>
  </w:style>
  <w:style w:type="character" w:default="1" w:styleId="44">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styleId="3">
    <w:name w:val="Body Text First Indent"/>
    <w:basedOn w:val="4"/>
    <w:link w:val="79"/>
    <w:qFormat/>
    <w:uiPriority w:val="0"/>
    <w:pPr>
      <w:ind w:firstLine="420" w:firstLineChars="100"/>
    </w:pPr>
  </w:style>
  <w:style w:type="paragraph" w:styleId="4">
    <w:name w:val="Body Text"/>
    <w:basedOn w:val="1"/>
    <w:link w:val="72"/>
    <w:qFormat/>
    <w:uiPriority w:val="99"/>
    <w:pPr>
      <w:snapToGrid/>
      <w:spacing w:before="0" w:after="120" w:line="240" w:lineRule="auto"/>
      <w:jc w:val="both"/>
    </w:pPr>
    <w:rPr>
      <w:rFonts w:ascii="Times New Roman" w:hAnsi="Times New Roman" w:eastAsia="宋体" w:cs="Times New Roman"/>
      <w:color w:val="auto"/>
      <w:sz w:val="21"/>
      <w:szCs w:val="20"/>
    </w:rPr>
  </w:style>
  <w:style w:type="paragraph" w:styleId="13">
    <w:name w:val="toc 7"/>
    <w:basedOn w:val="1"/>
    <w:next w:val="1"/>
    <w:qFormat/>
    <w:uiPriority w:val="39"/>
    <w:pPr>
      <w:snapToGrid/>
      <w:spacing w:before="0" w:after="0" w:line="240" w:lineRule="auto"/>
      <w:ind w:left="1050"/>
    </w:pPr>
    <w:rPr>
      <w:rFonts w:ascii="Times New Roman" w:hAnsi="Times New Roman" w:eastAsia="宋体" w:cs="Times New Roman"/>
      <w:color w:val="auto"/>
      <w:sz w:val="20"/>
      <w:szCs w:val="20"/>
    </w:rPr>
  </w:style>
  <w:style w:type="paragraph" w:styleId="14">
    <w:name w:val="Normal Indent"/>
    <w:basedOn w:val="1"/>
    <w:qFormat/>
    <w:uiPriority w:val="0"/>
    <w:pPr>
      <w:ind w:firstLine="420"/>
    </w:pPr>
    <w:rPr>
      <w:szCs w:val="20"/>
    </w:rPr>
  </w:style>
  <w:style w:type="paragraph" w:styleId="15">
    <w:name w:val="caption"/>
    <w:next w:val="1"/>
    <w:qFormat/>
    <w:uiPriority w:val="0"/>
    <w:pPr>
      <w:jc w:val="center"/>
    </w:pPr>
    <w:rPr>
      <w:rFonts w:ascii="Times New Roman" w:hAnsi="Times New Roman" w:eastAsia="宋体" w:cs="Times New Roman"/>
      <w:b/>
      <w:kern w:val="2"/>
      <w:sz w:val="21"/>
      <w:lang w:val="en-US" w:eastAsia="zh-CN" w:bidi="ar-SA"/>
    </w:rPr>
  </w:style>
  <w:style w:type="paragraph" w:styleId="16">
    <w:name w:val="Document Map"/>
    <w:basedOn w:val="1"/>
    <w:link w:val="70"/>
    <w:qFormat/>
    <w:uiPriority w:val="0"/>
    <w:pPr>
      <w:shd w:val="clear" w:color="auto" w:fill="000080"/>
      <w:snapToGrid/>
      <w:spacing w:before="0" w:after="0" w:line="240" w:lineRule="auto"/>
      <w:jc w:val="both"/>
    </w:pPr>
    <w:rPr>
      <w:rFonts w:ascii="Times New Roman" w:hAnsi="Times New Roman" w:eastAsia="宋体" w:cs="Times New Roman"/>
      <w:color w:val="auto"/>
      <w:sz w:val="21"/>
      <w:szCs w:val="20"/>
    </w:rPr>
  </w:style>
  <w:style w:type="paragraph" w:styleId="17">
    <w:name w:val="annotation text"/>
    <w:basedOn w:val="1"/>
    <w:link w:val="62"/>
    <w:unhideWhenUsed/>
    <w:qFormat/>
    <w:uiPriority w:val="0"/>
  </w:style>
  <w:style w:type="paragraph" w:styleId="18">
    <w:name w:val="Body Text 3"/>
    <w:basedOn w:val="1"/>
    <w:link w:val="71"/>
    <w:qFormat/>
    <w:uiPriority w:val="0"/>
    <w:pPr>
      <w:snapToGrid/>
      <w:spacing w:before="0" w:after="0" w:line="240" w:lineRule="auto"/>
      <w:jc w:val="center"/>
    </w:pPr>
    <w:rPr>
      <w:rFonts w:ascii="Times New Roman" w:hAnsi="Times New Roman" w:eastAsia="宋体" w:cs="Times New Roman"/>
      <w:color w:val="auto"/>
      <w:sz w:val="24"/>
      <w:szCs w:val="20"/>
    </w:rPr>
  </w:style>
  <w:style w:type="paragraph" w:styleId="19">
    <w:name w:val="Body Text Indent"/>
    <w:basedOn w:val="1"/>
    <w:link w:val="73"/>
    <w:qFormat/>
    <w:uiPriority w:val="0"/>
    <w:pPr>
      <w:snapToGrid/>
      <w:spacing w:before="0" w:after="0" w:line="500" w:lineRule="exact"/>
      <w:ind w:firstLine="403" w:firstLineChars="168"/>
      <w:jc w:val="both"/>
    </w:pPr>
    <w:rPr>
      <w:rFonts w:ascii="宋体" w:hAnsi="宋体" w:eastAsia="宋体" w:cs="Times New Roman"/>
      <w:color w:val="000000"/>
      <w:sz w:val="24"/>
      <w:szCs w:val="20"/>
    </w:rPr>
  </w:style>
  <w:style w:type="paragraph" w:styleId="20">
    <w:name w:val="List 2"/>
    <w:basedOn w:val="1"/>
    <w:qFormat/>
    <w:uiPriority w:val="0"/>
    <w:pPr>
      <w:snapToGrid/>
      <w:spacing w:before="0" w:after="0" w:line="240" w:lineRule="auto"/>
      <w:ind w:left="100" w:leftChars="200" w:hanging="200" w:hangingChars="200"/>
      <w:jc w:val="both"/>
    </w:pPr>
    <w:rPr>
      <w:rFonts w:ascii="Times New Roman" w:hAnsi="Times New Roman" w:eastAsia="宋体" w:cs="Times New Roman"/>
      <w:color w:val="auto"/>
      <w:sz w:val="21"/>
      <w:szCs w:val="24"/>
    </w:rPr>
  </w:style>
  <w:style w:type="paragraph" w:styleId="21">
    <w:name w:val="Block Text"/>
    <w:basedOn w:val="1"/>
    <w:link w:val="159"/>
    <w:qFormat/>
    <w:uiPriority w:val="0"/>
    <w:pPr>
      <w:adjustRightInd w:val="0"/>
      <w:spacing w:before="0" w:after="0" w:line="240" w:lineRule="auto"/>
      <w:jc w:val="center"/>
      <w:textAlignment w:val="baseline"/>
    </w:pPr>
    <w:rPr>
      <w:rFonts w:ascii="宋体" w:hAnsi="宋体" w:eastAsia="宋体" w:cs="宋体"/>
      <w:color w:val="auto"/>
      <w:kern w:val="0"/>
      <w:sz w:val="21"/>
      <w:szCs w:val="20"/>
    </w:rPr>
  </w:style>
  <w:style w:type="paragraph" w:styleId="22">
    <w:name w:val="toc 5"/>
    <w:basedOn w:val="1"/>
    <w:next w:val="1"/>
    <w:qFormat/>
    <w:uiPriority w:val="39"/>
    <w:pPr>
      <w:snapToGrid/>
      <w:spacing w:before="0" w:after="0" w:line="240" w:lineRule="auto"/>
      <w:ind w:left="630"/>
    </w:pPr>
    <w:rPr>
      <w:rFonts w:ascii="Times New Roman" w:hAnsi="Times New Roman" w:eastAsia="宋体" w:cs="Times New Roman"/>
      <w:color w:val="auto"/>
      <w:sz w:val="20"/>
      <w:szCs w:val="20"/>
    </w:rPr>
  </w:style>
  <w:style w:type="paragraph" w:styleId="23">
    <w:name w:val="toc 3"/>
    <w:basedOn w:val="1"/>
    <w:next w:val="1"/>
    <w:qFormat/>
    <w:uiPriority w:val="39"/>
    <w:pPr>
      <w:spacing w:before="0" w:after="0" w:line="360" w:lineRule="auto"/>
      <w:ind w:left="400" w:leftChars="400"/>
    </w:pPr>
    <w:rPr>
      <w:rFonts w:ascii="Times New Roman" w:hAnsi="Times New Roman" w:eastAsia="宋体" w:cs="Times New Roman"/>
      <w:color w:val="auto"/>
      <w:sz w:val="24"/>
      <w:szCs w:val="20"/>
    </w:rPr>
  </w:style>
  <w:style w:type="paragraph" w:styleId="24">
    <w:name w:val="Plain Text"/>
    <w:basedOn w:val="1"/>
    <w:next w:val="1"/>
    <w:link w:val="74"/>
    <w:qFormat/>
    <w:uiPriority w:val="0"/>
    <w:pPr>
      <w:snapToGrid/>
      <w:spacing w:before="0" w:after="0" w:line="360" w:lineRule="auto"/>
      <w:ind w:firstLine="200" w:firstLineChars="200"/>
      <w:jc w:val="both"/>
    </w:pPr>
    <w:rPr>
      <w:rFonts w:ascii="宋体" w:hAnsi="Courier New" w:eastAsia="宋体" w:cs="Times New Roman"/>
      <w:color w:val="auto"/>
      <w:sz w:val="24"/>
      <w:szCs w:val="20"/>
    </w:rPr>
  </w:style>
  <w:style w:type="paragraph" w:styleId="25">
    <w:name w:val="toc 8"/>
    <w:basedOn w:val="1"/>
    <w:next w:val="1"/>
    <w:qFormat/>
    <w:uiPriority w:val="39"/>
    <w:pPr>
      <w:snapToGrid/>
      <w:spacing w:before="0" w:after="0" w:line="240" w:lineRule="auto"/>
      <w:ind w:left="1260"/>
    </w:pPr>
    <w:rPr>
      <w:rFonts w:ascii="Times New Roman" w:hAnsi="Times New Roman" w:eastAsia="宋体" w:cs="Times New Roman"/>
      <w:color w:val="auto"/>
      <w:sz w:val="20"/>
      <w:szCs w:val="20"/>
    </w:rPr>
  </w:style>
  <w:style w:type="paragraph" w:styleId="26">
    <w:name w:val="Date"/>
    <w:basedOn w:val="1"/>
    <w:next w:val="1"/>
    <w:link w:val="75"/>
    <w:semiHidden/>
    <w:unhideWhenUsed/>
    <w:qFormat/>
    <w:uiPriority w:val="99"/>
    <w:pPr>
      <w:snapToGrid/>
      <w:spacing w:before="0" w:after="0" w:line="240" w:lineRule="auto"/>
      <w:ind w:left="100" w:leftChars="2500"/>
      <w:jc w:val="both"/>
    </w:pPr>
    <w:rPr>
      <w:rFonts w:ascii="Times New Roman" w:hAnsi="Times New Roman" w:eastAsia="宋体" w:cs="Times New Roman"/>
      <w:color w:val="auto"/>
      <w:sz w:val="21"/>
      <w:szCs w:val="21"/>
    </w:rPr>
  </w:style>
  <w:style w:type="paragraph" w:styleId="27">
    <w:name w:val="Body Text Indent 2"/>
    <w:basedOn w:val="1"/>
    <w:link w:val="76"/>
    <w:qFormat/>
    <w:uiPriority w:val="0"/>
    <w:pPr>
      <w:snapToGrid/>
      <w:spacing w:before="0" w:after="0" w:line="500" w:lineRule="exact"/>
      <w:ind w:firstLine="480" w:firstLineChars="200"/>
      <w:jc w:val="both"/>
    </w:pPr>
    <w:rPr>
      <w:rFonts w:ascii="宋体" w:hAnsi="宋体" w:eastAsia="宋体" w:cs="Times New Roman"/>
      <w:color w:val="auto"/>
      <w:sz w:val="24"/>
      <w:szCs w:val="20"/>
    </w:rPr>
  </w:style>
  <w:style w:type="paragraph" w:styleId="28">
    <w:name w:val="Balloon Text"/>
    <w:basedOn w:val="1"/>
    <w:link w:val="68"/>
    <w:unhideWhenUsed/>
    <w:qFormat/>
    <w:uiPriority w:val="0"/>
    <w:pPr>
      <w:spacing w:before="0" w:after="0" w:line="240" w:lineRule="auto"/>
    </w:pPr>
    <w:rPr>
      <w:sz w:val="18"/>
      <w:szCs w:val="18"/>
    </w:rPr>
  </w:style>
  <w:style w:type="paragraph" w:styleId="29">
    <w:name w:val="footer"/>
    <w:basedOn w:val="1"/>
    <w:link w:val="67"/>
    <w:unhideWhenUsed/>
    <w:qFormat/>
    <w:uiPriority w:val="99"/>
    <w:pPr>
      <w:tabs>
        <w:tab w:val="center" w:pos="4153"/>
        <w:tab w:val="right" w:pos="8306"/>
      </w:tabs>
      <w:spacing w:line="240" w:lineRule="auto"/>
    </w:pPr>
    <w:rPr>
      <w:sz w:val="18"/>
      <w:szCs w:val="18"/>
    </w:rPr>
  </w:style>
  <w:style w:type="paragraph" w:styleId="30">
    <w:name w:val="header"/>
    <w:basedOn w:val="1"/>
    <w:link w:val="66"/>
    <w:unhideWhenUsed/>
    <w:qFormat/>
    <w:uiPriority w:val="99"/>
    <w:pPr>
      <w:pBdr>
        <w:bottom w:val="single" w:color="auto" w:sz="6" w:space="1"/>
      </w:pBdr>
      <w:tabs>
        <w:tab w:val="center" w:pos="4153"/>
        <w:tab w:val="right" w:pos="8306"/>
      </w:tabs>
      <w:spacing w:line="240" w:lineRule="auto"/>
      <w:jc w:val="center"/>
    </w:pPr>
    <w:rPr>
      <w:sz w:val="18"/>
      <w:szCs w:val="18"/>
    </w:rPr>
  </w:style>
  <w:style w:type="paragraph" w:styleId="31">
    <w:name w:val="toc 1"/>
    <w:basedOn w:val="1"/>
    <w:next w:val="1"/>
    <w:unhideWhenUsed/>
    <w:qFormat/>
    <w:uiPriority w:val="39"/>
    <w:pPr>
      <w:widowControl/>
      <w:snapToGrid/>
      <w:spacing w:before="0" w:after="100" w:line="259" w:lineRule="auto"/>
    </w:pPr>
    <w:rPr>
      <w:rFonts w:cs="Times New Roman"/>
      <w:color w:val="auto"/>
      <w:kern w:val="0"/>
    </w:rPr>
  </w:style>
  <w:style w:type="paragraph" w:styleId="32">
    <w:name w:val="toc 4"/>
    <w:basedOn w:val="1"/>
    <w:next w:val="1"/>
    <w:qFormat/>
    <w:uiPriority w:val="39"/>
    <w:pPr>
      <w:snapToGrid/>
      <w:spacing w:before="0" w:after="0" w:line="240" w:lineRule="auto"/>
      <w:ind w:left="420"/>
    </w:pPr>
    <w:rPr>
      <w:rFonts w:ascii="Times New Roman" w:hAnsi="Times New Roman" w:eastAsia="宋体" w:cs="Times New Roman"/>
      <w:color w:val="auto"/>
      <w:sz w:val="20"/>
      <w:szCs w:val="20"/>
    </w:rPr>
  </w:style>
  <w:style w:type="paragraph" w:styleId="33">
    <w:name w:val="footnote text"/>
    <w:basedOn w:val="1"/>
    <w:link w:val="77"/>
    <w:qFormat/>
    <w:uiPriority w:val="0"/>
    <w:pPr>
      <w:spacing w:before="0" w:after="0" w:line="240" w:lineRule="auto"/>
    </w:pPr>
    <w:rPr>
      <w:rFonts w:ascii="Times New Roman" w:hAnsi="Times New Roman" w:eastAsia="宋体" w:cs="Times New Roman"/>
      <w:color w:val="auto"/>
      <w:sz w:val="18"/>
      <w:szCs w:val="20"/>
    </w:rPr>
  </w:style>
  <w:style w:type="paragraph" w:styleId="34">
    <w:name w:val="toc 6"/>
    <w:basedOn w:val="1"/>
    <w:next w:val="1"/>
    <w:qFormat/>
    <w:uiPriority w:val="39"/>
    <w:pPr>
      <w:snapToGrid/>
      <w:spacing w:before="0" w:after="0" w:line="240" w:lineRule="auto"/>
      <w:ind w:left="840"/>
    </w:pPr>
    <w:rPr>
      <w:rFonts w:ascii="Times New Roman" w:hAnsi="Times New Roman" w:eastAsia="宋体" w:cs="Times New Roman"/>
      <w:color w:val="auto"/>
      <w:sz w:val="20"/>
      <w:szCs w:val="20"/>
    </w:rPr>
  </w:style>
  <w:style w:type="paragraph" w:styleId="35">
    <w:name w:val="toc 2"/>
    <w:basedOn w:val="1"/>
    <w:next w:val="1"/>
    <w:unhideWhenUsed/>
    <w:qFormat/>
    <w:uiPriority w:val="39"/>
    <w:pPr>
      <w:widowControl/>
      <w:snapToGrid/>
      <w:spacing w:before="0" w:after="100" w:line="259" w:lineRule="auto"/>
      <w:ind w:left="220"/>
    </w:pPr>
    <w:rPr>
      <w:rFonts w:cs="Times New Roman"/>
      <w:color w:val="auto"/>
      <w:kern w:val="0"/>
    </w:rPr>
  </w:style>
  <w:style w:type="paragraph" w:styleId="36">
    <w:name w:val="toc 9"/>
    <w:basedOn w:val="1"/>
    <w:next w:val="1"/>
    <w:qFormat/>
    <w:uiPriority w:val="39"/>
    <w:pPr>
      <w:snapToGrid/>
      <w:spacing w:before="0" w:after="0" w:line="240" w:lineRule="auto"/>
      <w:ind w:left="1470"/>
    </w:pPr>
    <w:rPr>
      <w:rFonts w:ascii="Times New Roman" w:hAnsi="Times New Roman" w:eastAsia="宋体" w:cs="Times New Roman"/>
      <w:color w:val="auto"/>
      <w:sz w:val="20"/>
      <w:szCs w:val="20"/>
    </w:rPr>
  </w:style>
  <w:style w:type="paragraph" w:styleId="37">
    <w:name w:val="Body Text 2"/>
    <w:basedOn w:val="1"/>
    <w:link w:val="78"/>
    <w:qFormat/>
    <w:uiPriority w:val="0"/>
    <w:pPr>
      <w:snapToGrid/>
      <w:spacing w:before="0" w:after="0" w:line="240" w:lineRule="auto"/>
      <w:jc w:val="both"/>
    </w:pPr>
    <w:rPr>
      <w:rFonts w:ascii="Times New Roman" w:hAnsi="Times New Roman" w:eastAsia="宋体" w:cs="Times New Roman"/>
      <w:color w:val="auto"/>
      <w:sz w:val="24"/>
      <w:szCs w:val="20"/>
    </w:rPr>
  </w:style>
  <w:style w:type="paragraph" w:styleId="38">
    <w:name w:val="Normal (Web)"/>
    <w:basedOn w:val="1"/>
    <w:unhideWhenUsed/>
    <w:qFormat/>
    <w:uiPriority w:val="0"/>
    <w:pPr>
      <w:snapToGrid/>
      <w:spacing w:before="0" w:beforeAutospacing="1" w:after="0" w:afterAutospacing="1" w:line="240" w:lineRule="auto"/>
    </w:pPr>
    <w:rPr>
      <w:rFonts w:ascii="Times New Roman" w:hAnsi="Times New Roman" w:eastAsia="宋体" w:cs="Times New Roman"/>
      <w:color w:val="auto"/>
      <w:kern w:val="0"/>
      <w:sz w:val="24"/>
      <w:szCs w:val="21"/>
    </w:rPr>
  </w:style>
  <w:style w:type="paragraph" w:styleId="39">
    <w:name w:val="Title"/>
    <w:basedOn w:val="1"/>
    <w:next w:val="1"/>
    <w:link w:val="152"/>
    <w:qFormat/>
    <w:uiPriority w:val="9"/>
    <w:pPr>
      <w:keepNext/>
      <w:keepLines/>
      <w:spacing w:before="0" w:after="0" w:line="408" w:lineRule="auto"/>
      <w:jc w:val="center"/>
      <w:outlineLvl w:val="0"/>
    </w:pPr>
    <w:rPr>
      <w:b/>
      <w:bCs/>
      <w:color w:val="1A1A1A"/>
      <w:sz w:val="48"/>
      <w:szCs w:val="48"/>
    </w:rPr>
  </w:style>
  <w:style w:type="paragraph" w:styleId="40">
    <w:name w:val="annotation subject"/>
    <w:basedOn w:val="17"/>
    <w:next w:val="17"/>
    <w:link w:val="69"/>
    <w:semiHidden/>
    <w:unhideWhenUsed/>
    <w:qFormat/>
    <w:uiPriority w:val="0"/>
    <w:rPr>
      <w:b/>
      <w:bCs/>
    </w:rPr>
  </w:style>
  <w:style w:type="paragraph" w:styleId="41">
    <w:name w:val="Body Text First Indent 2"/>
    <w:basedOn w:val="19"/>
    <w:link w:val="153"/>
    <w:qFormat/>
    <w:uiPriority w:val="0"/>
    <w:pPr>
      <w:spacing w:after="120"/>
      <w:ind w:left="420" w:leftChars="200" w:firstLine="420"/>
    </w:pPr>
    <w:rPr>
      <w:rFonts w:ascii="Times New Roman"/>
      <w:kern w:val="0"/>
      <w:sz w:val="20"/>
      <w:szCs w:val="24"/>
    </w:rPr>
  </w:style>
  <w:style w:type="table" w:styleId="43">
    <w:name w:val="Table Grid"/>
    <w:basedOn w:val="42"/>
    <w:qFormat/>
    <w:uiPriority w:val="59"/>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Pr>
    <w:tcPr>
      <w:vAlign w:val="center"/>
    </w:tcPr>
  </w:style>
  <w:style w:type="character" w:styleId="45">
    <w:name w:val="Strong"/>
    <w:basedOn w:val="44"/>
    <w:qFormat/>
    <w:uiPriority w:val="22"/>
    <w:rPr>
      <w:b/>
    </w:rPr>
  </w:style>
  <w:style w:type="character" w:styleId="46">
    <w:name w:val="page number"/>
    <w:basedOn w:val="44"/>
    <w:qFormat/>
    <w:uiPriority w:val="0"/>
  </w:style>
  <w:style w:type="character" w:styleId="47">
    <w:name w:val="FollowedHyperlink"/>
    <w:basedOn w:val="44"/>
    <w:unhideWhenUsed/>
    <w:qFormat/>
    <w:uiPriority w:val="0"/>
    <w:rPr>
      <w:color w:val="954F72" w:themeColor="followedHyperlink"/>
      <w:u w:val="single"/>
      <w14:textFill>
        <w14:solidFill>
          <w14:schemeClr w14:val="folHlink"/>
        </w14:solidFill>
      </w14:textFill>
    </w:rPr>
  </w:style>
  <w:style w:type="character" w:styleId="48">
    <w:name w:val="Emphasis"/>
    <w:basedOn w:val="44"/>
    <w:qFormat/>
    <w:uiPriority w:val="0"/>
    <w:rPr>
      <w:i/>
      <w:iCs/>
    </w:rPr>
  </w:style>
  <w:style w:type="character" w:styleId="49">
    <w:name w:val="Hyperlink"/>
    <w:qFormat/>
    <w:uiPriority w:val="99"/>
    <w:rPr>
      <w:rFonts w:ascii="Calibri" w:hAnsi="Calibri" w:eastAsia="宋体" w:cs="Times New Roman"/>
      <w:color w:val="0000FF"/>
      <w:u w:val="single"/>
    </w:rPr>
  </w:style>
  <w:style w:type="character" w:styleId="50">
    <w:name w:val="annotation reference"/>
    <w:basedOn w:val="44"/>
    <w:unhideWhenUsed/>
    <w:qFormat/>
    <w:uiPriority w:val="0"/>
    <w:rPr>
      <w:sz w:val="21"/>
      <w:szCs w:val="21"/>
    </w:rPr>
  </w:style>
  <w:style w:type="character" w:styleId="51">
    <w:name w:val="footnote reference"/>
    <w:basedOn w:val="44"/>
    <w:qFormat/>
    <w:uiPriority w:val="0"/>
    <w:rPr>
      <w:vertAlign w:val="superscript"/>
    </w:rPr>
  </w:style>
  <w:style w:type="character" w:customStyle="1" w:styleId="52">
    <w:name w:val="标题 1 字符"/>
    <w:basedOn w:val="44"/>
    <w:qFormat/>
    <w:uiPriority w:val="0"/>
    <w:rPr>
      <w:rFonts w:eastAsia="仿宋_GB2312"/>
      <w:b/>
      <w:bCs/>
      <w:color w:val="1A1A1A"/>
      <w:kern w:val="2"/>
      <w:sz w:val="28"/>
      <w:szCs w:val="36"/>
    </w:rPr>
  </w:style>
  <w:style w:type="character" w:customStyle="1" w:styleId="53">
    <w:name w:val="标题 2 字符"/>
    <w:basedOn w:val="44"/>
    <w:link w:val="5"/>
    <w:qFormat/>
    <w:uiPriority w:val="0"/>
    <w:rPr>
      <w:rFonts w:eastAsia="仿宋_GB2312" w:asciiTheme="majorHAnsi" w:hAnsiTheme="majorHAnsi" w:cstheme="majorBidi"/>
      <w:b/>
      <w:bCs/>
      <w:sz w:val="28"/>
      <w:szCs w:val="32"/>
    </w:rPr>
  </w:style>
  <w:style w:type="character" w:customStyle="1" w:styleId="54">
    <w:name w:val="标题 3 字符"/>
    <w:link w:val="6"/>
    <w:qFormat/>
    <w:uiPriority w:val="0"/>
    <w:rPr>
      <w:b/>
      <w:bCs/>
      <w:color w:val="1A1A1A"/>
      <w:sz w:val="28"/>
      <w:szCs w:val="28"/>
    </w:rPr>
  </w:style>
  <w:style w:type="character" w:customStyle="1" w:styleId="55">
    <w:name w:val="标题 4 字符"/>
    <w:basedOn w:val="44"/>
    <w:link w:val="7"/>
    <w:qFormat/>
    <w:uiPriority w:val="0"/>
    <w:rPr>
      <w:rFonts w:ascii="Arial" w:hAnsi="Arial" w:eastAsia="宋体" w:cs="Times New Roman"/>
      <w:b/>
      <w:kern w:val="2"/>
      <w:sz w:val="24"/>
    </w:rPr>
  </w:style>
  <w:style w:type="character" w:customStyle="1" w:styleId="56">
    <w:name w:val="标题 5 字符"/>
    <w:basedOn w:val="44"/>
    <w:link w:val="8"/>
    <w:qFormat/>
    <w:uiPriority w:val="0"/>
    <w:rPr>
      <w:rFonts w:ascii="Times New Roman" w:hAnsi="Times New Roman" w:eastAsia="宋体" w:cs="Times New Roman"/>
      <w:b/>
      <w:kern w:val="2"/>
      <w:sz w:val="28"/>
    </w:rPr>
  </w:style>
  <w:style w:type="character" w:customStyle="1" w:styleId="57">
    <w:name w:val="标题 6 字符"/>
    <w:basedOn w:val="44"/>
    <w:link w:val="9"/>
    <w:qFormat/>
    <w:uiPriority w:val="0"/>
    <w:rPr>
      <w:rFonts w:ascii="Arial" w:hAnsi="Arial" w:eastAsia="黑体" w:cs="Times New Roman"/>
      <w:b/>
      <w:kern w:val="2"/>
      <w:sz w:val="24"/>
    </w:rPr>
  </w:style>
  <w:style w:type="character" w:customStyle="1" w:styleId="58">
    <w:name w:val="标题 7 字符"/>
    <w:basedOn w:val="44"/>
    <w:link w:val="10"/>
    <w:qFormat/>
    <w:uiPriority w:val="9"/>
    <w:rPr>
      <w:rFonts w:ascii="Times New Roman" w:hAnsi="Times New Roman" w:eastAsia="宋体" w:cs="Times New Roman"/>
      <w:b/>
      <w:kern w:val="2"/>
      <w:sz w:val="24"/>
    </w:rPr>
  </w:style>
  <w:style w:type="character" w:customStyle="1" w:styleId="59">
    <w:name w:val="标题 8 字符"/>
    <w:basedOn w:val="44"/>
    <w:link w:val="11"/>
    <w:qFormat/>
    <w:uiPriority w:val="9"/>
    <w:rPr>
      <w:rFonts w:ascii="Arial" w:hAnsi="Arial" w:eastAsia="黑体" w:cs="Times New Roman"/>
      <w:kern w:val="2"/>
      <w:sz w:val="24"/>
      <w:szCs w:val="21"/>
    </w:rPr>
  </w:style>
  <w:style w:type="character" w:customStyle="1" w:styleId="60">
    <w:name w:val="标题 9 字符"/>
    <w:basedOn w:val="44"/>
    <w:link w:val="12"/>
    <w:qFormat/>
    <w:uiPriority w:val="0"/>
    <w:rPr>
      <w:rFonts w:ascii="Arial" w:hAnsi="Arial" w:eastAsia="黑体" w:cs="Times New Roman"/>
      <w:kern w:val="2"/>
      <w:sz w:val="21"/>
    </w:rPr>
  </w:style>
  <w:style w:type="paragraph" w:customStyle="1" w:styleId="61">
    <w:name w:val="样式 宋体 行距: 1.5 倍行距"/>
    <w:basedOn w:val="1"/>
    <w:qFormat/>
    <w:uiPriority w:val="0"/>
    <w:pPr>
      <w:jc w:val="center"/>
    </w:pPr>
    <w:rPr>
      <w:rFonts w:ascii="Times New Roman" w:hAnsi="Times New Roman"/>
      <w:b/>
      <w:szCs w:val="20"/>
    </w:rPr>
  </w:style>
  <w:style w:type="character" w:customStyle="1" w:styleId="62">
    <w:name w:val="批注文字 字符1"/>
    <w:basedOn w:val="44"/>
    <w:link w:val="17"/>
    <w:qFormat/>
    <w:uiPriority w:val="0"/>
  </w:style>
  <w:style w:type="paragraph" w:styleId="63">
    <w:name w:val="List Paragraph"/>
    <w:basedOn w:val="1"/>
    <w:qFormat/>
    <w:uiPriority w:val="34"/>
    <w:pPr>
      <w:ind w:firstLine="420" w:firstLineChars="200"/>
    </w:pPr>
  </w:style>
  <w:style w:type="paragraph" w:customStyle="1" w:styleId="64">
    <w:name w:val="TOC 标题1"/>
    <w:basedOn w:val="2"/>
    <w:next w:val="1"/>
    <w:unhideWhenUsed/>
    <w:qFormat/>
    <w:uiPriority w:val="39"/>
    <w:pPr>
      <w:widowControl/>
      <w:snapToGrid/>
      <w:spacing w:before="240" w:line="259" w:lineRule="auto"/>
      <w:outlineLvl w:val="9"/>
    </w:pPr>
    <w:rPr>
      <w:rFonts w:asciiTheme="majorHAnsi" w:hAnsiTheme="majorHAnsi" w:eastAsiaTheme="majorEastAsia" w:cstheme="majorBidi"/>
      <w:b w:val="0"/>
      <w:bCs w:val="0"/>
      <w:color w:val="2F5597" w:themeColor="accent1" w:themeShade="BF"/>
      <w:kern w:val="0"/>
      <w:sz w:val="32"/>
      <w:szCs w:val="32"/>
    </w:rPr>
  </w:style>
  <w:style w:type="paragraph" w:styleId="65">
    <w:name w:val="No Spacing"/>
    <w:qFormat/>
    <w:uiPriority w:val="1"/>
    <w:pPr>
      <w:widowControl w:val="0"/>
      <w:snapToGrid w:val="0"/>
    </w:pPr>
    <w:rPr>
      <w:rFonts w:asciiTheme="minorHAnsi" w:hAnsiTheme="minorHAnsi" w:eastAsiaTheme="minorEastAsia" w:cstheme="minorBidi"/>
      <w:color w:val="333333"/>
      <w:kern w:val="2"/>
      <w:sz w:val="22"/>
      <w:szCs w:val="22"/>
      <w:lang w:val="en-US" w:eastAsia="zh-CN" w:bidi="ar-SA"/>
    </w:rPr>
  </w:style>
  <w:style w:type="character" w:customStyle="1" w:styleId="66">
    <w:name w:val="页眉 字符"/>
    <w:basedOn w:val="44"/>
    <w:link w:val="30"/>
    <w:qFormat/>
    <w:uiPriority w:val="99"/>
    <w:rPr>
      <w:color w:val="333333"/>
      <w:kern w:val="2"/>
      <w:sz w:val="18"/>
      <w:szCs w:val="18"/>
    </w:rPr>
  </w:style>
  <w:style w:type="character" w:customStyle="1" w:styleId="67">
    <w:name w:val="页脚 字符"/>
    <w:basedOn w:val="44"/>
    <w:link w:val="29"/>
    <w:qFormat/>
    <w:uiPriority w:val="99"/>
    <w:rPr>
      <w:color w:val="333333"/>
      <w:kern w:val="2"/>
      <w:sz w:val="18"/>
      <w:szCs w:val="18"/>
    </w:rPr>
  </w:style>
  <w:style w:type="character" w:customStyle="1" w:styleId="68">
    <w:name w:val="批注框文本 字符"/>
    <w:basedOn w:val="44"/>
    <w:link w:val="28"/>
    <w:qFormat/>
    <w:uiPriority w:val="0"/>
    <w:rPr>
      <w:color w:val="333333"/>
      <w:kern w:val="2"/>
      <w:sz w:val="18"/>
      <w:szCs w:val="18"/>
    </w:rPr>
  </w:style>
  <w:style w:type="character" w:customStyle="1" w:styleId="69">
    <w:name w:val="批注主题 字符"/>
    <w:basedOn w:val="62"/>
    <w:link w:val="40"/>
    <w:semiHidden/>
    <w:qFormat/>
    <w:uiPriority w:val="0"/>
    <w:rPr>
      <w:b/>
      <w:bCs/>
      <w:color w:val="333333"/>
      <w:kern w:val="2"/>
      <w:sz w:val="22"/>
      <w:szCs w:val="22"/>
    </w:rPr>
  </w:style>
  <w:style w:type="character" w:customStyle="1" w:styleId="70">
    <w:name w:val="文档结构图 字符"/>
    <w:basedOn w:val="44"/>
    <w:link w:val="16"/>
    <w:qFormat/>
    <w:uiPriority w:val="0"/>
    <w:rPr>
      <w:rFonts w:ascii="Times New Roman" w:hAnsi="Times New Roman" w:eastAsia="宋体" w:cs="Times New Roman"/>
      <w:kern w:val="2"/>
      <w:sz w:val="21"/>
      <w:shd w:val="clear" w:color="auto" w:fill="000080"/>
    </w:rPr>
  </w:style>
  <w:style w:type="character" w:customStyle="1" w:styleId="71">
    <w:name w:val="正文文本 3 字符"/>
    <w:basedOn w:val="44"/>
    <w:link w:val="18"/>
    <w:qFormat/>
    <w:uiPriority w:val="0"/>
    <w:rPr>
      <w:rFonts w:ascii="Times New Roman" w:hAnsi="Times New Roman" w:eastAsia="宋体" w:cs="Times New Roman"/>
      <w:kern w:val="2"/>
      <w:sz w:val="24"/>
    </w:rPr>
  </w:style>
  <w:style w:type="character" w:customStyle="1" w:styleId="72">
    <w:name w:val="正文文本 字符"/>
    <w:basedOn w:val="44"/>
    <w:link w:val="4"/>
    <w:qFormat/>
    <w:uiPriority w:val="99"/>
    <w:rPr>
      <w:rFonts w:ascii="Times New Roman" w:hAnsi="Times New Roman" w:eastAsia="宋体" w:cs="Times New Roman"/>
      <w:kern w:val="2"/>
      <w:sz w:val="21"/>
    </w:rPr>
  </w:style>
  <w:style w:type="character" w:customStyle="1" w:styleId="73">
    <w:name w:val="正文文本缩进 字符"/>
    <w:basedOn w:val="44"/>
    <w:link w:val="19"/>
    <w:qFormat/>
    <w:uiPriority w:val="0"/>
    <w:rPr>
      <w:rFonts w:ascii="宋体" w:hAnsi="宋体" w:eastAsia="宋体" w:cs="Times New Roman"/>
      <w:color w:val="000000"/>
      <w:kern w:val="2"/>
      <w:sz w:val="24"/>
    </w:rPr>
  </w:style>
  <w:style w:type="character" w:customStyle="1" w:styleId="74">
    <w:name w:val="纯文本 字符"/>
    <w:basedOn w:val="44"/>
    <w:link w:val="24"/>
    <w:qFormat/>
    <w:uiPriority w:val="0"/>
    <w:rPr>
      <w:rFonts w:ascii="宋体" w:hAnsi="Courier New" w:eastAsia="宋体" w:cs="Times New Roman"/>
      <w:kern w:val="2"/>
      <w:sz w:val="24"/>
    </w:rPr>
  </w:style>
  <w:style w:type="character" w:customStyle="1" w:styleId="75">
    <w:name w:val="日期 字符"/>
    <w:basedOn w:val="44"/>
    <w:link w:val="26"/>
    <w:semiHidden/>
    <w:qFormat/>
    <w:uiPriority w:val="99"/>
    <w:rPr>
      <w:rFonts w:ascii="Times New Roman" w:hAnsi="Times New Roman" w:eastAsia="宋体" w:cs="Times New Roman"/>
      <w:kern w:val="2"/>
      <w:sz w:val="21"/>
      <w:szCs w:val="21"/>
    </w:rPr>
  </w:style>
  <w:style w:type="character" w:customStyle="1" w:styleId="76">
    <w:name w:val="正文文本缩进 2 字符"/>
    <w:basedOn w:val="44"/>
    <w:link w:val="27"/>
    <w:qFormat/>
    <w:uiPriority w:val="0"/>
    <w:rPr>
      <w:rFonts w:ascii="宋体" w:hAnsi="宋体" w:eastAsia="宋体" w:cs="Times New Roman"/>
      <w:kern w:val="2"/>
      <w:sz w:val="24"/>
    </w:rPr>
  </w:style>
  <w:style w:type="character" w:customStyle="1" w:styleId="77">
    <w:name w:val="脚注文本 字符"/>
    <w:basedOn w:val="44"/>
    <w:link w:val="33"/>
    <w:qFormat/>
    <w:uiPriority w:val="0"/>
    <w:rPr>
      <w:rFonts w:ascii="Times New Roman" w:hAnsi="Times New Roman" w:eastAsia="宋体" w:cs="Times New Roman"/>
      <w:kern w:val="2"/>
      <w:sz w:val="18"/>
    </w:rPr>
  </w:style>
  <w:style w:type="character" w:customStyle="1" w:styleId="78">
    <w:name w:val="正文文本 2 字符"/>
    <w:basedOn w:val="44"/>
    <w:link w:val="37"/>
    <w:qFormat/>
    <w:uiPriority w:val="0"/>
    <w:rPr>
      <w:rFonts w:ascii="Times New Roman" w:hAnsi="Times New Roman" w:eastAsia="宋体" w:cs="Times New Roman"/>
      <w:kern w:val="2"/>
      <w:sz w:val="24"/>
    </w:rPr>
  </w:style>
  <w:style w:type="character" w:customStyle="1" w:styleId="79">
    <w:name w:val="正文文本首行缩进 字符"/>
    <w:basedOn w:val="72"/>
    <w:link w:val="3"/>
    <w:qFormat/>
    <w:uiPriority w:val="0"/>
    <w:rPr>
      <w:rFonts w:ascii="Times New Roman" w:hAnsi="Times New Roman" w:eastAsia="宋体" w:cs="Times New Roman"/>
      <w:kern w:val="2"/>
      <w:sz w:val="21"/>
    </w:rPr>
  </w:style>
  <w:style w:type="paragraph" w:customStyle="1" w:styleId="80">
    <w:name w:val="List Paragraph1"/>
    <w:basedOn w:val="1"/>
    <w:qFormat/>
    <w:uiPriority w:val="0"/>
    <w:pPr>
      <w:snapToGrid/>
      <w:spacing w:before="0" w:after="0" w:line="240" w:lineRule="auto"/>
      <w:ind w:firstLine="420" w:firstLineChars="200"/>
      <w:jc w:val="both"/>
    </w:pPr>
    <w:rPr>
      <w:rFonts w:ascii="Times New Roman" w:hAnsi="Times New Roman" w:eastAsia="宋体" w:cs="Times New Roman"/>
      <w:color w:val="auto"/>
      <w:sz w:val="21"/>
      <w:szCs w:val="21"/>
    </w:rPr>
  </w:style>
  <w:style w:type="character" w:customStyle="1" w:styleId="81">
    <w:name w:val="15"/>
    <w:basedOn w:val="44"/>
    <w:qFormat/>
    <w:uiPriority w:val="0"/>
    <w:rPr>
      <w:rFonts w:hint="default" w:ascii="Times New Roman" w:hAnsi="Times New Roman" w:eastAsia="宋体" w:cs="Times New Roman"/>
      <w:kern w:val="2"/>
      <w:sz w:val="28"/>
      <w:szCs w:val="28"/>
    </w:rPr>
  </w:style>
  <w:style w:type="character" w:customStyle="1" w:styleId="82">
    <w:name w:val="16"/>
    <w:basedOn w:val="44"/>
    <w:qFormat/>
    <w:uiPriority w:val="0"/>
    <w:rPr>
      <w:rFonts w:hint="default" w:ascii="Times New Roman" w:hAnsi="Times New Roman" w:cs="Times New Roman"/>
      <w:color w:val="0563C1"/>
      <w:u w:val="single"/>
    </w:rPr>
  </w:style>
  <w:style w:type="paragraph" w:customStyle="1" w:styleId="83">
    <w:name w:val="Default"/>
    <w:unhideWhenUsed/>
    <w:qFormat/>
    <w:uiPriority w:val="0"/>
    <w:pPr>
      <w:widowControl w:val="0"/>
      <w:autoSpaceDE w:val="0"/>
      <w:autoSpaceDN w:val="0"/>
      <w:adjustRightInd w:val="0"/>
    </w:pPr>
    <w:rPr>
      <w:rFonts w:hint="eastAsia" w:ascii="宋体" w:hAnsi="宋体" w:eastAsia="宋体" w:cs="Times New Roman"/>
      <w:color w:val="000000"/>
      <w:sz w:val="24"/>
      <w:lang w:val="en-US" w:eastAsia="zh-CN" w:bidi="ar-SA"/>
    </w:rPr>
  </w:style>
  <w:style w:type="paragraph" w:customStyle="1" w:styleId="84">
    <w:name w:val="列表段落1"/>
    <w:basedOn w:val="1"/>
    <w:qFormat/>
    <w:uiPriority w:val="0"/>
    <w:pPr>
      <w:snapToGrid/>
      <w:spacing w:before="0" w:after="0" w:line="240" w:lineRule="auto"/>
      <w:ind w:firstLine="420" w:firstLineChars="200"/>
      <w:jc w:val="both"/>
    </w:pPr>
    <w:rPr>
      <w:rFonts w:ascii="Times New Roman" w:hAnsi="Times New Roman" w:eastAsia="宋体" w:cs="Times New Roman"/>
      <w:color w:val="auto"/>
      <w:sz w:val="21"/>
      <w:szCs w:val="21"/>
    </w:rPr>
  </w:style>
  <w:style w:type="paragraph" w:customStyle="1" w:styleId="85">
    <w:name w:val="列出段落1"/>
    <w:basedOn w:val="1"/>
    <w:qFormat/>
    <w:uiPriority w:val="34"/>
    <w:pPr>
      <w:snapToGrid/>
      <w:spacing w:before="100" w:beforeAutospacing="1" w:after="100" w:afterAutospacing="1" w:line="240" w:lineRule="auto"/>
      <w:ind w:left="425" w:hanging="425"/>
      <w:jc w:val="both"/>
    </w:pPr>
    <w:rPr>
      <w:rFonts w:ascii="Times New Roman" w:hAnsi="Times New Roman" w:eastAsia="宋体" w:cs="Times New Roman"/>
      <w:color w:val="auto"/>
      <w:sz w:val="21"/>
      <w:szCs w:val="21"/>
    </w:rPr>
  </w:style>
  <w:style w:type="paragraph" w:customStyle="1" w:styleId="86">
    <w:name w:val="WPSOffice手动目录 1"/>
    <w:qFormat/>
    <w:uiPriority w:val="0"/>
    <w:rPr>
      <w:rFonts w:asciiTheme="minorHAnsi" w:hAnsiTheme="minorHAnsi" w:eastAsiaTheme="minorEastAsia" w:cstheme="minorBidi"/>
      <w:lang w:val="en-US" w:eastAsia="zh-CN" w:bidi="ar-SA"/>
    </w:rPr>
  </w:style>
  <w:style w:type="paragraph" w:customStyle="1" w:styleId="87">
    <w:name w:val="正文11"/>
    <w:qFormat/>
    <w:uiPriority w:val="0"/>
    <w:pPr>
      <w:widowControl w:val="0"/>
      <w:spacing w:line="360" w:lineRule="auto"/>
      <w:ind w:firstLine="200" w:firstLineChars="200"/>
    </w:pPr>
    <w:rPr>
      <w:rFonts w:asciiTheme="minorHAnsi" w:hAnsiTheme="minorHAnsi" w:eastAsiaTheme="minorEastAsia" w:cstheme="minorBidi"/>
      <w:sz w:val="24"/>
      <w:lang w:val="en-US" w:eastAsia="zh-CN" w:bidi="ar-SA"/>
    </w:rPr>
  </w:style>
  <w:style w:type="paragraph" w:customStyle="1" w:styleId="88">
    <w:name w:val="列出段落3"/>
    <w:basedOn w:val="1"/>
    <w:qFormat/>
    <w:uiPriority w:val="0"/>
    <w:pPr>
      <w:snapToGrid/>
      <w:spacing w:before="0" w:after="0" w:line="240" w:lineRule="auto"/>
      <w:ind w:firstLine="420" w:firstLineChars="200"/>
      <w:jc w:val="both"/>
    </w:pPr>
    <w:rPr>
      <w:rFonts w:ascii="Times New Roman" w:hAnsi="Times New Roman" w:eastAsia="宋体" w:cs="Times New Roman"/>
      <w:color w:val="auto"/>
      <w:sz w:val="21"/>
      <w:szCs w:val="21"/>
    </w:rPr>
  </w:style>
  <w:style w:type="paragraph" w:customStyle="1" w:styleId="89">
    <w:name w:val="列出段落2"/>
    <w:basedOn w:val="1"/>
    <w:qFormat/>
    <w:uiPriority w:val="0"/>
    <w:pPr>
      <w:snapToGrid/>
      <w:spacing w:before="0" w:after="0" w:line="240" w:lineRule="auto"/>
      <w:ind w:firstLine="420" w:firstLineChars="200"/>
      <w:jc w:val="both"/>
    </w:pPr>
    <w:rPr>
      <w:rFonts w:ascii="Times New Roman" w:hAnsi="Times New Roman" w:eastAsia="宋体" w:cs="Times New Roman"/>
      <w:color w:val="auto"/>
      <w:sz w:val="21"/>
      <w:szCs w:val="21"/>
    </w:rPr>
  </w:style>
  <w:style w:type="paragraph" w:customStyle="1" w:styleId="90">
    <w:name w:val="样式1"/>
    <w:basedOn w:val="1"/>
    <w:qFormat/>
    <w:uiPriority w:val="0"/>
    <w:pPr>
      <w:snapToGrid/>
      <w:spacing w:before="0" w:after="0" w:line="360" w:lineRule="auto"/>
      <w:jc w:val="both"/>
    </w:pPr>
    <w:rPr>
      <w:rFonts w:ascii="宋体" w:hAnsi="宋体" w:eastAsia="宋体" w:cs="宋体"/>
      <w:color w:val="000000"/>
      <w:sz w:val="21"/>
      <w:szCs w:val="21"/>
    </w:rPr>
  </w:style>
  <w:style w:type="paragraph" w:customStyle="1" w:styleId="91">
    <w:name w:val="表名称"/>
    <w:qFormat/>
    <w:uiPriority w:val="0"/>
    <w:pPr>
      <w:spacing w:before="120" w:after="120"/>
      <w:jc w:val="center"/>
    </w:pPr>
    <w:rPr>
      <w:rFonts w:ascii="Times New Roman" w:hAnsi="Times New Roman" w:eastAsia="宋体" w:cs="Times New Roman"/>
      <w:sz w:val="21"/>
      <w:szCs w:val="21"/>
      <w:lang w:val="en-US" w:eastAsia="zh-CN" w:bidi="ar-SA"/>
    </w:rPr>
  </w:style>
  <w:style w:type="character" w:customStyle="1" w:styleId="92">
    <w:name w:val="Char Char Char2"/>
    <w:qFormat/>
    <w:uiPriority w:val="0"/>
    <w:rPr>
      <w:rFonts w:eastAsia="宋体"/>
      <w:kern w:val="2"/>
      <w:sz w:val="28"/>
      <w:szCs w:val="24"/>
      <w:lang w:val="en-US" w:eastAsia="zh-CN" w:bidi="ar-SA"/>
    </w:rPr>
  </w:style>
  <w:style w:type="character" w:customStyle="1" w:styleId="93">
    <w:name w:val="font01"/>
    <w:basedOn w:val="44"/>
    <w:qFormat/>
    <w:uiPriority w:val="0"/>
    <w:rPr>
      <w:rFonts w:hint="eastAsia" w:ascii="宋体" w:hAnsi="宋体" w:eastAsia="宋体" w:cs="宋体"/>
      <w:color w:val="000000"/>
      <w:sz w:val="18"/>
      <w:szCs w:val="18"/>
      <w:u w:val="none"/>
    </w:rPr>
  </w:style>
  <w:style w:type="character" w:customStyle="1" w:styleId="94">
    <w:name w:val="font11"/>
    <w:basedOn w:val="44"/>
    <w:qFormat/>
    <w:uiPriority w:val="0"/>
    <w:rPr>
      <w:rFonts w:hint="eastAsia" w:ascii="宋体" w:hAnsi="宋体" w:eastAsia="宋体" w:cs="宋体"/>
      <w:color w:val="000000"/>
      <w:sz w:val="18"/>
      <w:szCs w:val="18"/>
      <w:u w:val="none"/>
    </w:rPr>
  </w:style>
  <w:style w:type="character" w:customStyle="1" w:styleId="95">
    <w:name w:val="font21"/>
    <w:basedOn w:val="44"/>
    <w:qFormat/>
    <w:uiPriority w:val="0"/>
    <w:rPr>
      <w:rFonts w:hint="eastAsia" w:ascii="宋体" w:hAnsi="宋体" w:eastAsia="宋体" w:cs="宋体"/>
      <w:color w:val="000000"/>
      <w:sz w:val="18"/>
      <w:szCs w:val="18"/>
      <w:u w:val="none"/>
    </w:rPr>
  </w:style>
  <w:style w:type="paragraph" w:customStyle="1" w:styleId="96">
    <w:name w:val="大标题"/>
    <w:basedOn w:val="1"/>
    <w:qFormat/>
    <w:uiPriority w:val="0"/>
    <w:pPr>
      <w:snapToGrid/>
      <w:spacing w:before="0" w:beforeLines="50" w:after="0" w:line="240" w:lineRule="auto"/>
      <w:ind w:firstLine="482"/>
      <w:jc w:val="center"/>
    </w:pPr>
    <w:rPr>
      <w:rFonts w:ascii="Arial" w:hAnsi="Arial" w:eastAsia="黑体" w:cs="宋体"/>
      <w:b/>
      <w:bCs/>
      <w:color w:val="auto"/>
      <w:sz w:val="36"/>
      <w:szCs w:val="36"/>
    </w:rPr>
  </w:style>
  <w:style w:type="paragraph" w:customStyle="1" w:styleId="97">
    <w:name w:val="1-图"/>
    <w:qFormat/>
    <w:uiPriority w:val="34"/>
    <w:pPr>
      <w:spacing w:before="100" w:beforeAutospacing="1" w:after="100" w:afterAutospacing="1"/>
      <w:ind w:left="425" w:hanging="425"/>
    </w:pPr>
    <w:rPr>
      <w:rFonts w:ascii="Times New Roman" w:hAnsi="Times New Roman" w:eastAsia="宋体" w:cs="Times New Roman"/>
      <w:kern w:val="2"/>
      <w:sz w:val="21"/>
      <w:szCs w:val="21"/>
      <w:lang w:val="en-US" w:eastAsia="zh-CN" w:bidi="ar-SA"/>
    </w:rPr>
  </w:style>
  <w:style w:type="paragraph" w:customStyle="1" w:styleId="98">
    <w:name w:val="1-正文"/>
    <w:basedOn w:val="97"/>
    <w:qFormat/>
    <w:uiPriority w:val="0"/>
    <w:pPr>
      <w:spacing w:before="0" w:beforeAutospacing="0" w:after="0" w:afterAutospacing="0" w:line="360" w:lineRule="auto"/>
      <w:ind w:left="0" w:firstLine="420" w:firstLineChars="200"/>
    </w:pPr>
  </w:style>
  <w:style w:type="paragraph" w:customStyle="1" w:styleId="99">
    <w:name w:val="1-表内容"/>
    <w:qFormat/>
    <w:uiPriority w:val="0"/>
    <w:pPr>
      <w:jc w:val="center"/>
    </w:pPr>
    <w:rPr>
      <w:rFonts w:ascii="Times New Roman" w:hAnsi="Times New Roman" w:eastAsia="宋体" w:cs="Times New Roman"/>
      <w:color w:val="000000"/>
      <w:sz w:val="21"/>
      <w:szCs w:val="24"/>
      <w:lang w:val="en-US" w:eastAsia="zh-CN" w:bidi="ar-SA"/>
    </w:rPr>
  </w:style>
  <w:style w:type="paragraph" w:customStyle="1" w:styleId="100">
    <w:name w:val="表格"/>
    <w:qFormat/>
    <w:uiPriority w:val="0"/>
    <w:pPr>
      <w:jc w:val="center"/>
    </w:pPr>
    <w:rPr>
      <w:rFonts w:ascii="等线" w:hAnsi="等线" w:eastAsia="黑体" w:cs="Times New Roman"/>
      <w:kern w:val="2"/>
      <w:sz w:val="21"/>
      <w:szCs w:val="24"/>
      <w:lang w:val="en-US" w:eastAsia="zh-CN" w:bidi="ar-SA"/>
    </w:rPr>
  </w:style>
  <w:style w:type="character" w:customStyle="1" w:styleId="101">
    <w:name w:val="font12"/>
    <w:basedOn w:val="44"/>
    <w:qFormat/>
    <w:uiPriority w:val="0"/>
    <w:rPr>
      <w:rFonts w:hint="default" w:ascii="Times New Roman" w:hAnsi="Times New Roman" w:cs="Times New Roman"/>
      <w:color w:val="000000"/>
      <w:sz w:val="18"/>
      <w:szCs w:val="18"/>
      <w:u w:val="none"/>
    </w:rPr>
  </w:style>
  <w:style w:type="character" w:customStyle="1" w:styleId="102">
    <w:name w:val="批注文字 字符"/>
    <w:basedOn w:val="44"/>
    <w:qFormat/>
    <w:uiPriority w:val="0"/>
    <w:rPr>
      <w:rFonts w:ascii="Times New Roman" w:hAnsi="Times New Roman"/>
      <w:kern w:val="2"/>
      <w:sz w:val="21"/>
    </w:rPr>
  </w:style>
  <w:style w:type="paragraph" w:customStyle="1" w:styleId="103">
    <w:name w:val="Char"/>
    <w:basedOn w:val="1"/>
    <w:qFormat/>
    <w:uiPriority w:val="0"/>
    <w:pPr>
      <w:snapToGrid/>
      <w:spacing w:before="0" w:after="0" w:line="240" w:lineRule="auto"/>
      <w:jc w:val="both"/>
    </w:pPr>
    <w:rPr>
      <w:rFonts w:ascii="Times New Roman" w:hAnsi="Times New Roman" w:eastAsia="宋体" w:cs="Times New Roman"/>
      <w:color w:val="auto"/>
      <w:sz w:val="30"/>
      <w:szCs w:val="24"/>
    </w:rPr>
  </w:style>
  <w:style w:type="paragraph" w:customStyle="1" w:styleId="104">
    <w:name w:val="标题 40"/>
    <w:basedOn w:val="7"/>
    <w:qFormat/>
    <w:uiPriority w:val="0"/>
    <w:rPr>
      <w:rFonts w:ascii="宋体" w:hAnsi="宋体"/>
    </w:rPr>
  </w:style>
  <w:style w:type="paragraph" w:customStyle="1" w:styleId="105">
    <w:name w:val="条文1"/>
    <w:basedOn w:val="1"/>
    <w:qFormat/>
    <w:uiPriority w:val="0"/>
    <w:pPr>
      <w:numPr>
        <w:ilvl w:val="0"/>
        <w:numId w:val="1"/>
      </w:numPr>
      <w:snapToGrid/>
      <w:spacing w:before="0" w:after="0" w:line="360" w:lineRule="auto"/>
      <w:jc w:val="both"/>
    </w:pPr>
    <w:rPr>
      <w:rFonts w:ascii="MS UI Gothic" w:hAnsi="MS UI Gothic" w:eastAsia="宋体" w:cs="Times New Roman"/>
      <w:color w:val="auto"/>
      <w:kern w:val="44"/>
      <w:sz w:val="24"/>
      <w:szCs w:val="20"/>
    </w:rPr>
  </w:style>
  <w:style w:type="paragraph" w:customStyle="1" w:styleId="106">
    <w:name w:val="样式 标题 2 + 宋体"/>
    <w:basedOn w:val="5"/>
    <w:qFormat/>
    <w:uiPriority w:val="0"/>
    <w:pPr>
      <w:tabs>
        <w:tab w:val="left" w:pos="0"/>
      </w:tabs>
      <w:snapToGrid/>
      <w:spacing w:before="100" w:beforeLines="50" w:beforeAutospacing="1" w:after="100" w:afterAutospacing="1"/>
      <w:jc w:val="both"/>
    </w:pPr>
    <w:rPr>
      <w:rFonts w:ascii="宋体" w:hAnsi="宋体" w:eastAsia="宋体" w:cs="Times New Roman"/>
      <w:bCs w:val="0"/>
      <w:color w:val="auto"/>
      <w:szCs w:val="20"/>
    </w:rPr>
  </w:style>
  <w:style w:type="paragraph" w:customStyle="1" w:styleId="107">
    <w:name w:val="标题4"/>
    <w:basedOn w:val="7"/>
    <w:qFormat/>
    <w:uiPriority w:val="0"/>
    <w:rPr>
      <w:rFonts w:ascii="宋体" w:hAnsi="宋体"/>
    </w:rPr>
  </w:style>
  <w:style w:type="paragraph" w:customStyle="1" w:styleId="108">
    <w:name w:val="2"/>
    <w:basedOn w:val="1"/>
    <w:next w:val="109"/>
    <w:qFormat/>
    <w:uiPriority w:val="0"/>
    <w:pPr>
      <w:snapToGrid/>
      <w:spacing w:before="0" w:after="0" w:line="240" w:lineRule="auto"/>
      <w:jc w:val="both"/>
    </w:pPr>
    <w:rPr>
      <w:rFonts w:ascii="Times New Roman" w:hAnsi="Courier New" w:eastAsia="宋体" w:cs="Times New Roman"/>
      <w:color w:val="auto"/>
      <w:sz w:val="21"/>
      <w:szCs w:val="20"/>
    </w:rPr>
  </w:style>
  <w:style w:type="paragraph" w:customStyle="1" w:styleId="109">
    <w:name w:val="纯文本1"/>
    <w:basedOn w:val="1"/>
    <w:qFormat/>
    <w:uiPriority w:val="0"/>
    <w:pPr>
      <w:snapToGrid/>
      <w:spacing w:before="0" w:after="0" w:line="360" w:lineRule="auto"/>
      <w:jc w:val="both"/>
    </w:pPr>
    <w:rPr>
      <w:rFonts w:ascii="宋体" w:hAnsi="Courier New" w:eastAsia="宋体" w:cs="Times New Roman"/>
      <w:color w:val="auto"/>
      <w:sz w:val="24"/>
      <w:szCs w:val="20"/>
    </w:rPr>
  </w:style>
  <w:style w:type="paragraph" w:customStyle="1" w:styleId="110">
    <w:name w:val="标题5"/>
    <w:basedOn w:val="8"/>
    <w:qFormat/>
    <w:uiPriority w:val="0"/>
    <w:pPr>
      <w:spacing w:line="360" w:lineRule="auto"/>
    </w:pPr>
  </w:style>
  <w:style w:type="paragraph" w:customStyle="1" w:styleId="111">
    <w:name w:val="默认段落字体 Para Char"/>
    <w:basedOn w:val="1"/>
    <w:qFormat/>
    <w:uiPriority w:val="0"/>
    <w:pPr>
      <w:snapToGrid/>
      <w:spacing w:before="0" w:after="0" w:line="240" w:lineRule="auto"/>
      <w:jc w:val="both"/>
    </w:pPr>
    <w:rPr>
      <w:rFonts w:ascii="Times New Roman" w:hAnsi="Times New Roman" w:eastAsia="宋体" w:cs="Times New Roman"/>
      <w:color w:val="auto"/>
      <w:sz w:val="21"/>
      <w:szCs w:val="20"/>
    </w:rPr>
  </w:style>
  <w:style w:type="paragraph" w:customStyle="1" w:styleId="112">
    <w:name w:val="Char1"/>
    <w:basedOn w:val="1"/>
    <w:qFormat/>
    <w:uiPriority w:val="0"/>
    <w:pPr>
      <w:snapToGrid/>
      <w:spacing w:before="0" w:after="0" w:line="240" w:lineRule="auto"/>
      <w:jc w:val="both"/>
    </w:pPr>
    <w:rPr>
      <w:rFonts w:ascii="Times New Roman" w:hAnsi="Times New Roman" w:eastAsia="宋体" w:cs="Times New Roman"/>
      <w:color w:val="auto"/>
      <w:sz w:val="30"/>
      <w:szCs w:val="24"/>
    </w:rPr>
  </w:style>
  <w:style w:type="paragraph" w:customStyle="1" w:styleId="113">
    <w:name w:val="Char Char Char Char Char Char1 Char"/>
    <w:basedOn w:val="1"/>
    <w:qFormat/>
    <w:uiPriority w:val="0"/>
    <w:pPr>
      <w:widowControl/>
      <w:snapToGrid/>
      <w:spacing w:before="0" w:after="160" w:line="240" w:lineRule="exact"/>
    </w:pPr>
    <w:rPr>
      <w:rFonts w:ascii="Verdana" w:hAnsi="Verdana" w:eastAsia="仿宋_GB2312" w:cs="Times New Roman"/>
      <w:color w:val="auto"/>
      <w:kern w:val="0"/>
      <w:sz w:val="24"/>
      <w:szCs w:val="20"/>
      <w:lang w:eastAsia="en-US"/>
    </w:rPr>
  </w:style>
  <w:style w:type="character" w:customStyle="1" w:styleId="114">
    <w:name w:val="lefter2"/>
    <w:basedOn w:val="44"/>
    <w:qFormat/>
    <w:uiPriority w:val="0"/>
  </w:style>
  <w:style w:type="paragraph" w:customStyle="1" w:styleId="115">
    <w:name w:val="CM1"/>
    <w:basedOn w:val="1"/>
    <w:next w:val="1"/>
    <w:qFormat/>
    <w:uiPriority w:val="99"/>
    <w:pPr>
      <w:autoSpaceDE w:val="0"/>
      <w:autoSpaceDN w:val="0"/>
      <w:adjustRightInd w:val="0"/>
      <w:snapToGrid/>
      <w:spacing w:before="0" w:after="0" w:line="240" w:lineRule="auto"/>
    </w:pPr>
    <w:rPr>
      <w:rFonts w:ascii="宋体" w:eastAsia="宋体"/>
      <w:color w:val="auto"/>
      <w:kern w:val="0"/>
      <w:sz w:val="24"/>
      <w:szCs w:val="24"/>
    </w:rPr>
  </w:style>
  <w:style w:type="paragraph" w:customStyle="1" w:styleId="116">
    <w:name w:val="CM59"/>
    <w:basedOn w:val="1"/>
    <w:next w:val="1"/>
    <w:qFormat/>
    <w:uiPriority w:val="99"/>
    <w:pPr>
      <w:autoSpaceDE w:val="0"/>
      <w:autoSpaceDN w:val="0"/>
      <w:adjustRightInd w:val="0"/>
      <w:snapToGrid/>
      <w:spacing w:before="0" w:after="0" w:line="240" w:lineRule="auto"/>
    </w:pPr>
    <w:rPr>
      <w:rFonts w:ascii="宋体" w:eastAsia="宋体"/>
      <w:color w:val="auto"/>
      <w:kern w:val="0"/>
      <w:sz w:val="24"/>
      <w:szCs w:val="24"/>
    </w:rPr>
  </w:style>
  <w:style w:type="paragraph" w:customStyle="1" w:styleId="117">
    <w:name w:val="CM2"/>
    <w:basedOn w:val="1"/>
    <w:next w:val="1"/>
    <w:qFormat/>
    <w:uiPriority w:val="99"/>
    <w:pPr>
      <w:autoSpaceDE w:val="0"/>
      <w:autoSpaceDN w:val="0"/>
      <w:adjustRightInd w:val="0"/>
      <w:snapToGrid/>
      <w:spacing w:before="0" w:after="0" w:line="320" w:lineRule="atLeast"/>
    </w:pPr>
    <w:rPr>
      <w:rFonts w:ascii="宋体" w:eastAsia="宋体"/>
      <w:color w:val="auto"/>
      <w:kern w:val="0"/>
      <w:sz w:val="24"/>
      <w:szCs w:val="24"/>
    </w:rPr>
  </w:style>
  <w:style w:type="paragraph" w:customStyle="1" w:styleId="118">
    <w:name w:val="CM62"/>
    <w:basedOn w:val="83"/>
    <w:next w:val="83"/>
    <w:qFormat/>
    <w:uiPriority w:val="99"/>
    <w:rPr>
      <w:rFonts w:hint="default" w:hAnsiTheme="minorHAnsi" w:cstheme="minorBidi"/>
      <w:color w:val="auto"/>
      <w:szCs w:val="24"/>
    </w:rPr>
  </w:style>
  <w:style w:type="paragraph" w:customStyle="1" w:styleId="119">
    <w:name w:val="CM63"/>
    <w:basedOn w:val="83"/>
    <w:next w:val="83"/>
    <w:qFormat/>
    <w:uiPriority w:val="99"/>
    <w:rPr>
      <w:rFonts w:hint="default" w:hAnsiTheme="minorHAnsi" w:cstheme="minorBidi"/>
      <w:color w:val="auto"/>
      <w:szCs w:val="24"/>
    </w:rPr>
  </w:style>
  <w:style w:type="paragraph" w:customStyle="1" w:styleId="120">
    <w:name w:val="CM12"/>
    <w:basedOn w:val="83"/>
    <w:next w:val="83"/>
    <w:qFormat/>
    <w:uiPriority w:val="99"/>
    <w:pPr>
      <w:spacing w:line="318" w:lineRule="atLeast"/>
    </w:pPr>
    <w:rPr>
      <w:rFonts w:hint="default" w:hAnsiTheme="minorHAnsi" w:cstheme="minorBidi"/>
      <w:color w:val="auto"/>
      <w:szCs w:val="24"/>
    </w:rPr>
  </w:style>
  <w:style w:type="paragraph" w:customStyle="1" w:styleId="121">
    <w:name w:val="CM11"/>
    <w:basedOn w:val="83"/>
    <w:next w:val="83"/>
    <w:qFormat/>
    <w:uiPriority w:val="99"/>
    <w:pPr>
      <w:spacing w:line="320" w:lineRule="atLeast"/>
    </w:pPr>
    <w:rPr>
      <w:rFonts w:hint="default" w:hAnsiTheme="minorHAnsi" w:cstheme="minorBidi"/>
      <w:color w:val="auto"/>
      <w:szCs w:val="24"/>
    </w:rPr>
  </w:style>
  <w:style w:type="paragraph" w:customStyle="1" w:styleId="122">
    <w:name w:val="CM20"/>
    <w:basedOn w:val="83"/>
    <w:next w:val="83"/>
    <w:qFormat/>
    <w:uiPriority w:val="99"/>
    <w:pPr>
      <w:spacing w:line="318" w:lineRule="atLeast"/>
    </w:pPr>
    <w:rPr>
      <w:rFonts w:hint="default" w:hAnsiTheme="minorHAnsi" w:cstheme="minorBidi"/>
      <w:color w:val="auto"/>
      <w:szCs w:val="24"/>
    </w:rPr>
  </w:style>
  <w:style w:type="paragraph" w:customStyle="1" w:styleId="123">
    <w:name w:val="CM3"/>
    <w:basedOn w:val="83"/>
    <w:next w:val="83"/>
    <w:qFormat/>
    <w:uiPriority w:val="99"/>
    <w:pPr>
      <w:spacing w:line="318" w:lineRule="atLeast"/>
    </w:pPr>
    <w:rPr>
      <w:rFonts w:hint="default" w:hAnsiTheme="minorHAnsi" w:cstheme="minorBidi"/>
      <w:color w:val="auto"/>
      <w:szCs w:val="24"/>
    </w:rPr>
  </w:style>
  <w:style w:type="paragraph" w:customStyle="1" w:styleId="124">
    <w:name w:val="CM21"/>
    <w:basedOn w:val="83"/>
    <w:next w:val="83"/>
    <w:qFormat/>
    <w:uiPriority w:val="99"/>
    <w:pPr>
      <w:spacing w:line="320" w:lineRule="atLeast"/>
    </w:pPr>
    <w:rPr>
      <w:rFonts w:hint="default" w:hAnsiTheme="minorHAnsi" w:cstheme="minorBidi"/>
      <w:color w:val="auto"/>
      <w:szCs w:val="24"/>
    </w:rPr>
  </w:style>
  <w:style w:type="paragraph" w:customStyle="1" w:styleId="125">
    <w:name w:val="CM22"/>
    <w:basedOn w:val="83"/>
    <w:next w:val="83"/>
    <w:qFormat/>
    <w:uiPriority w:val="99"/>
    <w:pPr>
      <w:spacing w:line="318" w:lineRule="atLeast"/>
    </w:pPr>
    <w:rPr>
      <w:rFonts w:hint="default" w:hAnsiTheme="minorHAnsi" w:cstheme="minorBidi"/>
      <w:color w:val="auto"/>
      <w:szCs w:val="24"/>
    </w:rPr>
  </w:style>
  <w:style w:type="paragraph" w:customStyle="1" w:styleId="126">
    <w:name w:val="CM65"/>
    <w:basedOn w:val="83"/>
    <w:next w:val="83"/>
    <w:qFormat/>
    <w:uiPriority w:val="99"/>
    <w:rPr>
      <w:rFonts w:hint="default" w:hAnsiTheme="minorHAnsi" w:cstheme="minorBidi"/>
      <w:color w:val="auto"/>
      <w:szCs w:val="24"/>
    </w:rPr>
  </w:style>
  <w:style w:type="paragraph" w:customStyle="1" w:styleId="127">
    <w:name w:val="CM19"/>
    <w:basedOn w:val="83"/>
    <w:next w:val="83"/>
    <w:qFormat/>
    <w:uiPriority w:val="99"/>
    <w:pPr>
      <w:spacing w:line="318" w:lineRule="atLeast"/>
    </w:pPr>
    <w:rPr>
      <w:rFonts w:hint="default" w:hAnsiTheme="minorHAnsi" w:cstheme="minorBidi"/>
      <w:color w:val="auto"/>
      <w:szCs w:val="24"/>
    </w:rPr>
  </w:style>
  <w:style w:type="paragraph" w:customStyle="1" w:styleId="128">
    <w:name w:val="CM26"/>
    <w:basedOn w:val="83"/>
    <w:next w:val="83"/>
    <w:qFormat/>
    <w:uiPriority w:val="99"/>
    <w:pPr>
      <w:spacing w:line="316" w:lineRule="atLeast"/>
    </w:pPr>
    <w:rPr>
      <w:rFonts w:hint="default" w:hAnsiTheme="minorHAnsi" w:cstheme="minorBidi"/>
      <w:color w:val="auto"/>
      <w:szCs w:val="24"/>
    </w:rPr>
  </w:style>
  <w:style w:type="paragraph" w:customStyle="1" w:styleId="129">
    <w:name w:val="CM27"/>
    <w:basedOn w:val="83"/>
    <w:next w:val="83"/>
    <w:qFormat/>
    <w:uiPriority w:val="99"/>
    <w:pPr>
      <w:spacing w:line="320" w:lineRule="atLeast"/>
    </w:pPr>
    <w:rPr>
      <w:rFonts w:hint="default" w:hAnsiTheme="minorHAnsi" w:cstheme="minorBidi"/>
      <w:color w:val="auto"/>
      <w:szCs w:val="24"/>
    </w:rPr>
  </w:style>
  <w:style w:type="paragraph" w:customStyle="1" w:styleId="130">
    <w:name w:val="CM16"/>
    <w:basedOn w:val="83"/>
    <w:next w:val="83"/>
    <w:qFormat/>
    <w:uiPriority w:val="99"/>
    <w:pPr>
      <w:spacing w:line="316" w:lineRule="atLeast"/>
    </w:pPr>
    <w:rPr>
      <w:rFonts w:hint="default" w:hAnsiTheme="minorHAnsi" w:cstheme="minorBidi"/>
      <w:color w:val="auto"/>
      <w:szCs w:val="24"/>
    </w:rPr>
  </w:style>
  <w:style w:type="paragraph" w:customStyle="1" w:styleId="131">
    <w:name w:val="CM60"/>
    <w:basedOn w:val="83"/>
    <w:next w:val="83"/>
    <w:qFormat/>
    <w:uiPriority w:val="99"/>
    <w:rPr>
      <w:rFonts w:hint="default" w:hAnsiTheme="minorHAnsi" w:cstheme="minorBidi"/>
      <w:color w:val="auto"/>
      <w:szCs w:val="24"/>
    </w:rPr>
  </w:style>
  <w:style w:type="paragraph" w:customStyle="1" w:styleId="132">
    <w:name w:val="CM10"/>
    <w:basedOn w:val="83"/>
    <w:next w:val="83"/>
    <w:qFormat/>
    <w:uiPriority w:val="99"/>
    <w:pPr>
      <w:spacing w:line="320" w:lineRule="atLeast"/>
    </w:pPr>
    <w:rPr>
      <w:rFonts w:hint="default" w:hAnsiTheme="minorHAnsi" w:cstheme="minorBidi"/>
      <w:color w:val="auto"/>
      <w:szCs w:val="24"/>
    </w:rPr>
  </w:style>
  <w:style w:type="paragraph" w:customStyle="1" w:styleId="133">
    <w:name w:val="CM13"/>
    <w:basedOn w:val="83"/>
    <w:next w:val="83"/>
    <w:qFormat/>
    <w:uiPriority w:val="99"/>
    <w:pPr>
      <w:spacing w:line="320" w:lineRule="atLeast"/>
    </w:pPr>
    <w:rPr>
      <w:rFonts w:hint="default" w:hAnsiTheme="minorHAnsi" w:cstheme="minorBidi"/>
      <w:color w:val="auto"/>
      <w:szCs w:val="24"/>
    </w:rPr>
  </w:style>
  <w:style w:type="paragraph" w:customStyle="1" w:styleId="134">
    <w:name w:val="CM64"/>
    <w:basedOn w:val="83"/>
    <w:next w:val="83"/>
    <w:qFormat/>
    <w:uiPriority w:val="99"/>
    <w:rPr>
      <w:rFonts w:hint="default" w:hAnsiTheme="minorHAnsi" w:cstheme="minorBidi"/>
      <w:color w:val="auto"/>
      <w:szCs w:val="24"/>
    </w:rPr>
  </w:style>
  <w:style w:type="paragraph" w:customStyle="1" w:styleId="135">
    <w:name w:val="CM31"/>
    <w:basedOn w:val="83"/>
    <w:next w:val="83"/>
    <w:qFormat/>
    <w:uiPriority w:val="99"/>
    <w:pPr>
      <w:spacing w:line="318" w:lineRule="atLeast"/>
    </w:pPr>
    <w:rPr>
      <w:rFonts w:hint="default" w:hAnsiTheme="minorHAnsi" w:cstheme="minorBidi"/>
      <w:color w:val="auto"/>
      <w:szCs w:val="24"/>
    </w:rPr>
  </w:style>
  <w:style w:type="paragraph" w:customStyle="1" w:styleId="136">
    <w:name w:val="CM30"/>
    <w:basedOn w:val="83"/>
    <w:next w:val="83"/>
    <w:qFormat/>
    <w:uiPriority w:val="99"/>
    <w:pPr>
      <w:spacing w:line="320" w:lineRule="atLeast"/>
    </w:pPr>
    <w:rPr>
      <w:rFonts w:hint="default" w:hAnsiTheme="minorHAnsi" w:cstheme="minorBidi"/>
      <w:color w:val="auto"/>
      <w:szCs w:val="24"/>
    </w:rPr>
  </w:style>
  <w:style w:type="paragraph" w:customStyle="1" w:styleId="137">
    <w:name w:val="CM32"/>
    <w:basedOn w:val="83"/>
    <w:next w:val="83"/>
    <w:qFormat/>
    <w:uiPriority w:val="99"/>
    <w:pPr>
      <w:spacing w:line="320" w:lineRule="atLeast"/>
    </w:pPr>
    <w:rPr>
      <w:rFonts w:hint="default" w:hAnsiTheme="minorHAnsi" w:cstheme="minorBidi"/>
      <w:color w:val="auto"/>
      <w:szCs w:val="24"/>
    </w:rPr>
  </w:style>
  <w:style w:type="paragraph" w:customStyle="1" w:styleId="138">
    <w:name w:val="CM41"/>
    <w:basedOn w:val="83"/>
    <w:next w:val="83"/>
    <w:qFormat/>
    <w:uiPriority w:val="99"/>
    <w:pPr>
      <w:spacing w:line="313" w:lineRule="atLeast"/>
    </w:pPr>
    <w:rPr>
      <w:rFonts w:hint="default" w:hAnsiTheme="minorHAnsi" w:cstheme="minorBidi"/>
      <w:color w:val="auto"/>
      <w:szCs w:val="24"/>
    </w:rPr>
  </w:style>
  <w:style w:type="paragraph" w:customStyle="1" w:styleId="139">
    <w:name w:val="CM42"/>
    <w:basedOn w:val="83"/>
    <w:next w:val="83"/>
    <w:qFormat/>
    <w:uiPriority w:val="99"/>
    <w:pPr>
      <w:spacing w:line="316" w:lineRule="atLeast"/>
    </w:pPr>
    <w:rPr>
      <w:rFonts w:hint="default" w:hAnsiTheme="minorHAnsi" w:cstheme="minorBidi"/>
      <w:color w:val="auto"/>
      <w:szCs w:val="24"/>
    </w:rPr>
  </w:style>
  <w:style w:type="paragraph" w:customStyle="1" w:styleId="140">
    <w:name w:val="CM43"/>
    <w:basedOn w:val="83"/>
    <w:next w:val="83"/>
    <w:qFormat/>
    <w:uiPriority w:val="99"/>
    <w:pPr>
      <w:spacing w:line="313" w:lineRule="atLeast"/>
    </w:pPr>
    <w:rPr>
      <w:rFonts w:hint="default" w:hAnsiTheme="minorHAnsi" w:cstheme="minorBidi"/>
      <w:color w:val="auto"/>
      <w:szCs w:val="24"/>
    </w:rPr>
  </w:style>
  <w:style w:type="paragraph" w:customStyle="1" w:styleId="141">
    <w:name w:val="CM44"/>
    <w:basedOn w:val="83"/>
    <w:next w:val="83"/>
    <w:qFormat/>
    <w:uiPriority w:val="99"/>
    <w:pPr>
      <w:spacing w:line="313" w:lineRule="atLeast"/>
    </w:pPr>
    <w:rPr>
      <w:rFonts w:hint="default" w:hAnsiTheme="minorHAnsi" w:cstheme="minorBidi"/>
      <w:color w:val="auto"/>
      <w:szCs w:val="24"/>
    </w:rPr>
  </w:style>
  <w:style w:type="paragraph" w:customStyle="1" w:styleId="142">
    <w:name w:val="CM39"/>
    <w:basedOn w:val="83"/>
    <w:next w:val="83"/>
    <w:qFormat/>
    <w:uiPriority w:val="99"/>
    <w:pPr>
      <w:spacing w:line="316" w:lineRule="atLeast"/>
    </w:pPr>
    <w:rPr>
      <w:rFonts w:hint="default" w:hAnsiTheme="minorHAnsi" w:cstheme="minorBidi"/>
      <w:color w:val="auto"/>
      <w:szCs w:val="24"/>
    </w:rPr>
  </w:style>
  <w:style w:type="paragraph" w:customStyle="1" w:styleId="143">
    <w:name w:val="CM61"/>
    <w:basedOn w:val="83"/>
    <w:next w:val="83"/>
    <w:qFormat/>
    <w:uiPriority w:val="99"/>
    <w:rPr>
      <w:rFonts w:hint="default" w:hAnsiTheme="minorHAnsi" w:cstheme="minorBidi"/>
      <w:color w:val="auto"/>
      <w:szCs w:val="24"/>
    </w:rPr>
  </w:style>
  <w:style w:type="paragraph" w:customStyle="1" w:styleId="144">
    <w:name w:val="CM29"/>
    <w:basedOn w:val="83"/>
    <w:next w:val="83"/>
    <w:qFormat/>
    <w:uiPriority w:val="99"/>
    <w:pPr>
      <w:spacing w:line="318" w:lineRule="atLeast"/>
    </w:pPr>
    <w:rPr>
      <w:rFonts w:hint="default" w:hAnsiTheme="minorHAnsi" w:cstheme="minorBidi"/>
      <w:color w:val="auto"/>
      <w:szCs w:val="24"/>
    </w:rPr>
  </w:style>
  <w:style w:type="paragraph" w:customStyle="1" w:styleId="145">
    <w:name w:val="CM4"/>
    <w:basedOn w:val="83"/>
    <w:next w:val="83"/>
    <w:qFormat/>
    <w:uiPriority w:val="99"/>
    <w:pPr>
      <w:spacing w:line="318" w:lineRule="atLeast"/>
    </w:pPr>
    <w:rPr>
      <w:rFonts w:hint="default" w:hAnsiTheme="minorHAnsi" w:cstheme="minorBidi"/>
      <w:color w:val="auto"/>
      <w:szCs w:val="24"/>
    </w:rPr>
  </w:style>
  <w:style w:type="paragraph" w:customStyle="1" w:styleId="146">
    <w:name w:val="投标正文"/>
    <w:basedOn w:val="1"/>
    <w:link w:val="147"/>
    <w:qFormat/>
    <w:uiPriority w:val="0"/>
    <w:pPr>
      <w:snapToGrid/>
      <w:spacing w:before="0" w:after="0" w:line="360" w:lineRule="auto"/>
      <w:ind w:firstLine="200" w:firstLineChars="200"/>
      <w:jc w:val="both"/>
    </w:pPr>
    <w:rPr>
      <w:rFonts w:ascii="Times New Roman" w:hAnsi="Times New Roman" w:eastAsia="宋体" w:cs="Times New Roman"/>
      <w:color w:val="auto"/>
      <w:sz w:val="24"/>
      <w:szCs w:val="24"/>
    </w:rPr>
  </w:style>
  <w:style w:type="character" w:customStyle="1" w:styleId="147">
    <w:name w:val="投标正文 Char"/>
    <w:basedOn w:val="44"/>
    <w:link w:val="146"/>
    <w:qFormat/>
    <w:uiPriority w:val="0"/>
    <w:rPr>
      <w:rFonts w:ascii="Times New Roman" w:hAnsi="Times New Roman" w:eastAsia="宋体" w:cs="Times New Roman"/>
      <w:kern w:val="2"/>
      <w:sz w:val="24"/>
      <w:szCs w:val="24"/>
    </w:rPr>
  </w:style>
  <w:style w:type="paragraph" w:customStyle="1" w:styleId="148">
    <w:name w:val="Normal_2_0"/>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49">
    <w:name w:val="Table Paragraph"/>
    <w:basedOn w:val="1"/>
    <w:qFormat/>
    <w:uiPriority w:val="1"/>
    <w:pPr>
      <w:autoSpaceDE w:val="0"/>
      <w:autoSpaceDN w:val="0"/>
      <w:snapToGrid/>
      <w:spacing w:before="16" w:after="0" w:line="240" w:lineRule="auto"/>
      <w:ind w:left="95"/>
      <w:jc w:val="center"/>
    </w:pPr>
    <w:rPr>
      <w:rFonts w:ascii="仿宋_GB2312" w:hAnsi="仿宋_GB2312" w:eastAsia="仿宋_GB2312" w:cs="仿宋_GB2312"/>
      <w:color w:val="auto"/>
      <w:kern w:val="0"/>
      <w:lang w:eastAsia="en-US"/>
    </w:rPr>
  </w:style>
  <w:style w:type="paragraph" w:customStyle="1" w:styleId="150">
    <w:name w:val="A正文"/>
    <w:basedOn w:val="1"/>
    <w:link w:val="151"/>
    <w:qFormat/>
    <w:uiPriority w:val="0"/>
    <w:pPr>
      <w:snapToGrid/>
      <w:spacing w:before="0" w:after="0" w:line="360" w:lineRule="auto"/>
      <w:ind w:firstLine="200" w:firstLineChars="200"/>
      <w:jc w:val="both"/>
    </w:pPr>
    <w:rPr>
      <w:rFonts w:ascii="Times New Roman" w:hAnsi="Times New Roman" w:eastAsia="宋体" w:cs="Times New Roman"/>
      <w:color w:val="auto"/>
      <w:sz w:val="24"/>
      <w:szCs w:val="24"/>
      <w:lang w:val="zh-CN"/>
    </w:rPr>
  </w:style>
  <w:style w:type="character" w:customStyle="1" w:styleId="151">
    <w:name w:val="A正文 Char Char"/>
    <w:link w:val="150"/>
    <w:qFormat/>
    <w:uiPriority w:val="0"/>
    <w:rPr>
      <w:rFonts w:ascii="Times New Roman" w:hAnsi="Times New Roman" w:eastAsia="宋体" w:cs="Times New Roman"/>
      <w:kern w:val="2"/>
      <w:sz w:val="24"/>
      <w:szCs w:val="24"/>
      <w:lang w:val="zh-CN"/>
    </w:rPr>
  </w:style>
  <w:style w:type="character" w:customStyle="1" w:styleId="152">
    <w:name w:val="标题 字符"/>
    <w:basedOn w:val="44"/>
    <w:link w:val="39"/>
    <w:qFormat/>
    <w:uiPriority w:val="9"/>
    <w:rPr>
      <w:b/>
      <w:bCs/>
      <w:color w:val="1A1A1A"/>
      <w:kern w:val="2"/>
      <w:sz w:val="48"/>
      <w:szCs w:val="48"/>
    </w:rPr>
  </w:style>
  <w:style w:type="character" w:customStyle="1" w:styleId="153">
    <w:name w:val="正文文本首行缩进 2 字符"/>
    <w:basedOn w:val="73"/>
    <w:link w:val="41"/>
    <w:qFormat/>
    <w:uiPriority w:val="0"/>
    <w:rPr>
      <w:rFonts w:ascii="Times New Roman" w:hAnsi="宋体" w:eastAsia="宋体" w:cs="Times New Roman"/>
      <w:color w:val="000000"/>
      <w:kern w:val="2"/>
      <w:sz w:val="24"/>
      <w:szCs w:val="24"/>
    </w:rPr>
  </w:style>
  <w:style w:type="table" w:customStyle="1" w:styleId="154">
    <w:name w:val="网格型1"/>
    <w:basedOn w:val="42"/>
    <w:unhideWhenUse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5">
    <w:name w:val="修订1"/>
    <w:hidden/>
    <w:semiHidden/>
    <w:qFormat/>
    <w:uiPriority w:val="99"/>
    <w:rPr>
      <w:rFonts w:asciiTheme="minorHAnsi" w:hAnsiTheme="minorHAnsi" w:eastAsiaTheme="minorEastAsia" w:cstheme="minorBidi"/>
      <w:color w:val="333333"/>
      <w:kern w:val="2"/>
      <w:sz w:val="22"/>
      <w:szCs w:val="22"/>
      <w:lang w:val="en-US" w:eastAsia="zh-CN" w:bidi="ar-SA"/>
    </w:rPr>
  </w:style>
  <w:style w:type="paragraph" w:customStyle="1" w:styleId="156">
    <w:name w:val="修订2"/>
    <w:hidden/>
    <w:semiHidden/>
    <w:qFormat/>
    <w:uiPriority w:val="99"/>
    <w:rPr>
      <w:rFonts w:asciiTheme="minorHAnsi" w:hAnsiTheme="minorHAnsi" w:eastAsiaTheme="minorEastAsia" w:cstheme="minorBidi"/>
      <w:color w:val="333333"/>
      <w:kern w:val="2"/>
      <w:sz w:val="22"/>
      <w:szCs w:val="22"/>
      <w:lang w:val="en-US" w:eastAsia="zh-CN" w:bidi="ar-SA"/>
    </w:rPr>
  </w:style>
  <w:style w:type="character" w:customStyle="1" w:styleId="157">
    <w:name w:val="标题 1 字符1"/>
    <w:basedOn w:val="44"/>
    <w:link w:val="2"/>
    <w:qFormat/>
    <w:uiPriority w:val="0"/>
    <w:rPr>
      <w:rFonts w:eastAsia="仿宋_GB2312"/>
      <w:b/>
      <w:bCs/>
      <w:color w:val="1A1A1A"/>
      <w:kern w:val="2"/>
      <w:sz w:val="28"/>
      <w:szCs w:val="36"/>
    </w:rPr>
  </w:style>
  <w:style w:type="paragraph" w:customStyle="1" w:styleId="158">
    <w:name w:val="正题"/>
    <w:basedOn w:val="1"/>
    <w:next w:val="1"/>
    <w:qFormat/>
    <w:uiPriority w:val="0"/>
    <w:pPr>
      <w:topLinePunct/>
      <w:adjustRightInd w:val="0"/>
      <w:spacing w:line="360" w:lineRule="auto"/>
      <w:jc w:val="center"/>
    </w:pPr>
    <w:rPr>
      <w:rFonts w:eastAsia="黑体"/>
      <w:b/>
      <w:spacing w:val="4"/>
      <w:kern w:val="0"/>
      <w:sz w:val="36"/>
      <w:szCs w:val="36"/>
      <w:lang w:val="zh-CN"/>
    </w:rPr>
  </w:style>
  <w:style w:type="character" w:customStyle="1" w:styleId="159">
    <w:name w:val="文本块 字符"/>
    <w:link w:val="21"/>
    <w:qFormat/>
    <w:uiPriority w:val="0"/>
    <w:rPr>
      <w:rFonts w:ascii="宋体" w:hAnsi="宋体" w:cs="宋体"/>
      <w:sz w:val="21"/>
    </w:rPr>
  </w:style>
  <w:style w:type="paragraph" w:customStyle="1" w:styleId="160">
    <w:name w:val="修订3"/>
    <w:hidden/>
    <w:unhideWhenUsed/>
    <w:qFormat/>
    <w:uiPriority w:val="99"/>
    <w:rPr>
      <w:rFonts w:asciiTheme="minorHAnsi" w:hAnsiTheme="minorHAnsi" w:eastAsiaTheme="minorEastAsia" w:cstheme="minorBidi"/>
      <w:color w:val="333333"/>
      <w:kern w:val="2"/>
      <w:sz w:val="22"/>
      <w:szCs w:val="22"/>
      <w:lang w:val="en-US" w:eastAsia="zh-CN" w:bidi="ar-SA"/>
    </w:rPr>
  </w:style>
  <w:style w:type="character" w:customStyle="1" w:styleId="161">
    <w:name w:val="style51"/>
    <w:basedOn w:val="44"/>
    <w:qFormat/>
    <w:uiPriority w:val="0"/>
    <w:rPr>
      <w:b/>
      <w:bCs/>
      <w:sz w:val="24"/>
      <w:szCs w:val="24"/>
    </w:rPr>
  </w:style>
  <w:style w:type="paragraph" w:customStyle="1" w:styleId="162">
    <w:name w:val="修订4"/>
    <w:hidden/>
    <w:unhideWhenUsed/>
    <w:qFormat/>
    <w:uiPriority w:val="99"/>
    <w:rPr>
      <w:rFonts w:asciiTheme="minorHAnsi" w:hAnsiTheme="minorHAnsi" w:eastAsiaTheme="minorEastAsia" w:cstheme="minorBidi"/>
      <w:color w:val="333333"/>
      <w:kern w:val="2"/>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emf"/><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5.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430684-3F93-4C71-AD67-EEDD3E37ADD8}">
  <ds:schemaRefs/>
</ds:datastoreItem>
</file>

<file path=docProps/app.xml><?xml version="1.0" encoding="utf-8"?>
<Properties xmlns="http://schemas.openxmlformats.org/officeDocument/2006/extended-properties" xmlns:vt="http://schemas.openxmlformats.org/officeDocument/2006/docPropsVTypes">
  <Template>Normal.dotm</Template>
  <Pages>280</Pages>
  <Words>25569</Words>
  <Characters>28136</Characters>
  <Lines>1350</Lines>
  <Paragraphs>380</Paragraphs>
  <TotalTime>4</TotalTime>
  <ScaleCrop>false</ScaleCrop>
  <LinksUpToDate>false</LinksUpToDate>
  <CharactersWithSpaces>28869</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2025-05-21T05:09:00Z</dcterms:created>
  <dc:creator>Administrator.DESKTOP-3UOE1TA</dc:creator>
  <cp:lastModifiedBy>北京中交建设工程咨询有限公司[北京中交建设工程咨询有限公司]</cp:lastModifiedBy>
  <cp:lastPrinted>2022-10-30T00:35:00Z</cp:lastPrinted>
  <dcterms:modified xsi:type="dcterms:W3CDTF">2025-05-23T11:23:07Z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32832E25D1C94AFC80CF91557550106E_13</vt:lpwstr>
  </property>
  <property fmtid="{D5CDD505-2E9C-101B-9397-08002B2CF9AE}" pid="4" name="KSOTemplateDocerSaveRecord">
    <vt:lpwstr>eyJoZGlkIjoiMDFjZDk3NzRiMTVmNWM3ZGEwNGVkN2RhYTgwZTM2NjgiLCJ1c2VySWQiOiIxNjAxMzk4MzYzIn0=</vt:lpwstr>
  </property>
</Properties>
</file>