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AFECA">
      <w:pPr>
        <w:spacing w:line="480" w:lineRule="auto"/>
        <w:ind w:firstLine="420"/>
        <w:jc w:val="center"/>
        <w:rPr>
          <w:rFonts w:ascii="宋体" w:hAnsi="宋体"/>
          <w:b/>
          <w:bCs/>
          <w:color w:val="auto"/>
          <w:sz w:val="56"/>
          <w:szCs w:val="56"/>
          <w:highlight w:val="none"/>
        </w:rPr>
      </w:pPr>
      <w:bookmarkStart w:id="0" w:name="_Hlk65764553"/>
    </w:p>
    <w:p w14:paraId="3EC034F7">
      <w:pPr>
        <w:spacing w:line="360" w:lineRule="auto"/>
        <w:jc w:val="center"/>
        <w:rPr>
          <w:rFonts w:hint="eastAsia" w:ascii="宋体" w:hAnsi="宋体" w:eastAsia="宋体" w:cs="宋体"/>
          <w:b/>
          <w:color w:val="auto"/>
          <w:sz w:val="56"/>
          <w:szCs w:val="56"/>
          <w:highlight w:val="none"/>
          <w:lang w:eastAsia="zh-CN"/>
        </w:rPr>
      </w:pPr>
      <w:r>
        <w:rPr>
          <w:rFonts w:hint="eastAsia" w:ascii="宋体" w:hAnsi="宋体" w:cs="宋体"/>
          <w:b/>
          <w:color w:val="auto"/>
          <w:sz w:val="56"/>
          <w:szCs w:val="56"/>
          <w:highlight w:val="none"/>
          <w:lang w:eastAsia="zh-CN"/>
        </w:rPr>
        <w:t>广州市黄埔区新龙镇金坑村银岭片区城中村改造项目复建地块AZ-01建设项目施工图设计、施工总承包工程</w:t>
      </w:r>
    </w:p>
    <w:p w14:paraId="75FAAA47">
      <w:pPr>
        <w:pStyle w:val="165"/>
        <w:rPr>
          <w:rFonts w:ascii="宋体" w:hAnsi="宋体"/>
          <w:b w:val="0"/>
          <w:bCs/>
          <w:shadow/>
          <w:color w:val="auto"/>
          <w:spacing w:val="26"/>
          <w:sz w:val="110"/>
          <w:szCs w:val="110"/>
          <w:highlight w:val="none"/>
        </w:rPr>
      </w:pPr>
    </w:p>
    <w:p w14:paraId="6A2AE08C">
      <w:pPr>
        <w:spacing w:line="360" w:lineRule="auto"/>
        <w:jc w:val="center"/>
        <w:rPr>
          <w:rFonts w:ascii="宋体" w:hAnsi="宋体"/>
          <w:b/>
          <w:bCs/>
          <w:shadow/>
          <w:color w:val="auto"/>
          <w:spacing w:val="26"/>
          <w:sz w:val="110"/>
          <w:szCs w:val="110"/>
          <w:highlight w:val="none"/>
        </w:rPr>
      </w:pPr>
      <w:r>
        <w:rPr>
          <w:rFonts w:hint="eastAsia" w:ascii="宋体" w:hAnsi="宋体"/>
          <w:b/>
          <w:bCs/>
          <w:shadow/>
          <w:color w:val="auto"/>
          <w:spacing w:val="26"/>
          <w:sz w:val="110"/>
          <w:szCs w:val="110"/>
          <w:highlight w:val="none"/>
        </w:rPr>
        <w:t>招标文件</w:t>
      </w:r>
    </w:p>
    <w:p w14:paraId="0A5F0C0E">
      <w:pPr>
        <w:spacing w:line="360" w:lineRule="auto"/>
        <w:jc w:val="center"/>
        <w:rPr>
          <w:rFonts w:ascii="宋体" w:hAnsi="宋体"/>
          <w:color w:val="auto"/>
          <w:sz w:val="32"/>
          <w:highlight w:val="none"/>
        </w:rPr>
      </w:pPr>
    </w:p>
    <w:p w14:paraId="2B20E5E6">
      <w:pPr>
        <w:spacing w:line="360" w:lineRule="auto"/>
        <w:rPr>
          <w:rFonts w:ascii="宋体" w:hAnsi="宋体"/>
          <w:color w:val="auto"/>
          <w:sz w:val="52"/>
          <w:highlight w:val="none"/>
        </w:rPr>
      </w:pPr>
    </w:p>
    <w:p w14:paraId="5D0FFF62">
      <w:pPr>
        <w:pStyle w:val="165"/>
        <w:rPr>
          <w:rFonts w:ascii="宋体" w:hAnsi="宋体"/>
          <w:color w:val="auto"/>
          <w:highlight w:val="none"/>
        </w:rPr>
      </w:pPr>
    </w:p>
    <w:p w14:paraId="74CED785">
      <w:pPr>
        <w:spacing w:line="360" w:lineRule="auto"/>
        <w:rPr>
          <w:rFonts w:ascii="宋体" w:hAnsi="宋体"/>
          <w:color w:val="auto"/>
          <w:sz w:val="52"/>
          <w:highlight w:val="none"/>
        </w:rPr>
      </w:pPr>
    </w:p>
    <w:p w14:paraId="1FFEE227">
      <w:pPr>
        <w:pStyle w:val="18"/>
        <w:rPr>
          <w:rFonts w:ascii="宋体" w:hAnsi="宋体"/>
          <w:color w:val="auto"/>
          <w:sz w:val="52"/>
          <w:highlight w:val="none"/>
        </w:rPr>
      </w:pPr>
    </w:p>
    <w:p w14:paraId="36FE1F52">
      <w:pPr>
        <w:rPr>
          <w:rFonts w:ascii="宋体" w:hAnsi="宋体"/>
          <w:color w:val="auto"/>
          <w:sz w:val="52"/>
          <w:highlight w:val="none"/>
        </w:rPr>
      </w:pPr>
    </w:p>
    <w:p w14:paraId="53A51C0A">
      <w:pPr>
        <w:pStyle w:val="18"/>
        <w:rPr>
          <w:rFonts w:ascii="宋体" w:hAnsi="宋体"/>
          <w:color w:val="auto"/>
          <w:highlight w:val="none"/>
        </w:rPr>
      </w:pPr>
    </w:p>
    <w:p w14:paraId="15D39AB3">
      <w:pPr>
        <w:spacing w:line="360" w:lineRule="auto"/>
        <w:rPr>
          <w:rFonts w:ascii="宋体" w:hAnsi="宋体" w:cs="楷体"/>
          <w:color w:val="auto"/>
          <w:sz w:val="30"/>
          <w:szCs w:val="30"/>
          <w:highlight w:val="none"/>
        </w:rPr>
      </w:pPr>
      <w:r>
        <w:rPr>
          <w:rFonts w:hint="eastAsia" w:ascii="宋体" w:hAnsi="宋体" w:cs="楷体"/>
          <w:color w:val="auto"/>
          <w:sz w:val="30"/>
          <w:szCs w:val="30"/>
          <w:highlight w:val="none"/>
        </w:rPr>
        <w:t xml:space="preserve">     招   标   人：</w:t>
      </w:r>
      <w:bookmarkStart w:id="1" w:name="OLE_LINK3"/>
      <w:bookmarkStart w:id="2" w:name="OLE_LINK5"/>
      <w:r>
        <w:rPr>
          <w:rFonts w:hint="eastAsia" w:ascii="宋体" w:hAnsi="宋体" w:cs="楷体"/>
          <w:color w:val="auto"/>
          <w:sz w:val="30"/>
          <w:szCs w:val="30"/>
          <w:highlight w:val="none"/>
        </w:rPr>
        <w:t>科学城（广州）城市更新集团有限公司</w:t>
      </w:r>
      <w:bookmarkEnd w:id="1"/>
      <w:bookmarkEnd w:id="2"/>
    </w:p>
    <w:p w14:paraId="1F1041A7">
      <w:pPr>
        <w:spacing w:line="360" w:lineRule="auto"/>
        <w:rPr>
          <w:rFonts w:ascii="宋体" w:hAnsi="宋体" w:cs="楷体"/>
          <w:color w:val="auto"/>
          <w:sz w:val="30"/>
          <w:szCs w:val="30"/>
          <w:highlight w:val="none"/>
        </w:rPr>
      </w:pPr>
      <w:r>
        <w:rPr>
          <w:rFonts w:hint="eastAsia" w:ascii="宋体" w:hAnsi="宋体" w:cs="楷体"/>
          <w:color w:val="auto"/>
          <w:sz w:val="30"/>
          <w:szCs w:val="30"/>
          <w:highlight w:val="none"/>
        </w:rPr>
        <w:t xml:space="preserve">           招标代理单位：</w:t>
      </w:r>
      <w:r>
        <w:rPr>
          <w:rFonts w:hint="eastAsia" w:ascii="宋体" w:hAnsi="宋体" w:cs="楷体"/>
          <w:color w:val="auto"/>
          <w:sz w:val="30"/>
          <w:szCs w:val="30"/>
          <w:highlight w:val="none"/>
          <w:lang w:eastAsia="zh-CN"/>
        </w:rPr>
        <w:t>广州市房实建设工程管理有限公司</w:t>
      </w:r>
      <w:r>
        <w:rPr>
          <w:rFonts w:hint="eastAsia" w:ascii="宋体" w:hAnsi="宋体" w:cs="楷体"/>
          <w:color w:val="auto"/>
          <w:sz w:val="30"/>
          <w:szCs w:val="30"/>
          <w:highlight w:val="none"/>
        </w:rPr>
        <w:t xml:space="preserve">  </w:t>
      </w:r>
    </w:p>
    <w:p w14:paraId="0A44030C">
      <w:pPr>
        <w:spacing w:line="360" w:lineRule="auto"/>
        <w:rPr>
          <w:rFonts w:ascii="宋体" w:hAnsi="宋体" w:cs="楷体"/>
          <w:color w:val="auto"/>
          <w:sz w:val="30"/>
          <w:szCs w:val="30"/>
          <w:highlight w:val="none"/>
        </w:rPr>
      </w:pPr>
      <w:r>
        <w:rPr>
          <w:rFonts w:hint="eastAsia" w:ascii="宋体" w:hAnsi="宋体" w:cs="楷体"/>
          <w:color w:val="auto"/>
          <w:sz w:val="30"/>
          <w:szCs w:val="30"/>
          <w:highlight w:val="none"/>
        </w:rPr>
        <w:tab/>
      </w:r>
      <w:r>
        <w:rPr>
          <w:rFonts w:hint="eastAsia" w:ascii="宋体" w:hAnsi="宋体" w:cs="楷体"/>
          <w:color w:val="auto"/>
          <w:sz w:val="30"/>
          <w:szCs w:val="30"/>
          <w:highlight w:val="none"/>
        </w:rPr>
        <w:t xml:space="preserve">        日        期：2025 年</w:t>
      </w:r>
      <w:r>
        <w:rPr>
          <w:rFonts w:hint="eastAsia" w:ascii="宋体" w:hAnsi="宋体" w:cs="楷体"/>
          <w:color w:val="auto"/>
          <w:sz w:val="30"/>
          <w:szCs w:val="30"/>
          <w:highlight w:val="none"/>
          <w:lang w:val="en-US" w:eastAsia="zh-CN"/>
        </w:rPr>
        <w:t xml:space="preserve"> 5 </w:t>
      </w:r>
      <w:r>
        <w:rPr>
          <w:rFonts w:hint="eastAsia" w:ascii="宋体" w:hAnsi="宋体" w:cs="楷体"/>
          <w:color w:val="auto"/>
          <w:sz w:val="30"/>
          <w:szCs w:val="30"/>
          <w:highlight w:val="none"/>
        </w:rPr>
        <w:t>月</w:t>
      </w:r>
      <w:bookmarkStart w:id="627" w:name="_GoBack"/>
      <w:bookmarkEnd w:id="627"/>
    </w:p>
    <w:bookmarkEnd w:id="0"/>
    <w:p w14:paraId="6A4E9748">
      <w:pPr>
        <w:spacing w:line="400" w:lineRule="exact"/>
        <w:rPr>
          <w:rFonts w:ascii="宋体" w:hAnsi="宋体"/>
          <w:color w:val="auto"/>
          <w:highlight w:val="none"/>
        </w:rPr>
        <w:sectPr>
          <w:headerReference r:id="rId3" w:type="default"/>
          <w:footerReference r:id="rId4" w:type="default"/>
          <w:footerReference r:id="rId5" w:type="even"/>
          <w:pgSz w:w="11906" w:h="16838"/>
          <w:pgMar w:top="1440" w:right="1440" w:bottom="1440" w:left="1440" w:header="567" w:footer="851" w:gutter="0"/>
          <w:pgNumType w:start="0"/>
          <w:cols w:space="720" w:num="1"/>
          <w:docGrid w:type="lines" w:linePitch="312" w:charSpace="0"/>
        </w:sectPr>
      </w:pPr>
    </w:p>
    <w:p w14:paraId="6261ABDC">
      <w:pPr>
        <w:pStyle w:val="7"/>
        <w:shd w:val="clear" w:color="auto" w:fill="FFFFFF"/>
        <w:ind w:firstLine="0" w:firstLineChars="0"/>
        <w:jc w:val="center"/>
        <w:rPr>
          <w:rFonts w:ascii="宋体" w:hAnsi="宋体"/>
          <w:b/>
          <w:bCs/>
          <w:color w:val="auto"/>
          <w:sz w:val="44"/>
          <w:szCs w:val="44"/>
          <w:highlight w:val="none"/>
          <w:shd w:val="clear" w:color="FFFFFF" w:fill="D9D9D9"/>
        </w:rPr>
      </w:pPr>
      <w:r>
        <w:rPr>
          <w:rFonts w:hint="eastAsia" w:ascii="宋体" w:hAnsi="宋体"/>
          <w:b/>
          <w:bCs/>
          <w:color w:val="auto"/>
          <w:sz w:val="44"/>
          <w:szCs w:val="44"/>
          <w:highlight w:val="none"/>
        </w:rPr>
        <w:t>目  录</w:t>
      </w:r>
    </w:p>
    <w:p w14:paraId="1B21811D">
      <w:pPr>
        <w:pStyle w:val="30"/>
        <w:tabs>
          <w:tab w:val="right" w:leader="dot" w:pos="9062"/>
        </w:tabs>
        <w:rPr>
          <w:rFonts w:ascii="宋体" w:hAnsi="宋体"/>
          <w:b w:val="0"/>
          <w:bCs w:val="0"/>
          <w:caps w:val="0"/>
          <w:color w:val="auto"/>
          <w:sz w:val="21"/>
          <w:szCs w:val="22"/>
          <w:highlight w:val="none"/>
        </w:rPr>
      </w:pPr>
      <w:r>
        <w:rPr>
          <w:rFonts w:ascii="宋体" w:hAnsi="宋体"/>
          <w:color w:val="auto"/>
          <w:sz w:val="24"/>
          <w:szCs w:val="24"/>
          <w:highlight w:val="none"/>
          <w:shd w:val="clear" w:color="FFFFFF" w:fill="D9D9D9"/>
        </w:rPr>
        <w:fldChar w:fldCharType="begin"/>
      </w:r>
      <w:r>
        <w:rPr>
          <w:rFonts w:ascii="宋体" w:hAnsi="宋体"/>
          <w:color w:val="auto"/>
          <w:sz w:val="24"/>
          <w:szCs w:val="24"/>
          <w:highlight w:val="none"/>
          <w:shd w:val="clear" w:color="FFFFFF" w:fill="D9D9D9"/>
        </w:rPr>
        <w:instrText xml:space="preserve">TOC \o "1-3" \h \u </w:instrText>
      </w:r>
      <w:r>
        <w:rPr>
          <w:rFonts w:ascii="宋体" w:hAnsi="宋体"/>
          <w:color w:val="auto"/>
          <w:sz w:val="24"/>
          <w:szCs w:val="24"/>
          <w:highlight w:val="none"/>
          <w:shd w:val="clear" w:color="FFFFFF" w:fill="D9D9D9"/>
        </w:rPr>
        <w:fldChar w:fldCharType="separate"/>
      </w:r>
      <w:r>
        <w:rPr>
          <w:color w:val="auto"/>
          <w:highlight w:val="none"/>
        </w:rPr>
        <w:fldChar w:fldCharType="begin"/>
      </w:r>
      <w:r>
        <w:rPr>
          <w:color w:val="auto"/>
          <w:highlight w:val="none"/>
        </w:rPr>
        <w:instrText xml:space="preserve"> HYPERLINK \l "_Toc165358747" </w:instrText>
      </w:r>
      <w:r>
        <w:rPr>
          <w:color w:val="auto"/>
          <w:highlight w:val="none"/>
        </w:rPr>
        <w:fldChar w:fldCharType="separate"/>
      </w:r>
      <w:r>
        <w:rPr>
          <w:rStyle w:val="54"/>
          <w:rFonts w:ascii="宋体" w:hAnsi="宋体"/>
          <w:color w:val="auto"/>
          <w:highlight w:val="none"/>
        </w:rPr>
        <w:t>第一章 招标公告</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_Toc165358747 \h </w:instrText>
      </w:r>
      <w:r>
        <w:rPr>
          <w:rFonts w:ascii="宋体" w:hAnsi="宋体"/>
          <w:color w:val="auto"/>
          <w:highlight w:val="none"/>
        </w:rPr>
        <w:fldChar w:fldCharType="separate"/>
      </w:r>
      <w:r>
        <w:rPr>
          <w:rFonts w:ascii="宋体" w:hAnsi="宋体"/>
          <w:color w:val="auto"/>
          <w:highlight w:val="none"/>
        </w:rPr>
        <w:t>2</w:t>
      </w:r>
      <w:r>
        <w:rPr>
          <w:rFonts w:ascii="宋体" w:hAnsi="宋体"/>
          <w:color w:val="auto"/>
          <w:highlight w:val="none"/>
        </w:rPr>
        <w:fldChar w:fldCharType="end"/>
      </w:r>
      <w:r>
        <w:rPr>
          <w:rFonts w:ascii="宋体" w:hAnsi="宋体"/>
          <w:color w:val="auto"/>
          <w:highlight w:val="none"/>
        </w:rPr>
        <w:fldChar w:fldCharType="end"/>
      </w:r>
    </w:p>
    <w:p w14:paraId="42C00729">
      <w:pPr>
        <w:pStyle w:val="30"/>
        <w:tabs>
          <w:tab w:val="right" w:leader="dot" w:pos="9062"/>
        </w:tabs>
        <w:rPr>
          <w:rFonts w:ascii="宋体" w:hAnsi="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"_Toc165358749" </w:instrText>
      </w:r>
      <w:r>
        <w:rPr>
          <w:color w:val="auto"/>
          <w:highlight w:val="none"/>
        </w:rPr>
        <w:fldChar w:fldCharType="separate"/>
      </w:r>
      <w:r>
        <w:rPr>
          <w:rStyle w:val="54"/>
          <w:rFonts w:ascii="宋体" w:hAnsi="宋体"/>
          <w:color w:val="auto"/>
          <w:highlight w:val="none"/>
        </w:rPr>
        <w:t>第二章 投标人须知</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_Toc165358749 \h </w:instrText>
      </w:r>
      <w:r>
        <w:rPr>
          <w:rFonts w:ascii="宋体" w:hAnsi="宋体"/>
          <w:color w:val="auto"/>
          <w:highlight w:val="none"/>
        </w:rPr>
        <w:fldChar w:fldCharType="separate"/>
      </w:r>
      <w:r>
        <w:rPr>
          <w:rFonts w:ascii="宋体" w:hAnsi="宋体"/>
          <w:color w:val="auto"/>
          <w:highlight w:val="none"/>
        </w:rPr>
        <w:t>3</w:t>
      </w:r>
      <w:r>
        <w:rPr>
          <w:rFonts w:ascii="宋体" w:hAnsi="宋体"/>
          <w:color w:val="auto"/>
          <w:highlight w:val="none"/>
        </w:rPr>
        <w:fldChar w:fldCharType="end"/>
      </w:r>
      <w:r>
        <w:rPr>
          <w:rFonts w:ascii="宋体" w:hAnsi="宋体"/>
          <w:color w:val="auto"/>
          <w:highlight w:val="none"/>
        </w:rPr>
        <w:fldChar w:fldCharType="end"/>
      </w:r>
    </w:p>
    <w:p w14:paraId="7B0CED61">
      <w:pPr>
        <w:pStyle w:val="30"/>
        <w:tabs>
          <w:tab w:val="right" w:leader="dot" w:pos="9062"/>
        </w:tabs>
        <w:rPr>
          <w:rFonts w:ascii="宋体" w:hAnsi="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"_Toc165358826" </w:instrText>
      </w:r>
      <w:r>
        <w:rPr>
          <w:color w:val="auto"/>
          <w:highlight w:val="none"/>
        </w:rPr>
        <w:fldChar w:fldCharType="separate"/>
      </w:r>
      <w:r>
        <w:rPr>
          <w:rStyle w:val="54"/>
          <w:rFonts w:ascii="宋体" w:hAnsi="宋体" w:cs="宋体"/>
          <w:color w:val="auto"/>
          <w:kern w:val="44"/>
          <w:highlight w:val="none"/>
        </w:rPr>
        <w:t>第三章 评（定）标办法</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_Toc165358826 \h </w:instrText>
      </w:r>
      <w:r>
        <w:rPr>
          <w:rFonts w:ascii="宋体" w:hAnsi="宋体"/>
          <w:color w:val="auto"/>
          <w:highlight w:val="none"/>
        </w:rPr>
        <w:fldChar w:fldCharType="separate"/>
      </w:r>
      <w:r>
        <w:rPr>
          <w:rFonts w:ascii="宋体" w:hAnsi="宋体"/>
          <w:color w:val="auto"/>
          <w:highlight w:val="none"/>
        </w:rPr>
        <w:t>30</w:t>
      </w:r>
      <w:r>
        <w:rPr>
          <w:rFonts w:ascii="宋体" w:hAnsi="宋体"/>
          <w:color w:val="auto"/>
          <w:highlight w:val="none"/>
        </w:rPr>
        <w:fldChar w:fldCharType="end"/>
      </w:r>
      <w:r>
        <w:rPr>
          <w:rFonts w:ascii="宋体" w:hAnsi="宋体"/>
          <w:color w:val="auto"/>
          <w:highlight w:val="none"/>
        </w:rPr>
        <w:fldChar w:fldCharType="end"/>
      </w:r>
    </w:p>
    <w:p w14:paraId="0BB7B582">
      <w:pPr>
        <w:pStyle w:val="30"/>
        <w:tabs>
          <w:tab w:val="right" w:leader="dot" w:pos="9062"/>
        </w:tabs>
        <w:rPr>
          <w:rFonts w:ascii="宋体" w:hAnsi="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"_Toc165358849" </w:instrText>
      </w:r>
      <w:r>
        <w:rPr>
          <w:color w:val="auto"/>
          <w:highlight w:val="none"/>
        </w:rPr>
        <w:fldChar w:fldCharType="separate"/>
      </w:r>
      <w:r>
        <w:rPr>
          <w:rStyle w:val="54"/>
          <w:rFonts w:ascii="宋体" w:hAnsi="宋体"/>
          <w:color w:val="auto"/>
          <w:highlight w:val="none"/>
        </w:rPr>
        <w:t>第四章 合同条款及格式（另册）</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_Toc165358849 \h </w:instrText>
      </w:r>
      <w:r>
        <w:rPr>
          <w:rFonts w:ascii="宋体" w:hAnsi="宋体"/>
          <w:color w:val="auto"/>
          <w:highlight w:val="none"/>
        </w:rPr>
        <w:fldChar w:fldCharType="separate"/>
      </w:r>
      <w:r>
        <w:rPr>
          <w:rFonts w:ascii="宋体" w:hAnsi="宋体"/>
          <w:color w:val="auto"/>
          <w:highlight w:val="none"/>
        </w:rPr>
        <w:t>45</w:t>
      </w:r>
      <w:r>
        <w:rPr>
          <w:rFonts w:ascii="宋体" w:hAnsi="宋体"/>
          <w:color w:val="auto"/>
          <w:highlight w:val="none"/>
        </w:rPr>
        <w:fldChar w:fldCharType="end"/>
      </w:r>
      <w:r>
        <w:rPr>
          <w:rFonts w:ascii="宋体" w:hAnsi="宋体"/>
          <w:color w:val="auto"/>
          <w:highlight w:val="none"/>
        </w:rPr>
        <w:fldChar w:fldCharType="end"/>
      </w:r>
    </w:p>
    <w:p w14:paraId="7F26CD9D">
      <w:pPr>
        <w:pStyle w:val="30"/>
        <w:tabs>
          <w:tab w:val="right" w:leader="dot" w:pos="9062"/>
        </w:tabs>
        <w:rPr>
          <w:rFonts w:ascii="宋体" w:hAnsi="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"_Toc165358850" </w:instrText>
      </w:r>
      <w:r>
        <w:rPr>
          <w:color w:val="auto"/>
          <w:highlight w:val="none"/>
        </w:rPr>
        <w:fldChar w:fldCharType="separate"/>
      </w:r>
      <w:r>
        <w:rPr>
          <w:rStyle w:val="54"/>
          <w:rFonts w:ascii="宋体" w:hAnsi="宋体"/>
          <w:color w:val="auto"/>
          <w:highlight w:val="none"/>
        </w:rPr>
        <w:t>第五章 发包人要</w:t>
      </w:r>
      <w:bookmarkStart w:id="3" w:name="_Hlt165381860"/>
      <w:r>
        <w:rPr>
          <w:rStyle w:val="54"/>
          <w:rFonts w:ascii="宋体" w:hAnsi="宋体"/>
          <w:color w:val="auto"/>
          <w:highlight w:val="none"/>
        </w:rPr>
        <w:t>求</w:t>
      </w:r>
      <w:bookmarkEnd w:id="3"/>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_Toc165358850 \h </w:instrText>
      </w:r>
      <w:r>
        <w:rPr>
          <w:rFonts w:ascii="宋体" w:hAnsi="宋体"/>
          <w:color w:val="auto"/>
          <w:highlight w:val="none"/>
        </w:rPr>
        <w:fldChar w:fldCharType="separate"/>
      </w:r>
      <w:r>
        <w:rPr>
          <w:rFonts w:ascii="宋体" w:hAnsi="宋体"/>
          <w:color w:val="auto"/>
          <w:highlight w:val="none"/>
        </w:rPr>
        <w:t>46</w:t>
      </w:r>
      <w:r>
        <w:rPr>
          <w:rFonts w:ascii="宋体" w:hAnsi="宋体"/>
          <w:color w:val="auto"/>
          <w:highlight w:val="none"/>
        </w:rPr>
        <w:fldChar w:fldCharType="end"/>
      </w:r>
      <w:r>
        <w:rPr>
          <w:rFonts w:ascii="宋体" w:hAnsi="宋体"/>
          <w:color w:val="auto"/>
          <w:highlight w:val="none"/>
        </w:rPr>
        <w:fldChar w:fldCharType="end"/>
      </w:r>
    </w:p>
    <w:p w14:paraId="558F65B1">
      <w:pPr>
        <w:pStyle w:val="30"/>
        <w:tabs>
          <w:tab w:val="right" w:leader="dot" w:pos="9062"/>
        </w:tabs>
        <w:rPr>
          <w:rFonts w:ascii="宋体" w:hAnsi="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"_Toc165358851" </w:instrText>
      </w:r>
      <w:r>
        <w:rPr>
          <w:color w:val="auto"/>
          <w:highlight w:val="none"/>
        </w:rPr>
        <w:fldChar w:fldCharType="separate"/>
      </w:r>
      <w:r>
        <w:rPr>
          <w:rStyle w:val="54"/>
          <w:rFonts w:ascii="宋体" w:hAnsi="宋体"/>
          <w:color w:val="auto"/>
          <w:highlight w:val="none"/>
        </w:rPr>
        <w:t>第六章  发包人提供的资料</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_Toc165358851 \h </w:instrText>
      </w:r>
      <w:r>
        <w:rPr>
          <w:rFonts w:ascii="宋体" w:hAnsi="宋体"/>
          <w:color w:val="auto"/>
          <w:highlight w:val="none"/>
        </w:rPr>
        <w:fldChar w:fldCharType="separate"/>
      </w:r>
      <w:r>
        <w:rPr>
          <w:rFonts w:ascii="宋体" w:hAnsi="宋体"/>
          <w:color w:val="auto"/>
          <w:highlight w:val="none"/>
        </w:rPr>
        <w:t>46</w:t>
      </w:r>
      <w:r>
        <w:rPr>
          <w:rFonts w:ascii="宋体" w:hAnsi="宋体"/>
          <w:color w:val="auto"/>
          <w:highlight w:val="none"/>
        </w:rPr>
        <w:fldChar w:fldCharType="end"/>
      </w:r>
      <w:r>
        <w:rPr>
          <w:rFonts w:ascii="宋体" w:hAnsi="宋体"/>
          <w:color w:val="auto"/>
          <w:highlight w:val="none"/>
        </w:rPr>
        <w:fldChar w:fldCharType="end"/>
      </w:r>
    </w:p>
    <w:p w14:paraId="4ADA867E">
      <w:pPr>
        <w:pStyle w:val="30"/>
        <w:tabs>
          <w:tab w:val="right" w:leader="dot" w:pos="9062"/>
        </w:tabs>
        <w:rPr>
          <w:rFonts w:ascii="宋体" w:hAnsi="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"_Toc165358852" </w:instrText>
      </w:r>
      <w:r>
        <w:rPr>
          <w:color w:val="auto"/>
          <w:highlight w:val="none"/>
        </w:rPr>
        <w:fldChar w:fldCharType="separate"/>
      </w:r>
      <w:r>
        <w:rPr>
          <w:rStyle w:val="54"/>
          <w:rFonts w:ascii="宋体" w:hAnsi="宋体"/>
          <w:color w:val="auto"/>
          <w:highlight w:val="none"/>
        </w:rPr>
        <w:t>第七章  投标文件格式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_Toc165358852 \h </w:instrText>
      </w:r>
      <w:r>
        <w:rPr>
          <w:rFonts w:ascii="宋体" w:hAnsi="宋体"/>
          <w:color w:val="auto"/>
          <w:highlight w:val="none"/>
        </w:rPr>
        <w:fldChar w:fldCharType="separate"/>
      </w:r>
      <w:r>
        <w:rPr>
          <w:rFonts w:ascii="宋体" w:hAnsi="宋体"/>
          <w:color w:val="auto"/>
          <w:highlight w:val="none"/>
        </w:rPr>
        <w:t>49</w:t>
      </w:r>
      <w:r>
        <w:rPr>
          <w:rFonts w:ascii="宋体" w:hAnsi="宋体"/>
          <w:color w:val="auto"/>
          <w:highlight w:val="none"/>
        </w:rPr>
        <w:fldChar w:fldCharType="end"/>
      </w:r>
      <w:r>
        <w:rPr>
          <w:rFonts w:ascii="宋体" w:hAnsi="宋体"/>
          <w:color w:val="auto"/>
          <w:highlight w:val="none"/>
        </w:rPr>
        <w:fldChar w:fldCharType="end"/>
      </w:r>
    </w:p>
    <w:p w14:paraId="125677D4">
      <w:pPr>
        <w:pStyle w:val="7"/>
        <w:shd w:val="clear" w:color="auto" w:fill="FFFFFF"/>
        <w:spacing w:line="360" w:lineRule="auto"/>
        <w:ind w:firstLine="480"/>
        <w:jc w:val="center"/>
        <w:rPr>
          <w:rFonts w:ascii="宋体" w:hAnsi="宋体"/>
          <w:color w:val="auto"/>
          <w:sz w:val="24"/>
          <w:highlight w:val="none"/>
          <w:shd w:val="clear" w:color="FFFFFF" w:fill="D9D9D9"/>
        </w:rPr>
      </w:pPr>
      <w:r>
        <w:rPr>
          <w:rFonts w:ascii="宋体" w:hAnsi="宋体"/>
          <w:color w:val="auto"/>
          <w:sz w:val="24"/>
          <w:highlight w:val="none"/>
          <w:shd w:val="clear" w:color="FFFFFF" w:fill="D9D9D9"/>
        </w:rPr>
        <w:fldChar w:fldCharType="end"/>
      </w:r>
    </w:p>
    <w:p w14:paraId="29FA3F25">
      <w:pPr>
        <w:pStyle w:val="44"/>
        <w:rPr>
          <w:rFonts w:ascii="宋体" w:hAnsi="宋体"/>
          <w:color w:val="auto"/>
          <w:szCs w:val="28"/>
          <w:highlight w:val="none"/>
          <w:shd w:val="clear" w:color="FFFFFF" w:fill="D9D9D9"/>
        </w:rPr>
      </w:pPr>
      <w:r>
        <w:rPr>
          <w:color w:val="auto"/>
          <w:highlight w:val="none"/>
          <w:shd w:val="clear" w:color="FFFFFF" w:fill="D9D9D9"/>
        </w:rPr>
        <w:br w:type="page"/>
      </w:r>
    </w:p>
    <w:p w14:paraId="7CCACC2B">
      <w:pPr>
        <w:pStyle w:val="2"/>
        <w:jc w:val="center"/>
        <w:rPr>
          <w:rFonts w:ascii="宋体" w:hAnsi="宋体"/>
          <w:color w:val="auto"/>
          <w:highlight w:val="none"/>
        </w:rPr>
      </w:pPr>
      <w:bookmarkStart w:id="4" w:name="_Toc165358747"/>
      <w:bookmarkStart w:id="5" w:name="_Toc21337"/>
      <w:bookmarkStart w:id="6" w:name="_Toc4910"/>
      <w:bookmarkStart w:id="7" w:name="_Toc8601"/>
      <w:bookmarkStart w:id="8" w:name="_Toc1080"/>
      <w:bookmarkStart w:id="9" w:name="_Toc25868"/>
      <w:bookmarkStart w:id="10" w:name="_Toc29410"/>
      <w:bookmarkStart w:id="11" w:name="_Toc485211037"/>
      <w:r>
        <w:rPr>
          <w:rFonts w:hint="eastAsia" w:ascii="宋体" w:hAnsi="宋体"/>
          <w:color w:val="auto"/>
          <w:highlight w:val="none"/>
        </w:rPr>
        <w:t>第一章 招标公告</w:t>
      </w:r>
      <w:bookmarkEnd w:id="4"/>
    </w:p>
    <w:p w14:paraId="7702F5BA">
      <w:pPr>
        <w:pStyle w:val="2"/>
        <w:jc w:val="center"/>
        <w:rPr>
          <w:rFonts w:ascii="宋体" w:hAnsi="宋体"/>
          <w:color w:val="auto"/>
          <w:highlight w:val="none"/>
        </w:rPr>
      </w:pPr>
      <w:bookmarkStart w:id="12" w:name="_Toc165358748"/>
      <w:bookmarkStart w:id="13" w:name="_Toc165358613"/>
      <w:r>
        <w:rPr>
          <w:rFonts w:hint="eastAsia" w:ascii="宋体" w:hAnsi="宋体"/>
          <w:color w:val="auto"/>
          <w:highlight w:val="none"/>
        </w:rPr>
        <w:t>（另册）</w:t>
      </w:r>
      <w:bookmarkEnd w:id="12"/>
      <w:bookmarkEnd w:id="13"/>
    </w:p>
    <w:p w14:paraId="7EE68BCD">
      <w:pPr>
        <w:pStyle w:val="23"/>
        <w:rPr>
          <w:rFonts w:hAnsi="宋体" w:cs="宋体"/>
          <w:b/>
          <w:bCs/>
          <w:color w:val="auto"/>
          <w:sz w:val="44"/>
          <w:szCs w:val="44"/>
          <w:highlight w:val="none"/>
        </w:rPr>
      </w:pPr>
    </w:p>
    <w:p w14:paraId="10C0B148">
      <w:pPr>
        <w:pStyle w:val="23"/>
        <w:rPr>
          <w:rFonts w:hAnsi="宋体" w:cs="宋体"/>
          <w:b/>
          <w:bCs/>
          <w:color w:val="auto"/>
          <w:sz w:val="44"/>
          <w:szCs w:val="44"/>
          <w:highlight w:val="none"/>
        </w:rPr>
      </w:pPr>
    </w:p>
    <w:p w14:paraId="44E4A2AD">
      <w:pPr>
        <w:pStyle w:val="23"/>
        <w:rPr>
          <w:rFonts w:hAnsi="宋体" w:cs="宋体"/>
          <w:b/>
          <w:bCs/>
          <w:color w:val="auto"/>
          <w:sz w:val="44"/>
          <w:szCs w:val="44"/>
          <w:highlight w:val="none"/>
        </w:rPr>
      </w:pPr>
    </w:p>
    <w:p w14:paraId="380C0520">
      <w:pPr>
        <w:pStyle w:val="23"/>
        <w:rPr>
          <w:rFonts w:hAnsi="宋体" w:cs="宋体"/>
          <w:b/>
          <w:bCs/>
          <w:color w:val="auto"/>
          <w:sz w:val="44"/>
          <w:szCs w:val="44"/>
          <w:highlight w:val="none"/>
        </w:rPr>
      </w:pPr>
    </w:p>
    <w:p w14:paraId="57491634">
      <w:pPr>
        <w:pStyle w:val="23"/>
        <w:rPr>
          <w:rFonts w:hAnsi="宋体" w:cs="宋体"/>
          <w:b/>
          <w:bCs/>
          <w:color w:val="auto"/>
          <w:sz w:val="44"/>
          <w:szCs w:val="44"/>
          <w:highlight w:val="none"/>
        </w:rPr>
      </w:pPr>
    </w:p>
    <w:p w14:paraId="285E5856">
      <w:pPr>
        <w:pStyle w:val="23"/>
        <w:rPr>
          <w:rFonts w:hAnsi="宋体" w:cs="宋体"/>
          <w:b/>
          <w:bCs/>
          <w:color w:val="auto"/>
          <w:sz w:val="44"/>
          <w:szCs w:val="44"/>
          <w:highlight w:val="none"/>
        </w:rPr>
      </w:pPr>
    </w:p>
    <w:p w14:paraId="64B97A6D">
      <w:pPr>
        <w:pStyle w:val="23"/>
        <w:rPr>
          <w:rFonts w:hAnsi="宋体" w:cs="宋体"/>
          <w:b/>
          <w:bCs/>
          <w:color w:val="auto"/>
          <w:sz w:val="44"/>
          <w:szCs w:val="44"/>
          <w:highlight w:val="none"/>
        </w:rPr>
      </w:pPr>
    </w:p>
    <w:p w14:paraId="4DDA4727">
      <w:pPr>
        <w:pStyle w:val="23"/>
        <w:rPr>
          <w:rFonts w:hAnsi="宋体" w:cs="宋体"/>
          <w:b/>
          <w:bCs/>
          <w:color w:val="auto"/>
          <w:sz w:val="44"/>
          <w:szCs w:val="44"/>
          <w:highlight w:val="none"/>
        </w:rPr>
      </w:pPr>
    </w:p>
    <w:p w14:paraId="12D1BF57">
      <w:pPr>
        <w:pStyle w:val="23"/>
        <w:rPr>
          <w:rFonts w:hAnsi="宋体" w:cs="宋体"/>
          <w:b/>
          <w:bCs/>
          <w:color w:val="auto"/>
          <w:sz w:val="44"/>
          <w:szCs w:val="44"/>
          <w:highlight w:val="none"/>
        </w:rPr>
      </w:pPr>
    </w:p>
    <w:p w14:paraId="398834D6">
      <w:pPr>
        <w:rPr>
          <w:rFonts w:ascii="宋体" w:hAnsi="宋体"/>
          <w:color w:val="auto"/>
          <w:highlight w:val="none"/>
        </w:rPr>
      </w:pPr>
    </w:p>
    <w:p w14:paraId="6DE97DEB">
      <w:pPr>
        <w:pStyle w:val="23"/>
        <w:rPr>
          <w:rFonts w:hAnsi="宋体"/>
          <w:color w:val="auto"/>
          <w:highlight w:val="none"/>
        </w:rPr>
      </w:pPr>
    </w:p>
    <w:p w14:paraId="33752565">
      <w:pPr>
        <w:rPr>
          <w:rFonts w:ascii="宋体" w:hAnsi="宋体"/>
          <w:color w:val="auto"/>
          <w:highlight w:val="none"/>
        </w:rPr>
      </w:pPr>
    </w:p>
    <w:p w14:paraId="22B3504F">
      <w:pPr>
        <w:pStyle w:val="23"/>
        <w:rPr>
          <w:rFonts w:hAnsi="宋体"/>
          <w:color w:val="auto"/>
          <w:highlight w:val="none"/>
        </w:rPr>
      </w:pPr>
    </w:p>
    <w:p w14:paraId="12A75A88">
      <w:pPr>
        <w:rPr>
          <w:rFonts w:ascii="宋体" w:hAnsi="宋体"/>
          <w:color w:val="auto"/>
          <w:highlight w:val="none"/>
        </w:rPr>
      </w:pPr>
    </w:p>
    <w:p w14:paraId="591055C4">
      <w:pPr>
        <w:pStyle w:val="23"/>
        <w:rPr>
          <w:rFonts w:hAnsi="宋体"/>
          <w:color w:val="auto"/>
          <w:highlight w:val="none"/>
        </w:rPr>
      </w:pPr>
    </w:p>
    <w:p w14:paraId="51E78243">
      <w:pPr>
        <w:rPr>
          <w:rFonts w:ascii="宋体" w:hAnsi="宋体"/>
          <w:color w:val="auto"/>
          <w:highlight w:val="none"/>
        </w:rPr>
      </w:pPr>
    </w:p>
    <w:p w14:paraId="2C988301">
      <w:pPr>
        <w:pStyle w:val="23"/>
        <w:rPr>
          <w:rFonts w:hAnsi="宋体"/>
          <w:color w:val="auto"/>
          <w:highlight w:val="none"/>
        </w:rPr>
      </w:pPr>
    </w:p>
    <w:p w14:paraId="42516791">
      <w:pPr>
        <w:rPr>
          <w:rFonts w:ascii="宋体" w:hAnsi="宋体"/>
          <w:color w:val="auto"/>
          <w:highlight w:val="none"/>
        </w:rPr>
      </w:pPr>
    </w:p>
    <w:p w14:paraId="1C8B7C96">
      <w:pPr>
        <w:pStyle w:val="23"/>
        <w:rPr>
          <w:rFonts w:hAnsi="宋体"/>
          <w:color w:val="auto"/>
          <w:highlight w:val="none"/>
        </w:rPr>
      </w:pPr>
    </w:p>
    <w:p w14:paraId="1ABB852C">
      <w:pPr>
        <w:rPr>
          <w:rFonts w:ascii="宋体" w:hAnsi="宋体"/>
          <w:color w:val="auto"/>
          <w:highlight w:val="none"/>
        </w:rPr>
      </w:pPr>
    </w:p>
    <w:p w14:paraId="3808B4FE">
      <w:pPr>
        <w:pStyle w:val="23"/>
        <w:rPr>
          <w:rFonts w:hAnsi="宋体"/>
          <w:color w:val="auto"/>
          <w:highlight w:val="none"/>
        </w:rPr>
      </w:pPr>
    </w:p>
    <w:p w14:paraId="191A5394">
      <w:pPr>
        <w:pStyle w:val="23"/>
        <w:rPr>
          <w:rFonts w:hAnsi="宋体" w:cs="宋体"/>
          <w:b/>
          <w:bCs/>
          <w:color w:val="auto"/>
          <w:sz w:val="44"/>
          <w:szCs w:val="44"/>
          <w:highlight w:val="none"/>
        </w:rPr>
      </w:pPr>
    </w:p>
    <w:p w14:paraId="584360F1">
      <w:pPr>
        <w:pStyle w:val="2"/>
        <w:jc w:val="center"/>
        <w:rPr>
          <w:rFonts w:ascii="宋体" w:hAnsi="宋体"/>
          <w:color w:val="auto"/>
          <w:highlight w:val="none"/>
        </w:rPr>
      </w:pPr>
      <w:bookmarkStart w:id="14" w:name="_Toc165358749"/>
      <w:r>
        <w:rPr>
          <w:rFonts w:hint="eastAsia" w:ascii="宋体" w:hAnsi="宋体"/>
          <w:color w:val="auto"/>
          <w:highlight w:val="none"/>
        </w:rPr>
        <w:t>第二章 投标人须知</w:t>
      </w:r>
      <w:bookmarkEnd w:id="5"/>
      <w:bookmarkEnd w:id="6"/>
      <w:bookmarkEnd w:id="7"/>
      <w:bookmarkEnd w:id="8"/>
      <w:bookmarkEnd w:id="9"/>
      <w:bookmarkEnd w:id="10"/>
      <w:bookmarkEnd w:id="11"/>
      <w:bookmarkEnd w:id="14"/>
    </w:p>
    <w:p w14:paraId="44756CF9">
      <w:pPr>
        <w:pStyle w:val="3"/>
        <w:spacing w:line="360" w:lineRule="auto"/>
        <w:jc w:val="center"/>
        <w:rPr>
          <w:rFonts w:ascii="宋体" w:hAnsi="宋体" w:eastAsia="宋体"/>
          <w:color w:val="auto"/>
          <w:highlight w:val="none"/>
        </w:rPr>
      </w:pPr>
      <w:bookmarkStart w:id="15" w:name="_Toc362816479"/>
      <w:bookmarkStart w:id="16" w:name="_Toc300834948"/>
      <w:bookmarkStart w:id="17" w:name="_Toc165358615"/>
      <w:bookmarkStart w:id="18" w:name="_Toc247513951"/>
      <w:bookmarkStart w:id="19" w:name="_Toc357089510"/>
      <w:bookmarkStart w:id="20" w:name="_Toc16564"/>
      <w:bookmarkStart w:id="21" w:name="_Toc144974496"/>
      <w:bookmarkStart w:id="22" w:name="_Toc492453777"/>
      <w:bookmarkStart w:id="23" w:name="_Toc1323"/>
      <w:bookmarkStart w:id="24" w:name="_Toc443505821"/>
      <w:bookmarkStart w:id="25" w:name="_Toc152045528"/>
      <w:bookmarkStart w:id="26" w:name="_Toc3632"/>
      <w:bookmarkStart w:id="27" w:name="_Toc152042304"/>
      <w:bookmarkStart w:id="28" w:name="_Toc86413247"/>
      <w:bookmarkStart w:id="29" w:name="_Toc247527552"/>
      <w:bookmarkStart w:id="30" w:name="_Toc49303758"/>
      <w:bookmarkStart w:id="31" w:name="_Toc29187"/>
      <w:bookmarkStart w:id="32" w:name="_Toc165358750"/>
      <w:bookmarkStart w:id="33" w:name="_Toc361"/>
      <w:bookmarkStart w:id="34" w:name="_Toc24965"/>
      <w:bookmarkStart w:id="35" w:name="_Toc1821"/>
      <w:bookmarkStart w:id="36" w:name="_Toc9291"/>
      <w:bookmarkStart w:id="37" w:name="_Toc14621"/>
      <w:r>
        <w:rPr>
          <w:rFonts w:hint="eastAsia" w:ascii="宋体" w:hAnsi="宋体" w:eastAsia="宋体" w:cs="宋体"/>
          <w:color w:val="auto"/>
          <w:highlight w:val="none"/>
        </w:rPr>
        <w:t>投标人须知前附表</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bl>
      <w:tblPr>
        <w:tblStyle w:val="45"/>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891"/>
        <w:gridCol w:w="18"/>
        <w:gridCol w:w="6245"/>
      </w:tblGrid>
      <w:tr w14:paraId="583C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55" w:type="dxa"/>
            <w:vAlign w:val="center"/>
          </w:tcPr>
          <w:p w14:paraId="513A3348">
            <w:pPr>
              <w:keepNext w:val="0"/>
              <w:keepLines w:val="0"/>
              <w:pageBreakBefore w:val="0"/>
              <w:kinsoku/>
              <w:wordWrap/>
              <w:overflowPunct/>
              <w:autoSpaceDE/>
              <w:autoSpaceDN/>
              <w:bidi w:val="0"/>
              <w:snapToGrid w:val="0"/>
              <w:spacing w:line="240" w:lineRule="auto"/>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2891" w:type="dxa"/>
            <w:vAlign w:val="center"/>
          </w:tcPr>
          <w:p w14:paraId="77DADCBD">
            <w:pPr>
              <w:keepNext w:val="0"/>
              <w:keepLines w:val="0"/>
              <w:pageBreakBefore w:val="0"/>
              <w:kinsoku/>
              <w:wordWrap/>
              <w:overflowPunct/>
              <w:autoSpaceDE/>
              <w:autoSpaceDN/>
              <w:bidi w:val="0"/>
              <w:snapToGrid w:val="0"/>
              <w:spacing w:line="240" w:lineRule="auto"/>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  款  名  称</w:t>
            </w:r>
          </w:p>
        </w:tc>
        <w:tc>
          <w:tcPr>
            <w:tcW w:w="6263" w:type="dxa"/>
            <w:gridSpan w:val="2"/>
            <w:vAlign w:val="center"/>
          </w:tcPr>
          <w:p w14:paraId="353E0E8A">
            <w:pPr>
              <w:keepNext w:val="0"/>
              <w:keepLines w:val="0"/>
              <w:pageBreakBefore w:val="0"/>
              <w:kinsoku/>
              <w:wordWrap/>
              <w:overflowPunct/>
              <w:autoSpaceDE/>
              <w:autoSpaceDN/>
              <w:bidi w:val="0"/>
              <w:snapToGrid w:val="0"/>
              <w:spacing w:line="240" w:lineRule="auto"/>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  列  内  容</w:t>
            </w:r>
          </w:p>
        </w:tc>
      </w:tr>
      <w:tr w14:paraId="3758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194A3208">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2891" w:type="dxa"/>
            <w:vAlign w:val="center"/>
          </w:tcPr>
          <w:p w14:paraId="09E0F5CA">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w:t>
            </w:r>
          </w:p>
        </w:tc>
        <w:tc>
          <w:tcPr>
            <w:tcW w:w="6263" w:type="dxa"/>
            <w:gridSpan w:val="2"/>
            <w:vAlign w:val="center"/>
          </w:tcPr>
          <w:p w14:paraId="76ABC712">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w:t>
            </w:r>
            <w:r>
              <w:rPr>
                <w:rFonts w:hint="eastAsia" w:ascii="宋体" w:hAnsi="宋体" w:eastAsia="宋体" w:cs="宋体"/>
                <w:color w:val="auto"/>
                <w:sz w:val="21"/>
                <w:szCs w:val="21"/>
                <w:highlight w:val="none"/>
                <w:u w:val="single"/>
              </w:rPr>
              <w:t>科学城（广州）城市更新集团有限公司</w:t>
            </w:r>
          </w:p>
          <w:p w14:paraId="30BB5F58">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广州市黄埔区开创大道2507号雪松中心2号楼6楼</w:t>
            </w:r>
          </w:p>
          <w:p w14:paraId="5FC3F322">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朱工</w:t>
            </w:r>
          </w:p>
          <w:p w14:paraId="7144380C">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18620500796</w:t>
            </w:r>
          </w:p>
        </w:tc>
      </w:tr>
      <w:tr w14:paraId="0A57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13AA5DE7">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2891" w:type="dxa"/>
            <w:vAlign w:val="center"/>
          </w:tcPr>
          <w:p w14:paraId="3C2E520B">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招标代理机构</w:t>
            </w:r>
          </w:p>
        </w:tc>
        <w:tc>
          <w:tcPr>
            <w:tcW w:w="6263" w:type="dxa"/>
            <w:gridSpan w:val="2"/>
            <w:vAlign w:val="center"/>
          </w:tcPr>
          <w:p w14:paraId="46C22F11">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lang w:eastAsia="zh-CN"/>
              </w:rPr>
              <w:t>广州市房实建设工程管理有限公司</w:t>
            </w:r>
          </w:p>
          <w:p w14:paraId="36AF2E51">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广州市越秀区东风中路318号嘉业大厦2903室</w:t>
            </w:r>
          </w:p>
          <w:p w14:paraId="46B4E671">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lang w:val="en-US" w:eastAsia="zh-CN"/>
              </w:rPr>
              <w:t>何</w:t>
            </w:r>
            <w:r>
              <w:rPr>
                <w:rFonts w:hint="eastAsia" w:ascii="宋体" w:hAnsi="宋体" w:eastAsia="宋体" w:cs="宋体"/>
                <w:color w:val="auto"/>
                <w:sz w:val="21"/>
                <w:szCs w:val="21"/>
                <w:highlight w:val="none"/>
                <w:u w:val="single"/>
              </w:rPr>
              <w:t>工</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姚工</w:t>
            </w:r>
          </w:p>
          <w:p w14:paraId="2E131269">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020-83383274</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18011918872</w:t>
            </w:r>
          </w:p>
        </w:tc>
      </w:tr>
      <w:tr w14:paraId="07B22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228D163C">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2891" w:type="dxa"/>
            <w:vAlign w:val="center"/>
          </w:tcPr>
          <w:p w14:paraId="0C973AB5">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项目名称（工程名称）</w:t>
            </w:r>
          </w:p>
        </w:tc>
        <w:tc>
          <w:tcPr>
            <w:tcW w:w="6263" w:type="dxa"/>
            <w:gridSpan w:val="2"/>
            <w:vAlign w:val="center"/>
          </w:tcPr>
          <w:p w14:paraId="4E132808">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eastAsia="zh-CN"/>
              </w:rPr>
              <w:t>广州市黄埔区新龙镇金坑村银岭片区城中村改造项目复建地块AZ-01建设项目施工图设计、施工总承包工程</w:t>
            </w:r>
          </w:p>
        </w:tc>
      </w:tr>
      <w:tr w14:paraId="3502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38C38A71">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2891" w:type="dxa"/>
            <w:vAlign w:val="center"/>
          </w:tcPr>
          <w:p w14:paraId="36369A85">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w:t>
            </w:r>
          </w:p>
        </w:tc>
        <w:tc>
          <w:tcPr>
            <w:tcW w:w="6263" w:type="dxa"/>
            <w:gridSpan w:val="2"/>
            <w:vAlign w:val="center"/>
          </w:tcPr>
          <w:p w14:paraId="2E7EA69D">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详见本项目招标公告。</w:t>
            </w:r>
          </w:p>
        </w:tc>
      </w:tr>
      <w:tr w14:paraId="2947E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13442C0F">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2891" w:type="dxa"/>
            <w:vAlign w:val="center"/>
          </w:tcPr>
          <w:p w14:paraId="0DBFE629">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资金来源及比例</w:t>
            </w:r>
          </w:p>
        </w:tc>
        <w:tc>
          <w:tcPr>
            <w:tcW w:w="6263" w:type="dxa"/>
            <w:gridSpan w:val="2"/>
            <w:vAlign w:val="center"/>
          </w:tcPr>
          <w:p w14:paraId="65744FD0">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详见本项目招标公告。</w:t>
            </w:r>
          </w:p>
        </w:tc>
      </w:tr>
      <w:tr w14:paraId="4C41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7289E031">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p>
        </w:tc>
        <w:tc>
          <w:tcPr>
            <w:tcW w:w="2891" w:type="dxa"/>
            <w:vAlign w:val="center"/>
          </w:tcPr>
          <w:p w14:paraId="485B431B">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资金落实情况</w:t>
            </w:r>
          </w:p>
        </w:tc>
        <w:tc>
          <w:tcPr>
            <w:tcW w:w="6263" w:type="dxa"/>
            <w:gridSpan w:val="2"/>
            <w:vAlign w:val="center"/>
          </w:tcPr>
          <w:p w14:paraId="24648F7D">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已经落实。</w:t>
            </w:r>
          </w:p>
        </w:tc>
      </w:tr>
      <w:tr w14:paraId="5ACA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608A4358">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2891" w:type="dxa"/>
            <w:vAlign w:val="center"/>
          </w:tcPr>
          <w:p w14:paraId="6340B774">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招标范围</w:t>
            </w:r>
          </w:p>
        </w:tc>
        <w:tc>
          <w:tcPr>
            <w:tcW w:w="6263" w:type="dxa"/>
            <w:gridSpan w:val="2"/>
            <w:vAlign w:val="center"/>
          </w:tcPr>
          <w:p w14:paraId="61091C2C">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详见本项目招标公告及合同约定条款。</w:t>
            </w:r>
          </w:p>
        </w:tc>
      </w:tr>
      <w:tr w14:paraId="28DA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2FCE9BEE">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2891" w:type="dxa"/>
            <w:vAlign w:val="center"/>
          </w:tcPr>
          <w:p w14:paraId="0B6A0B7D">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计划工期</w:t>
            </w:r>
          </w:p>
        </w:tc>
        <w:tc>
          <w:tcPr>
            <w:tcW w:w="6263" w:type="dxa"/>
            <w:gridSpan w:val="2"/>
            <w:vAlign w:val="center"/>
          </w:tcPr>
          <w:p w14:paraId="4CAD9E29">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详见本项目招标公告及合同约定条款。</w:t>
            </w:r>
          </w:p>
        </w:tc>
      </w:tr>
      <w:tr w14:paraId="08C6D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25463B75">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2891" w:type="dxa"/>
            <w:vAlign w:val="center"/>
          </w:tcPr>
          <w:p w14:paraId="6F233F21">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6263" w:type="dxa"/>
            <w:gridSpan w:val="2"/>
            <w:vAlign w:val="center"/>
          </w:tcPr>
          <w:p w14:paraId="4A95FC86">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详见本项目招标公告。</w:t>
            </w:r>
          </w:p>
        </w:tc>
      </w:tr>
      <w:tr w14:paraId="2D36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763A027D">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2891" w:type="dxa"/>
            <w:vAlign w:val="center"/>
          </w:tcPr>
          <w:p w14:paraId="007B196B">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投标人资质条件、能力和信誉</w:t>
            </w:r>
          </w:p>
        </w:tc>
        <w:tc>
          <w:tcPr>
            <w:tcW w:w="6263" w:type="dxa"/>
            <w:gridSpan w:val="2"/>
            <w:vAlign w:val="center"/>
          </w:tcPr>
          <w:p w14:paraId="334FB194">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详见本项目招标公告。</w:t>
            </w:r>
          </w:p>
        </w:tc>
      </w:tr>
      <w:tr w14:paraId="29CC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2DD71ADD">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2891" w:type="dxa"/>
            <w:vAlign w:val="center"/>
          </w:tcPr>
          <w:p w14:paraId="2DE610D3">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6263" w:type="dxa"/>
            <w:gridSpan w:val="2"/>
            <w:vAlign w:val="center"/>
          </w:tcPr>
          <w:p w14:paraId="745D3DE0">
            <w:pPr>
              <w:pStyle w:val="194"/>
              <w:keepNext w:val="0"/>
              <w:keepLines w:val="0"/>
              <w:pageBreakBefore w:val="0"/>
              <w:kinsoku/>
              <w:wordWrap/>
              <w:overflowPunct/>
              <w:topLine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w:t>
            </w:r>
          </w:p>
          <w:p w14:paraId="5841F9A8">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■接受，应满足下列要求：详见招标公告</w:t>
            </w:r>
          </w:p>
        </w:tc>
      </w:tr>
      <w:tr w14:paraId="7132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2ED0661D">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891" w:type="dxa"/>
            <w:vAlign w:val="center"/>
          </w:tcPr>
          <w:p w14:paraId="624A29DD">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费用承担和设计成果补偿</w:t>
            </w:r>
          </w:p>
        </w:tc>
        <w:tc>
          <w:tcPr>
            <w:tcW w:w="6263" w:type="dxa"/>
            <w:gridSpan w:val="2"/>
            <w:vAlign w:val="center"/>
          </w:tcPr>
          <w:p w14:paraId="13BA8635">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■不补偿</w:t>
            </w:r>
          </w:p>
          <w:p w14:paraId="1CF2AF5D">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补偿，补偿标准：见</w:t>
            </w:r>
            <w:r>
              <w:rPr>
                <w:rFonts w:hint="eastAsia" w:ascii="宋体" w:hAnsi="宋体" w:eastAsia="宋体" w:cs="宋体"/>
                <w:color w:val="auto"/>
                <w:kern w:val="0"/>
                <w:sz w:val="21"/>
                <w:szCs w:val="21"/>
                <w:highlight w:val="none"/>
              </w:rPr>
              <w:t>本项目</w:t>
            </w:r>
            <w:r>
              <w:rPr>
                <w:rFonts w:hint="eastAsia" w:ascii="宋体" w:hAnsi="宋体" w:eastAsia="宋体" w:cs="宋体"/>
                <w:color w:val="auto"/>
                <w:sz w:val="21"/>
                <w:szCs w:val="21"/>
                <w:highlight w:val="none"/>
              </w:rPr>
              <w:t>招标公告</w:t>
            </w:r>
          </w:p>
        </w:tc>
      </w:tr>
      <w:tr w14:paraId="6B9A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3EEC41D2">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2891" w:type="dxa"/>
            <w:vAlign w:val="center"/>
          </w:tcPr>
          <w:p w14:paraId="6409820E">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w:t>
            </w:r>
          </w:p>
        </w:tc>
        <w:tc>
          <w:tcPr>
            <w:tcW w:w="6263" w:type="dxa"/>
            <w:gridSpan w:val="2"/>
            <w:vAlign w:val="center"/>
          </w:tcPr>
          <w:p w14:paraId="411151F4">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w:t>
            </w:r>
            <w:r>
              <w:rPr>
                <w:rFonts w:hint="eastAsia" w:ascii="宋体" w:hAnsi="宋体" w:eastAsia="宋体" w:cs="宋体"/>
                <w:color w:val="auto"/>
                <w:sz w:val="21"/>
                <w:szCs w:val="21"/>
                <w:highlight w:val="none"/>
                <w:u w:val="single"/>
              </w:rPr>
              <w:t>自行踏勘。投标人自行实地了解、勘察现场情况，投标人不进行踏勘的，视为已熟知现场条件，自行承担相关风险，中标后不得以对现场不熟悉而提出增加费用。</w:t>
            </w:r>
          </w:p>
          <w:p w14:paraId="47B03CB8">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□组织，踏勘时间：</w:t>
            </w:r>
          </w:p>
          <w:p w14:paraId="77C493D2">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踏勘集中地点：</w:t>
            </w:r>
          </w:p>
        </w:tc>
      </w:tr>
      <w:tr w14:paraId="4B82E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6152AB68">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1.10.1</w:t>
            </w:r>
          </w:p>
        </w:tc>
        <w:tc>
          <w:tcPr>
            <w:tcW w:w="2891" w:type="dxa"/>
            <w:vAlign w:val="center"/>
          </w:tcPr>
          <w:p w14:paraId="693CCCF0">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6263" w:type="dxa"/>
            <w:gridSpan w:val="2"/>
            <w:vAlign w:val="center"/>
          </w:tcPr>
          <w:p w14:paraId="4779F8E8">
            <w:pPr>
              <w:keepNext w:val="0"/>
              <w:keepLines w:val="0"/>
              <w:pageBreakBefore w:val="0"/>
              <w:kinsoku/>
              <w:wordWrap/>
              <w:overflowPunct/>
              <w:autoSpaceDE/>
              <w:autoSpaceDN/>
              <w:bidi w:val="0"/>
              <w:adjustRightInd w:val="0"/>
              <w:snapToGrid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r>
              <w:rPr>
                <w:rFonts w:hint="eastAsia" w:ascii="宋体" w:hAnsi="宋体" w:eastAsia="宋体" w:cs="宋体"/>
                <w:color w:val="auto"/>
                <w:sz w:val="21"/>
                <w:szCs w:val="21"/>
                <w:highlight w:val="none"/>
                <w:u w:val="single"/>
              </w:rPr>
              <w:t>全过程电子化项目，不举行线下投标预备会，不召开投标预备会。</w:t>
            </w:r>
          </w:p>
          <w:p w14:paraId="2BCF3E30">
            <w:pPr>
              <w:keepNext w:val="0"/>
              <w:keepLines w:val="0"/>
              <w:pageBreakBefore w:val="0"/>
              <w:kinsoku/>
              <w:wordWrap/>
              <w:overflowPunct/>
              <w:autoSpaceDE/>
              <w:autoSpaceDN/>
              <w:bidi w:val="0"/>
              <w:adjustRightInd w:val="0"/>
              <w:snapToGrid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□召开，召开时间：</w:t>
            </w:r>
          </w:p>
          <w:p w14:paraId="01F96172">
            <w:pPr>
              <w:keepNext w:val="0"/>
              <w:keepLines w:val="0"/>
              <w:pageBreakBefore w:val="0"/>
              <w:kinsoku/>
              <w:wordWrap/>
              <w:overflowPunct/>
              <w:autoSpaceDE/>
              <w:autoSpaceDN/>
              <w:bidi w:val="0"/>
              <w:adjustRightInd w:val="0"/>
              <w:snapToGrid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召开地点：</w:t>
            </w:r>
          </w:p>
        </w:tc>
      </w:tr>
      <w:tr w14:paraId="78C2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13C0FB90">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1.10.2</w:t>
            </w:r>
          </w:p>
        </w:tc>
        <w:tc>
          <w:tcPr>
            <w:tcW w:w="2891" w:type="dxa"/>
            <w:vAlign w:val="center"/>
          </w:tcPr>
          <w:p w14:paraId="08905C82">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投标人提出问题的截止时间</w:t>
            </w:r>
          </w:p>
        </w:tc>
        <w:tc>
          <w:tcPr>
            <w:tcW w:w="6263" w:type="dxa"/>
            <w:gridSpan w:val="2"/>
            <w:vAlign w:val="center"/>
          </w:tcPr>
          <w:p w14:paraId="7E66F1F0">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1.本项目采用网上答疑方式。</w:t>
            </w:r>
          </w:p>
          <w:p w14:paraId="35B3B32C">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2.投标人疑问期限：在投标截止日期前18日，将投标疑问通过广州交易集团有限公司（广州公共资源交易中心）交易平台提交。</w:t>
            </w:r>
          </w:p>
          <w:p w14:paraId="7B868B37">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3.招标人澄清、修补或答疑期限：在递交投标文件截止日期前15日，答疑纪要在广州交易集团有限公司（广州公共资源交易中心）（http://www.gzggzy.cn/）、广东省招标投标监管网发布。</w:t>
            </w:r>
          </w:p>
        </w:tc>
      </w:tr>
      <w:tr w14:paraId="2D4F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15137448">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1.10.3</w:t>
            </w:r>
          </w:p>
        </w:tc>
        <w:tc>
          <w:tcPr>
            <w:tcW w:w="2891" w:type="dxa"/>
            <w:vAlign w:val="center"/>
          </w:tcPr>
          <w:p w14:paraId="6863E7C1">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招标人书面澄清的时间</w:t>
            </w:r>
          </w:p>
        </w:tc>
        <w:tc>
          <w:tcPr>
            <w:tcW w:w="6263" w:type="dxa"/>
            <w:gridSpan w:val="2"/>
            <w:vAlign w:val="center"/>
          </w:tcPr>
          <w:p w14:paraId="40E4DCC6">
            <w:pPr>
              <w:keepNext w:val="0"/>
              <w:keepLines w:val="0"/>
              <w:pageBreakBefore w:val="0"/>
              <w:widowControl/>
              <w:kinsoku/>
              <w:wordWrap/>
              <w:overflowPunct/>
              <w:autoSpaceDE/>
              <w:autoSpaceDN/>
              <w:bidi w:val="0"/>
              <w:spacing w:line="240" w:lineRule="auto"/>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p>
        </w:tc>
      </w:tr>
      <w:tr w14:paraId="174AC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6F4B7AEE">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w:t>
            </w:r>
          </w:p>
        </w:tc>
        <w:tc>
          <w:tcPr>
            <w:tcW w:w="2891" w:type="dxa"/>
            <w:vAlign w:val="center"/>
          </w:tcPr>
          <w:p w14:paraId="133B9731">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招标人规定由分包人承担的工作</w:t>
            </w:r>
          </w:p>
        </w:tc>
        <w:tc>
          <w:tcPr>
            <w:tcW w:w="6263" w:type="dxa"/>
            <w:gridSpan w:val="2"/>
            <w:vAlign w:val="center"/>
          </w:tcPr>
          <w:p w14:paraId="361DA57D">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rPr>
              <w:t>无。</w:t>
            </w:r>
          </w:p>
        </w:tc>
      </w:tr>
      <w:tr w14:paraId="05AE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653F82A7">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w:t>
            </w:r>
          </w:p>
        </w:tc>
        <w:tc>
          <w:tcPr>
            <w:tcW w:w="2891" w:type="dxa"/>
            <w:vAlign w:val="center"/>
          </w:tcPr>
          <w:p w14:paraId="36DCCEFD">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投标人拟分包的工作</w:t>
            </w:r>
          </w:p>
        </w:tc>
        <w:tc>
          <w:tcPr>
            <w:tcW w:w="6263" w:type="dxa"/>
            <w:gridSpan w:val="2"/>
            <w:vAlign w:val="center"/>
          </w:tcPr>
          <w:p w14:paraId="275C10F9">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p w14:paraId="4B6AB048">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w:t>
            </w:r>
            <w:r>
              <w:rPr>
                <w:rFonts w:hint="eastAsia" w:ascii="宋体" w:hAnsi="宋体" w:eastAsia="宋体" w:cs="宋体"/>
                <w:color w:val="auto"/>
                <w:sz w:val="21"/>
                <w:szCs w:val="21"/>
                <w:highlight w:val="none"/>
                <w:u w:val="single"/>
              </w:rPr>
              <w:t>经招标人同意，中标人可以把中标项目的部分非主体、非关键性工作分包给具有相应资质和能力的专业单位实施，但不得再次分包。</w:t>
            </w:r>
          </w:p>
        </w:tc>
      </w:tr>
      <w:tr w14:paraId="7F35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71FC6A22">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2891" w:type="dxa"/>
            <w:vAlign w:val="center"/>
          </w:tcPr>
          <w:p w14:paraId="47DF9B86">
            <w:pPr>
              <w:keepNext w:val="0"/>
              <w:keepLines w:val="0"/>
              <w:pageBreakBefore w:val="0"/>
              <w:widowControl/>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w:t>
            </w:r>
          </w:p>
        </w:tc>
        <w:tc>
          <w:tcPr>
            <w:tcW w:w="6263" w:type="dxa"/>
            <w:gridSpan w:val="2"/>
            <w:vAlign w:val="center"/>
          </w:tcPr>
          <w:p w14:paraId="27498E9E">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p w14:paraId="7D6906D0">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□允许，允许偏离的内容、偏离范围和幅度</w:t>
            </w:r>
          </w:p>
        </w:tc>
      </w:tr>
      <w:tr w14:paraId="73CD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12AA4BE4">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891" w:type="dxa"/>
            <w:vAlign w:val="center"/>
          </w:tcPr>
          <w:p w14:paraId="6D1FA5DB">
            <w:pPr>
              <w:keepNext w:val="0"/>
              <w:keepLines w:val="0"/>
              <w:pageBreakBefore w:val="0"/>
              <w:widowControl/>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构成招标文件的其他资料</w:t>
            </w:r>
          </w:p>
        </w:tc>
        <w:tc>
          <w:tcPr>
            <w:tcW w:w="6263" w:type="dxa"/>
            <w:gridSpan w:val="2"/>
            <w:vAlign w:val="center"/>
          </w:tcPr>
          <w:p w14:paraId="7EA1E4EA">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补充公告、答疑纪要、澄清文件等（如有）</w:t>
            </w:r>
          </w:p>
        </w:tc>
      </w:tr>
      <w:tr w14:paraId="2E5FF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3F8D0F30">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891" w:type="dxa"/>
            <w:vAlign w:val="center"/>
          </w:tcPr>
          <w:p w14:paraId="5BC2808B">
            <w:pPr>
              <w:keepNext w:val="0"/>
              <w:keepLines w:val="0"/>
              <w:pageBreakBefore w:val="0"/>
              <w:widowControl/>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投标人要求澄清招标文件的截止时间</w:t>
            </w:r>
          </w:p>
        </w:tc>
        <w:tc>
          <w:tcPr>
            <w:tcW w:w="6263" w:type="dxa"/>
            <w:gridSpan w:val="2"/>
            <w:vAlign w:val="center"/>
          </w:tcPr>
          <w:p w14:paraId="705E9CEB">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在提交投标文件截止时间18天前提出</w:t>
            </w:r>
            <w:r>
              <w:rPr>
                <w:rFonts w:hint="eastAsia" w:ascii="宋体" w:hAnsi="宋体" w:eastAsia="宋体" w:cs="宋体"/>
                <w:color w:val="auto"/>
                <w:sz w:val="21"/>
                <w:szCs w:val="21"/>
                <w:highlight w:val="none"/>
              </w:rPr>
              <w:t>。</w:t>
            </w:r>
          </w:p>
          <w:p w14:paraId="671E335D">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w:t>
            </w:r>
            <w:r>
              <w:rPr>
                <w:rFonts w:hint="eastAsia" w:ascii="宋体" w:hAnsi="宋体" w:eastAsia="宋体" w:cs="宋体"/>
                <w:color w:val="auto"/>
                <w:sz w:val="21"/>
                <w:szCs w:val="21"/>
                <w:highlight w:val="none"/>
                <w:u w:val="single"/>
              </w:rPr>
              <w:t>投标人的疑问通过广州交易集团有限公司（广州公共资源交易中心）数字交易平台提交。按照广州交易集团有限公司（广州公共资源交易中心）数字交易平台关于全流程电子化项目的相关指南进行操作，详见：《房屋建筑和市政基础设施工程全流程电子化项目专章》。提问一律不得署名。</w:t>
            </w:r>
          </w:p>
        </w:tc>
      </w:tr>
      <w:tr w14:paraId="2FCD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76CBD454">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891" w:type="dxa"/>
            <w:vAlign w:val="center"/>
          </w:tcPr>
          <w:p w14:paraId="09071EE5">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w:t>
            </w:r>
          </w:p>
        </w:tc>
        <w:tc>
          <w:tcPr>
            <w:tcW w:w="6263" w:type="dxa"/>
            <w:gridSpan w:val="2"/>
            <w:vAlign w:val="center"/>
          </w:tcPr>
          <w:p w14:paraId="5C52049F">
            <w:pPr>
              <w:keepNext w:val="0"/>
              <w:keepLines w:val="0"/>
              <w:pageBreakBefore w:val="0"/>
              <w:widowControl/>
              <w:kinsoku/>
              <w:wordWrap/>
              <w:overflowPunct/>
              <w:autoSpaceDE/>
              <w:autoSpaceDN/>
              <w:bidi w:val="0"/>
              <w:spacing w:line="240" w:lineRule="auto"/>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详</w:t>
            </w:r>
            <w:r>
              <w:rPr>
                <w:rFonts w:hint="eastAsia" w:ascii="宋体" w:hAnsi="宋体" w:eastAsia="宋体" w:cs="宋体"/>
                <w:color w:val="auto"/>
                <w:kern w:val="0"/>
                <w:sz w:val="21"/>
                <w:szCs w:val="21"/>
                <w:highlight w:val="none"/>
              </w:rPr>
              <w:t>见本项目招标公告。</w:t>
            </w:r>
          </w:p>
        </w:tc>
      </w:tr>
      <w:tr w14:paraId="09E8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07D6A4BA">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2891" w:type="dxa"/>
            <w:vAlign w:val="center"/>
          </w:tcPr>
          <w:p w14:paraId="54B7A1B5">
            <w:pPr>
              <w:keepNext w:val="0"/>
              <w:keepLines w:val="0"/>
              <w:pageBreakBefore w:val="0"/>
              <w:widowControl/>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投标人确认收到招标文件澄清的时间</w:t>
            </w:r>
          </w:p>
        </w:tc>
        <w:tc>
          <w:tcPr>
            <w:tcW w:w="6263" w:type="dxa"/>
            <w:gridSpan w:val="2"/>
            <w:vAlign w:val="center"/>
          </w:tcPr>
          <w:p w14:paraId="02DDDB0C">
            <w:pPr>
              <w:keepNext w:val="0"/>
              <w:keepLines w:val="0"/>
              <w:pageBreakBefore w:val="0"/>
              <w:widowControl/>
              <w:kinsoku/>
              <w:wordWrap/>
              <w:overflowPunct/>
              <w:autoSpaceDE/>
              <w:autoSpaceDN/>
              <w:bidi w:val="0"/>
              <w:spacing w:line="240" w:lineRule="auto"/>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澄清或修改或补充公告在广州交易集团有限公司（广州公共资源交易中心）网站通过项目答疑专区网上公开发布，发出即视作收到，以广州交易集团有限公司（广州公共资源交易中心）网站发布时间作为送达时间。无需投标人确认。投标人应自行关注，招标人不再一一通知。招标文件的澄清内容作为招标文件的组成部分，具有约束作用</w:t>
            </w:r>
          </w:p>
        </w:tc>
      </w:tr>
      <w:tr w14:paraId="1AA0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0B92A711">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2891" w:type="dxa"/>
            <w:vAlign w:val="center"/>
          </w:tcPr>
          <w:p w14:paraId="5F50766D">
            <w:pPr>
              <w:keepNext w:val="0"/>
              <w:keepLines w:val="0"/>
              <w:pageBreakBefore w:val="0"/>
              <w:widowControl/>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投标人确认收到招标文件修改的时间</w:t>
            </w:r>
          </w:p>
        </w:tc>
        <w:tc>
          <w:tcPr>
            <w:tcW w:w="6263" w:type="dxa"/>
            <w:gridSpan w:val="2"/>
            <w:vAlign w:val="center"/>
          </w:tcPr>
          <w:p w14:paraId="43DFA818">
            <w:pPr>
              <w:keepNext w:val="0"/>
              <w:keepLines w:val="0"/>
              <w:pageBreakBefore w:val="0"/>
              <w:widowControl/>
              <w:kinsoku/>
              <w:wordWrap/>
              <w:overflowPunct/>
              <w:autoSpaceDE/>
              <w:autoSpaceDN/>
              <w:bidi w:val="0"/>
              <w:spacing w:line="240" w:lineRule="auto"/>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修改（或补充公告）一经在广州交易集团有限公司（广州公共资源交易中心）网站发布，视作已发放给所有投标人，以广州交易集团有限公司（广州公共资源交易中心）网站发布时间作为送达时间。无需投标人确认。投标人应自行关注，招标人不再一一通知。招标文件的修改（或补充公告）内容作为招标文件的组成部分，具有约束作用</w:t>
            </w:r>
          </w:p>
        </w:tc>
      </w:tr>
      <w:tr w14:paraId="2DD3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4F96A38D">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2891" w:type="dxa"/>
            <w:vAlign w:val="center"/>
          </w:tcPr>
          <w:p w14:paraId="6CA45ACD">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构成投标文件的其他资料</w:t>
            </w:r>
          </w:p>
        </w:tc>
        <w:tc>
          <w:tcPr>
            <w:tcW w:w="6263" w:type="dxa"/>
            <w:gridSpan w:val="2"/>
            <w:vAlign w:val="center"/>
          </w:tcPr>
          <w:p w14:paraId="2D59006B">
            <w:pPr>
              <w:keepNext w:val="0"/>
              <w:keepLines w:val="0"/>
              <w:pageBreakBefore w:val="0"/>
              <w:widowControl/>
              <w:kinsoku/>
              <w:wordWrap/>
              <w:overflowPunct/>
              <w:autoSpaceDE/>
              <w:autoSpaceDN/>
              <w:bidi w:val="0"/>
              <w:spacing w:line="240" w:lineRule="auto"/>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single"/>
              </w:rPr>
              <w:t>详见招标文件3.1投标文件的组成</w:t>
            </w:r>
          </w:p>
        </w:tc>
      </w:tr>
      <w:tr w14:paraId="4F96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2A29F20A">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w:t>
            </w:r>
          </w:p>
        </w:tc>
        <w:tc>
          <w:tcPr>
            <w:tcW w:w="2891" w:type="dxa"/>
            <w:vAlign w:val="center"/>
          </w:tcPr>
          <w:p w14:paraId="464BBA3D">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最高投标限价</w:t>
            </w:r>
          </w:p>
        </w:tc>
        <w:tc>
          <w:tcPr>
            <w:tcW w:w="6263" w:type="dxa"/>
            <w:gridSpan w:val="2"/>
            <w:vAlign w:val="center"/>
          </w:tcPr>
          <w:p w14:paraId="112490C2">
            <w:pPr>
              <w:keepNext w:val="0"/>
              <w:keepLines w:val="0"/>
              <w:pageBreakBefore w:val="0"/>
              <w:kinsoku/>
              <w:wordWrap/>
              <w:overflowPunct/>
              <w:autoSpaceDE/>
              <w:autoSpaceDN/>
              <w:bidi w:val="0"/>
              <w:spacing w:line="240" w:lineRule="auto"/>
              <w:ind w:left="0" w:leftChars="0" w:right="0" w:rightChars="0"/>
              <w:textAlignment w:val="auto"/>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详见招标公告。</w:t>
            </w:r>
          </w:p>
        </w:tc>
      </w:tr>
      <w:tr w14:paraId="355FA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14:paraId="7D131558">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p>
        </w:tc>
        <w:tc>
          <w:tcPr>
            <w:tcW w:w="2891" w:type="dxa"/>
            <w:vAlign w:val="center"/>
          </w:tcPr>
          <w:p w14:paraId="567A6948">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投标报价的要求</w:t>
            </w:r>
          </w:p>
        </w:tc>
        <w:tc>
          <w:tcPr>
            <w:tcW w:w="6263" w:type="dxa"/>
            <w:gridSpan w:val="2"/>
            <w:vAlign w:val="center"/>
          </w:tcPr>
          <w:p w14:paraId="3B0F7943">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含BIM设计费</w:t>
            </w:r>
            <w:r>
              <w:rPr>
                <w:rFonts w:hint="eastAsia" w:ascii="宋体" w:hAnsi="宋体" w:eastAsia="宋体" w:cs="宋体"/>
                <w:color w:val="auto"/>
                <w:sz w:val="21"/>
                <w:szCs w:val="21"/>
                <w:highlight w:val="none"/>
                <w:lang w:eastAsia="zh-CN"/>
              </w:rPr>
              <w:t>）</w:t>
            </w:r>
          </w:p>
          <w:p w14:paraId="05C2A571">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按招标文件给定的设计明细表进行报价，具体详见设计费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含BIM设计费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明细表，设计费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含BIM设计费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已包含外出参观考察的调研费。</w:t>
            </w:r>
          </w:p>
          <w:p w14:paraId="415535E0">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工程费</w:t>
            </w:r>
          </w:p>
          <w:p w14:paraId="1E979882">
            <w:pPr>
              <w:pStyle w:val="44"/>
              <w:keepNext w:val="0"/>
              <w:keepLines w:val="0"/>
              <w:pageBreakBefore w:val="0"/>
              <w:kinsoku/>
              <w:wordWrap/>
              <w:overflowPunct/>
              <w:autoSpaceDE/>
              <w:autoSpaceDN/>
              <w:bidi w:val="0"/>
              <w:spacing w:after="0" w:line="240" w:lineRule="auto"/>
              <w:ind w:left="0" w:leftChars="0" w:right="0" w:rightChars="0" w:firstLine="0" w:firstLineChars="0"/>
              <w:textAlignment w:val="auto"/>
              <w:rPr>
                <w:rFonts w:hint="eastAsia" w:ascii="宋体" w:hAnsi="宋体" w:eastAsia="宋体" w:cs="宋体"/>
                <w:color w:val="auto"/>
                <w:sz w:val="21"/>
                <w:szCs w:val="21"/>
                <w:highlight w:val="none"/>
              </w:rPr>
            </w:pPr>
            <w:bookmarkStart w:id="38" w:name="OLE_LINK134"/>
            <w:r>
              <w:rPr>
                <w:rFonts w:hint="eastAsia" w:ascii="宋体" w:hAnsi="宋体" w:cs="宋体"/>
                <w:color w:val="auto"/>
                <w:sz w:val="21"/>
                <w:szCs w:val="21"/>
                <w:highlight w:val="none"/>
                <w:lang w:val="en-US" w:eastAsia="zh-CN"/>
              </w:rPr>
              <w:t>工程费</w:t>
            </w:r>
            <w:r>
              <w:rPr>
                <w:rFonts w:hint="eastAsia" w:ascii="宋体" w:hAnsi="宋体" w:eastAsia="宋体" w:cs="宋体"/>
                <w:color w:val="auto"/>
                <w:sz w:val="21"/>
                <w:szCs w:val="21"/>
                <w:highlight w:val="none"/>
              </w:rPr>
              <w:t>投标报价由投标人根据招标文件要求以及企业自身情况填写投标报价及下浮率。</w:t>
            </w:r>
            <w:bookmarkEnd w:id="38"/>
          </w:p>
          <w:p w14:paraId="19E6C2B1">
            <w:pPr>
              <w:pStyle w:val="14"/>
              <w:ind w:firstLine="0"/>
              <w:rPr>
                <w:rFonts w:hint="default" w:eastAsia="宋体"/>
                <w:color w:val="auto"/>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暂列金额</w:t>
            </w:r>
          </w:p>
        </w:tc>
      </w:tr>
      <w:tr w14:paraId="4F8D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24A7182E">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w:t>
            </w:r>
          </w:p>
        </w:tc>
        <w:tc>
          <w:tcPr>
            <w:tcW w:w="2891" w:type="dxa"/>
            <w:vAlign w:val="center"/>
          </w:tcPr>
          <w:p w14:paraId="7CB712E5">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263" w:type="dxa"/>
            <w:gridSpan w:val="2"/>
            <w:vAlign w:val="center"/>
          </w:tcPr>
          <w:p w14:paraId="3B0E1B5E">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u w:val="single"/>
              </w:rPr>
              <w:t>120</w:t>
            </w:r>
            <w:r>
              <w:rPr>
                <w:rFonts w:hint="eastAsia" w:ascii="宋体" w:hAnsi="宋体" w:eastAsia="宋体" w:cs="宋体"/>
                <w:color w:val="auto"/>
                <w:sz w:val="21"/>
                <w:szCs w:val="21"/>
                <w:highlight w:val="none"/>
                <w:u w:val="single"/>
              </w:rPr>
              <w:t>日历天（从递交投标文件截止之日计起），如出现异议或投诉，则投标有效期自动延长至异议或投诉处理结束，确定中标人并发放中标通知书为止。</w:t>
            </w:r>
          </w:p>
        </w:tc>
      </w:tr>
      <w:tr w14:paraId="6B01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3D538E1B">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tc>
        <w:tc>
          <w:tcPr>
            <w:tcW w:w="2891" w:type="dxa"/>
            <w:vAlign w:val="center"/>
          </w:tcPr>
          <w:p w14:paraId="166C7DF5">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6263" w:type="dxa"/>
            <w:gridSpan w:val="2"/>
            <w:vAlign w:val="center"/>
          </w:tcPr>
          <w:p w14:paraId="2F057664">
            <w:pPr>
              <w:keepNext w:val="0"/>
              <w:keepLines w:val="0"/>
              <w:pageBreakBefore w:val="0"/>
              <w:kinsoku/>
              <w:wordWrap/>
              <w:overflowPunct/>
              <w:topLinePunct/>
              <w:autoSpaceDE/>
              <w:autoSpaceDN/>
              <w:bidi w:val="0"/>
              <w:spacing w:line="240" w:lineRule="auto"/>
              <w:ind w:left="0" w:leftChars="0" w:right="0" w:rightChars="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方式二：本项目收取投标保证金</w:t>
            </w:r>
            <w:r>
              <w:rPr>
                <w:rFonts w:hint="eastAsia" w:ascii="宋体" w:hAnsi="宋体" w:eastAsia="宋体" w:cs="宋体"/>
                <w:b/>
                <w:bCs/>
                <w:color w:val="auto"/>
                <w:kern w:val="0"/>
                <w:sz w:val="21"/>
                <w:szCs w:val="21"/>
                <w:highlight w:val="none"/>
                <w:u w:val="single"/>
              </w:rPr>
              <w:t>50</w:t>
            </w:r>
            <w:r>
              <w:rPr>
                <w:rFonts w:hint="eastAsia" w:ascii="宋体" w:hAnsi="宋体" w:eastAsia="宋体" w:cs="宋体"/>
                <w:bCs/>
                <w:color w:val="auto"/>
                <w:kern w:val="0"/>
                <w:sz w:val="21"/>
                <w:szCs w:val="21"/>
                <w:highlight w:val="none"/>
              </w:rPr>
              <w:t>万元人民币。</w:t>
            </w:r>
          </w:p>
          <w:p w14:paraId="06BEEB97">
            <w:pPr>
              <w:keepNext w:val="0"/>
              <w:keepLines w:val="0"/>
              <w:pageBreakBefore w:val="0"/>
              <w:kinsoku/>
              <w:wordWrap/>
              <w:overflowPunct/>
              <w:topLinePunct/>
              <w:autoSpaceDE/>
              <w:autoSpaceDN/>
              <w:bidi w:val="0"/>
              <w:spacing w:line="240" w:lineRule="auto"/>
              <w:ind w:left="0" w:leftChars="0" w:right="0" w:rightChars="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1.缴纳时间在</w:t>
            </w:r>
            <w:r>
              <w:rPr>
                <w:rFonts w:hint="eastAsia" w:ascii="宋体" w:hAnsi="宋体" w:eastAsia="宋体" w:cs="宋体"/>
                <w:b/>
                <w:bCs/>
                <w:color w:val="auto"/>
                <w:kern w:val="0"/>
                <w:sz w:val="21"/>
                <w:szCs w:val="21"/>
                <w:highlight w:val="none"/>
                <w:u w:val="single"/>
              </w:rPr>
              <w:t>投标截止</w:t>
            </w:r>
            <w:r>
              <w:rPr>
                <w:rFonts w:hint="eastAsia" w:ascii="宋体" w:hAnsi="宋体" w:eastAsia="宋体" w:cs="宋体"/>
                <w:bCs/>
                <w:color w:val="auto"/>
                <w:kern w:val="0"/>
                <w:sz w:val="21"/>
                <w:szCs w:val="21"/>
                <w:highlight w:val="none"/>
              </w:rPr>
              <w:t>之前。</w:t>
            </w:r>
          </w:p>
          <w:p w14:paraId="5F13CBA8">
            <w:pPr>
              <w:pStyle w:val="23"/>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2.投标保证金的形式：投标保证金可采用现金、支票（现金支票、转账支票）、银行汇票、银行本票、银行电汇、银行转账、银行保函、保证保险、专业工程担保公司担保等能够实现保证目的的形式。</w:t>
            </w:r>
          </w:p>
          <w:p w14:paraId="537F5139">
            <w:pPr>
              <w:pStyle w:val="23"/>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收取方式：</w:t>
            </w:r>
          </w:p>
          <w:p w14:paraId="3C071033">
            <w:pPr>
              <w:pStyle w:val="23"/>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2.1如采用现金、支票或者银行汇票、银行本票、银行电汇、银行转账形式提交的，由广州交易集团有限公司代收，投标保证金须从投标人基本账户递交。</w:t>
            </w:r>
          </w:p>
          <w:p w14:paraId="4088D8A7">
            <w:pPr>
              <w:pStyle w:val="23"/>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（1）具体要求详见广州交易集团有限公司（广州公共资源交易中心）有关指引。</w:t>
            </w:r>
          </w:p>
          <w:p w14:paraId="08A25BCF">
            <w:pPr>
              <w:pStyle w:val="23"/>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（2）投标人必须提前办理缴纳投标保证金的事宜，且在缴纳保证金之前必须先咨询广州交易集团有限公司（广州公共资源交易中心）详细缴纳方法，否则需自行承担保证金无法成功缴纳的风险。</w:t>
            </w:r>
          </w:p>
          <w:p w14:paraId="15D2B8BC">
            <w:pPr>
              <w:pStyle w:val="23"/>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事宜请自行咨询广州交易集团有限公司（广州公共资源交易中心）；请各投标人在投标文件递交截止时间前按上述金额递交至广州交易集团有限公司（广州公共资源交易中心），到账情况以开标时广州交易集团有限公司（广州公共资源交易中心）数据库查询的信息为准。</w:t>
            </w:r>
          </w:p>
          <w:p w14:paraId="40EAF708">
            <w:pPr>
              <w:pStyle w:val="23"/>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如采用非电子形式的银行保函、专业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选择在开标前提交纸质原件的，应在投标截止时间前单独密封递交至开标室（时间及地点同递交备用投标文件电子光盘的时间及地点）。</w:t>
            </w:r>
          </w:p>
          <w:p w14:paraId="47C16021">
            <w:pPr>
              <w:pStyle w:val="23"/>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采用电子形式的保函、担保或保证保险提交投标保证金的，开具及递交以广州交易集团有限公司（广州公共资源交易中心）的相关操作指引为准。到账情况以开标时广州交易集团有限公司（广州公共资源交易中心）数据库查询信息为准。</w:t>
            </w:r>
          </w:p>
          <w:p w14:paraId="5B88A081">
            <w:pPr>
              <w:pStyle w:val="23"/>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注：1.对于未能按要求交纳投标保证金的投标人，招标人将视为不响应招标文件而予以拒绝，责任由投标人自负。</w:t>
            </w:r>
          </w:p>
          <w:p w14:paraId="62F31BD5">
            <w:pPr>
              <w:pStyle w:val="23"/>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2.投标保证金有效期应长于或等于投标有效期，若投标有效期延长的，投标保证金有效期应相应延长，且延长后的有效期应满足前述要求。</w:t>
            </w:r>
          </w:p>
          <w:p w14:paraId="37AC9DDB">
            <w:pPr>
              <w:pStyle w:val="23"/>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3.投标人提供的银行保函应为银行出具的无条件、见索即付、不可撤消的保函，担保金额不得低于上述金额。</w:t>
            </w:r>
          </w:p>
        </w:tc>
      </w:tr>
      <w:tr w14:paraId="1FFF9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6DEA0F91">
            <w:pPr>
              <w:keepNext w:val="0"/>
              <w:keepLines w:val="0"/>
              <w:pageBreakBefore w:val="0"/>
              <w:kinsoku/>
              <w:wordWrap/>
              <w:overflowPunct/>
              <w:autoSpaceDE/>
              <w:autoSpaceDN/>
              <w:bidi w:val="0"/>
              <w:snapToGrid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3.5.2</w:t>
            </w:r>
          </w:p>
        </w:tc>
        <w:tc>
          <w:tcPr>
            <w:tcW w:w="2891" w:type="dxa"/>
            <w:vAlign w:val="center"/>
          </w:tcPr>
          <w:p w14:paraId="3C938882">
            <w:pPr>
              <w:keepNext w:val="0"/>
              <w:keepLines w:val="0"/>
              <w:pageBreakBefore w:val="0"/>
              <w:kinsoku/>
              <w:wordWrap/>
              <w:overflowPunct/>
              <w:autoSpaceDE/>
              <w:autoSpaceDN/>
              <w:bidi w:val="0"/>
              <w:snapToGrid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近年财务状况</w:t>
            </w:r>
          </w:p>
        </w:tc>
        <w:tc>
          <w:tcPr>
            <w:tcW w:w="6263" w:type="dxa"/>
            <w:gridSpan w:val="2"/>
            <w:vAlign w:val="center"/>
          </w:tcPr>
          <w:p w14:paraId="2E4FD1B5">
            <w:pPr>
              <w:keepNext w:val="0"/>
              <w:keepLines w:val="0"/>
              <w:pageBreakBefore w:val="0"/>
              <w:kinsoku/>
              <w:wordWrap/>
              <w:overflowPunct/>
              <w:autoSpaceDE/>
              <w:autoSpaceDN/>
              <w:bidi w:val="0"/>
              <w:snapToGrid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 </w:t>
            </w:r>
          </w:p>
        </w:tc>
      </w:tr>
      <w:tr w14:paraId="711B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3F59E296">
            <w:pPr>
              <w:keepNext w:val="0"/>
              <w:keepLines w:val="0"/>
              <w:pageBreakBefore w:val="0"/>
              <w:kinsoku/>
              <w:wordWrap/>
              <w:overflowPunct/>
              <w:autoSpaceDE/>
              <w:autoSpaceDN/>
              <w:bidi w:val="0"/>
              <w:snapToGrid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3.5.3</w:t>
            </w:r>
          </w:p>
        </w:tc>
        <w:tc>
          <w:tcPr>
            <w:tcW w:w="2891" w:type="dxa"/>
            <w:vAlign w:val="center"/>
          </w:tcPr>
          <w:p w14:paraId="5335624D">
            <w:pPr>
              <w:keepNext w:val="0"/>
              <w:keepLines w:val="0"/>
              <w:pageBreakBefore w:val="0"/>
              <w:kinsoku/>
              <w:wordWrap/>
              <w:overflowPunct/>
              <w:autoSpaceDE/>
              <w:autoSpaceDN/>
              <w:bidi w:val="0"/>
              <w:snapToGrid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近年完成的类似项目</w:t>
            </w:r>
          </w:p>
        </w:tc>
        <w:tc>
          <w:tcPr>
            <w:tcW w:w="6263" w:type="dxa"/>
            <w:gridSpan w:val="2"/>
            <w:vAlign w:val="center"/>
          </w:tcPr>
          <w:p w14:paraId="1EFCCC67">
            <w:pPr>
              <w:keepNext w:val="0"/>
              <w:keepLines w:val="0"/>
              <w:pageBreakBefore w:val="0"/>
              <w:kinsoku/>
              <w:wordWrap/>
              <w:overflowPunct/>
              <w:autoSpaceDE/>
              <w:autoSpaceDN/>
              <w:bidi w:val="0"/>
              <w:snapToGrid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 </w:t>
            </w:r>
          </w:p>
        </w:tc>
      </w:tr>
      <w:tr w14:paraId="2FEC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797DB489">
            <w:pPr>
              <w:keepNext w:val="0"/>
              <w:keepLines w:val="0"/>
              <w:pageBreakBefore w:val="0"/>
              <w:kinsoku/>
              <w:wordWrap/>
              <w:overflowPunct/>
              <w:autoSpaceDE/>
              <w:autoSpaceDN/>
              <w:bidi w:val="0"/>
              <w:snapToGrid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3.5.5</w:t>
            </w:r>
          </w:p>
        </w:tc>
        <w:tc>
          <w:tcPr>
            <w:tcW w:w="2891" w:type="dxa"/>
            <w:vAlign w:val="center"/>
          </w:tcPr>
          <w:p w14:paraId="63CEF8C8">
            <w:pPr>
              <w:keepNext w:val="0"/>
              <w:keepLines w:val="0"/>
              <w:pageBreakBefore w:val="0"/>
              <w:kinsoku/>
              <w:wordWrap/>
              <w:overflowPunct/>
              <w:autoSpaceDE/>
              <w:autoSpaceDN/>
              <w:bidi w:val="0"/>
              <w:snapToGrid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近年发生的重大诉讼及仲裁情况</w:t>
            </w:r>
          </w:p>
        </w:tc>
        <w:tc>
          <w:tcPr>
            <w:tcW w:w="6263" w:type="dxa"/>
            <w:gridSpan w:val="2"/>
            <w:vAlign w:val="center"/>
          </w:tcPr>
          <w:p w14:paraId="2C02C65B">
            <w:pPr>
              <w:keepNext w:val="0"/>
              <w:keepLines w:val="0"/>
              <w:pageBreakBefore w:val="0"/>
              <w:kinsoku/>
              <w:wordWrap/>
              <w:overflowPunct/>
              <w:autoSpaceDE/>
              <w:autoSpaceDN/>
              <w:bidi w:val="0"/>
              <w:snapToGrid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 </w:t>
            </w:r>
          </w:p>
        </w:tc>
      </w:tr>
      <w:tr w14:paraId="6BA41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38B1F799">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2891" w:type="dxa"/>
            <w:vAlign w:val="center"/>
          </w:tcPr>
          <w:p w14:paraId="2B692883">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是否允许递交备选投标方案</w:t>
            </w:r>
          </w:p>
        </w:tc>
        <w:tc>
          <w:tcPr>
            <w:tcW w:w="6263" w:type="dxa"/>
            <w:gridSpan w:val="2"/>
            <w:vAlign w:val="center"/>
          </w:tcPr>
          <w:p w14:paraId="04CE0174">
            <w:pPr>
              <w:pStyle w:val="17"/>
              <w:keepNext w:val="0"/>
              <w:keepLines w:val="0"/>
              <w:pageBreakBefore w:val="0"/>
              <w:kinsoku/>
              <w:wordWrap/>
              <w:overflowPunct/>
              <w:topLine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p w14:paraId="7F57F8A7">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w:t>
            </w:r>
          </w:p>
        </w:tc>
      </w:tr>
      <w:tr w14:paraId="5641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4AA7C542">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w:t>
            </w:r>
          </w:p>
        </w:tc>
        <w:tc>
          <w:tcPr>
            <w:tcW w:w="2891" w:type="dxa"/>
            <w:vAlign w:val="center"/>
          </w:tcPr>
          <w:p w14:paraId="584D5FF3">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签字或盖章要求</w:t>
            </w:r>
          </w:p>
        </w:tc>
        <w:tc>
          <w:tcPr>
            <w:tcW w:w="6263" w:type="dxa"/>
            <w:gridSpan w:val="2"/>
            <w:vAlign w:val="center"/>
          </w:tcPr>
          <w:p w14:paraId="49B58A6F">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投标人采用单位数字证书，按招标文件要求在相应位置加盖电子印章。投标文件中需个人签字或盖章的，</w:t>
            </w:r>
            <w:r>
              <w:rPr>
                <w:rFonts w:hint="eastAsia" w:ascii="宋体" w:hAnsi="宋体" w:eastAsia="宋体" w:cs="宋体"/>
                <w:b/>
                <w:color w:val="auto"/>
                <w:sz w:val="21"/>
                <w:szCs w:val="21"/>
                <w:highlight w:val="none"/>
                <w:u w:val="single"/>
              </w:rPr>
              <w:t>应加盖个人电子印章或在线下完成后扫描上传。</w:t>
            </w:r>
            <w:r>
              <w:rPr>
                <w:rFonts w:hint="eastAsia" w:ascii="宋体" w:hAnsi="宋体" w:eastAsia="宋体" w:cs="宋体"/>
                <w:color w:val="auto"/>
                <w:sz w:val="21"/>
                <w:szCs w:val="21"/>
                <w:highlight w:val="none"/>
                <w:u w:val="single"/>
              </w:rPr>
              <w:t>按照交易平台关于全流程电子化项目的相关指南进行操作，联合体投标的，除联合体协议书需联合体各方同时签字或盖章外，法定代表人证明书及授权委托证明书可由联合体主办方（或主办方）出具，其中“单位”一栏可只填写联合体主办方（或主办方）名称，投标文件其他内容及落款中的“投标人”应填写联合体各方的单位全称【格式示例：(主)单位全称(成)单位全称】，由联合体</w:t>
            </w:r>
            <w:r>
              <w:rPr>
                <w:rFonts w:hint="eastAsia" w:ascii="宋体" w:hAnsi="宋体" w:eastAsia="宋体" w:cs="宋体"/>
                <w:b/>
                <w:bCs/>
                <w:color w:val="auto"/>
                <w:sz w:val="21"/>
                <w:szCs w:val="21"/>
                <w:highlight w:val="none"/>
                <w:u w:val="single"/>
              </w:rPr>
              <w:t>主办方（或主办方）</w:t>
            </w:r>
            <w:r>
              <w:rPr>
                <w:rFonts w:hint="eastAsia" w:ascii="宋体" w:hAnsi="宋体" w:eastAsia="宋体" w:cs="宋体"/>
                <w:color w:val="auto"/>
                <w:sz w:val="21"/>
                <w:szCs w:val="21"/>
                <w:highlight w:val="none"/>
                <w:u w:val="single"/>
              </w:rPr>
              <w:t>签字、盖章即可。</w:t>
            </w:r>
          </w:p>
        </w:tc>
      </w:tr>
      <w:tr w14:paraId="374E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057EC246">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4.2.1</w:t>
            </w:r>
          </w:p>
        </w:tc>
        <w:tc>
          <w:tcPr>
            <w:tcW w:w="2891" w:type="dxa"/>
            <w:vAlign w:val="center"/>
          </w:tcPr>
          <w:p w14:paraId="3312C689">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投标截止时间</w:t>
            </w:r>
          </w:p>
        </w:tc>
        <w:tc>
          <w:tcPr>
            <w:tcW w:w="6263" w:type="dxa"/>
            <w:gridSpan w:val="2"/>
            <w:vAlign w:val="center"/>
          </w:tcPr>
          <w:p w14:paraId="5D8F2114">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投标截止时间：2025年  月  日  时  分；</w:t>
            </w:r>
          </w:p>
          <w:p w14:paraId="52559166">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本项目各项投标活动具体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本项目各项投标活动的时间和场地安排是否有变化，请密切留意补充公告和招标答疑纪要的相关信息。</w:t>
            </w:r>
          </w:p>
        </w:tc>
      </w:tr>
      <w:tr w14:paraId="6460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1B0884E1">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w:t>
            </w:r>
          </w:p>
        </w:tc>
        <w:tc>
          <w:tcPr>
            <w:tcW w:w="2891" w:type="dxa"/>
            <w:vAlign w:val="center"/>
          </w:tcPr>
          <w:p w14:paraId="6F438F53">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递交投标文件地点</w:t>
            </w:r>
          </w:p>
        </w:tc>
        <w:tc>
          <w:tcPr>
            <w:tcW w:w="6263" w:type="dxa"/>
            <w:gridSpan w:val="2"/>
            <w:vAlign w:val="center"/>
          </w:tcPr>
          <w:p w14:paraId="1EDE87A7">
            <w:pPr>
              <w:keepNext w:val="0"/>
              <w:keepLines w:val="0"/>
              <w:pageBreakBefore w:val="0"/>
              <w:kinsoku/>
              <w:wordWrap/>
              <w:overflowPunct/>
              <w:autoSpaceDE/>
              <w:autoSpaceDN/>
              <w:bidi w:val="0"/>
              <w:snapToGrid w:val="0"/>
              <w:spacing w:line="240" w:lineRule="auto"/>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递交投标文件开始时间：   年  月  日  时  分；</w:t>
            </w:r>
          </w:p>
          <w:p w14:paraId="3195B924">
            <w:pPr>
              <w:keepNext w:val="0"/>
              <w:keepLines w:val="0"/>
              <w:pageBreakBefore w:val="0"/>
              <w:kinsoku/>
              <w:wordWrap/>
              <w:overflowPunct/>
              <w:autoSpaceDE/>
              <w:autoSpaceDN/>
              <w:bidi w:val="0"/>
              <w:snapToGrid w:val="0"/>
              <w:spacing w:line="240" w:lineRule="auto"/>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递交投标文件截止时间：   年  月  日  时  分；</w:t>
            </w:r>
          </w:p>
          <w:p w14:paraId="013F52D8">
            <w:pPr>
              <w:keepNext w:val="0"/>
              <w:keepLines w:val="0"/>
              <w:pageBreakBefore w:val="0"/>
              <w:kinsoku/>
              <w:wordWrap/>
              <w:overflowPunct/>
              <w:autoSpaceDE/>
              <w:autoSpaceDN/>
              <w:bidi w:val="0"/>
              <w:snapToGrid w:val="0"/>
              <w:spacing w:line="240" w:lineRule="auto"/>
              <w:ind w:left="0" w:leftChars="0" w:right="0" w:rightChars="0"/>
              <w:textAlignment w:val="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投标人应在投标文件递交截止时间前通过广州交易集团有限公司（广州公共资源交易中心）电子招标投标交易平台递交电子投标文件。</w:t>
            </w:r>
          </w:p>
          <w:p w14:paraId="75C3248D">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本项目日程安排及地点信息可在广州交易集团有限公司（广州公共资源交易中心）网站进行查询。</w:t>
            </w:r>
          </w:p>
        </w:tc>
      </w:tr>
      <w:tr w14:paraId="309F0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00295DEF">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w:t>
            </w:r>
          </w:p>
        </w:tc>
        <w:tc>
          <w:tcPr>
            <w:tcW w:w="2891" w:type="dxa"/>
            <w:vAlign w:val="center"/>
          </w:tcPr>
          <w:p w14:paraId="3F8F3EA0">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w:t>
            </w:r>
          </w:p>
          <w:p w14:paraId="0CF4C65D">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p>
        </w:tc>
        <w:tc>
          <w:tcPr>
            <w:tcW w:w="6263" w:type="dxa"/>
            <w:gridSpan w:val="2"/>
            <w:vAlign w:val="center"/>
          </w:tcPr>
          <w:p w14:paraId="34D350A9">
            <w:pPr>
              <w:pStyle w:val="17"/>
              <w:keepNext w:val="0"/>
              <w:keepLines w:val="0"/>
              <w:pageBreakBefore w:val="0"/>
              <w:kinsoku/>
              <w:wordWrap/>
              <w:overflowPunct/>
              <w:topLine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p w14:paraId="3DC7D7AD">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□是</w:t>
            </w:r>
          </w:p>
        </w:tc>
      </w:tr>
      <w:tr w14:paraId="32BF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2D43B8F2">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5.1</w:t>
            </w:r>
          </w:p>
        </w:tc>
        <w:tc>
          <w:tcPr>
            <w:tcW w:w="2891" w:type="dxa"/>
            <w:vAlign w:val="center"/>
          </w:tcPr>
          <w:p w14:paraId="60114D23">
            <w:pPr>
              <w:keepNext w:val="0"/>
              <w:keepLines w:val="0"/>
              <w:pageBreakBefore w:val="0"/>
              <w:kinsoku/>
              <w:wordWrap/>
              <w:overflowPunct/>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pacing w:val="-2"/>
                <w:kern w:val="0"/>
                <w:sz w:val="21"/>
                <w:szCs w:val="21"/>
                <w:highlight w:val="none"/>
              </w:rPr>
              <w:t>开标时间和地点</w:t>
            </w:r>
          </w:p>
        </w:tc>
        <w:tc>
          <w:tcPr>
            <w:tcW w:w="6263" w:type="dxa"/>
            <w:gridSpan w:val="2"/>
            <w:vAlign w:val="center"/>
          </w:tcPr>
          <w:p w14:paraId="2D066D8E">
            <w:pPr>
              <w:keepNext w:val="0"/>
              <w:keepLines w:val="0"/>
              <w:pageBreakBefore w:val="0"/>
              <w:kinsoku/>
              <w:wordWrap/>
              <w:overflowPunct/>
              <w:autoSpaceDE/>
              <w:autoSpaceDN/>
              <w:bidi w:val="0"/>
              <w:adjustRightInd w:val="0"/>
              <w:snapToGrid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开标时间：同投标截止时间。</w:t>
            </w:r>
          </w:p>
          <w:p w14:paraId="46E3CC15">
            <w:pPr>
              <w:keepNext w:val="0"/>
              <w:keepLines w:val="0"/>
              <w:pageBreakBefore w:val="0"/>
              <w:kinsoku/>
              <w:wordWrap/>
              <w:overflowPunct/>
              <w:autoSpaceDE/>
              <w:autoSpaceDN/>
              <w:bidi w:val="0"/>
              <w:adjustRightInd w:val="0"/>
              <w:snapToGrid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开标地点：在</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交易平台进行电子开标。</w:t>
            </w:r>
          </w:p>
        </w:tc>
      </w:tr>
      <w:tr w14:paraId="3F43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625AB10B">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5.2</w:t>
            </w:r>
          </w:p>
        </w:tc>
        <w:tc>
          <w:tcPr>
            <w:tcW w:w="2891" w:type="dxa"/>
            <w:vAlign w:val="center"/>
          </w:tcPr>
          <w:p w14:paraId="222901B5">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开标程序</w:t>
            </w:r>
          </w:p>
        </w:tc>
        <w:tc>
          <w:tcPr>
            <w:tcW w:w="6263" w:type="dxa"/>
            <w:gridSpan w:val="2"/>
            <w:vAlign w:val="center"/>
          </w:tcPr>
          <w:p w14:paraId="4555C1E5">
            <w:pPr>
              <w:keepNext w:val="0"/>
              <w:keepLines w:val="0"/>
              <w:pageBreakBefore w:val="0"/>
              <w:kinsoku/>
              <w:wordWrap/>
              <w:overflowPunct/>
              <w:autoSpaceDE/>
              <w:autoSpaceDN/>
              <w:bidi w:val="0"/>
              <w:spacing w:line="240" w:lineRule="auto"/>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按下列程序进行开标：</w:t>
            </w:r>
          </w:p>
          <w:p w14:paraId="49257825">
            <w:pPr>
              <w:keepNext w:val="0"/>
              <w:keepLines w:val="0"/>
              <w:pageBreakBefore w:val="0"/>
              <w:kinsoku/>
              <w:wordWrap/>
              <w:overflowPunct/>
              <w:autoSpaceDE/>
              <w:autoSpaceDN/>
              <w:bidi w:val="0"/>
              <w:spacing w:line="240" w:lineRule="auto"/>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（1）宣布开标纪律；</w:t>
            </w:r>
          </w:p>
          <w:p w14:paraId="60B3D2F8">
            <w:pPr>
              <w:keepNext w:val="0"/>
              <w:keepLines w:val="0"/>
              <w:pageBreakBefore w:val="0"/>
              <w:kinsoku/>
              <w:wordWrap/>
              <w:overflowPunct/>
              <w:autoSpaceDE/>
              <w:autoSpaceDN/>
              <w:bidi w:val="0"/>
              <w:spacing w:line="240" w:lineRule="auto"/>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u w:val="single"/>
              </w:rPr>
              <w:t>在投标截止时间后一小时内</w:t>
            </w:r>
            <w:r>
              <w:rPr>
                <w:rFonts w:hint="eastAsia" w:ascii="宋体" w:hAnsi="宋体" w:eastAsia="宋体" w:cs="宋体"/>
                <w:color w:val="auto"/>
                <w:sz w:val="21"/>
                <w:szCs w:val="21"/>
                <w:highlight w:val="none"/>
              </w:rPr>
              <w:t>，投标人通过递交投标文件的广州交易集团有限公司（广州公共资源交易中心）交易平台对已递交的电子投标文件进行解密。投标人完成解密后，再由招标人进行解密（投标人只用执行一次解密，招标人执行解密次数根据招标文件开标次数确定）。</w:t>
            </w:r>
          </w:p>
          <w:p w14:paraId="3E88E73A">
            <w:pPr>
              <w:keepNext w:val="0"/>
              <w:keepLines w:val="0"/>
              <w:pageBreakBefore w:val="0"/>
              <w:kinsoku/>
              <w:wordWrap/>
              <w:overflowPunct/>
              <w:autoSpaceDE/>
              <w:autoSpaceDN/>
              <w:bidi w:val="0"/>
              <w:spacing w:line="240" w:lineRule="auto"/>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）解密完成后，公布：a投标人名称；b投标文件递交情况；c投标文件解密情况；d投标担保递交情况；e项目负责人（兼施工负责人）、设计负责人、技术负责人、专职安全员；f投标总报价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含设计费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含BIM设计费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w:t>
            </w:r>
            <w:r>
              <w:rPr>
                <w:rFonts w:hint="eastAsia" w:ascii="宋体" w:hAnsi="宋体" w:cs="宋体"/>
                <w:color w:val="auto"/>
                <w:sz w:val="21"/>
                <w:szCs w:val="21"/>
                <w:highlight w:val="none"/>
                <w:lang w:val="en-US" w:eastAsia="zh-CN"/>
              </w:rPr>
              <w:t>工程费</w:t>
            </w:r>
            <w:r>
              <w:rPr>
                <w:rFonts w:hint="eastAsia" w:ascii="宋体" w:hAnsi="宋体" w:eastAsia="宋体" w:cs="宋体"/>
                <w:color w:val="auto"/>
                <w:sz w:val="21"/>
                <w:szCs w:val="21"/>
                <w:highlight w:val="none"/>
              </w:rPr>
              <w:t>报价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暂列金额报价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；g工期；h投标人的加密打包投标文件电脑机器特征码等主要内容，并记录在案。未在规定时间内解密的投标文件不参与开标、评标。</w:t>
            </w:r>
          </w:p>
          <w:p w14:paraId="69D44F9A">
            <w:pPr>
              <w:keepNext w:val="0"/>
              <w:keepLines w:val="0"/>
              <w:pageBreakBefore w:val="0"/>
              <w:kinsoku/>
              <w:wordWrap/>
              <w:overflowPunct/>
              <w:autoSpaceDE/>
              <w:autoSpaceDN/>
              <w:bidi w:val="0"/>
              <w:spacing w:line="240" w:lineRule="auto"/>
              <w:ind w:left="0" w:leftChars="0" w:right="0" w:rightChars="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）截标后，开标开始时间因故推迟的，相关评标信息仍以原定的开标开始时间的信息为准。</w:t>
            </w:r>
          </w:p>
          <w:p w14:paraId="65770861">
            <w:pPr>
              <w:keepNext w:val="0"/>
              <w:keepLines w:val="0"/>
              <w:pageBreakBefore w:val="0"/>
              <w:kinsoku/>
              <w:wordWrap/>
              <w:overflowPunct/>
              <w:autoSpaceDE/>
              <w:autoSpaceDN/>
              <w:bidi w:val="0"/>
              <w:spacing w:line="240" w:lineRule="auto"/>
              <w:ind w:left="0" w:leftChars="0" w:right="0" w:rightChars="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）备用光盘的读取按“10 电子招标投标”第6点的规定执行。</w:t>
            </w:r>
          </w:p>
          <w:p w14:paraId="474BEA6F">
            <w:pPr>
              <w:keepNext w:val="0"/>
              <w:keepLines w:val="0"/>
              <w:pageBreakBefore w:val="0"/>
              <w:kinsoku/>
              <w:wordWrap/>
              <w:overflowPunct/>
              <w:autoSpaceDE/>
              <w:autoSpaceDN/>
              <w:bidi w:val="0"/>
              <w:spacing w:line="240" w:lineRule="auto"/>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开标方式采用电子开标和现场开标两种模式，投标人可选择在开标室参与开标或准时在线参加开标，也可不参加开标。参加在线开标的投标人登录广州交易集团有限公司（广州公共资源交易中心）交易平台实时查看开标、唱标情况。广州交易集团有限公司（广州公共资源交易中心）交易平台生成开标记录并向社会公众公布。</w:t>
            </w:r>
          </w:p>
          <w:p w14:paraId="1E3F6792">
            <w:pPr>
              <w:keepNext w:val="0"/>
              <w:keepLines w:val="0"/>
              <w:pageBreakBefore w:val="0"/>
              <w:kinsoku/>
              <w:wordWrap/>
              <w:overflowPunct/>
              <w:autoSpaceDE/>
              <w:autoSpaceDN/>
              <w:bidi w:val="0"/>
              <w:spacing w:line="240" w:lineRule="auto"/>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参加现场开标的投标人对开标结果有异议的，应当在开标现场提出，同时出示本人身份证原件，招标人应当当场作出答复，并制作记录。参加电子开标的投标人对开标结果有异议的，应当在唱标结束后的规定时间内、使用单位数字证书登录广州交易集团有限公司（广州公共资源交易中心）交易平台后通过广州交易集团有限公司（广州公共资源交易中心）交易平台提出。招标人授权招标代理机构工作人员使用招标代理机构数字证书登录广州交易集团有限公司（广州公共资源交易中心）交易平台答复异议，异议答复是招标人真实意思表示。未答复的，开标程序不得结束。</w:t>
            </w:r>
          </w:p>
          <w:p w14:paraId="19A51E84">
            <w:pPr>
              <w:keepNext w:val="0"/>
              <w:keepLines w:val="0"/>
              <w:pageBreakBefore w:val="0"/>
              <w:kinsoku/>
              <w:wordWrap/>
              <w:overflowPunct/>
              <w:autoSpaceDE/>
              <w:autoSpaceDN/>
              <w:bidi w:val="0"/>
              <w:spacing w:line="240" w:lineRule="auto"/>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）投标人未参加开标或在规定的时间内未提出异议的，视为对开标无异议。</w:t>
            </w:r>
          </w:p>
          <w:p w14:paraId="108A6482">
            <w:pPr>
              <w:keepNext w:val="0"/>
              <w:keepLines w:val="0"/>
              <w:pageBreakBefore w:val="0"/>
              <w:kinsoku/>
              <w:wordWrap/>
              <w:overflowPunct/>
              <w:autoSpaceDE/>
              <w:autoSpaceDN/>
              <w:bidi w:val="0"/>
              <w:spacing w:line="240" w:lineRule="auto"/>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）开标时，两个（含两个）以上的投标人加密打包投标文件电脑机器特征码一致的，不参与下一程序，并由评标委员会否决其投标。</w:t>
            </w:r>
          </w:p>
          <w:p w14:paraId="1E21C1CB">
            <w:pPr>
              <w:keepNext w:val="0"/>
              <w:keepLines w:val="0"/>
              <w:pageBreakBefore w:val="0"/>
              <w:kinsoku/>
              <w:wordWrap/>
              <w:overflowPunct/>
              <w:autoSpaceDE/>
              <w:autoSpaceDN/>
              <w:bidi w:val="0"/>
              <w:spacing w:line="240" w:lineRule="auto"/>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）投标人代表、招标人代表、监标人、记录人等有关人员在开标记录上签字确认；若有关人员不签字的，不影响开标程序；</w:t>
            </w:r>
          </w:p>
          <w:p w14:paraId="165FB261">
            <w:pPr>
              <w:keepNext w:val="0"/>
              <w:keepLines w:val="0"/>
              <w:pageBreakBefore w:val="0"/>
              <w:kinsoku/>
              <w:wordWrap/>
              <w:overflowPunct/>
              <w:autoSpaceDE/>
              <w:autoSpaceDN/>
              <w:bidi w:val="0"/>
              <w:spacing w:line="240" w:lineRule="auto"/>
              <w:ind w:left="0" w:leftChars="0" w:right="0" w:right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）开标结束。</w:t>
            </w:r>
          </w:p>
        </w:tc>
      </w:tr>
      <w:tr w14:paraId="1D44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504A54DC">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w:t>
            </w:r>
          </w:p>
        </w:tc>
        <w:tc>
          <w:tcPr>
            <w:tcW w:w="2891" w:type="dxa"/>
            <w:vAlign w:val="center"/>
          </w:tcPr>
          <w:p w14:paraId="690B0A77">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评标委员会的组建</w:t>
            </w:r>
          </w:p>
        </w:tc>
        <w:tc>
          <w:tcPr>
            <w:tcW w:w="6263" w:type="dxa"/>
            <w:gridSpan w:val="2"/>
            <w:vAlign w:val="center"/>
          </w:tcPr>
          <w:p w14:paraId="1D16EA94">
            <w:pPr>
              <w:pStyle w:val="43"/>
              <w:keepNext w:val="0"/>
              <w:keepLines w:val="0"/>
              <w:pageBreakBefore w:val="0"/>
              <w:kinsoku/>
              <w:wordWrap/>
              <w:overflowPunct/>
              <w:autoSpaceDE/>
              <w:autoSpaceDN/>
              <w:bidi w:val="0"/>
              <w:spacing w:after="0" w:line="240" w:lineRule="auto"/>
              <w:ind w:left="0" w:leftChars="0" w:right="0" w:rightChars="0" w:firstLine="0" w:firstLineChars="0"/>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由招标人依法依规组建。</w:t>
            </w:r>
          </w:p>
        </w:tc>
      </w:tr>
      <w:tr w14:paraId="615D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3B7A0109">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6.2.1</w:t>
            </w:r>
          </w:p>
        </w:tc>
        <w:tc>
          <w:tcPr>
            <w:tcW w:w="2891" w:type="dxa"/>
            <w:vAlign w:val="center"/>
          </w:tcPr>
          <w:p w14:paraId="49A7A5BA">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定标委员会的组建</w:t>
            </w:r>
          </w:p>
        </w:tc>
        <w:tc>
          <w:tcPr>
            <w:tcW w:w="6263" w:type="dxa"/>
            <w:gridSpan w:val="2"/>
            <w:vAlign w:val="center"/>
          </w:tcPr>
          <w:p w14:paraId="5E47BB11">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由招标人依法依规组建。</w:t>
            </w:r>
          </w:p>
        </w:tc>
      </w:tr>
      <w:tr w14:paraId="18B0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restart"/>
            <w:vAlign w:val="center"/>
          </w:tcPr>
          <w:p w14:paraId="632889A4">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2891" w:type="dxa"/>
            <w:vAlign w:val="center"/>
          </w:tcPr>
          <w:p w14:paraId="1B4B2CF6">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是否授权评标委员会确定中标人</w:t>
            </w:r>
          </w:p>
        </w:tc>
        <w:tc>
          <w:tcPr>
            <w:tcW w:w="6263" w:type="dxa"/>
            <w:gridSpan w:val="2"/>
            <w:vAlign w:val="center"/>
          </w:tcPr>
          <w:p w14:paraId="6ECA4587">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p w14:paraId="7BD3ABC8">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r>
              <w:rPr>
                <w:rFonts w:hint="eastAsia" w:ascii="宋体" w:hAnsi="宋体" w:eastAsia="宋体" w:cs="宋体"/>
                <w:color w:val="auto"/>
                <w:sz w:val="21"/>
                <w:szCs w:val="21"/>
                <w:highlight w:val="none"/>
                <w:u w:val="single"/>
              </w:rPr>
              <w:t>评标委员会根据招标文件规定的评标标准和方法，对投标文件进行系统地评审和比较，向招标人推荐</w:t>
            </w:r>
            <w:bookmarkStart w:id="39" w:name="OLE_LINK6"/>
            <w:r>
              <w:rPr>
                <w:rFonts w:hint="eastAsia" w:ascii="宋体" w:hAnsi="宋体" w:eastAsia="宋体" w:cs="宋体"/>
                <w:color w:val="auto"/>
                <w:sz w:val="21"/>
                <w:szCs w:val="21"/>
                <w:highlight w:val="none"/>
                <w:u w:val="single"/>
              </w:rPr>
              <w:t>不排序中标候选人</w:t>
            </w:r>
            <w:bookmarkEnd w:id="39"/>
            <w:r>
              <w:rPr>
                <w:rFonts w:hint="eastAsia" w:ascii="宋体" w:hAnsi="宋体" w:eastAsia="宋体" w:cs="宋体"/>
                <w:color w:val="auto"/>
                <w:sz w:val="21"/>
                <w:szCs w:val="21"/>
                <w:highlight w:val="none"/>
                <w:u w:val="single"/>
              </w:rPr>
              <w:t>进入定标阶段。</w:t>
            </w:r>
          </w:p>
        </w:tc>
      </w:tr>
      <w:tr w14:paraId="26933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14:paraId="40A4F215">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p>
        </w:tc>
        <w:tc>
          <w:tcPr>
            <w:tcW w:w="2891" w:type="dxa"/>
            <w:vAlign w:val="center"/>
          </w:tcPr>
          <w:p w14:paraId="0D0137BB">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采用评定分离定标办法</w:t>
            </w:r>
          </w:p>
        </w:tc>
        <w:tc>
          <w:tcPr>
            <w:tcW w:w="6263" w:type="dxa"/>
            <w:gridSpan w:val="2"/>
            <w:vAlign w:val="center"/>
          </w:tcPr>
          <w:p w14:paraId="301A2F1F">
            <w:pPr>
              <w:keepNext w:val="0"/>
              <w:keepLines w:val="0"/>
              <w:pageBreakBefore w:val="0"/>
              <w:kinsoku/>
              <w:wordWrap/>
              <w:overflowPunct/>
              <w:autoSpaceDE/>
              <w:autoSpaceDN/>
              <w:bidi w:val="0"/>
              <w:spacing w:line="240" w:lineRule="auto"/>
              <w:ind w:left="0" w:leftChars="0" w:right="0" w:rightChars="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评标办法：综合评估法</w:t>
            </w:r>
          </w:p>
          <w:p w14:paraId="4559796A">
            <w:pPr>
              <w:keepNext w:val="0"/>
              <w:keepLines w:val="0"/>
              <w:pageBreakBefore w:val="0"/>
              <w:kinsoku/>
              <w:wordWrap/>
              <w:overflowPunct/>
              <w:autoSpaceDE/>
              <w:autoSpaceDN/>
              <w:bidi w:val="0"/>
              <w:spacing w:line="240" w:lineRule="auto"/>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定标办法：评分法</w:t>
            </w:r>
          </w:p>
          <w:p w14:paraId="2A171DA3">
            <w:pPr>
              <w:keepNext w:val="0"/>
              <w:keepLines w:val="0"/>
              <w:pageBreakBefore w:val="0"/>
              <w:kinsoku/>
              <w:wordWrap/>
              <w:overflowPunct/>
              <w:autoSpaceDE/>
              <w:autoSpaceDN/>
              <w:bidi w:val="0"/>
              <w:spacing w:line="240" w:lineRule="auto"/>
              <w:ind w:left="0" w:leftChars="0" w:right="0" w:right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rPr>
              <w:t>具体要求详见 第三章 评标及定标办法</w:t>
            </w:r>
          </w:p>
        </w:tc>
      </w:tr>
      <w:tr w14:paraId="4A6A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14:paraId="71B0785F">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p>
        </w:tc>
        <w:tc>
          <w:tcPr>
            <w:tcW w:w="2891" w:type="dxa"/>
            <w:vAlign w:val="center"/>
          </w:tcPr>
          <w:p w14:paraId="2FB7D820">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进入定标阶段的合格的中标候选人</w:t>
            </w:r>
          </w:p>
        </w:tc>
        <w:tc>
          <w:tcPr>
            <w:tcW w:w="6263" w:type="dxa"/>
            <w:gridSpan w:val="2"/>
            <w:vAlign w:val="center"/>
          </w:tcPr>
          <w:p w14:paraId="301AC51B">
            <w:pPr>
              <w:keepNext w:val="0"/>
              <w:keepLines w:val="0"/>
              <w:pageBreakBefore w:val="0"/>
              <w:kinsoku/>
              <w:wordWrap/>
              <w:overflowPunct/>
              <w:autoSpaceDE/>
              <w:autoSpaceDN/>
              <w:bidi w:val="0"/>
              <w:snapToGrid w:val="0"/>
              <w:spacing w:line="240" w:lineRule="auto"/>
              <w:ind w:left="0" w:leftChars="0" w:right="0" w:rightChars="0" w:firstLine="424" w:firstLineChars="202"/>
              <w:textAlignment w:val="auto"/>
              <w:rPr>
                <w:rFonts w:hint="eastAsia" w:ascii="宋体" w:hAnsi="宋体" w:eastAsia="宋体" w:cs="宋体"/>
                <w:color w:val="auto"/>
                <w:sz w:val="21"/>
                <w:szCs w:val="21"/>
                <w:highlight w:val="none"/>
              </w:rPr>
            </w:pPr>
            <w:bookmarkStart w:id="40" w:name="OLE_LINK142"/>
            <w:r>
              <w:rPr>
                <w:rFonts w:hint="eastAsia" w:ascii="宋体" w:hAnsi="宋体" w:eastAsia="宋体" w:cs="宋体"/>
                <w:color w:val="auto"/>
                <w:sz w:val="21"/>
                <w:szCs w:val="21"/>
                <w:highlight w:val="none"/>
                <w:u w:val="single"/>
              </w:rPr>
              <w:t>对于初步评审合格的投标文件（含形式评审、资格评审、响应性评审）的投标人，评标委员会采用综合评估法</w:t>
            </w:r>
            <w:bookmarkStart w:id="41" w:name="OLE_LINK10"/>
            <w:r>
              <w:rPr>
                <w:rFonts w:hint="eastAsia" w:ascii="宋体" w:hAnsi="宋体" w:eastAsia="宋体" w:cs="宋体"/>
                <w:color w:val="auto"/>
                <w:sz w:val="21"/>
                <w:szCs w:val="21"/>
                <w:highlight w:val="none"/>
                <w:u w:val="single"/>
              </w:rPr>
              <w:t>详细评审</w:t>
            </w:r>
            <w:bookmarkEnd w:id="41"/>
            <w:r>
              <w:rPr>
                <w:rFonts w:hint="eastAsia" w:ascii="宋体" w:hAnsi="宋体" w:eastAsia="宋体" w:cs="宋体"/>
                <w:color w:val="auto"/>
                <w:sz w:val="21"/>
                <w:szCs w:val="21"/>
                <w:highlight w:val="none"/>
                <w:u w:val="single"/>
              </w:rPr>
              <w:t>，</w:t>
            </w:r>
            <w:bookmarkStart w:id="42" w:name="OLE_LINK119"/>
            <w:bookmarkStart w:id="43" w:name="OLE_LINK118"/>
            <w:r>
              <w:rPr>
                <w:rFonts w:hint="eastAsia" w:ascii="宋体" w:hAnsi="宋体" w:eastAsia="宋体" w:cs="宋体"/>
                <w:color w:val="auto"/>
                <w:sz w:val="21"/>
                <w:szCs w:val="21"/>
                <w:highlight w:val="none"/>
                <w:u w:val="single"/>
              </w:rPr>
              <w:t>推荐中标候选人</w:t>
            </w:r>
            <w:bookmarkEnd w:id="42"/>
            <w:bookmarkEnd w:id="43"/>
            <w:r>
              <w:rPr>
                <w:rFonts w:hint="eastAsia" w:ascii="宋体" w:hAnsi="宋体" w:eastAsia="宋体" w:cs="宋体"/>
                <w:color w:val="auto"/>
                <w:sz w:val="21"/>
                <w:szCs w:val="21"/>
                <w:highlight w:val="none"/>
                <w:u w:val="single"/>
              </w:rPr>
              <w:t>。</w:t>
            </w:r>
          </w:p>
          <w:bookmarkEnd w:id="40"/>
          <w:p w14:paraId="096964E1">
            <w:pPr>
              <w:pStyle w:val="23"/>
              <w:keepNext w:val="0"/>
              <w:keepLines w:val="0"/>
              <w:pageBreakBefore w:val="0"/>
              <w:kinsoku/>
              <w:wordWrap/>
              <w:overflowPunct/>
              <w:autoSpaceDE/>
              <w:autoSpaceDN/>
              <w:bidi w:val="0"/>
              <w:snapToGrid w:val="0"/>
              <w:spacing w:line="240" w:lineRule="auto"/>
              <w:ind w:left="0" w:leftChars="0" w:right="0" w:rightChars="0"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（1）当通过初步评审的投标人数≥3时，按以下方式确定中标候选人：</w:t>
            </w:r>
          </w:p>
          <w:p w14:paraId="41C6F7BE">
            <w:pPr>
              <w:pStyle w:val="23"/>
              <w:keepNext w:val="0"/>
              <w:keepLines w:val="0"/>
              <w:pageBreakBefore w:val="0"/>
              <w:kinsoku/>
              <w:wordWrap/>
              <w:overflowPunct/>
              <w:autoSpaceDE/>
              <w:autoSpaceDN/>
              <w:bidi w:val="0"/>
              <w:snapToGrid w:val="0"/>
              <w:spacing w:line="240" w:lineRule="auto"/>
              <w:ind w:left="0" w:leftChars="0" w:right="0" w:rightChars="0"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①对于报价低于成本警示价的投标人，不参加投标报价详细评审，但需参加工程总承包实施方案标的详细评审。评标委员会根据工程总承包实施方案标详细评审的排序，推荐的中标候选人数量为1。</w:t>
            </w:r>
          </w:p>
          <w:p w14:paraId="284E3943">
            <w:pPr>
              <w:pStyle w:val="23"/>
              <w:keepNext w:val="0"/>
              <w:keepLines w:val="0"/>
              <w:pageBreakBefore w:val="0"/>
              <w:kinsoku/>
              <w:wordWrap/>
              <w:overflowPunct/>
              <w:autoSpaceDE/>
              <w:autoSpaceDN/>
              <w:bidi w:val="0"/>
              <w:snapToGrid w:val="0"/>
              <w:spacing w:line="240" w:lineRule="auto"/>
              <w:ind w:left="0" w:leftChars="0" w:right="0" w:rightChars="0"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计算各有效投标文件的总得分，并按照总得分从高到低排列先后次序。总得分相同的，以工程总承包实施方案得分高优先，如工程总承包实施方案得分相同的，由评标委员会按照合格中标候选人数的规定采用记名投票方式确定排序。评标委员会应按排序先后，在有效的投标人中，向招标人推荐不排序中标候选人。</w:t>
            </w:r>
          </w:p>
          <w:p w14:paraId="50A000EE">
            <w:pPr>
              <w:pStyle w:val="23"/>
              <w:keepNext w:val="0"/>
              <w:keepLines w:val="0"/>
              <w:pageBreakBefore w:val="0"/>
              <w:kinsoku/>
              <w:wordWrap/>
              <w:overflowPunct/>
              <w:autoSpaceDE/>
              <w:autoSpaceDN/>
              <w:bidi w:val="0"/>
              <w:snapToGrid w:val="0"/>
              <w:spacing w:line="240" w:lineRule="auto"/>
              <w:ind w:left="0" w:leftChars="0" w:right="0" w:rightChars="0"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②对于报价不低于成本警示价的投标人，需要参加工程总承包实施方案、投标报价的详细评审并排序。</w:t>
            </w:r>
          </w:p>
          <w:p w14:paraId="455A6EF3">
            <w:pPr>
              <w:pStyle w:val="23"/>
              <w:keepNext w:val="0"/>
              <w:keepLines w:val="0"/>
              <w:pageBreakBefore w:val="0"/>
              <w:kinsoku/>
              <w:wordWrap/>
              <w:overflowPunct/>
              <w:autoSpaceDE/>
              <w:autoSpaceDN/>
              <w:bidi w:val="0"/>
              <w:snapToGrid w:val="0"/>
              <w:spacing w:line="240" w:lineRule="auto"/>
              <w:ind w:left="0" w:leftChars="0" w:right="0" w:rightChars="0"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当通过初步评审不低于成本警示价的投标人&lt;3时，全部推荐为中标候选人。</w:t>
            </w:r>
          </w:p>
          <w:p w14:paraId="46196659">
            <w:pPr>
              <w:pStyle w:val="23"/>
              <w:keepNext w:val="0"/>
              <w:keepLines w:val="0"/>
              <w:pageBreakBefore w:val="0"/>
              <w:kinsoku/>
              <w:wordWrap/>
              <w:overflowPunct/>
              <w:autoSpaceDE/>
              <w:autoSpaceDN/>
              <w:bidi w:val="0"/>
              <w:snapToGrid w:val="0"/>
              <w:spacing w:line="240" w:lineRule="auto"/>
              <w:ind w:left="0" w:leftChars="0" w:right="0" w:rightChars="0"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当通过初步评审不低于成本警示价的投标人≥3时，评标委员会根据详细评审的得分由高到低进行排序，推荐前7名不排序的投标人为中标候选人(不足7名的，全部推荐为中标候选人)。</w:t>
            </w:r>
          </w:p>
          <w:p w14:paraId="4438FA5B">
            <w:pPr>
              <w:pStyle w:val="23"/>
              <w:keepNext w:val="0"/>
              <w:keepLines w:val="0"/>
              <w:pageBreakBefore w:val="0"/>
              <w:kinsoku/>
              <w:wordWrap/>
              <w:overflowPunct/>
              <w:autoSpaceDE/>
              <w:autoSpaceDN/>
              <w:bidi w:val="0"/>
              <w:snapToGrid w:val="0"/>
              <w:spacing w:line="240" w:lineRule="auto"/>
              <w:ind w:left="0" w:leftChars="0" w:right="0" w:rightChars="0"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计算各有效投标文件的总得分，并按照总得分从高到低排列先后次序。总得分相同的，以工程总承包实施方案得分高优先，如工程总承包实施方案得分相同的，以投标报价低的优先，如投标报价相同的，由评标委员会按照合格中标候选人数的规定采用记名投票方式确定排序。评标委员会应按排序先后，在有效的投标人中，向招标人推荐不排序中标候选人。</w:t>
            </w:r>
          </w:p>
          <w:p w14:paraId="2608B6B5">
            <w:pPr>
              <w:pStyle w:val="23"/>
              <w:keepNext w:val="0"/>
              <w:keepLines w:val="0"/>
              <w:pageBreakBefore w:val="0"/>
              <w:kinsoku/>
              <w:wordWrap/>
              <w:overflowPunct/>
              <w:autoSpaceDE/>
              <w:autoSpaceDN/>
              <w:bidi w:val="0"/>
              <w:snapToGrid w:val="0"/>
              <w:spacing w:line="240" w:lineRule="auto"/>
              <w:ind w:left="0" w:leftChars="0" w:right="0" w:rightChars="0"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（2）当通过初步评审的投标人数&lt;3时，招标人应重新招标。</w:t>
            </w:r>
          </w:p>
        </w:tc>
      </w:tr>
      <w:tr w14:paraId="713D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105C954C">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2891" w:type="dxa"/>
            <w:vAlign w:val="center"/>
          </w:tcPr>
          <w:p w14:paraId="7CB69087">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中标候选人公示媒介</w:t>
            </w:r>
          </w:p>
        </w:tc>
        <w:tc>
          <w:tcPr>
            <w:tcW w:w="6263" w:type="dxa"/>
            <w:gridSpan w:val="2"/>
            <w:vAlign w:val="center"/>
          </w:tcPr>
          <w:p w14:paraId="5545F0C7">
            <w:pPr>
              <w:keepNext w:val="0"/>
              <w:keepLines w:val="0"/>
              <w:pageBreakBefore w:val="0"/>
              <w:kinsoku/>
              <w:wordWrap/>
              <w:overflowPunct/>
              <w:autoSpaceDE/>
              <w:autoSpaceDN/>
              <w:bidi w:val="0"/>
              <w:spacing w:line="240" w:lineRule="auto"/>
              <w:ind w:left="0" w:leftChars="0" w:right="0" w:rightChars="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公示媒介：中国招标投标公共服务平台、广东省招标投标监管网、广州交易集团有限公司（广州公共资源交易中心）网站</w:t>
            </w:r>
          </w:p>
          <w:p w14:paraId="33EC4C10">
            <w:pPr>
              <w:keepNext w:val="0"/>
              <w:keepLines w:val="0"/>
              <w:pageBreakBefore w:val="0"/>
              <w:kinsoku/>
              <w:wordWrap/>
              <w:overflowPunct/>
              <w:autoSpaceDE/>
              <w:autoSpaceDN/>
              <w:bidi w:val="0"/>
              <w:spacing w:line="240" w:lineRule="auto"/>
              <w:ind w:left="0" w:leftChars="0" w:right="0" w:right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single"/>
              </w:rPr>
              <w:t>公示期限：3日（最后一日须为工作日）</w:t>
            </w:r>
          </w:p>
        </w:tc>
      </w:tr>
      <w:tr w14:paraId="47C9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18F37990">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7.4.1</w:t>
            </w:r>
          </w:p>
        </w:tc>
        <w:tc>
          <w:tcPr>
            <w:tcW w:w="2891" w:type="dxa"/>
            <w:vAlign w:val="center"/>
          </w:tcPr>
          <w:p w14:paraId="6E77BED7">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6263" w:type="dxa"/>
            <w:gridSpan w:val="2"/>
            <w:vAlign w:val="center"/>
          </w:tcPr>
          <w:p w14:paraId="1C165530">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履约担保的形式：</w:t>
            </w:r>
            <w:r>
              <w:rPr>
                <w:rFonts w:hint="eastAsia" w:ascii="宋体" w:hAnsi="宋体" w:eastAsia="宋体" w:cs="宋体"/>
                <w:color w:val="auto"/>
                <w:sz w:val="21"/>
                <w:szCs w:val="21"/>
                <w:highlight w:val="none"/>
                <w:u w:val="single"/>
              </w:rPr>
              <w:t>以合同约定为准</w:t>
            </w:r>
            <w:r>
              <w:rPr>
                <w:rFonts w:hint="eastAsia" w:ascii="宋体" w:hAnsi="宋体" w:eastAsia="宋体" w:cs="宋体"/>
                <w:color w:val="auto"/>
                <w:sz w:val="21"/>
                <w:szCs w:val="21"/>
                <w:highlight w:val="none"/>
              </w:rPr>
              <w:t>。</w:t>
            </w:r>
          </w:p>
          <w:p w14:paraId="56B8C591">
            <w:pPr>
              <w:keepNext w:val="0"/>
              <w:keepLines w:val="0"/>
              <w:pageBreakBefore w:val="0"/>
              <w:widowControl/>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履约担保的金额：</w:t>
            </w:r>
            <w:r>
              <w:rPr>
                <w:rFonts w:hint="eastAsia" w:ascii="宋体" w:hAnsi="宋体" w:eastAsia="宋体" w:cs="宋体"/>
                <w:color w:val="auto"/>
                <w:sz w:val="21"/>
                <w:szCs w:val="21"/>
                <w:highlight w:val="none"/>
                <w:u w:val="single"/>
              </w:rPr>
              <w:t>中标总价的10%，联合体投标的由联合体主办方提供。</w:t>
            </w:r>
          </w:p>
          <w:p w14:paraId="26CEA9AE">
            <w:pPr>
              <w:keepNext w:val="0"/>
              <w:keepLines w:val="0"/>
              <w:pageBreakBefore w:val="0"/>
              <w:kinsoku/>
              <w:wordWrap/>
              <w:overflowPunct/>
              <w:autoSpaceDE/>
              <w:autoSpaceDN/>
              <w:bidi w:val="0"/>
              <w:spacing w:line="240" w:lineRule="auto"/>
              <w:ind w:left="0" w:leftChars="0" w:right="0" w:right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sz w:val="21"/>
                <w:szCs w:val="21"/>
                <w:highlight w:val="none"/>
                <w:u w:val="single"/>
                <w:lang w:val="en-US" w:eastAsia="zh-CN"/>
              </w:rPr>
              <w:t>详见合同有关约定</w:t>
            </w:r>
          </w:p>
        </w:tc>
      </w:tr>
      <w:tr w14:paraId="45B5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2A081804">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9</w:t>
            </w:r>
          </w:p>
        </w:tc>
        <w:tc>
          <w:tcPr>
            <w:tcW w:w="9154" w:type="dxa"/>
            <w:gridSpan w:val="3"/>
            <w:vAlign w:val="center"/>
          </w:tcPr>
          <w:p w14:paraId="6774629D">
            <w:pPr>
              <w:keepNext w:val="0"/>
              <w:keepLines w:val="0"/>
              <w:pageBreakBefore w:val="0"/>
              <w:kinsoku/>
              <w:wordWrap/>
              <w:overflowPunct/>
              <w:autoSpaceDE/>
              <w:autoSpaceDN/>
              <w:bidi w:val="0"/>
              <w:spacing w:line="240" w:lineRule="auto"/>
              <w:ind w:left="0" w:leftChars="0" w:right="0" w:right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需要补充的其他内容</w:t>
            </w:r>
          </w:p>
        </w:tc>
      </w:tr>
      <w:tr w14:paraId="1F89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5E8BF0F0">
            <w:pPr>
              <w:keepNext w:val="0"/>
              <w:keepLines w:val="0"/>
              <w:pageBreakBefore w:val="0"/>
              <w:widowControl/>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w:t>
            </w:r>
          </w:p>
        </w:tc>
        <w:tc>
          <w:tcPr>
            <w:tcW w:w="9154" w:type="dxa"/>
            <w:gridSpan w:val="3"/>
            <w:vAlign w:val="center"/>
          </w:tcPr>
          <w:p w14:paraId="1A8015CD">
            <w:pPr>
              <w:keepNext w:val="0"/>
              <w:keepLines w:val="0"/>
              <w:pageBreakBefore w:val="0"/>
              <w:widowControl/>
              <w:kinsoku/>
              <w:wordWrap/>
              <w:overflowPunct/>
              <w:autoSpaceDE/>
              <w:autoSpaceDN/>
              <w:bidi w:val="0"/>
              <w:spacing w:line="240" w:lineRule="auto"/>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建设工程质量检测单位：</w:t>
            </w:r>
          </w:p>
          <w:p w14:paraId="64D4D6AF">
            <w:pPr>
              <w:keepNext w:val="0"/>
              <w:keepLines w:val="0"/>
              <w:pageBreakBefore w:val="0"/>
              <w:widowControl/>
              <w:kinsoku/>
              <w:wordWrap/>
              <w:overflowPunct/>
              <w:autoSpaceDE/>
              <w:autoSpaceDN/>
              <w:bidi w:val="0"/>
              <w:spacing w:line="240" w:lineRule="auto"/>
              <w:ind w:left="0" w:leftChars="0" w:right="0" w:rightChars="0"/>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u w:val="singl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0828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42426C4C">
            <w:pPr>
              <w:keepNext w:val="0"/>
              <w:keepLines w:val="0"/>
              <w:pageBreakBefore w:val="0"/>
              <w:widowControl/>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9.2</w:t>
            </w:r>
          </w:p>
        </w:tc>
        <w:tc>
          <w:tcPr>
            <w:tcW w:w="9154" w:type="dxa"/>
            <w:gridSpan w:val="3"/>
            <w:vAlign w:val="center"/>
          </w:tcPr>
          <w:p w14:paraId="0236A79B">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在招标和合同实施期间，招标人要求投标人和承包人遵守最高的道德标准。</w:t>
            </w:r>
          </w:p>
          <w:p w14:paraId="28874751">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1、对本条款的规定，特定义如下词汇：</w:t>
            </w:r>
          </w:p>
          <w:p w14:paraId="3C543D7A">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1）“腐败行为”是指在招标或合同执行期间，通过提供、给予、接受或索要任何有价值的东西，从而影响招标人有关人员工作的行为；</w:t>
            </w:r>
          </w:p>
          <w:p w14:paraId="0BD6BEF9">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7577A832">
            <w:pPr>
              <w:keepNext w:val="0"/>
              <w:keepLines w:val="0"/>
              <w:pageBreakBefore w:val="0"/>
              <w:widowControl/>
              <w:kinsoku/>
              <w:wordWrap/>
              <w:overflowPunct/>
              <w:autoSpaceDE/>
              <w:autoSpaceDN/>
              <w:bidi w:val="0"/>
              <w:spacing w:line="240" w:lineRule="auto"/>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2、如果投标人被认定在本招标的竞争中有腐败或欺诈行为，则会被取消投标资格。</w:t>
            </w:r>
          </w:p>
        </w:tc>
      </w:tr>
      <w:tr w14:paraId="3222C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7898F5F0">
            <w:pPr>
              <w:keepNext w:val="0"/>
              <w:keepLines w:val="0"/>
              <w:pageBreakBefore w:val="0"/>
              <w:widowControl/>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w:t>
            </w:r>
          </w:p>
        </w:tc>
        <w:tc>
          <w:tcPr>
            <w:tcW w:w="9154" w:type="dxa"/>
            <w:gridSpan w:val="3"/>
            <w:vAlign w:val="center"/>
          </w:tcPr>
          <w:p w14:paraId="45B82E85">
            <w:pPr>
              <w:keepNext w:val="0"/>
              <w:keepLines w:val="0"/>
              <w:pageBreakBefore w:val="0"/>
              <w:widowControl/>
              <w:kinsoku/>
              <w:wordWrap/>
              <w:overflowPunct/>
              <w:autoSpaceDE/>
              <w:autoSpaceDN/>
              <w:bidi w:val="0"/>
              <w:spacing w:line="240" w:lineRule="auto"/>
              <w:ind w:left="0" w:leftChars="0" w:right="0" w:rightChars="0"/>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职业健康安全管理目标：杜绝一般等级以上的伤亡事故且工伤责任事故人数为零。</w:t>
            </w:r>
          </w:p>
          <w:p w14:paraId="1632E891">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1"/>
                <w:sz w:val="21"/>
                <w:szCs w:val="21"/>
                <w:highlight w:val="none"/>
              </w:rPr>
              <w:t>环境管理目标：严格执行《广州市建设工程现场文明施工管理办法》（穗建质【2008】937号）</w:t>
            </w:r>
          </w:p>
        </w:tc>
      </w:tr>
      <w:tr w14:paraId="7ABF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2216AB79">
            <w:pPr>
              <w:keepNext w:val="0"/>
              <w:keepLines w:val="0"/>
              <w:pageBreakBefore w:val="0"/>
              <w:widowControl/>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w:t>
            </w:r>
          </w:p>
        </w:tc>
        <w:tc>
          <w:tcPr>
            <w:tcW w:w="9154" w:type="dxa"/>
            <w:gridSpan w:val="3"/>
            <w:vAlign w:val="center"/>
          </w:tcPr>
          <w:p w14:paraId="551E4592">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1"/>
                <w:sz w:val="21"/>
                <w:szCs w:val="21"/>
                <w:highlight w:val="none"/>
              </w:rPr>
              <w:t>项目管理目标及规范：严格执行《建设项目工程总承包管理规范》（GB/T 50358-2017）的要求。</w:t>
            </w:r>
          </w:p>
        </w:tc>
      </w:tr>
      <w:tr w14:paraId="7BBD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10A6DD3C">
            <w:pPr>
              <w:keepNext w:val="0"/>
              <w:keepLines w:val="0"/>
              <w:pageBreakBefore w:val="0"/>
              <w:widowControl/>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w:t>
            </w:r>
          </w:p>
        </w:tc>
        <w:tc>
          <w:tcPr>
            <w:tcW w:w="9154" w:type="dxa"/>
            <w:gridSpan w:val="3"/>
            <w:vAlign w:val="center"/>
          </w:tcPr>
          <w:p w14:paraId="7D87D1B8">
            <w:pPr>
              <w:pStyle w:val="17"/>
              <w:keepNext w:val="0"/>
              <w:keepLines w:val="0"/>
              <w:pageBreakBefore w:val="0"/>
              <w:kinsoku/>
              <w:wordWrap/>
              <w:overflowPunct/>
              <w:topLine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特别提示：投标人在本项目招标人的工程项目中存在下列行为的，将被拒绝一年内参与招标人后续工程投标。（注：拒绝投标时限由招标人视严重程度确定，最低三个月起，自招标人发出通知之日起计）：</w:t>
            </w:r>
          </w:p>
          <w:p w14:paraId="3038D994">
            <w:pPr>
              <w:pStyle w:val="17"/>
              <w:keepNext w:val="0"/>
              <w:keepLines w:val="0"/>
              <w:pageBreakBefore w:val="0"/>
              <w:kinsoku/>
              <w:wordWrap/>
              <w:overflowPunct/>
              <w:topLine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1.将中标工程转包或者违法分包的；</w:t>
            </w:r>
          </w:p>
          <w:p w14:paraId="6C51CEAF">
            <w:pPr>
              <w:pStyle w:val="17"/>
              <w:keepNext w:val="0"/>
              <w:keepLines w:val="0"/>
              <w:pageBreakBefore w:val="0"/>
              <w:kinsoku/>
              <w:wordWrap/>
              <w:overflowPunct/>
              <w:topLine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2.在中标工程中不执行质量、安全生产相关规定，造成质量或安全事故的；</w:t>
            </w:r>
          </w:p>
          <w:p w14:paraId="39A5B47A">
            <w:pPr>
              <w:pStyle w:val="17"/>
              <w:keepNext w:val="0"/>
              <w:keepLines w:val="0"/>
              <w:pageBreakBefore w:val="0"/>
              <w:kinsoku/>
              <w:wordWrap/>
              <w:overflowPunct/>
              <w:topLine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3.出让投标资格的；</w:t>
            </w:r>
          </w:p>
          <w:p w14:paraId="02A7DECE">
            <w:pPr>
              <w:pStyle w:val="17"/>
              <w:keepNext w:val="0"/>
              <w:keepLines w:val="0"/>
              <w:pageBreakBefore w:val="0"/>
              <w:kinsoku/>
              <w:wordWrap/>
              <w:overflowPunct/>
              <w:topLine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4.存在围标或串通投标情形的；</w:t>
            </w:r>
          </w:p>
          <w:p w14:paraId="44BE8EC3">
            <w:pPr>
              <w:pStyle w:val="17"/>
              <w:keepNext w:val="0"/>
              <w:keepLines w:val="0"/>
              <w:pageBreakBefore w:val="0"/>
              <w:kinsoku/>
              <w:wordWrap/>
              <w:overflowPunct/>
              <w:topLine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5.在投标文件中提供虚假材料的；</w:t>
            </w:r>
          </w:p>
          <w:p w14:paraId="75C99725">
            <w:pPr>
              <w:pStyle w:val="17"/>
              <w:keepNext w:val="0"/>
              <w:keepLines w:val="0"/>
              <w:pageBreakBefore w:val="0"/>
              <w:kinsoku/>
              <w:wordWrap/>
              <w:overflowPunct/>
              <w:topLine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6.存在少放、不放业绩、奖项等客观评审资料，减少自身竞争力情形的；</w:t>
            </w:r>
          </w:p>
          <w:p w14:paraId="5C5C7C57">
            <w:pPr>
              <w:pStyle w:val="17"/>
              <w:keepNext w:val="0"/>
              <w:keepLines w:val="0"/>
              <w:pageBreakBefore w:val="0"/>
              <w:kinsoku/>
              <w:wordWrap/>
              <w:overflowPunct/>
              <w:topLine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7.存在弄虚作假骗取中标、行贿情形的；</w:t>
            </w:r>
          </w:p>
          <w:p w14:paraId="6318B608">
            <w:pPr>
              <w:pStyle w:val="17"/>
              <w:keepNext w:val="0"/>
              <w:keepLines w:val="0"/>
              <w:pageBreakBefore w:val="0"/>
              <w:kinsoku/>
              <w:wordWrap/>
              <w:overflowPunct/>
              <w:topLine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8.由于承包人原因拖欠农民工工资的；</w:t>
            </w:r>
          </w:p>
          <w:p w14:paraId="212FDB14">
            <w:pPr>
              <w:pStyle w:val="17"/>
              <w:keepNext w:val="0"/>
              <w:keepLines w:val="0"/>
              <w:pageBreakBefore w:val="0"/>
              <w:kinsoku/>
              <w:wordWrap/>
              <w:overflowPunct/>
              <w:topLine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9.未按照国家、省、市有关建筑施工实名制管理和工人工资支付</w:t>
            </w:r>
            <w:r>
              <w:rPr>
                <w:rFonts w:hint="eastAsia" w:ascii="宋体" w:hAnsi="宋体" w:eastAsia="宋体" w:cs="宋体"/>
                <w:color w:val="auto"/>
                <w:sz w:val="21"/>
                <w:szCs w:val="21"/>
                <w:highlight w:val="none"/>
                <w:u w:val="single"/>
                <w:lang w:val="en-US" w:eastAsia="zh-CN"/>
              </w:rPr>
              <w:t>分账</w:t>
            </w:r>
            <w:r>
              <w:rPr>
                <w:rFonts w:hint="eastAsia" w:ascii="宋体" w:hAnsi="宋体" w:eastAsia="宋体" w:cs="宋体"/>
                <w:color w:val="auto"/>
                <w:sz w:val="21"/>
                <w:szCs w:val="21"/>
                <w:highlight w:val="none"/>
                <w:u w:val="single"/>
              </w:rPr>
              <w:t>管理的规定执行，被行政监管部门处罚的；</w:t>
            </w:r>
          </w:p>
          <w:p w14:paraId="187CBD36">
            <w:pPr>
              <w:pStyle w:val="17"/>
              <w:keepNext w:val="0"/>
              <w:keepLines w:val="0"/>
              <w:pageBreakBefore w:val="0"/>
              <w:kinsoku/>
              <w:wordWrap/>
              <w:overflowPunct/>
              <w:topLine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10.承包人因合同履行过错行为被生效法律文书认定承担违约或侵权责任的；</w:t>
            </w:r>
          </w:p>
          <w:p w14:paraId="7E4A3E74">
            <w:pPr>
              <w:pStyle w:val="17"/>
              <w:keepNext w:val="0"/>
              <w:keepLines w:val="0"/>
              <w:pageBreakBefore w:val="0"/>
              <w:kinsoku/>
              <w:wordWrap/>
              <w:overflowPunct/>
              <w:topLine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11.由于承包人原因提交竣工结算申请时间超过两年的；</w:t>
            </w:r>
          </w:p>
          <w:p w14:paraId="4F0F3E7F">
            <w:pPr>
              <w:pStyle w:val="17"/>
              <w:keepNext w:val="0"/>
              <w:keepLines w:val="0"/>
              <w:pageBreakBefore w:val="0"/>
              <w:kinsoku/>
              <w:wordWrap/>
              <w:overflowPunct/>
              <w:topLine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12.由于承包人原因未按合同约定工期完工超过两年的。</w:t>
            </w:r>
          </w:p>
          <w:p w14:paraId="7E1267B5">
            <w:pPr>
              <w:pStyle w:val="17"/>
              <w:keepNext w:val="0"/>
              <w:keepLines w:val="0"/>
              <w:pageBreakBefore w:val="0"/>
              <w:kinsoku/>
              <w:wordWrap/>
              <w:overflowPunct/>
              <w:topLine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13.承包人未按投标文件中的项目分包计划情况如实开展工作，在合同执行过程中，若承包人未按该分包计划执行，承包人将被按严重违约进行处罚，发包人有权视情况认为存在不诚信行为或不充分履约行为的；</w:t>
            </w:r>
          </w:p>
          <w:p w14:paraId="23ACE210">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u w:val="single"/>
              </w:rPr>
              <w:t>14.承包人如出现更换项目负责人的情况，发包人有权视情况认为存在不诚信行为或不充分履约行为的。</w:t>
            </w:r>
          </w:p>
        </w:tc>
      </w:tr>
      <w:tr w14:paraId="3288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3C7FDD23">
            <w:pPr>
              <w:keepNext w:val="0"/>
              <w:keepLines w:val="0"/>
              <w:pageBreakBefore w:val="0"/>
              <w:widowControl/>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9.</w:t>
            </w:r>
            <w:r>
              <w:rPr>
                <w:rFonts w:hint="eastAsia" w:ascii="宋体" w:hAnsi="宋体" w:eastAsia="宋体" w:cs="宋体"/>
                <w:color w:val="auto"/>
                <w:kern w:val="1"/>
                <w:sz w:val="21"/>
                <w:szCs w:val="21"/>
                <w:highlight w:val="none"/>
                <w:lang w:val="en-US" w:eastAsia="zh-CN"/>
              </w:rPr>
              <w:t>6</w:t>
            </w:r>
          </w:p>
        </w:tc>
        <w:tc>
          <w:tcPr>
            <w:tcW w:w="9154" w:type="dxa"/>
            <w:gridSpan w:val="3"/>
            <w:vAlign w:val="center"/>
          </w:tcPr>
          <w:p w14:paraId="6F46462F">
            <w:pPr>
              <w:pStyle w:val="17"/>
              <w:keepNext w:val="0"/>
              <w:keepLines w:val="0"/>
              <w:pageBreakBefore w:val="0"/>
              <w:kinsoku/>
              <w:wordWrap/>
              <w:overflowPunct/>
              <w:topLinePunct/>
              <w:autoSpaceDE/>
              <w:autoSpaceDN/>
              <w:bidi w:val="0"/>
              <w:spacing w:line="240" w:lineRule="auto"/>
              <w:ind w:left="0" w:leftChars="0" w:right="0" w:rightChars="0"/>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招标失败的情形：满足资格审查合格条件或通过初步评审的投标申请人不足3名时为招标失败。招标人分析招标失败原因，修正招标方案，报有关管理部门核准后，重新组织招标。</w:t>
            </w:r>
          </w:p>
        </w:tc>
      </w:tr>
      <w:tr w14:paraId="556E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2249041F">
            <w:pPr>
              <w:keepNext w:val="0"/>
              <w:keepLines w:val="0"/>
              <w:pageBreakBefore w:val="0"/>
              <w:widowControl/>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9.</w:t>
            </w:r>
            <w:r>
              <w:rPr>
                <w:rFonts w:hint="eastAsia" w:ascii="宋体" w:hAnsi="宋体" w:eastAsia="宋体" w:cs="宋体"/>
                <w:color w:val="auto"/>
                <w:kern w:val="1"/>
                <w:sz w:val="21"/>
                <w:szCs w:val="21"/>
                <w:highlight w:val="none"/>
                <w:lang w:val="en-US" w:eastAsia="zh-CN"/>
              </w:rPr>
              <w:t>7</w:t>
            </w:r>
          </w:p>
        </w:tc>
        <w:tc>
          <w:tcPr>
            <w:tcW w:w="9154" w:type="dxa"/>
            <w:gridSpan w:val="3"/>
            <w:vAlign w:val="center"/>
          </w:tcPr>
          <w:p w14:paraId="2921E1E5">
            <w:pPr>
              <w:pStyle w:val="17"/>
              <w:keepNext w:val="0"/>
              <w:keepLines w:val="0"/>
              <w:pageBreakBefore w:val="0"/>
              <w:kinsoku/>
              <w:wordWrap/>
              <w:overflowPunct/>
              <w:topLinePunct/>
              <w:autoSpaceDE/>
              <w:autoSpaceDN/>
              <w:bidi w:val="0"/>
              <w:spacing w:line="240" w:lineRule="auto"/>
              <w:ind w:left="0" w:leftChars="0" w:right="0" w:rightChars="0"/>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保修期限：按照《建设工程质量管理条例》规定。</w:t>
            </w:r>
          </w:p>
        </w:tc>
      </w:tr>
      <w:tr w14:paraId="5536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3A832D53">
            <w:pPr>
              <w:keepNext w:val="0"/>
              <w:keepLines w:val="0"/>
              <w:pageBreakBefore w:val="0"/>
              <w:widowControl/>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9.</w:t>
            </w:r>
            <w:r>
              <w:rPr>
                <w:rFonts w:hint="eastAsia" w:ascii="宋体" w:hAnsi="宋体" w:eastAsia="宋体" w:cs="宋体"/>
                <w:color w:val="auto"/>
                <w:kern w:val="1"/>
                <w:sz w:val="21"/>
                <w:szCs w:val="21"/>
                <w:highlight w:val="none"/>
                <w:lang w:val="en-US" w:eastAsia="zh-CN"/>
              </w:rPr>
              <w:t>8</w:t>
            </w:r>
          </w:p>
        </w:tc>
        <w:tc>
          <w:tcPr>
            <w:tcW w:w="9154" w:type="dxa"/>
            <w:gridSpan w:val="3"/>
            <w:vAlign w:val="center"/>
          </w:tcPr>
          <w:p w14:paraId="1932DC6E">
            <w:pPr>
              <w:pStyle w:val="17"/>
              <w:keepNext w:val="0"/>
              <w:keepLines w:val="0"/>
              <w:pageBreakBefore w:val="0"/>
              <w:kinsoku/>
              <w:wordWrap/>
              <w:overflowPunct/>
              <w:topLinePunct/>
              <w:autoSpaceDE/>
              <w:autoSpaceDN/>
              <w:bidi w:val="0"/>
              <w:spacing w:line="240" w:lineRule="auto"/>
              <w:ind w:left="0" w:leftChars="0" w:right="0" w:rightChars="0"/>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项目中涉及政府采购说明：按法律法规必须进行政府采购或招标人（发包人）认为有个别专业工程必须进行政府采购，则由招标人（发包人）另行组织采购，采购费用在本项目施工费合同价款中相应扣除。采购工程的总包管理协调费包含在本项目设计采购施工总承包单位中标价中，总承包单位不另计总包管理协调费。</w:t>
            </w:r>
          </w:p>
        </w:tc>
      </w:tr>
      <w:tr w14:paraId="2BD9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76D970B8">
            <w:pPr>
              <w:keepNext w:val="0"/>
              <w:keepLines w:val="0"/>
              <w:pageBreakBefore w:val="0"/>
              <w:widowControl/>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9.</w:t>
            </w:r>
            <w:r>
              <w:rPr>
                <w:rFonts w:hint="eastAsia" w:ascii="宋体" w:hAnsi="宋体" w:eastAsia="宋体" w:cs="宋体"/>
                <w:color w:val="auto"/>
                <w:kern w:val="1"/>
                <w:sz w:val="21"/>
                <w:szCs w:val="21"/>
                <w:highlight w:val="none"/>
                <w:lang w:val="en-US" w:eastAsia="zh-CN"/>
              </w:rPr>
              <w:t>9</w:t>
            </w:r>
          </w:p>
        </w:tc>
        <w:tc>
          <w:tcPr>
            <w:tcW w:w="9154" w:type="dxa"/>
            <w:gridSpan w:val="3"/>
            <w:vAlign w:val="center"/>
          </w:tcPr>
          <w:p w14:paraId="33215ACE">
            <w:pPr>
              <w:pStyle w:val="17"/>
              <w:keepNext w:val="0"/>
              <w:keepLines w:val="0"/>
              <w:pageBreakBefore w:val="0"/>
              <w:kinsoku/>
              <w:wordWrap/>
              <w:overflowPunct/>
              <w:topLinePunct/>
              <w:autoSpaceDE/>
              <w:autoSpaceDN/>
              <w:bidi w:val="0"/>
              <w:spacing w:line="240" w:lineRule="auto"/>
              <w:ind w:left="0" w:leftChars="0" w:right="0" w:rightChars="0"/>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合同签订：招标人与中标人将于中标通知书发出之日起30日内，按照招标文件和中标人的投标文件商定和签订《建设项目工程总承包》合同，招标人和中标人不得另行订立背离合同实质性内容的其他协议。</w:t>
            </w:r>
          </w:p>
        </w:tc>
      </w:tr>
      <w:tr w14:paraId="6670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0647AA6B">
            <w:pPr>
              <w:keepNext w:val="0"/>
              <w:keepLines w:val="0"/>
              <w:pageBreakBefore w:val="0"/>
              <w:widowControl/>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9.1</w:t>
            </w:r>
            <w:r>
              <w:rPr>
                <w:rFonts w:hint="eastAsia" w:ascii="宋体" w:hAnsi="宋体" w:eastAsia="宋体" w:cs="宋体"/>
                <w:color w:val="auto"/>
                <w:kern w:val="1"/>
                <w:sz w:val="21"/>
                <w:szCs w:val="21"/>
                <w:highlight w:val="none"/>
                <w:lang w:val="en-US" w:eastAsia="zh-CN"/>
              </w:rPr>
              <w:t>0</w:t>
            </w:r>
          </w:p>
        </w:tc>
        <w:tc>
          <w:tcPr>
            <w:tcW w:w="9154" w:type="dxa"/>
            <w:gridSpan w:val="3"/>
            <w:vAlign w:val="center"/>
          </w:tcPr>
          <w:p w14:paraId="17DD2BAC">
            <w:pPr>
              <w:pStyle w:val="17"/>
              <w:keepNext w:val="0"/>
              <w:keepLines w:val="0"/>
              <w:pageBreakBefore w:val="0"/>
              <w:kinsoku/>
              <w:wordWrap/>
              <w:overflowPunct/>
              <w:topLinePunct/>
              <w:autoSpaceDE/>
              <w:autoSpaceDN/>
              <w:bidi w:val="0"/>
              <w:spacing w:line="240" w:lineRule="auto"/>
              <w:ind w:left="0" w:leftChars="0" w:right="0" w:rightChars="0"/>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中标人提交纸质投标文件要求：中标通知书发出后3天内投标人需将在广州交易集团有限公司（广州公共资源交易中心）网站下载的投标文件打印，投标文件需与中标人在广州交易集团有限公司（广州公共资源交易中心）网站提交的投标文件一致，投标人加盖公章，一正4副（加盖公章），合共5套投标文件提供给招标人，相关费用由投标人支付。应保证纸质版投标文件与在交易平台提交的电子版投标文件完全一致，如出现不一致则以交易平台提交的电子版投标文件为准。</w:t>
            </w:r>
          </w:p>
        </w:tc>
      </w:tr>
      <w:tr w14:paraId="7CA7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1D4A65AB">
            <w:pPr>
              <w:keepNext w:val="0"/>
              <w:keepLines w:val="0"/>
              <w:pageBreakBefore w:val="0"/>
              <w:widowControl/>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9.1</w:t>
            </w:r>
            <w:r>
              <w:rPr>
                <w:rFonts w:hint="eastAsia" w:ascii="宋体" w:hAnsi="宋体" w:eastAsia="宋体" w:cs="宋体"/>
                <w:color w:val="auto"/>
                <w:kern w:val="1"/>
                <w:sz w:val="21"/>
                <w:szCs w:val="21"/>
                <w:highlight w:val="none"/>
                <w:lang w:val="en-US" w:eastAsia="zh-CN"/>
              </w:rPr>
              <w:t>1</w:t>
            </w:r>
          </w:p>
        </w:tc>
        <w:tc>
          <w:tcPr>
            <w:tcW w:w="9154" w:type="dxa"/>
            <w:gridSpan w:val="3"/>
            <w:vAlign w:val="center"/>
          </w:tcPr>
          <w:p w14:paraId="55D1153E">
            <w:pPr>
              <w:keepNext w:val="0"/>
              <w:keepLines w:val="0"/>
              <w:pageBreakBefore w:val="0"/>
              <w:widowControl/>
              <w:kinsoku/>
              <w:wordWrap/>
              <w:overflowPunct/>
              <w:autoSpaceDE/>
              <w:autoSpaceDN/>
              <w:bidi w:val="0"/>
              <w:spacing w:line="240" w:lineRule="auto"/>
              <w:ind w:left="0" w:leftChars="0" w:right="0" w:rightChars="0"/>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招标代理费：本项目招标代理服务费为</w:t>
            </w:r>
            <w:r>
              <w:rPr>
                <w:rFonts w:hint="eastAsia" w:ascii="宋体" w:hAnsi="宋体" w:eastAsia="宋体" w:cs="宋体"/>
                <w:color w:val="auto"/>
                <w:kern w:val="1"/>
                <w:sz w:val="21"/>
                <w:szCs w:val="21"/>
                <w:highlight w:val="none"/>
                <w:lang w:val="en-US" w:eastAsia="zh-CN"/>
              </w:rPr>
              <w:t>100000</w:t>
            </w:r>
            <w:r>
              <w:rPr>
                <w:rFonts w:hint="eastAsia" w:ascii="宋体" w:hAnsi="宋体" w:eastAsia="宋体" w:cs="宋体"/>
                <w:color w:val="auto"/>
                <w:kern w:val="1"/>
                <w:sz w:val="21"/>
                <w:szCs w:val="21"/>
                <w:highlight w:val="none"/>
              </w:rPr>
              <w:t>元(总价包干），由中标人（若为联合体投标，指联合体主办方）支付，并在领取中标通知书前将此费用支付给招标代理单位</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本费用在中标人投标报价内考虑，不再另行支付</w:t>
            </w:r>
            <w:r>
              <w:rPr>
                <w:rFonts w:hint="eastAsia" w:ascii="宋体" w:hAnsi="宋体" w:eastAsia="宋体" w:cs="宋体"/>
                <w:color w:val="auto"/>
                <w:kern w:val="1"/>
                <w:sz w:val="21"/>
                <w:szCs w:val="21"/>
                <w:highlight w:val="none"/>
              </w:rPr>
              <w:t>。</w:t>
            </w:r>
          </w:p>
        </w:tc>
      </w:tr>
      <w:tr w14:paraId="0926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611A7F90">
            <w:pPr>
              <w:keepNext w:val="0"/>
              <w:keepLines w:val="0"/>
              <w:pageBreakBefore w:val="0"/>
              <w:widowControl/>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rPr>
              <w:t>9.1</w:t>
            </w:r>
            <w:r>
              <w:rPr>
                <w:rFonts w:hint="eastAsia" w:ascii="宋体" w:hAnsi="宋体" w:eastAsia="宋体" w:cs="宋体"/>
                <w:color w:val="auto"/>
                <w:sz w:val="21"/>
                <w:szCs w:val="21"/>
                <w:highlight w:val="none"/>
                <w:lang w:val="en-US" w:eastAsia="zh-CN"/>
              </w:rPr>
              <w:t>2</w:t>
            </w:r>
          </w:p>
        </w:tc>
        <w:tc>
          <w:tcPr>
            <w:tcW w:w="9154" w:type="dxa"/>
            <w:gridSpan w:val="3"/>
            <w:vAlign w:val="center"/>
          </w:tcPr>
          <w:p w14:paraId="28D6F482">
            <w:pPr>
              <w:keepNext w:val="0"/>
              <w:keepLines w:val="0"/>
              <w:pageBreakBefore w:val="0"/>
              <w:widowControl/>
              <w:kinsoku/>
              <w:wordWrap/>
              <w:overflowPunct/>
              <w:autoSpaceDE/>
              <w:autoSpaceDN/>
              <w:bidi w:val="0"/>
              <w:spacing w:line="240" w:lineRule="auto"/>
              <w:ind w:left="0" w:leftChars="0" w:right="0" w:rightChars="0"/>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u w:val="single"/>
              </w:rPr>
              <w:t>交易服务费：须在中标候选人公示结束之日起3个工作日之内根据政府相关文件规定向广州交易集团有限公司（广州公共资源交易中心）缴纳交易服务费，本费用在中标人</w:t>
            </w:r>
            <w:r>
              <w:rPr>
                <w:rFonts w:hint="eastAsia" w:ascii="宋体" w:hAnsi="宋体" w:eastAsia="宋体" w:cs="宋体"/>
                <w:color w:val="auto"/>
                <w:sz w:val="21"/>
                <w:szCs w:val="21"/>
                <w:highlight w:val="none"/>
                <w:u w:val="single"/>
                <w:lang w:val="en-US" w:eastAsia="zh-CN"/>
              </w:rPr>
              <w:t>投标报价内考虑，不再另行支付</w:t>
            </w:r>
            <w:r>
              <w:rPr>
                <w:rFonts w:hint="eastAsia" w:ascii="宋体" w:hAnsi="宋体" w:eastAsia="宋体" w:cs="宋体"/>
                <w:color w:val="auto"/>
                <w:sz w:val="21"/>
                <w:szCs w:val="21"/>
                <w:highlight w:val="none"/>
                <w:u w:val="single"/>
              </w:rPr>
              <w:t>。具体操作要求详见广州交易集团有限公司（广州公共资源交易中心）有关指引，或自行咨询交易中心。该费用由广州交易集团有限公司（广州公共资源交易中心）收取。</w:t>
            </w:r>
          </w:p>
        </w:tc>
      </w:tr>
      <w:tr w14:paraId="584A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1BFB38ED">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909" w:type="dxa"/>
            <w:gridSpan w:val="2"/>
            <w:vAlign w:val="center"/>
          </w:tcPr>
          <w:p w14:paraId="65E417E5">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电子招标投标</w:t>
            </w:r>
          </w:p>
        </w:tc>
        <w:tc>
          <w:tcPr>
            <w:tcW w:w="6245" w:type="dxa"/>
            <w:vAlign w:val="center"/>
          </w:tcPr>
          <w:p w14:paraId="4472876A">
            <w:pPr>
              <w:pStyle w:val="17"/>
              <w:keepNext w:val="0"/>
              <w:keepLines w:val="0"/>
              <w:pageBreakBefore w:val="0"/>
              <w:kinsoku/>
              <w:wordWrap/>
              <w:overflowPunct/>
              <w:topLine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p w14:paraId="4FE372D6">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■是，具体要求：</w:t>
            </w:r>
          </w:p>
          <w:p w14:paraId="41845CCD">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形式：投标文件全部采用电子文档，投标文件应按广州交易集团有限公司（广州公共资源交易中心）交易平台相关操作指南编制。如不按上述要求编制引起系统无法检索、读取相关信息的，其后果由投标人承担。投标文件所附证书证件均为原件扫描件，并采用单位数字证书，按招标文件要求在相应位置加盖电子印章。投标文件中需个人签字或盖章的，应加盖个人电子印章或在线下完成后扫描上传。具体操作详见广州交易集团有限公司（广州公共资源交易中心）交易平台相关操作指南。</w:t>
            </w:r>
          </w:p>
          <w:p w14:paraId="6B5ADFEB">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的修改与撤回：投标人修改或撤回已递交的投标文件，需在广州交易集团有限公司（广州公共资源交易中心）交易平台发出撤回通知，并按要求加盖电子印章。广州交易集团有限公司（广州公共资源交易中心）电子招标投标交易平台收到通知后，即时向投标人发出确认回执通知。</w:t>
            </w:r>
          </w:p>
          <w:p w14:paraId="79A6AC4D">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3、备用光盘(或U盘)：</w:t>
            </w:r>
          </w:p>
          <w:p w14:paraId="14818A5F">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可使用投标文件制作工具生成非加密的电子投标文件载入备用光盘(或U盘)，并分别用不透明信封密封。在规定的时间、地点提交备用，具体要求：①备用光盘(或U盘)：工程总承包实施方案投标文件（含资格审查文件）；</w:t>
            </w:r>
          </w:p>
          <w:p w14:paraId="7FEB30FE">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（2）封装方式:①备用光盘(或U盘)信封封面写明：项目名称、</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投标文件、投标人单位名称、“年月日”并加盖投标人公章（联合体投标的，由牵头单位签署、盖章）；</w:t>
            </w:r>
          </w:p>
          <w:p w14:paraId="763D5BC9">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（3）备用光盘(或U盘)份数：共1份。</w:t>
            </w:r>
          </w:p>
          <w:p w14:paraId="2130D61B">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备用光盘(或U盘)无法读取或导入的，则视为未提交投标文件备用光盘(或U盘)。如果投标人没有按规定通过广州交易集团有限公司（广州公共资源交易中心）交易平台网上递交电子投标文件的，不再读取提交的备用光盘(或U盘)。投标人也可不提交投标文件备用光盘(或U盘)。</w:t>
            </w:r>
          </w:p>
          <w:p w14:paraId="75548F4C">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4、投标文件的递交：</w:t>
            </w:r>
          </w:p>
          <w:p w14:paraId="4401B4A9">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（1）投标文件递交的截止时间（投标截止时间，下同）为年月  日时分，投标人应在截止时间前通过电子招标投标交易平台递交电子投标文件。（具体时间以广州交易集团有限公司（广州公共资源交易中心）网站发布为准。）</w:t>
            </w:r>
          </w:p>
          <w:p w14:paraId="0F572A2B">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（2）提交投标文件备用光盘(或U盘)。</w:t>
            </w:r>
          </w:p>
          <w:p w14:paraId="4F5510F7">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投标文件备用光盘(或U盘)递交时间：年月日时分至年月日时  分，地点：    。（具体时间和地点以广州交易集团有限公司（广州公共资源交易中心）网站发布为准。）</w:t>
            </w:r>
          </w:p>
          <w:p w14:paraId="59D51445">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（3）投标人完成电子投标上传后，电子招标投标交易平台即时向投标人发出递交回执通知。递交时间以递交回执通知载明的传输时间为准。</w:t>
            </w:r>
          </w:p>
          <w:p w14:paraId="20E5885A">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（4）逾期送达的投标文件，电子招标投标交易平台将予以拒收。</w:t>
            </w:r>
          </w:p>
          <w:p w14:paraId="3AC90684">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5、投标文件加密要求：</w:t>
            </w:r>
          </w:p>
          <w:p w14:paraId="38E04C57">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（1）网上递交的电子投标文件须进行加密。具体操作详见广州交易集团有限公司（广州公共资源交易中心）交易平台相关操作指南。</w:t>
            </w:r>
          </w:p>
          <w:p w14:paraId="26DB364F">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（2）未按要求加密的投标文件，招标人将予以拒收。</w:t>
            </w:r>
          </w:p>
          <w:p w14:paraId="561F6D90">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6、投标文件解密失败的补救方案：</w:t>
            </w:r>
          </w:p>
          <w:p w14:paraId="0CF39719">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规定时间内，因投标人之外原因(指网络瘫痪、服务器损坏、交易系统故障短期无法恢复)导致的电子投标文件解密失败，在开标现场读取备用光盘(或U盘)内容，继续开标程序。若出现招标人无法正常解密或导入开标系统的情况，在开标现场读取已成功解密、以及因投标人之外的原因导致电子投标文件解密失败的投标人递交的备用光盘(或U盘)内容。出现上述情况的，评标委员会对其投标文件的评审以备用光盘(或U盘)内容为准。因投标人之外原因解密失败且未递交备用光盘(或U盘)的，视为撤回投标文件。</w:t>
            </w:r>
          </w:p>
          <w:p w14:paraId="51606BCF">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除发生上述情况外，开标评标均以投标人通过广州交易集团有限公司（广州公共资源交易中心）交易平台网上递交的电子投标文件为准。</w:t>
            </w:r>
          </w:p>
        </w:tc>
      </w:tr>
      <w:tr w14:paraId="232E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67716416">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909" w:type="dxa"/>
            <w:gridSpan w:val="2"/>
            <w:vAlign w:val="center"/>
          </w:tcPr>
          <w:p w14:paraId="7A8AA42F">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工程成本</w:t>
            </w:r>
            <w:r>
              <w:rPr>
                <w:rFonts w:hint="eastAsia" w:ascii="宋体" w:hAnsi="宋体" w:eastAsia="宋体" w:cs="宋体"/>
                <w:color w:val="auto"/>
                <w:sz w:val="21"/>
                <w:szCs w:val="21"/>
                <w:highlight w:val="none"/>
                <w:lang w:eastAsia="zh-CN"/>
              </w:rPr>
              <w:t>警示价</w:t>
            </w:r>
          </w:p>
        </w:tc>
        <w:tc>
          <w:tcPr>
            <w:tcW w:w="6245" w:type="dxa"/>
            <w:vAlign w:val="center"/>
          </w:tcPr>
          <w:p w14:paraId="1BB74C1C">
            <w:pPr>
              <w:pStyle w:val="17"/>
              <w:keepNext w:val="0"/>
              <w:keepLines w:val="0"/>
              <w:pageBreakBefore w:val="0"/>
              <w:kinsoku/>
              <w:wordWrap/>
              <w:overflowPunct/>
              <w:topLine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bookmarkStart w:id="44" w:name="OLE_LINK149"/>
            <w:bookmarkStart w:id="45" w:name="OLE_LINK150"/>
            <w:r>
              <w:rPr>
                <w:rFonts w:hint="eastAsia" w:hAnsi="宋体" w:cs="宋体"/>
                <w:color w:val="auto"/>
                <w:sz w:val="21"/>
                <w:szCs w:val="21"/>
                <w:highlight w:val="none"/>
                <w:lang w:val="en-US" w:eastAsia="zh-CN"/>
              </w:rPr>
              <w:t>工程费</w:t>
            </w:r>
            <w:r>
              <w:rPr>
                <w:rFonts w:hint="eastAsia" w:ascii="宋体" w:hAnsi="宋体" w:eastAsia="宋体" w:cs="宋体"/>
                <w:color w:val="auto"/>
                <w:sz w:val="21"/>
                <w:szCs w:val="21"/>
                <w:highlight w:val="none"/>
              </w:rPr>
              <w:t>成本</w:t>
            </w:r>
            <w:bookmarkEnd w:id="44"/>
            <w:r>
              <w:rPr>
                <w:rFonts w:hint="eastAsia" w:ascii="宋体" w:hAnsi="宋体" w:eastAsia="宋体" w:cs="宋体"/>
                <w:color w:val="auto"/>
                <w:sz w:val="21"/>
                <w:szCs w:val="21"/>
                <w:highlight w:val="none"/>
                <w:lang w:eastAsia="zh-CN"/>
              </w:rPr>
              <w:t>警示价</w:t>
            </w:r>
            <w:r>
              <w:rPr>
                <w:rFonts w:hint="eastAsia" w:ascii="宋体" w:hAnsi="宋体" w:eastAsia="宋体" w:cs="宋体"/>
                <w:color w:val="auto"/>
                <w:sz w:val="21"/>
                <w:szCs w:val="21"/>
                <w:highlight w:val="none"/>
              </w:rPr>
              <w:t>按</w:t>
            </w:r>
            <w:r>
              <w:rPr>
                <w:rFonts w:hint="eastAsia" w:hAnsi="宋体" w:cs="宋体"/>
                <w:color w:val="auto"/>
                <w:sz w:val="21"/>
                <w:szCs w:val="21"/>
                <w:highlight w:val="none"/>
                <w:lang w:val="en-US" w:eastAsia="zh-CN"/>
              </w:rPr>
              <w:t>工程费</w:t>
            </w:r>
            <w:r>
              <w:rPr>
                <w:rFonts w:hint="eastAsia" w:ascii="宋体" w:hAnsi="宋体" w:eastAsia="宋体" w:cs="宋体"/>
                <w:color w:val="auto"/>
                <w:sz w:val="21"/>
                <w:szCs w:val="21"/>
                <w:highlight w:val="none"/>
              </w:rPr>
              <w:t>最高投标限价的</w:t>
            </w:r>
            <w:r>
              <w:rPr>
                <w:rFonts w:hint="eastAsia" w:hAnsi="宋体" w:cs="宋体"/>
                <w:color w:val="auto"/>
                <w:sz w:val="21"/>
                <w:szCs w:val="21"/>
                <w:highlight w:val="none"/>
                <w:u w:val="single"/>
                <w:lang w:val="en-US" w:eastAsia="zh-CN"/>
              </w:rPr>
              <w:t>85</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设置</w:t>
            </w:r>
            <w:bookmarkEnd w:id="45"/>
            <w:r>
              <w:rPr>
                <w:rFonts w:hint="eastAsia" w:ascii="宋体" w:hAnsi="宋体" w:eastAsia="宋体" w:cs="宋体"/>
                <w:color w:val="auto"/>
                <w:sz w:val="21"/>
                <w:szCs w:val="21"/>
                <w:highlight w:val="none"/>
              </w:rPr>
              <w:t>，为</w:t>
            </w:r>
            <w:r>
              <w:rPr>
                <w:rFonts w:hint="eastAsia" w:hAnsi="宋体" w:cs="宋体"/>
                <w:color w:val="auto"/>
                <w:sz w:val="21"/>
                <w:szCs w:val="21"/>
                <w:highlight w:val="none"/>
                <w:u w:val="single"/>
                <w:lang w:val="en-US" w:eastAsia="zh-CN"/>
              </w:rPr>
              <w:t>534,307,186.01</w:t>
            </w:r>
            <w:r>
              <w:rPr>
                <w:rFonts w:hint="eastAsia" w:ascii="宋体" w:hAnsi="宋体" w:eastAsia="宋体" w:cs="宋体"/>
                <w:color w:val="auto"/>
                <w:sz w:val="21"/>
                <w:szCs w:val="21"/>
                <w:highlight w:val="none"/>
                <w:u w:val="single"/>
                <w:lang w:val="en-US" w:eastAsia="zh-CN"/>
              </w:rPr>
              <w:t>元</w:t>
            </w:r>
            <w:r>
              <w:rPr>
                <w:rFonts w:hint="eastAsia" w:ascii="宋体" w:hAnsi="宋体" w:eastAsia="宋体" w:cs="宋体"/>
                <w:color w:val="auto"/>
                <w:sz w:val="21"/>
                <w:szCs w:val="21"/>
                <w:highlight w:val="none"/>
              </w:rPr>
              <w:t>。对低于该</w:t>
            </w:r>
            <w:r>
              <w:rPr>
                <w:rFonts w:hint="eastAsia" w:ascii="宋体" w:hAnsi="宋体" w:eastAsia="宋体" w:cs="宋体"/>
                <w:color w:val="auto"/>
                <w:sz w:val="21"/>
                <w:szCs w:val="21"/>
                <w:highlight w:val="none"/>
                <w:lang w:eastAsia="zh-CN"/>
              </w:rPr>
              <w:t>警示价</w:t>
            </w:r>
            <w:r>
              <w:rPr>
                <w:rFonts w:hint="eastAsia" w:ascii="宋体" w:hAnsi="宋体" w:eastAsia="宋体" w:cs="宋体"/>
                <w:color w:val="auto"/>
                <w:sz w:val="21"/>
                <w:szCs w:val="21"/>
                <w:highlight w:val="none"/>
              </w:rPr>
              <w:t>的投标报价，投标人必须提供详细的报价说明，并提交详细的报价不低于成本价的证明材料，证明其报价合理性。报价说明包括但不限于：单价、措施性费用、单价分析表、主要材料价格表、投标人成本分析人工费（近一个月的人员工资表、社保证明及工作时间网络图等）、公司办公费（租赁合同或产权证明、固定资产摊分证明等）、办公设备费（电脑发票、软件发票等）。供评标委员会评审，由评标委员会判定其是否低于企业成本。在评标过程中，评标委员会发现投标人的报价明显低于其他投标报价或者低于成本</w:t>
            </w:r>
            <w:r>
              <w:rPr>
                <w:rFonts w:hint="eastAsia" w:ascii="宋体" w:hAnsi="宋体" w:eastAsia="宋体" w:cs="宋体"/>
                <w:color w:val="auto"/>
                <w:sz w:val="21"/>
                <w:szCs w:val="21"/>
                <w:highlight w:val="none"/>
                <w:lang w:eastAsia="zh-CN"/>
              </w:rPr>
              <w:t>警示价</w:t>
            </w:r>
            <w:r>
              <w:rPr>
                <w:rFonts w:hint="eastAsia" w:ascii="宋体" w:hAnsi="宋体" w:eastAsia="宋体" w:cs="宋体"/>
                <w:color w:val="auto"/>
                <w:sz w:val="21"/>
                <w:szCs w:val="21"/>
                <w:highlight w:val="none"/>
              </w:rPr>
              <w:t>，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14:paraId="6C7E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057373BC">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909" w:type="dxa"/>
            <w:gridSpan w:val="2"/>
            <w:vAlign w:val="center"/>
          </w:tcPr>
          <w:p w14:paraId="512A67AF">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招标人对中标人参与“百千万工程”的具体要求</w:t>
            </w:r>
          </w:p>
        </w:tc>
        <w:tc>
          <w:tcPr>
            <w:tcW w:w="6245" w:type="dxa"/>
            <w:vAlign w:val="center"/>
          </w:tcPr>
          <w:p w14:paraId="6E99FA7A">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说明与要求：</w:t>
            </w:r>
          </w:p>
          <w:p w14:paraId="59154C58">
            <w:pPr>
              <w:keepNext w:val="0"/>
              <w:keepLines w:val="0"/>
              <w:pageBreakBefore w:val="0"/>
              <w:kinsoku/>
              <w:wordWrap/>
              <w:overflow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■具体要求在中标后按照投标承诺和招标人的要求执行。</w:t>
            </w:r>
          </w:p>
          <w:p w14:paraId="15DBD544">
            <w:pPr>
              <w:pStyle w:val="17"/>
              <w:keepNext w:val="0"/>
              <w:keepLines w:val="0"/>
              <w:pageBreakBefore w:val="0"/>
              <w:kinsoku/>
              <w:wordWrap/>
              <w:overflowPunct/>
              <w:topLine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□具体要求：无。</w:t>
            </w:r>
          </w:p>
        </w:tc>
      </w:tr>
      <w:tr w14:paraId="730B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7CA14629">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2891" w:type="dxa"/>
            <w:vAlign w:val="center"/>
          </w:tcPr>
          <w:p w14:paraId="05B411B0">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施工实名制</w:t>
            </w:r>
          </w:p>
        </w:tc>
        <w:tc>
          <w:tcPr>
            <w:tcW w:w="6263" w:type="dxa"/>
            <w:gridSpan w:val="2"/>
            <w:vAlign w:val="center"/>
          </w:tcPr>
          <w:p w14:paraId="7EB8A4D8">
            <w:pPr>
              <w:pStyle w:val="17"/>
              <w:keepNext w:val="0"/>
              <w:keepLines w:val="0"/>
              <w:pageBreakBefore w:val="0"/>
              <w:kinsoku/>
              <w:wordWrap/>
              <w:overflowPunct/>
              <w:topLine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按相关部门最新文件执行。</w:t>
            </w:r>
          </w:p>
        </w:tc>
      </w:tr>
      <w:tr w14:paraId="5F57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7BBA7813">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2891" w:type="dxa"/>
            <w:vAlign w:val="center"/>
          </w:tcPr>
          <w:p w14:paraId="0ED8F133">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工人工资分账管理</w:t>
            </w:r>
          </w:p>
        </w:tc>
        <w:tc>
          <w:tcPr>
            <w:tcW w:w="6263" w:type="dxa"/>
            <w:gridSpan w:val="2"/>
            <w:vAlign w:val="center"/>
          </w:tcPr>
          <w:p w14:paraId="6D19D28C">
            <w:pPr>
              <w:pStyle w:val="17"/>
              <w:keepNext w:val="0"/>
              <w:keepLines w:val="0"/>
              <w:pageBreakBefore w:val="0"/>
              <w:kinsoku/>
              <w:wordWrap/>
              <w:overflowPunct/>
              <w:topLine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按相关部门最新文件执行。</w:t>
            </w:r>
          </w:p>
        </w:tc>
      </w:tr>
      <w:tr w14:paraId="5D0E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4C4E3856">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2891" w:type="dxa"/>
            <w:vAlign w:val="center"/>
          </w:tcPr>
          <w:p w14:paraId="488E5E7E">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危险性较大的分部分项工程清单及超过-定规模的危险性较大的分部分项清单</w:t>
            </w:r>
          </w:p>
        </w:tc>
        <w:tc>
          <w:tcPr>
            <w:tcW w:w="6263" w:type="dxa"/>
            <w:gridSpan w:val="2"/>
            <w:vAlign w:val="center"/>
          </w:tcPr>
          <w:p w14:paraId="07476E94">
            <w:pPr>
              <w:pStyle w:val="17"/>
              <w:keepNext w:val="0"/>
              <w:keepLines w:val="0"/>
              <w:pageBreakBefore w:val="0"/>
              <w:kinsoku/>
              <w:wordWrap/>
              <w:overflowPunct/>
              <w:topLine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现阶段无法明确危险性较大的分部分项工程清单及超过一定规模的危险性较大的分部分项清单，投标单位中标后，在施工图设计批复后，须根据项目实际情况，对危险性较大的分部分项工程清单及超过一定规模的危险性较大的分部分项清单部分工程内容明确相应的安全管理措施。投标人应充分考虑该部分工作内容及相关措施费。</w:t>
            </w:r>
          </w:p>
        </w:tc>
      </w:tr>
      <w:tr w14:paraId="3538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7C89B1E5">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kern w:val="0"/>
                <w:sz w:val="21"/>
                <w:szCs w:val="21"/>
                <w:highlight w:val="none"/>
              </w:rPr>
            </w:pPr>
            <w:bookmarkStart w:id="46" w:name="_Toc49303759"/>
            <w:r>
              <w:rPr>
                <w:rFonts w:hint="eastAsia" w:ascii="宋体" w:hAnsi="宋体" w:eastAsia="宋体" w:cs="宋体"/>
                <w:color w:val="auto"/>
                <w:kern w:val="0"/>
                <w:sz w:val="21"/>
                <w:szCs w:val="21"/>
                <w:highlight w:val="none"/>
              </w:rPr>
              <w:t>18</w:t>
            </w:r>
          </w:p>
        </w:tc>
        <w:tc>
          <w:tcPr>
            <w:tcW w:w="2891" w:type="dxa"/>
            <w:vAlign w:val="center"/>
          </w:tcPr>
          <w:p w14:paraId="7A60CEAE">
            <w:pPr>
              <w:keepNext w:val="0"/>
              <w:keepLines w:val="0"/>
              <w:pageBreakBefore w:val="0"/>
              <w:kinsoku/>
              <w:wordWrap/>
              <w:overflowPunct/>
              <w:autoSpaceDE/>
              <w:autoSpaceDN/>
              <w:bidi w:val="0"/>
              <w:spacing w:line="240" w:lineRule="auto"/>
              <w:ind w:left="0" w:leftChars="0"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single"/>
              </w:rPr>
              <w:t>绿色发展理念</w:t>
            </w:r>
          </w:p>
        </w:tc>
        <w:tc>
          <w:tcPr>
            <w:tcW w:w="6263" w:type="dxa"/>
            <w:gridSpan w:val="2"/>
            <w:vAlign w:val="center"/>
          </w:tcPr>
          <w:p w14:paraId="2876EE67">
            <w:pPr>
              <w:pStyle w:val="17"/>
              <w:keepNext w:val="0"/>
              <w:keepLines w:val="0"/>
              <w:pageBreakBefore w:val="0"/>
              <w:kinsoku/>
              <w:wordWrap/>
              <w:overflowPunct/>
              <w:topLinePunct/>
              <w:autoSpaceDE/>
              <w:autoSpaceDN/>
              <w:bidi w:val="0"/>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为贯彻绿色发展理念，本项目应积极使用氢燃料电池泥头车等新能源工程车，要求投入的新能源工程车占投入的建筑垃圾自卸车（渣土车）总数比例不低于40%，并确保使用的新能源工程车运出的土方数总数比例不低于40%，否则按合同违约处理。</w:t>
            </w:r>
          </w:p>
        </w:tc>
      </w:tr>
    </w:tbl>
    <w:p w14:paraId="7419E9A8">
      <w:pPr>
        <w:pStyle w:val="3"/>
        <w:pageBreakBefore w:val="0"/>
        <w:widowControl w:val="0"/>
        <w:kinsoku/>
        <w:wordWrap/>
        <w:overflowPunct/>
        <w:topLinePunct w:val="0"/>
        <w:autoSpaceDE/>
        <w:autoSpaceDN/>
        <w:bidi w:val="0"/>
        <w:adjustRightInd/>
        <w:spacing w:before="0" w:after="0" w:line="360" w:lineRule="auto"/>
        <w:ind w:left="0" w:leftChars="0"/>
        <w:textAlignment w:val="auto"/>
        <w:rPr>
          <w:rFonts w:hint="eastAsia" w:ascii="宋体" w:hAnsi="宋体" w:eastAsia="宋体" w:cs="宋体"/>
          <w:color w:val="auto"/>
          <w:highlight w:val="none"/>
        </w:rPr>
      </w:pPr>
      <w:r>
        <w:rPr>
          <w:rFonts w:hint="eastAsia" w:ascii="宋体" w:hAnsi="宋体" w:eastAsia="宋体"/>
          <w:color w:val="auto"/>
          <w:highlight w:val="none"/>
        </w:rPr>
        <w:br w:type="page"/>
      </w:r>
      <w:bookmarkStart w:id="47" w:name="_Toc165358751"/>
      <w:bookmarkStart w:id="48" w:name="_Toc165358616"/>
      <w:bookmarkStart w:id="49" w:name="_Toc86413262"/>
      <w:r>
        <w:rPr>
          <w:rFonts w:hint="eastAsia" w:ascii="宋体" w:hAnsi="宋体" w:eastAsia="宋体" w:cs="宋体"/>
          <w:color w:val="auto"/>
          <w:highlight w:val="none"/>
        </w:rPr>
        <w:t>1. 总则</w:t>
      </w:r>
      <w:bookmarkEnd w:id="46"/>
      <w:bookmarkEnd w:id="47"/>
      <w:bookmarkEnd w:id="48"/>
      <w:bookmarkEnd w:id="49"/>
    </w:p>
    <w:p w14:paraId="14763961">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rPr>
      </w:pPr>
      <w:bookmarkStart w:id="50" w:name="_Toc165358752"/>
      <w:bookmarkStart w:id="51" w:name="_Toc86413263"/>
      <w:bookmarkStart w:id="52" w:name="_Toc165358617"/>
      <w:r>
        <w:rPr>
          <w:rFonts w:hint="eastAsia" w:ascii="宋体" w:hAnsi="宋体" w:eastAsia="宋体" w:cs="宋体"/>
          <w:b/>
          <w:color w:val="auto"/>
          <w:sz w:val="24"/>
          <w:szCs w:val="24"/>
          <w:highlight w:val="none"/>
        </w:rPr>
        <w:t>1.1 项目概况</w:t>
      </w:r>
      <w:bookmarkEnd w:id="50"/>
      <w:bookmarkEnd w:id="51"/>
      <w:bookmarkEnd w:id="52"/>
    </w:p>
    <w:p w14:paraId="1BD22CA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1.1.1 根据《中华人民共和国招标投标法》等有关法律、法规和规章的规定，本招标项目已具备招标条件，现对该项目设计施工总承包进行公开招标。</w:t>
      </w:r>
    </w:p>
    <w:p w14:paraId="7C6AD85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1.1.2 招标人：见投标人须知前附表。</w:t>
      </w:r>
    </w:p>
    <w:p w14:paraId="622D0D56">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1.1.3 招标代理机构：见投标人须知前附表。</w:t>
      </w:r>
    </w:p>
    <w:p w14:paraId="72578FD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1.1.4 招标项目名称：见投标人须知前附表。</w:t>
      </w:r>
    </w:p>
    <w:p w14:paraId="13DF260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1.1.5 项目建设地点：见投标人须知前附表。</w:t>
      </w:r>
    </w:p>
    <w:p w14:paraId="6B9189B1">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rPr>
      </w:pPr>
      <w:bookmarkStart w:id="53" w:name="_Toc165358618"/>
      <w:bookmarkStart w:id="54" w:name="_Toc86413264"/>
      <w:bookmarkStart w:id="55" w:name="_Toc165358753"/>
      <w:r>
        <w:rPr>
          <w:rFonts w:hint="eastAsia" w:ascii="宋体" w:hAnsi="宋体" w:eastAsia="宋体" w:cs="宋体"/>
          <w:b/>
          <w:color w:val="auto"/>
          <w:sz w:val="24"/>
          <w:szCs w:val="24"/>
          <w:highlight w:val="none"/>
        </w:rPr>
        <w:t>1.2 项目的资金来源和落实情况</w:t>
      </w:r>
      <w:bookmarkEnd w:id="53"/>
      <w:bookmarkEnd w:id="54"/>
      <w:bookmarkEnd w:id="55"/>
    </w:p>
    <w:p w14:paraId="79DE9F4B">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1.2.1 资金来源及比例：见投标人须知前附表。</w:t>
      </w:r>
    </w:p>
    <w:p w14:paraId="065F091E">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1.2.2 资金落实情况：见投标人须知前附表。</w:t>
      </w:r>
    </w:p>
    <w:p w14:paraId="284D6A6B">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rPr>
      </w:pPr>
      <w:bookmarkStart w:id="56" w:name="_Toc165358754"/>
      <w:bookmarkStart w:id="57" w:name="_Toc86413265"/>
      <w:bookmarkStart w:id="58" w:name="_Toc165358619"/>
      <w:r>
        <w:rPr>
          <w:rFonts w:hint="eastAsia" w:ascii="宋体" w:hAnsi="宋体" w:eastAsia="宋体" w:cs="宋体"/>
          <w:b/>
          <w:color w:val="auto"/>
          <w:sz w:val="24"/>
          <w:szCs w:val="24"/>
          <w:highlight w:val="none"/>
        </w:rPr>
        <w:t>1.3 招标范围、计划工期和质量标准</w:t>
      </w:r>
      <w:bookmarkEnd w:id="56"/>
      <w:bookmarkEnd w:id="57"/>
      <w:bookmarkEnd w:id="58"/>
    </w:p>
    <w:p w14:paraId="7B73BA3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1.3.1 招标范围：见投标人须知前附表。</w:t>
      </w:r>
    </w:p>
    <w:p w14:paraId="2B3F51D0">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1.3.2 计划工期：见投标人须知前附表。</w:t>
      </w:r>
    </w:p>
    <w:p w14:paraId="353CC14D">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1.3.3 质量标准：见投标人须知前附表。</w:t>
      </w:r>
    </w:p>
    <w:p w14:paraId="71C13EBA">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rPr>
      </w:pPr>
      <w:bookmarkStart w:id="59" w:name="_Toc86413266"/>
      <w:bookmarkStart w:id="60" w:name="_Toc165358620"/>
      <w:bookmarkStart w:id="61" w:name="_Toc165358755"/>
      <w:r>
        <w:rPr>
          <w:rFonts w:hint="eastAsia" w:ascii="宋体" w:hAnsi="宋体" w:eastAsia="宋体" w:cs="宋体"/>
          <w:b/>
          <w:color w:val="auto"/>
          <w:sz w:val="24"/>
          <w:szCs w:val="24"/>
          <w:highlight w:val="none"/>
        </w:rPr>
        <w:t>1.4投标人资格要求（适用于未进行资格预审的）</w:t>
      </w:r>
      <w:bookmarkEnd w:id="59"/>
      <w:bookmarkEnd w:id="60"/>
      <w:bookmarkEnd w:id="61"/>
    </w:p>
    <w:p w14:paraId="7A555AEE">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bookmarkStart w:id="62" w:name="_Toc86413267"/>
      <w:r>
        <w:rPr>
          <w:rFonts w:hint="eastAsia" w:ascii="宋体" w:hAnsi="宋体" w:eastAsia="宋体" w:cs="宋体"/>
          <w:color w:val="auto"/>
          <w:highlight w:val="none"/>
        </w:rPr>
        <w:t>1.4.1 投标人应具备承担本招标项目资质条件、能力和信誉。</w:t>
      </w:r>
    </w:p>
    <w:p w14:paraId="47E804A5">
      <w:pPr>
        <w:pageBreakBefore w:val="0"/>
        <w:widowControl w:val="0"/>
        <w:kinsoku/>
        <w:wordWrap/>
        <w:overflowPunct/>
        <w:topLinePunct w:val="0"/>
        <w:autoSpaceDE/>
        <w:autoSpaceDN/>
        <w:bidi w:val="0"/>
        <w:adjustRightInd/>
        <w:spacing w:line="360" w:lineRule="auto"/>
        <w:ind w:left="0" w:leftChars="0" w:firstLine="315" w:firstLineChars="150"/>
        <w:textAlignment w:val="auto"/>
        <w:rPr>
          <w:rFonts w:hint="eastAsia" w:ascii="宋体" w:hAnsi="宋体" w:eastAsia="宋体" w:cs="宋体"/>
          <w:color w:val="auto"/>
          <w:highlight w:val="none"/>
        </w:rPr>
      </w:pPr>
      <w:r>
        <w:rPr>
          <w:rFonts w:hint="eastAsia" w:ascii="宋体" w:hAnsi="宋体" w:eastAsia="宋体" w:cs="宋体"/>
          <w:color w:val="auto"/>
          <w:highlight w:val="none"/>
        </w:rPr>
        <w:t>（1）资质要求：见投标人须知前附表；</w:t>
      </w:r>
    </w:p>
    <w:p w14:paraId="469E81D4">
      <w:pPr>
        <w:pageBreakBefore w:val="0"/>
        <w:widowControl w:val="0"/>
        <w:kinsoku/>
        <w:wordWrap/>
        <w:overflowPunct/>
        <w:topLinePunct w:val="0"/>
        <w:autoSpaceDE/>
        <w:autoSpaceDN/>
        <w:bidi w:val="0"/>
        <w:adjustRightInd/>
        <w:spacing w:line="360" w:lineRule="auto"/>
        <w:ind w:left="0" w:leftChars="0" w:firstLine="315" w:firstLineChars="150"/>
        <w:textAlignment w:val="auto"/>
        <w:rPr>
          <w:rFonts w:hint="eastAsia" w:ascii="宋体" w:hAnsi="宋体" w:eastAsia="宋体" w:cs="宋体"/>
          <w:color w:val="auto"/>
          <w:highlight w:val="none"/>
        </w:rPr>
      </w:pPr>
      <w:r>
        <w:rPr>
          <w:rFonts w:hint="eastAsia" w:ascii="宋体" w:hAnsi="宋体" w:eastAsia="宋体" w:cs="宋体"/>
          <w:color w:val="auto"/>
          <w:highlight w:val="none"/>
        </w:rPr>
        <w:t>（2）财务要求：见投标人须知前附表；</w:t>
      </w:r>
    </w:p>
    <w:p w14:paraId="72524119">
      <w:pPr>
        <w:pageBreakBefore w:val="0"/>
        <w:widowControl w:val="0"/>
        <w:kinsoku/>
        <w:wordWrap/>
        <w:overflowPunct/>
        <w:topLinePunct w:val="0"/>
        <w:autoSpaceDE/>
        <w:autoSpaceDN/>
        <w:bidi w:val="0"/>
        <w:adjustRightInd/>
        <w:spacing w:line="360" w:lineRule="auto"/>
        <w:ind w:left="0" w:leftChars="0" w:firstLine="315" w:firstLineChars="150"/>
        <w:textAlignment w:val="auto"/>
        <w:rPr>
          <w:rFonts w:hint="eastAsia" w:ascii="宋体" w:hAnsi="宋体" w:eastAsia="宋体" w:cs="宋体"/>
          <w:color w:val="auto"/>
          <w:highlight w:val="none"/>
        </w:rPr>
      </w:pPr>
      <w:r>
        <w:rPr>
          <w:rFonts w:hint="eastAsia" w:ascii="宋体" w:hAnsi="宋体" w:eastAsia="宋体" w:cs="宋体"/>
          <w:color w:val="auto"/>
          <w:highlight w:val="none"/>
        </w:rPr>
        <w:t>（3）业绩要求：见投标人须知前附表；</w:t>
      </w:r>
    </w:p>
    <w:p w14:paraId="2316CF96">
      <w:pPr>
        <w:pageBreakBefore w:val="0"/>
        <w:widowControl w:val="0"/>
        <w:kinsoku/>
        <w:wordWrap/>
        <w:overflowPunct/>
        <w:topLinePunct w:val="0"/>
        <w:autoSpaceDE/>
        <w:autoSpaceDN/>
        <w:bidi w:val="0"/>
        <w:adjustRightInd/>
        <w:spacing w:line="360" w:lineRule="auto"/>
        <w:ind w:left="0" w:leftChars="0" w:firstLine="315" w:firstLineChars="150"/>
        <w:textAlignment w:val="auto"/>
        <w:rPr>
          <w:rFonts w:hint="eastAsia" w:ascii="宋体" w:hAnsi="宋体" w:eastAsia="宋体" w:cs="宋体"/>
          <w:color w:val="auto"/>
          <w:highlight w:val="none"/>
        </w:rPr>
      </w:pPr>
      <w:r>
        <w:rPr>
          <w:rFonts w:hint="eastAsia" w:ascii="宋体" w:hAnsi="宋体" w:eastAsia="宋体" w:cs="宋体"/>
          <w:color w:val="auto"/>
          <w:highlight w:val="none"/>
        </w:rPr>
        <w:t>（4）信誉要求：见投标人须知前附表；</w:t>
      </w:r>
    </w:p>
    <w:p w14:paraId="143898A8">
      <w:pPr>
        <w:pageBreakBefore w:val="0"/>
        <w:widowControl w:val="0"/>
        <w:kinsoku/>
        <w:wordWrap/>
        <w:overflowPunct/>
        <w:topLinePunct w:val="0"/>
        <w:autoSpaceDE/>
        <w:autoSpaceDN/>
        <w:bidi w:val="0"/>
        <w:adjustRightInd/>
        <w:spacing w:line="360" w:lineRule="auto"/>
        <w:ind w:left="0" w:leftChars="0" w:firstLine="315" w:firstLineChars="150"/>
        <w:textAlignment w:val="auto"/>
        <w:rPr>
          <w:rFonts w:hint="eastAsia" w:ascii="宋体" w:hAnsi="宋体" w:eastAsia="宋体" w:cs="宋体"/>
          <w:color w:val="auto"/>
          <w:highlight w:val="none"/>
        </w:rPr>
      </w:pPr>
      <w:r>
        <w:rPr>
          <w:rFonts w:hint="eastAsia" w:ascii="宋体" w:hAnsi="宋体" w:eastAsia="宋体" w:cs="宋体"/>
          <w:color w:val="auto"/>
          <w:highlight w:val="none"/>
        </w:rPr>
        <w:t>（5）项目负责人的资格要求：见投标人须知前附表；</w:t>
      </w:r>
    </w:p>
    <w:p w14:paraId="07516F62">
      <w:pPr>
        <w:pageBreakBefore w:val="0"/>
        <w:widowControl w:val="0"/>
        <w:kinsoku/>
        <w:wordWrap/>
        <w:overflowPunct/>
        <w:topLinePunct w:val="0"/>
        <w:autoSpaceDE/>
        <w:autoSpaceDN/>
        <w:bidi w:val="0"/>
        <w:adjustRightInd/>
        <w:spacing w:line="360" w:lineRule="auto"/>
        <w:ind w:left="0" w:leftChars="0" w:firstLine="315" w:firstLineChars="150"/>
        <w:textAlignment w:val="auto"/>
        <w:rPr>
          <w:rFonts w:hint="eastAsia" w:ascii="宋体" w:hAnsi="宋体" w:eastAsia="宋体" w:cs="宋体"/>
          <w:color w:val="auto"/>
          <w:highlight w:val="none"/>
        </w:rPr>
      </w:pPr>
      <w:r>
        <w:rPr>
          <w:rFonts w:hint="eastAsia" w:ascii="宋体" w:hAnsi="宋体" w:eastAsia="宋体" w:cs="宋体"/>
          <w:color w:val="auto"/>
          <w:highlight w:val="none"/>
        </w:rPr>
        <w:t>（6）设计负责人的资格要求：见投标人须知前附表；</w:t>
      </w:r>
    </w:p>
    <w:p w14:paraId="5BCA4886">
      <w:pPr>
        <w:pageBreakBefore w:val="0"/>
        <w:widowControl w:val="0"/>
        <w:kinsoku/>
        <w:wordWrap/>
        <w:overflowPunct/>
        <w:topLinePunct w:val="0"/>
        <w:autoSpaceDE/>
        <w:autoSpaceDN/>
        <w:bidi w:val="0"/>
        <w:adjustRightInd/>
        <w:spacing w:line="360" w:lineRule="auto"/>
        <w:ind w:left="0" w:leftChars="0" w:firstLine="315" w:firstLineChars="150"/>
        <w:textAlignment w:val="auto"/>
        <w:rPr>
          <w:rFonts w:hint="eastAsia" w:ascii="宋体" w:hAnsi="宋体" w:eastAsia="宋体" w:cs="宋体"/>
          <w:color w:val="auto"/>
          <w:highlight w:val="none"/>
        </w:rPr>
      </w:pPr>
      <w:r>
        <w:rPr>
          <w:rFonts w:hint="eastAsia" w:ascii="宋体" w:hAnsi="宋体" w:eastAsia="宋体" w:cs="宋体"/>
          <w:color w:val="auto"/>
          <w:highlight w:val="none"/>
        </w:rPr>
        <w:t>（7）技术负责人的资格要求：见投标人须知前附表；</w:t>
      </w:r>
    </w:p>
    <w:p w14:paraId="408E6CD8">
      <w:pPr>
        <w:pageBreakBefore w:val="0"/>
        <w:widowControl w:val="0"/>
        <w:kinsoku/>
        <w:wordWrap/>
        <w:overflowPunct/>
        <w:topLinePunct w:val="0"/>
        <w:autoSpaceDE/>
        <w:autoSpaceDN/>
        <w:bidi w:val="0"/>
        <w:adjustRightInd/>
        <w:spacing w:line="360" w:lineRule="auto"/>
        <w:ind w:left="0" w:leftChars="0" w:firstLine="315" w:firstLineChars="150"/>
        <w:textAlignment w:val="auto"/>
        <w:rPr>
          <w:rFonts w:hint="eastAsia" w:ascii="宋体" w:hAnsi="宋体" w:eastAsia="宋体" w:cs="宋体"/>
          <w:color w:val="auto"/>
          <w:highlight w:val="none"/>
        </w:rPr>
      </w:pPr>
      <w:r>
        <w:rPr>
          <w:rFonts w:hint="eastAsia" w:ascii="宋体" w:hAnsi="宋体" w:eastAsia="宋体" w:cs="宋体"/>
          <w:color w:val="auto"/>
          <w:highlight w:val="none"/>
        </w:rPr>
        <w:t>（8）施工机械设备：见投标人须知前附表；</w:t>
      </w:r>
    </w:p>
    <w:p w14:paraId="3BF3FE7A">
      <w:pPr>
        <w:pageBreakBefore w:val="0"/>
        <w:widowControl w:val="0"/>
        <w:kinsoku/>
        <w:wordWrap/>
        <w:overflowPunct/>
        <w:topLinePunct w:val="0"/>
        <w:autoSpaceDE/>
        <w:autoSpaceDN/>
        <w:bidi w:val="0"/>
        <w:adjustRightInd/>
        <w:spacing w:line="360" w:lineRule="auto"/>
        <w:ind w:left="0" w:leftChars="0" w:firstLine="315" w:firstLineChars="150"/>
        <w:textAlignment w:val="auto"/>
        <w:rPr>
          <w:rFonts w:hint="eastAsia" w:ascii="宋体" w:hAnsi="宋体" w:eastAsia="宋体" w:cs="宋体"/>
          <w:color w:val="auto"/>
          <w:highlight w:val="none"/>
        </w:rPr>
      </w:pPr>
      <w:r>
        <w:rPr>
          <w:rFonts w:hint="eastAsia" w:ascii="宋体" w:hAnsi="宋体" w:eastAsia="宋体" w:cs="宋体"/>
          <w:color w:val="auto"/>
          <w:highlight w:val="none"/>
        </w:rPr>
        <w:t>（9）项目管理机构及人员：见投标人须知前附表；</w:t>
      </w:r>
    </w:p>
    <w:p w14:paraId="56587BFD">
      <w:pPr>
        <w:pageBreakBefore w:val="0"/>
        <w:widowControl w:val="0"/>
        <w:kinsoku/>
        <w:wordWrap/>
        <w:overflowPunct/>
        <w:topLinePunct w:val="0"/>
        <w:autoSpaceDE/>
        <w:autoSpaceDN/>
        <w:bidi w:val="0"/>
        <w:adjustRightInd/>
        <w:spacing w:line="360" w:lineRule="auto"/>
        <w:ind w:left="0" w:leftChars="0" w:firstLine="315" w:firstLineChars="150"/>
        <w:textAlignment w:val="auto"/>
        <w:rPr>
          <w:rFonts w:hint="eastAsia" w:ascii="宋体" w:hAnsi="宋体" w:eastAsia="宋体" w:cs="宋体"/>
          <w:color w:val="auto"/>
          <w:highlight w:val="none"/>
        </w:rPr>
      </w:pPr>
      <w:r>
        <w:rPr>
          <w:rFonts w:hint="eastAsia" w:ascii="宋体" w:hAnsi="宋体" w:eastAsia="宋体" w:cs="宋体"/>
          <w:color w:val="auto"/>
          <w:highlight w:val="none"/>
        </w:rPr>
        <w:t>（10）其他要求：见投标人须知前附表。</w:t>
      </w:r>
    </w:p>
    <w:p w14:paraId="3EB1AD12">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1.4.2 投标人须知前附表规定接受联合体投标的，除应符合本章第1.4.1项和投标人须知前附表的要求外，还应遵守以下规定： </w:t>
      </w:r>
    </w:p>
    <w:p w14:paraId="695FEFEE">
      <w:pPr>
        <w:pageBreakBefore w:val="0"/>
        <w:widowControl w:val="0"/>
        <w:kinsoku/>
        <w:wordWrap/>
        <w:overflowPunct/>
        <w:topLinePunct w:val="0"/>
        <w:autoSpaceDE/>
        <w:autoSpaceDN/>
        <w:bidi w:val="0"/>
        <w:adjustRightInd/>
        <w:spacing w:line="360" w:lineRule="auto"/>
        <w:ind w:left="0" w:leftChars="0" w:firstLine="315" w:firstLineChars="150"/>
        <w:textAlignment w:val="auto"/>
        <w:rPr>
          <w:rFonts w:hint="eastAsia" w:ascii="宋体" w:hAnsi="宋体" w:eastAsia="宋体" w:cs="宋体"/>
          <w:color w:val="auto"/>
          <w:highlight w:val="none"/>
        </w:rPr>
      </w:pPr>
      <w:r>
        <w:rPr>
          <w:rFonts w:hint="eastAsia" w:ascii="宋体" w:hAnsi="宋体" w:eastAsia="宋体" w:cs="宋体"/>
          <w:color w:val="auto"/>
          <w:highlight w:val="none"/>
        </w:rPr>
        <w:t>（1）联合体各方应按招标文件提供的格式签订联合体工作协议，明确联合体牵头单位和各方权利义务；</w:t>
      </w:r>
    </w:p>
    <w:p w14:paraId="09CBFCC7">
      <w:pPr>
        <w:pageBreakBefore w:val="0"/>
        <w:widowControl w:val="0"/>
        <w:kinsoku/>
        <w:wordWrap/>
        <w:overflowPunct/>
        <w:topLinePunct w:val="0"/>
        <w:autoSpaceDE/>
        <w:autoSpaceDN/>
        <w:bidi w:val="0"/>
        <w:adjustRightInd/>
        <w:spacing w:line="360" w:lineRule="auto"/>
        <w:ind w:left="0" w:leftChars="0" w:firstLine="315" w:firstLineChars="150"/>
        <w:textAlignment w:val="auto"/>
        <w:rPr>
          <w:rFonts w:hint="eastAsia" w:ascii="宋体" w:hAnsi="宋体" w:eastAsia="宋体" w:cs="宋体"/>
          <w:color w:val="auto"/>
          <w:highlight w:val="none"/>
        </w:rPr>
      </w:pPr>
      <w:r>
        <w:rPr>
          <w:rFonts w:hint="eastAsia" w:ascii="宋体" w:hAnsi="宋体" w:eastAsia="宋体" w:cs="宋体"/>
          <w:color w:val="auto"/>
          <w:highlight w:val="none"/>
        </w:rPr>
        <w:t>（2）由同一专业的单位组成的联合体，按照资质等级较低的单位确定资质等级；</w:t>
      </w:r>
    </w:p>
    <w:p w14:paraId="673A6430">
      <w:pPr>
        <w:pageBreakBefore w:val="0"/>
        <w:widowControl w:val="0"/>
        <w:kinsoku/>
        <w:wordWrap/>
        <w:overflowPunct/>
        <w:topLinePunct w:val="0"/>
        <w:autoSpaceDE/>
        <w:autoSpaceDN/>
        <w:bidi w:val="0"/>
        <w:adjustRightInd/>
        <w:spacing w:line="360" w:lineRule="auto"/>
        <w:ind w:left="0" w:leftChars="0" w:firstLine="315" w:firstLineChars="150"/>
        <w:textAlignment w:val="auto"/>
        <w:rPr>
          <w:rFonts w:hint="eastAsia" w:ascii="宋体" w:hAnsi="宋体" w:eastAsia="宋体" w:cs="宋体"/>
          <w:color w:val="auto"/>
          <w:highlight w:val="none"/>
        </w:rPr>
      </w:pPr>
      <w:r>
        <w:rPr>
          <w:rFonts w:hint="eastAsia" w:ascii="宋体" w:hAnsi="宋体" w:eastAsia="宋体" w:cs="宋体"/>
          <w:color w:val="auto"/>
          <w:highlight w:val="none"/>
        </w:rPr>
        <w:t>（3）联合体各方不得再以自己名义单独或参加其他联合体在本招标项目中投标。</w:t>
      </w:r>
    </w:p>
    <w:p w14:paraId="234B1B8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1.4.3 投标人不得存在下列情形之一：</w:t>
      </w:r>
    </w:p>
    <w:p w14:paraId="7279E1B5">
      <w:pPr>
        <w:pageBreakBefore w:val="0"/>
        <w:widowControl w:val="0"/>
        <w:kinsoku/>
        <w:wordWrap/>
        <w:overflowPunct/>
        <w:topLinePunct w:val="0"/>
        <w:autoSpaceDE/>
        <w:autoSpaceDN/>
        <w:bidi w:val="0"/>
        <w:adjustRightInd/>
        <w:spacing w:line="360" w:lineRule="auto"/>
        <w:ind w:left="0" w:leftChars="0" w:firstLine="315" w:firstLineChars="15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投标人不得存在的情形以招标公告及《投标人声明》规定为准。</w:t>
      </w:r>
    </w:p>
    <w:p w14:paraId="79752C5A">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1.4.4 单位负责人为同一人或者存在控股、管理关系的不同单位，不得同时参加本招标项目投标。</w:t>
      </w:r>
    </w:p>
    <w:p w14:paraId="3EE92B1E">
      <w:pPr>
        <w:pStyle w:val="4"/>
        <w:pageBreakBefore w:val="0"/>
        <w:widowControl w:val="0"/>
        <w:kinsoku/>
        <w:wordWrap/>
        <w:overflowPunct/>
        <w:topLinePunct w:val="0"/>
        <w:autoSpaceDE/>
        <w:autoSpaceDN/>
        <w:bidi w:val="0"/>
        <w:adjustRightInd/>
        <w:spacing w:before="0" w:after="0" w:line="360" w:lineRule="auto"/>
        <w:ind w:left="0" w:leftChars="0" w:firstLine="522" w:firstLineChars="249"/>
        <w:textAlignment w:val="auto"/>
        <w:rPr>
          <w:rFonts w:hint="eastAsia" w:ascii="宋体" w:hAnsi="宋体" w:eastAsia="宋体" w:cs="宋体"/>
          <w:color w:val="auto"/>
          <w:sz w:val="21"/>
          <w:szCs w:val="21"/>
          <w:highlight w:val="none"/>
          <w:u w:val="single"/>
        </w:rPr>
      </w:pPr>
      <w:bookmarkStart w:id="63" w:name="_Toc165358756"/>
      <w:bookmarkStart w:id="64" w:name="_Toc165358621"/>
      <w:r>
        <w:rPr>
          <w:rFonts w:hint="eastAsia" w:ascii="宋体" w:hAnsi="宋体" w:eastAsia="宋体" w:cs="宋体"/>
          <w:color w:val="auto"/>
          <w:sz w:val="21"/>
          <w:szCs w:val="21"/>
          <w:highlight w:val="none"/>
          <w:u w:val="single"/>
        </w:rPr>
        <w:t>详见本项目招标公告。</w:t>
      </w:r>
      <w:bookmarkEnd w:id="63"/>
      <w:bookmarkEnd w:id="64"/>
    </w:p>
    <w:p w14:paraId="5EAD2DC2">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rPr>
      </w:pPr>
      <w:bookmarkStart w:id="65" w:name="_Toc165358757"/>
      <w:bookmarkStart w:id="66" w:name="_Toc165358622"/>
      <w:r>
        <w:rPr>
          <w:rFonts w:hint="eastAsia" w:ascii="宋体" w:hAnsi="宋体" w:eastAsia="宋体" w:cs="宋体"/>
          <w:b/>
          <w:color w:val="auto"/>
          <w:sz w:val="24"/>
          <w:szCs w:val="24"/>
          <w:highlight w:val="none"/>
        </w:rPr>
        <w:t>1.5 费用承担和设计成果补偿</w:t>
      </w:r>
      <w:bookmarkEnd w:id="62"/>
      <w:bookmarkEnd w:id="65"/>
      <w:bookmarkEnd w:id="66"/>
    </w:p>
    <w:p w14:paraId="08F269F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1.5.1 投标人准备和参加投标活动发生的费用自理。</w:t>
      </w:r>
    </w:p>
    <w:p w14:paraId="1160A4BE">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1.5.2本项目不设设计方案成果补偿。</w:t>
      </w:r>
    </w:p>
    <w:p w14:paraId="281FDF8E">
      <w:pPr>
        <w:pStyle w:val="28"/>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1.5.3中标人应根据有关规定，向广州交易集团有限公司（广州公共资源交易中心）缴纳交易服务费。</w:t>
      </w:r>
    </w:p>
    <w:p w14:paraId="5550230D">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rPr>
      </w:pPr>
      <w:bookmarkStart w:id="67" w:name="_Toc165358623"/>
      <w:bookmarkStart w:id="68" w:name="_Toc86413268"/>
      <w:bookmarkStart w:id="69" w:name="_Toc165358758"/>
      <w:r>
        <w:rPr>
          <w:rFonts w:hint="eastAsia" w:ascii="宋体" w:hAnsi="宋体" w:eastAsia="宋体" w:cs="宋体"/>
          <w:b/>
          <w:color w:val="auto"/>
          <w:sz w:val="24"/>
          <w:szCs w:val="24"/>
          <w:highlight w:val="none"/>
        </w:rPr>
        <w:t>1.6 保密</w:t>
      </w:r>
      <w:bookmarkEnd w:id="67"/>
      <w:bookmarkEnd w:id="68"/>
      <w:bookmarkEnd w:id="69"/>
    </w:p>
    <w:p w14:paraId="57C3961E">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参与招标投标活动的各方应对招标文件和投标文件中的商业和技术等秘密保密，否则应承担相应的法律责任。</w:t>
      </w:r>
    </w:p>
    <w:p w14:paraId="226406A2">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u w:val="single"/>
        </w:rPr>
      </w:pPr>
      <w:bookmarkStart w:id="70" w:name="_Toc165358759"/>
      <w:bookmarkStart w:id="71" w:name="_Toc86413269"/>
      <w:bookmarkStart w:id="72" w:name="_Toc165358624"/>
      <w:r>
        <w:rPr>
          <w:rFonts w:hint="eastAsia" w:ascii="宋体" w:hAnsi="宋体" w:eastAsia="宋体" w:cs="宋体"/>
          <w:b/>
          <w:color w:val="auto"/>
          <w:sz w:val="24"/>
          <w:szCs w:val="24"/>
          <w:highlight w:val="none"/>
        </w:rPr>
        <w:t>1.7 语言文字</w:t>
      </w:r>
      <w:bookmarkEnd w:id="70"/>
      <w:bookmarkEnd w:id="71"/>
      <w:bookmarkEnd w:id="72"/>
    </w:p>
    <w:p w14:paraId="30E51DC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1.7.1招标投标文件使用的语言文字为中文。专用术语使用外文的，应附有中文注释。</w:t>
      </w:r>
    </w:p>
    <w:p w14:paraId="126CE4AA">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rPr>
      </w:pPr>
      <w:bookmarkStart w:id="73" w:name="_Toc86413270"/>
      <w:bookmarkStart w:id="74" w:name="_Toc165358625"/>
      <w:bookmarkStart w:id="75" w:name="_Toc165358760"/>
      <w:r>
        <w:rPr>
          <w:rFonts w:hint="eastAsia" w:ascii="宋体" w:hAnsi="宋体" w:eastAsia="宋体" w:cs="宋体"/>
          <w:b/>
          <w:color w:val="auto"/>
          <w:sz w:val="24"/>
          <w:szCs w:val="24"/>
          <w:highlight w:val="none"/>
        </w:rPr>
        <w:t>1.8 计量单位</w:t>
      </w:r>
      <w:bookmarkEnd w:id="73"/>
      <w:bookmarkEnd w:id="74"/>
      <w:bookmarkEnd w:id="75"/>
    </w:p>
    <w:p w14:paraId="353D7C2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1.8.1所有计量均采用中华人民共和国法定计量单位。</w:t>
      </w:r>
    </w:p>
    <w:p w14:paraId="731E97A7">
      <w:pPr>
        <w:pStyle w:val="28"/>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1.8.2 本工程投标报价采用的币种为人民币。</w:t>
      </w:r>
    </w:p>
    <w:p w14:paraId="363F463C">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rPr>
      </w:pPr>
      <w:bookmarkStart w:id="76" w:name="_Toc86413271"/>
      <w:bookmarkStart w:id="77" w:name="_Toc165358626"/>
      <w:bookmarkStart w:id="78" w:name="_Toc165358761"/>
      <w:r>
        <w:rPr>
          <w:rFonts w:hint="eastAsia" w:ascii="宋体" w:hAnsi="宋体" w:eastAsia="宋体" w:cs="宋体"/>
          <w:b/>
          <w:color w:val="auto"/>
          <w:sz w:val="24"/>
          <w:szCs w:val="24"/>
          <w:highlight w:val="none"/>
        </w:rPr>
        <w:t>1.9 踏勘现场</w:t>
      </w:r>
      <w:bookmarkEnd w:id="76"/>
      <w:bookmarkEnd w:id="77"/>
      <w:bookmarkEnd w:id="78"/>
    </w:p>
    <w:p w14:paraId="6B405B30">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1.9.1 投标人须知前附表规定组织踏勘现场的，招标人按投标人须知前附表规定的时间、地点组织投标人踏勘项目现场。 </w:t>
      </w:r>
    </w:p>
    <w:p w14:paraId="4BDD62A6">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1.9.2 投标人踏勘现场发生的费用自理。</w:t>
      </w:r>
    </w:p>
    <w:p w14:paraId="70838A5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1.9.3 除招标人的原因外，投标人自行负责在踏勘现场中所发生的人员伤亡和财产损失。</w:t>
      </w:r>
    </w:p>
    <w:p w14:paraId="0D39CEE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1.9.4</w:t>
      </w:r>
      <w:r>
        <w:rPr>
          <w:rFonts w:hint="eastAsia" w:ascii="宋体" w:hAnsi="宋体" w:eastAsia="宋体" w:cs="宋体"/>
          <w:color w:val="auto"/>
          <w:highlight w:val="none"/>
          <w:u w:val="single"/>
        </w:rPr>
        <w:t>现场由投标人自行踏勘，投标人不进行踏勘的，视为已熟知现场条件，自行承担相关风险。招标人不对投标人自行踏勘现场作出的判断和决策负责。招标人不对投标人自行踏勘现场作出的判断和决策负责。</w:t>
      </w:r>
      <w:bookmarkStart w:id="79" w:name="_Toc165358762"/>
      <w:bookmarkStart w:id="80" w:name="_Toc165358627"/>
      <w:bookmarkStart w:id="81" w:name="_Toc86413273"/>
    </w:p>
    <w:p w14:paraId="72FE4580">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1.10 投标预备会</w:t>
      </w:r>
      <w:bookmarkEnd w:id="79"/>
      <w:bookmarkEnd w:id="80"/>
      <w:bookmarkStart w:id="82" w:name="_Toc165358763"/>
      <w:bookmarkStart w:id="83" w:name="_Toc165358628"/>
    </w:p>
    <w:p w14:paraId="2E3F47B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本项目不召开投标预备会。</w:t>
      </w:r>
      <w:bookmarkEnd w:id="82"/>
      <w:bookmarkEnd w:id="83"/>
    </w:p>
    <w:p w14:paraId="3C30EEDF">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rPr>
      </w:pPr>
      <w:bookmarkStart w:id="84" w:name="_Toc165358629"/>
      <w:bookmarkStart w:id="85" w:name="_Toc165358764"/>
      <w:r>
        <w:rPr>
          <w:rFonts w:hint="eastAsia" w:ascii="宋体" w:hAnsi="宋体" w:eastAsia="宋体" w:cs="宋体"/>
          <w:b/>
          <w:color w:val="auto"/>
          <w:sz w:val="24"/>
          <w:szCs w:val="24"/>
          <w:highlight w:val="none"/>
        </w:rPr>
        <w:t>1.11分包</w:t>
      </w:r>
      <w:bookmarkEnd w:id="81"/>
      <w:bookmarkEnd w:id="84"/>
      <w:bookmarkEnd w:id="85"/>
    </w:p>
    <w:p w14:paraId="1E371216">
      <w:pPr>
        <w:pageBreakBefore w:val="0"/>
        <w:widowControl w:val="0"/>
        <w:kinsoku/>
        <w:wordWrap/>
        <w:overflowPunct/>
        <w:topLinePunct w:val="0"/>
        <w:autoSpaceDE/>
        <w:autoSpaceDN/>
        <w:bidi w:val="0"/>
        <w:adjustRightInd/>
        <w:spacing w:line="360" w:lineRule="auto"/>
        <w:ind w:left="0" w:leftChars="0" w:firstLine="567" w:firstLineChars="270"/>
        <w:textAlignment w:val="auto"/>
        <w:rPr>
          <w:rFonts w:hint="eastAsia" w:ascii="宋体" w:hAnsi="宋体" w:eastAsia="宋体" w:cs="宋体"/>
          <w:color w:val="auto"/>
          <w:highlight w:val="none"/>
        </w:rPr>
      </w:pPr>
      <w:r>
        <w:rPr>
          <w:rFonts w:hint="eastAsia" w:ascii="宋体" w:hAnsi="宋体" w:eastAsia="宋体" w:cs="宋体"/>
          <w:color w:val="auto"/>
          <w:highlight w:val="none"/>
        </w:rPr>
        <w:t>1.11.1 投标人须知前附表规定应当由分包人实施的非主体、非关键性工作，投标人应当按照第五章“发包人要求”规定提供分包人侯选名单及其相应资料。</w:t>
      </w:r>
    </w:p>
    <w:p w14:paraId="75CCC97A">
      <w:pPr>
        <w:pageBreakBefore w:val="0"/>
        <w:widowControl w:val="0"/>
        <w:kinsoku/>
        <w:wordWrap/>
        <w:overflowPunct/>
        <w:topLinePunct w:val="0"/>
        <w:autoSpaceDE/>
        <w:autoSpaceDN/>
        <w:bidi w:val="0"/>
        <w:adjustRightInd/>
        <w:spacing w:line="360" w:lineRule="auto"/>
        <w:ind w:left="0" w:leftChars="0" w:firstLine="567" w:firstLineChars="270"/>
        <w:textAlignment w:val="auto"/>
        <w:rPr>
          <w:rFonts w:hint="eastAsia" w:ascii="宋体" w:hAnsi="宋体" w:eastAsia="宋体" w:cs="宋体"/>
          <w:color w:val="auto"/>
          <w:highlight w:val="none"/>
        </w:rPr>
      </w:pPr>
      <w:r>
        <w:rPr>
          <w:rFonts w:hint="eastAsia" w:ascii="宋体" w:hAnsi="宋体" w:eastAsia="宋体" w:cs="宋体"/>
          <w:color w:val="auto"/>
          <w:highlight w:val="none"/>
        </w:rPr>
        <w:t>1.11.2 招标人允许投标人在中标后将中标项目的部分非主体、非关键性工作进行分包的，应符合投标人须知前附表规定的分包内容、资质要求等限制性条件。</w:t>
      </w:r>
    </w:p>
    <w:p w14:paraId="4F670A9A">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rPr>
      </w:pPr>
      <w:bookmarkStart w:id="86" w:name="_Toc165358630"/>
      <w:bookmarkStart w:id="87" w:name="_Toc86413274"/>
      <w:bookmarkStart w:id="88" w:name="_Toc165358765"/>
      <w:r>
        <w:rPr>
          <w:rFonts w:hint="eastAsia" w:ascii="宋体" w:hAnsi="宋体" w:eastAsia="宋体" w:cs="宋体"/>
          <w:b/>
          <w:color w:val="auto"/>
          <w:sz w:val="24"/>
          <w:szCs w:val="24"/>
          <w:highlight w:val="none"/>
        </w:rPr>
        <w:t>1.12偏离</w:t>
      </w:r>
      <w:bookmarkEnd w:id="86"/>
      <w:bookmarkEnd w:id="87"/>
      <w:bookmarkEnd w:id="88"/>
    </w:p>
    <w:p w14:paraId="09DE6C9D">
      <w:pPr>
        <w:pageBreakBefore w:val="0"/>
        <w:widowControl w:val="0"/>
        <w:kinsoku/>
        <w:wordWrap/>
        <w:overflowPunct/>
        <w:topLinePunct w:val="0"/>
        <w:autoSpaceDE/>
        <w:autoSpaceDN/>
        <w:bidi w:val="0"/>
        <w:adjustRightInd/>
        <w:spacing w:line="360" w:lineRule="auto"/>
        <w:ind w:left="0" w:leftChars="0" w:firstLine="359" w:firstLineChars="171"/>
        <w:textAlignment w:val="auto"/>
        <w:rPr>
          <w:rFonts w:hint="eastAsia" w:ascii="宋体" w:hAnsi="宋体" w:eastAsia="宋体" w:cs="宋体"/>
          <w:strike/>
          <w:color w:val="auto"/>
          <w:highlight w:val="none"/>
        </w:rPr>
      </w:pPr>
      <w:r>
        <w:rPr>
          <w:rFonts w:hint="eastAsia" w:ascii="宋体" w:hAnsi="宋体" w:eastAsia="宋体" w:cs="宋体"/>
          <w:strike/>
          <w:color w:val="auto"/>
          <w:highlight w:val="none"/>
        </w:rPr>
        <w:t>投标人须知前附表允许投标文件偏离招标文件某些要求的，偏离应当符合招标文件规定的偏离范围和幅度。</w:t>
      </w:r>
    </w:p>
    <w:p w14:paraId="6F9DFB98">
      <w:pPr>
        <w:pageBreakBefore w:val="0"/>
        <w:widowControl w:val="0"/>
        <w:kinsoku/>
        <w:wordWrap/>
        <w:overflowPunct/>
        <w:topLinePunct w:val="0"/>
        <w:autoSpaceDE/>
        <w:autoSpaceDN/>
        <w:bidi w:val="0"/>
        <w:adjustRightInd/>
        <w:spacing w:line="360" w:lineRule="auto"/>
        <w:ind w:left="0" w:leftChars="0" w:firstLine="359" w:firstLineChars="171"/>
        <w:textAlignment w:val="auto"/>
        <w:rPr>
          <w:rFonts w:hint="eastAsia" w:ascii="宋体" w:hAnsi="宋体" w:eastAsia="宋体" w:cs="宋体"/>
          <w:strike/>
          <w:color w:val="auto"/>
          <w:highlight w:val="none"/>
        </w:rPr>
      </w:pPr>
    </w:p>
    <w:p w14:paraId="229A513B">
      <w:pPr>
        <w:pStyle w:val="3"/>
        <w:pageBreakBefore w:val="0"/>
        <w:widowControl w:val="0"/>
        <w:kinsoku/>
        <w:wordWrap/>
        <w:overflowPunct/>
        <w:topLinePunct w:val="0"/>
        <w:autoSpaceDE/>
        <w:autoSpaceDN/>
        <w:bidi w:val="0"/>
        <w:adjustRightInd/>
        <w:spacing w:before="0" w:after="0" w:line="360" w:lineRule="auto"/>
        <w:ind w:left="0" w:leftChars="0"/>
        <w:textAlignment w:val="auto"/>
        <w:rPr>
          <w:rFonts w:hint="eastAsia" w:ascii="宋体" w:hAnsi="宋体" w:eastAsia="宋体" w:cs="宋体"/>
          <w:color w:val="auto"/>
          <w:highlight w:val="none"/>
        </w:rPr>
      </w:pPr>
      <w:bookmarkStart w:id="89" w:name="_Toc49303760"/>
      <w:bookmarkStart w:id="90" w:name="_Toc86413275"/>
      <w:bookmarkStart w:id="91" w:name="_Toc165358766"/>
      <w:bookmarkStart w:id="92" w:name="_Toc165358631"/>
      <w:bookmarkStart w:id="93" w:name="_Toc20791"/>
      <w:r>
        <w:rPr>
          <w:rFonts w:hint="eastAsia" w:ascii="宋体" w:hAnsi="宋体" w:eastAsia="宋体" w:cs="宋体"/>
          <w:color w:val="auto"/>
          <w:highlight w:val="none"/>
        </w:rPr>
        <w:t>2. 招标文件</w:t>
      </w:r>
      <w:bookmarkEnd w:id="89"/>
      <w:bookmarkEnd w:id="90"/>
      <w:bookmarkEnd w:id="91"/>
      <w:bookmarkEnd w:id="92"/>
      <w:bookmarkEnd w:id="93"/>
    </w:p>
    <w:p w14:paraId="2843EB1C">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rPr>
      </w:pPr>
      <w:bookmarkStart w:id="94" w:name="_Toc165358767"/>
      <w:bookmarkStart w:id="95" w:name="_Toc165358632"/>
      <w:bookmarkStart w:id="96" w:name="_Toc86413276"/>
      <w:r>
        <w:rPr>
          <w:rFonts w:hint="eastAsia" w:ascii="宋体" w:hAnsi="宋体" w:eastAsia="宋体" w:cs="宋体"/>
          <w:b/>
          <w:color w:val="auto"/>
          <w:sz w:val="24"/>
          <w:szCs w:val="24"/>
          <w:highlight w:val="none"/>
        </w:rPr>
        <w:t>2.1 招标文件的组成</w:t>
      </w:r>
      <w:bookmarkEnd w:id="94"/>
      <w:bookmarkEnd w:id="95"/>
      <w:bookmarkEnd w:id="96"/>
    </w:p>
    <w:p w14:paraId="31E4917B">
      <w:pPr>
        <w:pageBreakBefore w:val="0"/>
        <w:widowControl w:val="0"/>
        <w:kinsoku/>
        <w:wordWrap/>
        <w:overflowPunct/>
        <w:topLinePunct w:val="0"/>
        <w:autoSpaceDE/>
        <w:autoSpaceDN/>
        <w:bidi w:val="0"/>
        <w:adjustRightInd/>
        <w:spacing w:line="360" w:lineRule="auto"/>
        <w:ind w:left="0" w:leftChars="0" w:firstLine="359" w:firstLineChars="171"/>
        <w:textAlignment w:val="auto"/>
        <w:rPr>
          <w:rFonts w:hint="eastAsia" w:ascii="宋体" w:hAnsi="宋体" w:eastAsia="宋体" w:cs="宋体"/>
          <w:color w:val="auto"/>
          <w:highlight w:val="none"/>
        </w:rPr>
      </w:pPr>
      <w:r>
        <w:rPr>
          <w:rFonts w:hint="eastAsia" w:ascii="宋体" w:hAnsi="宋体" w:eastAsia="宋体" w:cs="宋体"/>
          <w:color w:val="auto"/>
          <w:highlight w:val="none"/>
        </w:rPr>
        <w:t>2.1.1本招标文件包括：</w:t>
      </w:r>
    </w:p>
    <w:p w14:paraId="2F807AA0">
      <w:pPr>
        <w:pageBreakBefore w:val="0"/>
        <w:widowControl w:val="0"/>
        <w:kinsoku/>
        <w:wordWrap/>
        <w:overflowPunct/>
        <w:topLinePunct w:val="0"/>
        <w:autoSpaceDE/>
        <w:autoSpaceDN/>
        <w:bidi w:val="0"/>
        <w:adjustRightInd/>
        <w:spacing w:line="360" w:lineRule="auto"/>
        <w:ind w:left="0" w:leftChars="0" w:firstLine="359" w:firstLineChars="171"/>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（1）招标公告；</w:t>
      </w:r>
    </w:p>
    <w:p w14:paraId="7A289A9F">
      <w:pPr>
        <w:pageBreakBefore w:val="0"/>
        <w:widowControl w:val="0"/>
        <w:kinsoku/>
        <w:wordWrap/>
        <w:overflowPunct/>
        <w:topLinePunct w:val="0"/>
        <w:autoSpaceDE/>
        <w:autoSpaceDN/>
        <w:bidi w:val="0"/>
        <w:adjustRightInd/>
        <w:spacing w:line="360" w:lineRule="auto"/>
        <w:ind w:left="0" w:leftChars="0" w:firstLine="359" w:firstLineChars="171"/>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（2）投标人须知；</w:t>
      </w:r>
    </w:p>
    <w:p w14:paraId="3979B7B6">
      <w:pPr>
        <w:pageBreakBefore w:val="0"/>
        <w:widowControl w:val="0"/>
        <w:kinsoku/>
        <w:wordWrap/>
        <w:overflowPunct/>
        <w:topLinePunct w:val="0"/>
        <w:autoSpaceDE/>
        <w:autoSpaceDN/>
        <w:bidi w:val="0"/>
        <w:adjustRightInd/>
        <w:spacing w:line="360" w:lineRule="auto"/>
        <w:ind w:left="0" w:leftChars="0" w:firstLine="359" w:firstLineChars="171"/>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（3）评</w:t>
      </w:r>
      <w:r>
        <w:rPr>
          <w:rFonts w:hint="eastAsia" w:ascii="宋体" w:hAnsi="宋体" w:cs="宋体"/>
          <w:color w:val="auto"/>
          <w:highlight w:val="none"/>
          <w:u w:val="single"/>
          <w:lang w:eastAsia="zh-CN"/>
        </w:rPr>
        <w:t>（</w:t>
      </w:r>
      <w:r>
        <w:rPr>
          <w:rFonts w:hint="eastAsia" w:ascii="宋体" w:hAnsi="宋体" w:cs="宋体"/>
          <w:color w:val="auto"/>
          <w:highlight w:val="none"/>
          <w:u w:val="single"/>
          <w:lang w:val="en-US" w:eastAsia="zh-CN"/>
        </w:rPr>
        <w:t>定</w:t>
      </w:r>
      <w:r>
        <w:rPr>
          <w:rFonts w:hint="eastAsia" w:ascii="宋体" w:hAnsi="宋体" w:cs="宋体"/>
          <w:color w:val="auto"/>
          <w:highlight w:val="none"/>
          <w:u w:val="single"/>
          <w:lang w:eastAsia="zh-CN"/>
        </w:rPr>
        <w:t>）</w:t>
      </w:r>
      <w:r>
        <w:rPr>
          <w:rFonts w:hint="eastAsia" w:ascii="宋体" w:hAnsi="宋体" w:eastAsia="宋体" w:cs="宋体"/>
          <w:color w:val="auto"/>
          <w:highlight w:val="none"/>
          <w:u w:val="single"/>
        </w:rPr>
        <w:t>标办法；</w:t>
      </w:r>
    </w:p>
    <w:p w14:paraId="3B54335D">
      <w:pPr>
        <w:pageBreakBefore w:val="0"/>
        <w:widowControl w:val="0"/>
        <w:kinsoku/>
        <w:wordWrap/>
        <w:overflowPunct/>
        <w:topLinePunct w:val="0"/>
        <w:autoSpaceDE/>
        <w:autoSpaceDN/>
        <w:bidi w:val="0"/>
        <w:adjustRightInd/>
        <w:spacing w:line="360" w:lineRule="auto"/>
        <w:ind w:left="0" w:leftChars="0" w:firstLine="359" w:firstLineChars="171"/>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（4）合同条款及格式（另册）；</w:t>
      </w:r>
    </w:p>
    <w:p w14:paraId="618560CC">
      <w:pPr>
        <w:pageBreakBefore w:val="0"/>
        <w:widowControl w:val="0"/>
        <w:kinsoku/>
        <w:wordWrap/>
        <w:overflowPunct/>
        <w:topLinePunct w:val="0"/>
        <w:autoSpaceDE/>
        <w:autoSpaceDN/>
        <w:bidi w:val="0"/>
        <w:adjustRightInd/>
        <w:spacing w:line="360" w:lineRule="auto"/>
        <w:ind w:left="0" w:leftChars="0" w:firstLine="359" w:firstLineChars="171"/>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（5）发包人要求；</w:t>
      </w:r>
    </w:p>
    <w:p w14:paraId="2225D49A">
      <w:pPr>
        <w:pageBreakBefore w:val="0"/>
        <w:widowControl w:val="0"/>
        <w:kinsoku/>
        <w:wordWrap/>
        <w:overflowPunct/>
        <w:topLinePunct w:val="0"/>
        <w:autoSpaceDE/>
        <w:autoSpaceDN/>
        <w:bidi w:val="0"/>
        <w:adjustRightInd/>
        <w:spacing w:line="360" w:lineRule="auto"/>
        <w:ind w:left="0" w:leftChars="0" w:firstLine="359" w:firstLineChars="171"/>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（6）发包人提供的资料；</w:t>
      </w:r>
    </w:p>
    <w:p w14:paraId="5DA4676D">
      <w:pPr>
        <w:pageBreakBefore w:val="0"/>
        <w:widowControl w:val="0"/>
        <w:kinsoku/>
        <w:wordWrap/>
        <w:overflowPunct/>
        <w:topLinePunct w:val="0"/>
        <w:autoSpaceDE/>
        <w:autoSpaceDN/>
        <w:bidi w:val="0"/>
        <w:adjustRightInd/>
        <w:spacing w:line="360" w:lineRule="auto"/>
        <w:ind w:left="0" w:leftChars="0" w:firstLine="359" w:firstLineChars="171"/>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（7）投标文件格式；</w:t>
      </w:r>
    </w:p>
    <w:p w14:paraId="2C2932C8">
      <w:pPr>
        <w:pageBreakBefore w:val="0"/>
        <w:widowControl w:val="0"/>
        <w:kinsoku/>
        <w:wordWrap/>
        <w:overflowPunct/>
        <w:topLinePunct w:val="0"/>
        <w:autoSpaceDE/>
        <w:autoSpaceDN/>
        <w:bidi w:val="0"/>
        <w:adjustRightInd/>
        <w:spacing w:line="360" w:lineRule="auto"/>
        <w:ind w:left="0" w:leftChars="0" w:firstLine="359" w:firstLineChars="171"/>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（8）投标人须知前附表规定的其他资料。</w:t>
      </w:r>
    </w:p>
    <w:p w14:paraId="6FBB83BA">
      <w:pPr>
        <w:pageBreakBefore w:val="0"/>
        <w:widowControl w:val="0"/>
        <w:kinsoku/>
        <w:wordWrap/>
        <w:overflowPunct/>
        <w:topLinePunct w:val="0"/>
        <w:autoSpaceDE/>
        <w:autoSpaceDN/>
        <w:bidi w:val="0"/>
        <w:adjustRightInd/>
        <w:spacing w:line="360" w:lineRule="auto"/>
        <w:ind w:left="0" w:leftChars="0" w:firstLine="359" w:firstLineChars="171"/>
        <w:textAlignment w:val="auto"/>
        <w:rPr>
          <w:rFonts w:hint="eastAsia" w:ascii="宋体" w:hAnsi="宋体" w:eastAsia="宋体" w:cs="宋体"/>
          <w:color w:val="auto"/>
          <w:highlight w:val="none"/>
        </w:rPr>
      </w:pPr>
      <w:r>
        <w:rPr>
          <w:rFonts w:hint="eastAsia" w:ascii="宋体" w:hAnsi="宋体" w:eastAsia="宋体" w:cs="宋体"/>
          <w:color w:val="auto"/>
          <w:highlight w:val="none"/>
        </w:rPr>
        <w:t>2.1.2根据本章第1.10款、第2.2款和第2.3款对招标文件所作的澄清、修改，构成招标文件的组成部分。</w:t>
      </w:r>
    </w:p>
    <w:p w14:paraId="7C5E7C9F">
      <w:pPr>
        <w:pageBreakBefore w:val="0"/>
        <w:widowControl w:val="0"/>
        <w:kinsoku/>
        <w:wordWrap/>
        <w:overflowPunct/>
        <w:topLinePunct w:val="0"/>
        <w:autoSpaceDE/>
        <w:autoSpaceDN/>
        <w:bidi w:val="0"/>
        <w:adjustRightInd/>
        <w:spacing w:line="360" w:lineRule="auto"/>
        <w:ind w:left="0" w:leftChars="0" w:firstLine="359" w:firstLineChars="171"/>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2.1.3投标人获取招标文件后，应仔细检查招标文件的所有内容，认真审阅招标文件中所有的事项、格式、条款和规范要求等，若投标人的投标文件没有按招标文件要求递交全部资料，或投标文件实质上没有响应招标文件的要求，招标人将按评标办法的规定予以拒绝，并且不允许投标人通过修改或撤消其不符合要求的差异或保留使之成为具有响应性的投标文件。</w:t>
      </w:r>
    </w:p>
    <w:p w14:paraId="006B779C">
      <w:pPr>
        <w:pageBreakBefore w:val="0"/>
        <w:widowControl w:val="0"/>
        <w:kinsoku/>
        <w:wordWrap/>
        <w:overflowPunct/>
        <w:topLinePunct w:val="0"/>
        <w:autoSpaceDE/>
        <w:autoSpaceDN/>
        <w:bidi w:val="0"/>
        <w:adjustRightInd/>
        <w:spacing w:line="360" w:lineRule="auto"/>
        <w:ind w:left="0" w:leftChars="0" w:firstLine="359" w:firstLineChars="171"/>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2.1.4投标人一旦中标，招标文件的内容对招标人和中标人双方均有约束力。</w:t>
      </w:r>
    </w:p>
    <w:p w14:paraId="3FDED40A">
      <w:pPr>
        <w:pageBreakBefore w:val="0"/>
        <w:widowControl w:val="0"/>
        <w:kinsoku/>
        <w:wordWrap/>
        <w:overflowPunct/>
        <w:topLinePunct w:val="0"/>
        <w:autoSpaceDE/>
        <w:autoSpaceDN/>
        <w:bidi w:val="0"/>
        <w:adjustRightInd/>
        <w:spacing w:line="360" w:lineRule="auto"/>
        <w:ind w:left="0" w:leftChars="0" w:firstLine="359" w:firstLineChars="171"/>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2.1.5 发布招标公告的同时，通过广州交易集团有限公司（广州公共资源交易中心）网站发布招标文件、最高投标限价等。</w:t>
      </w:r>
    </w:p>
    <w:p w14:paraId="4C2DB8A5">
      <w:pPr>
        <w:pageBreakBefore w:val="0"/>
        <w:widowControl w:val="0"/>
        <w:kinsoku/>
        <w:wordWrap/>
        <w:overflowPunct/>
        <w:topLinePunct w:val="0"/>
        <w:autoSpaceDE/>
        <w:autoSpaceDN/>
        <w:bidi w:val="0"/>
        <w:adjustRightInd/>
        <w:spacing w:line="360" w:lineRule="auto"/>
        <w:ind w:left="0" w:leftChars="0" w:firstLine="359" w:firstLineChars="171"/>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2.1.6招标文件一经在广州交易集团有限公司（广州公共资源交易中心）网站发布，视作已发放给所有投标人。</w:t>
      </w:r>
      <w:bookmarkStart w:id="97" w:name="_Toc165358633"/>
      <w:bookmarkStart w:id="98" w:name="_Toc86413277"/>
      <w:bookmarkStart w:id="99" w:name="_Toc165358768"/>
    </w:p>
    <w:p w14:paraId="033B2933">
      <w:pPr>
        <w:pageBreakBefore w:val="0"/>
        <w:widowControl w:val="0"/>
        <w:kinsoku/>
        <w:wordWrap/>
        <w:overflowPunct/>
        <w:topLinePunct w:val="0"/>
        <w:autoSpaceDE/>
        <w:autoSpaceDN/>
        <w:bidi w:val="0"/>
        <w:adjustRightInd/>
        <w:spacing w:line="360" w:lineRule="auto"/>
        <w:ind w:left="0" w:leftChars="0" w:firstLine="412" w:firstLineChars="171"/>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招标文件的澄清</w:t>
      </w:r>
      <w:bookmarkEnd w:id="97"/>
      <w:bookmarkEnd w:id="98"/>
      <w:bookmarkEnd w:id="99"/>
      <w:bookmarkStart w:id="100" w:name="_Toc165358769"/>
      <w:bookmarkStart w:id="101" w:name="_Toc165358634"/>
    </w:p>
    <w:p w14:paraId="395AD8BA">
      <w:pPr>
        <w:pageBreakBefore w:val="0"/>
        <w:widowControl w:val="0"/>
        <w:kinsoku/>
        <w:wordWrap/>
        <w:overflowPunct/>
        <w:topLinePunct w:val="0"/>
        <w:autoSpaceDE/>
        <w:autoSpaceDN/>
        <w:bidi w:val="0"/>
        <w:adjustRightInd/>
        <w:spacing w:line="360" w:lineRule="auto"/>
        <w:ind w:left="0" w:leftChars="0" w:firstLine="359" w:firstLineChars="171"/>
        <w:textAlignment w:val="auto"/>
        <w:rPr>
          <w:rFonts w:hint="eastAsia" w:ascii="宋体" w:hAnsi="宋体" w:eastAsia="宋体" w:cs="宋体"/>
          <w:bCs w:val="0"/>
          <w:color w:val="auto"/>
          <w:sz w:val="21"/>
          <w:szCs w:val="24"/>
          <w:highlight w:val="none"/>
          <w:u w:val="single"/>
        </w:rPr>
      </w:pPr>
      <w:r>
        <w:rPr>
          <w:rFonts w:hint="eastAsia" w:ascii="宋体" w:hAnsi="宋体" w:eastAsia="宋体" w:cs="宋体"/>
          <w:bCs w:val="0"/>
          <w:color w:val="auto"/>
          <w:sz w:val="21"/>
          <w:szCs w:val="24"/>
          <w:highlight w:val="none"/>
          <w:u w:val="single"/>
        </w:rPr>
        <w:t>2.2.1 投标人应仔细阅读和检查招标文件的全部内容。如发现缺页或附件不全，应及时向招标人提出，以便补齐。如有疑问，可在规定的时间内通过广州交易集团有限公司（广州公共资源交易中心）网站进入提问区域将问题提交给招标人或招标代理人，提交问题时一律不得署名。</w:t>
      </w:r>
      <w:bookmarkEnd w:id="100"/>
      <w:bookmarkEnd w:id="101"/>
      <w:bookmarkStart w:id="102" w:name="_Toc165358635"/>
      <w:bookmarkStart w:id="103" w:name="_Toc165358770"/>
    </w:p>
    <w:p w14:paraId="58C30679">
      <w:pPr>
        <w:pageBreakBefore w:val="0"/>
        <w:widowControl w:val="0"/>
        <w:kinsoku/>
        <w:wordWrap/>
        <w:overflowPunct/>
        <w:topLinePunct w:val="0"/>
        <w:autoSpaceDE/>
        <w:autoSpaceDN/>
        <w:bidi w:val="0"/>
        <w:adjustRightInd/>
        <w:spacing w:line="360" w:lineRule="auto"/>
        <w:ind w:left="0" w:leftChars="0" w:firstLine="359" w:firstLineChars="171"/>
        <w:textAlignment w:val="auto"/>
        <w:rPr>
          <w:rFonts w:hint="eastAsia" w:ascii="宋体" w:hAnsi="宋体" w:eastAsia="宋体" w:cs="宋体"/>
          <w:bCs w:val="0"/>
          <w:color w:val="auto"/>
          <w:sz w:val="21"/>
          <w:szCs w:val="24"/>
          <w:highlight w:val="none"/>
          <w:u w:val="single"/>
        </w:rPr>
      </w:pPr>
      <w:r>
        <w:rPr>
          <w:rFonts w:hint="eastAsia" w:ascii="宋体" w:hAnsi="宋体" w:eastAsia="宋体" w:cs="宋体"/>
          <w:bCs w:val="0"/>
          <w:color w:val="auto"/>
          <w:sz w:val="21"/>
          <w:szCs w:val="24"/>
          <w:highlight w:val="none"/>
          <w:u w:val="single"/>
        </w:rPr>
        <w:t>网上答疑的操作指南为：投标人的疑问通过广州交易集团有限公司（广州公共资源交易中心）数字交易平台提交。具体操作方法详见广州交易集团有限公司（广州公共资源交易中心）网站发布的《房屋建筑和市政基础设施工程全流程电子化项目专章 》</w:t>
      </w:r>
      <w:bookmarkEnd w:id="102"/>
      <w:bookmarkEnd w:id="103"/>
      <w:bookmarkStart w:id="104" w:name="_Toc165358771"/>
      <w:bookmarkStart w:id="105" w:name="_Toc165358636"/>
    </w:p>
    <w:p w14:paraId="164BDBAB">
      <w:pPr>
        <w:pageBreakBefore w:val="0"/>
        <w:widowControl w:val="0"/>
        <w:kinsoku/>
        <w:wordWrap/>
        <w:overflowPunct/>
        <w:topLinePunct w:val="0"/>
        <w:autoSpaceDE/>
        <w:autoSpaceDN/>
        <w:bidi w:val="0"/>
        <w:adjustRightInd/>
        <w:spacing w:line="360" w:lineRule="auto"/>
        <w:ind w:left="0" w:leftChars="0" w:firstLine="359" w:firstLineChars="171"/>
        <w:textAlignment w:val="auto"/>
        <w:rPr>
          <w:rFonts w:hint="eastAsia" w:ascii="宋体" w:hAnsi="宋体" w:eastAsia="宋体" w:cs="宋体"/>
          <w:bCs w:val="0"/>
          <w:color w:val="auto"/>
          <w:sz w:val="21"/>
          <w:szCs w:val="24"/>
          <w:highlight w:val="none"/>
          <w:u w:val="single"/>
        </w:rPr>
      </w:pPr>
      <w:r>
        <w:rPr>
          <w:rFonts w:hint="eastAsia" w:ascii="宋体" w:hAnsi="宋体" w:eastAsia="宋体" w:cs="宋体"/>
          <w:bCs w:val="0"/>
          <w:color w:val="auto"/>
          <w:sz w:val="21"/>
          <w:szCs w:val="24"/>
          <w:highlight w:val="none"/>
          <w:u w:val="single"/>
        </w:rPr>
        <w:t>2.2.2招标人应在投标截止时间15日前解答投标人对招标文件提出的疑问，形成答疑纪要，方可在交易中心网站“项目答疑纪要”专区发布。</w:t>
      </w:r>
      <w:bookmarkEnd w:id="104"/>
      <w:bookmarkEnd w:id="105"/>
      <w:bookmarkStart w:id="106" w:name="_Toc165358637"/>
      <w:bookmarkStart w:id="107" w:name="_Toc165358772"/>
    </w:p>
    <w:p w14:paraId="246CA484">
      <w:pPr>
        <w:pageBreakBefore w:val="0"/>
        <w:widowControl w:val="0"/>
        <w:kinsoku/>
        <w:wordWrap/>
        <w:overflowPunct/>
        <w:topLinePunct w:val="0"/>
        <w:autoSpaceDE/>
        <w:autoSpaceDN/>
        <w:bidi w:val="0"/>
        <w:adjustRightInd/>
        <w:spacing w:line="360" w:lineRule="auto"/>
        <w:ind w:left="0" w:leftChars="0" w:firstLine="359" w:firstLineChars="171"/>
        <w:textAlignment w:val="auto"/>
        <w:rPr>
          <w:rFonts w:hint="eastAsia" w:ascii="宋体" w:hAnsi="宋体" w:eastAsia="宋体" w:cs="宋体"/>
          <w:bCs w:val="0"/>
          <w:color w:val="auto"/>
          <w:sz w:val="21"/>
          <w:szCs w:val="24"/>
          <w:highlight w:val="none"/>
          <w:u w:val="single"/>
        </w:rPr>
      </w:pPr>
      <w:r>
        <w:rPr>
          <w:rFonts w:hint="eastAsia" w:ascii="宋体" w:hAnsi="宋体" w:eastAsia="宋体" w:cs="宋体"/>
          <w:bCs w:val="0"/>
          <w:color w:val="auto"/>
          <w:sz w:val="21"/>
          <w:szCs w:val="24"/>
          <w:highlight w:val="none"/>
          <w:u w:val="single"/>
        </w:rPr>
        <w:t>2.2.3招标文件的澄清或修改在广州交易集团有限公司（广州公共资源交易中心）网站答疑专区网公开发布，发出即视作收到，以广州交易集团有限公司（广州公共资源交易中心）网站发布时间作为送达时间。无需投标人确认。投标人应自行关注，招标人不再一一通知。招标文件的修改内容作为招标文件的组成部分，具有约束作用。</w:t>
      </w:r>
      <w:bookmarkEnd w:id="106"/>
      <w:bookmarkEnd w:id="107"/>
    </w:p>
    <w:p w14:paraId="6C71324A">
      <w:pPr>
        <w:pStyle w:val="4"/>
        <w:pageBreakBefore w:val="0"/>
        <w:widowControl w:val="0"/>
        <w:kinsoku/>
        <w:wordWrap/>
        <w:overflowPunct/>
        <w:topLinePunct w:val="0"/>
        <w:autoSpaceDE/>
        <w:autoSpaceDN/>
        <w:bidi w:val="0"/>
        <w:adjustRightInd/>
        <w:spacing w:before="0" w:after="0" w:line="360" w:lineRule="auto"/>
        <w:ind w:left="0" w:leftChars="0" w:firstLine="424" w:firstLineChars="202"/>
        <w:textAlignment w:val="auto"/>
        <w:rPr>
          <w:rFonts w:hint="eastAsia" w:ascii="宋体" w:hAnsi="宋体" w:eastAsia="宋体" w:cs="宋体"/>
          <w:bCs w:val="0"/>
          <w:color w:val="auto"/>
          <w:sz w:val="21"/>
          <w:szCs w:val="24"/>
          <w:highlight w:val="none"/>
          <w:u w:val="single"/>
        </w:rPr>
      </w:pPr>
      <w:bookmarkStart w:id="108" w:name="_Toc165358638"/>
      <w:bookmarkStart w:id="109" w:name="_Toc165358773"/>
      <w:r>
        <w:rPr>
          <w:rFonts w:hint="eastAsia" w:ascii="宋体" w:hAnsi="宋体" w:eastAsia="宋体" w:cs="宋体"/>
          <w:bCs w:val="0"/>
          <w:color w:val="auto"/>
          <w:sz w:val="21"/>
          <w:szCs w:val="24"/>
          <w:highlight w:val="none"/>
          <w:u w:val="single"/>
        </w:rPr>
        <w:t>2.2.4招标答疑纪要为招标文件的一部分。投标人可在广州交易集团有限公司（广州公共资源交易中心）网站浏览、下载招标答疑纪要。</w:t>
      </w:r>
      <w:bookmarkEnd w:id="108"/>
      <w:bookmarkEnd w:id="109"/>
    </w:p>
    <w:p w14:paraId="617780F4">
      <w:pPr>
        <w:pStyle w:val="18"/>
        <w:pageBreakBefore w:val="0"/>
        <w:widowControl w:val="0"/>
        <w:kinsoku/>
        <w:wordWrap/>
        <w:overflowPunct/>
        <w:topLinePunct w:val="0"/>
        <w:autoSpaceDE/>
        <w:autoSpaceDN/>
        <w:bidi w:val="0"/>
        <w:adjustRightInd/>
        <w:spacing w:after="0" w:line="360" w:lineRule="auto"/>
        <w:ind w:left="0" w:leftChars="0" w:firstLine="424" w:firstLineChars="202"/>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2.2.5若招标答疑纪要与招标文件有矛盾时，以广州交易集团有限公司（广州公共资源交易中心）网站最后发布的答疑纪要为准。</w:t>
      </w:r>
    </w:p>
    <w:p w14:paraId="0CDA698E">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rPr>
      </w:pPr>
      <w:bookmarkStart w:id="110" w:name="_Toc86413278"/>
      <w:bookmarkStart w:id="111" w:name="_Toc165358774"/>
      <w:bookmarkStart w:id="112" w:name="_Toc165358639"/>
      <w:r>
        <w:rPr>
          <w:rFonts w:hint="eastAsia" w:ascii="宋体" w:hAnsi="宋体" w:eastAsia="宋体" w:cs="宋体"/>
          <w:b/>
          <w:color w:val="auto"/>
          <w:sz w:val="24"/>
          <w:szCs w:val="24"/>
          <w:highlight w:val="none"/>
        </w:rPr>
        <w:t>2.3 招标文件的修改</w:t>
      </w:r>
      <w:bookmarkEnd w:id="110"/>
      <w:bookmarkEnd w:id="111"/>
      <w:bookmarkEnd w:id="112"/>
    </w:p>
    <w:p w14:paraId="27BD7E9D">
      <w:pPr>
        <w:pStyle w:val="4"/>
        <w:pageBreakBefore w:val="0"/>
        <w:widowControl w:val="0"/>
        <w:kinsoku/>
        <w:wordWrap/>
        <w:overflowPunct/>
        <w:topLinePunct w:val="0"/>
        <w:autoSpaceDE/>
        <w:autoSpaceDN/>
        <w:bidi w:val="0"/>
        <w:adjustRightInd/>
        <w:spacing w:before="0" w:after="0" w:line="360" w:lineRule="auto"/>
        <w:ind w:left="0" w:leftChars="0" w:firstLine="424" w:firstLineChars="202"/>
        <w:textAlignment w:val="auto"/>
        <w:rPr>
          <w:rFonts w:hint="eastAsia" w:ascii="宋体" w:hAnsi="宋体" w:eastAsia="宋体" w:cs="宋体"/>
          <w:bCs w:val="0"/>
          <w:color w:val="auto"/>
          <w:sz w:val="21"/>
          <w:szCs w:val="24"/>
          <w:highlight w:val="none"/>
        </w:rPr>
      </w:pPr>
      <w:bookmarkStart w:id="113" w:name="_Toc165358640"/>
      <w:bookmarkStart w:id="114" w:name="_Toc165358775"/>
      <w:r>
        <w:rPr>
          <w:rFonts w:hint="eastAsia" w:ascii="宋体" w:hAnsi="宋体" w:eastAsia="宋体" w:cs="宋体"/>
          <w:bCs w:val="0"/>
          <w:color w:val="auto"/>
          <w:sz w:val="21"/>
          <w:szCs w:val="24"/>
          <w:highlight w:val="none"/>
        </w:rPr>
        <w:t>2.3.1招标文件发出后,在提交投标文件截止时间15日前，招标人可对招标文件进行必要的澄清或修改。</w:t>
      </w:r>
      <w:bookmarkEnd w:id="113"/>
      <w:bookmarkEnd w:id="114"/>
    </w:p>
    <w:p w14:paraId="0CEA8BFD">
      <w:pPr>
        <w:pStyle w:val="4"/>
        <w:pageBreakBefore w:val="0"/>
        <w:widowControl w:val="0"/>
        <w:kinsoku/>
        <w:wordWrap/>
        <w:overflowPunct/>
        <w:topLinePunct w:val="0"/>
        <w:autoSpaceDE/>
        <w:autoSpaceDN/>
        <w:bidi w:val="0"/>
        <w:adjustRightInd/>
        <w:spacing w:before="0" w:after="0" w:line="360" w:lineRule="auto"/>
        <w:ind w:left="0" w:leftChars="0" w:firstLine="424" w:firstLineChars="202"/>
        <w:textAlignment w:val="auto"/>
        <w:rPr>
          <w:rFonts w:hint="eastAsia" w:ascii="宋体" w:hAnsi="宋体" w:eastAsia="宋体" w:cs="宋体"/>
          <w:bCs w:val="0"/>
          <w:color w:val="auto"/>
          <w:sz w:val="21"/>
          <w:szCs w:val="24"/>
          <w:highlight w:val="none"/>
        </w:rPr>
      </w:pPr>
      <w:bookmarkStart w:id="115" w:name="_Toc165358776"/>
      <w:bookmarkStart w:id="116" w:name="_Toc165358641"/>
      <w:r>
        <w:rPr>
          <w:rFonts w:hint="eastAsia" w:ascii="宋体" w:hAnsi="宋体" w:eastAsia="宋体" w:cs="宋体"/>
          <w:bCs w:val="0"/>
          <w:color w:val="auto"/>
          <w:sz w:val="21"/>
          <w:szCs w:val="24"/>
          <w:highlight w:val="none"/>
        </w:rPr>
        <w:t>2.3.2招标文件的澄清或修改在广州交易集团有限公司（广州公共资源交易中心）网站发布。招标文件的澄清或修改一经在广州交易集团有限公司（广州公共资源交易中心）网站发布，视作已发放给所有投标人，招标文件的修改内容作为招标文件的组成部分，具有约束作用。</w:t>
      </w:r>
      <w:bookmarkEnd w:id="115"/>
      <w:bookmarkEnd w:id="116"/>
    </w:p>
    <w:p w14:paraId="6A5250B5">
      <w:pPr>
        <w:pStyle w:val="4"/>
        <w:pageBreakBefore w:val="0"/>
        <w:widowControl w:val="0"/>
        <w:kinsoku/>
        <w:wordWrap/>
        <w:overflowPunct/>
        <w:topLinePunct w:val="0"/>
        <w:autoSpaceDE/>
        <w:autoSpaceDN/>
        <w:bidi w:val="0"/>
        <w:adjustRightInd/>
        <w:spacing w:before="0" w:after="0" w:line="360" w:lineRule="auto"/>
        <w:ind w:left="0" w:leftChars="0" w:firstLine="424" w:firstLineChars="202"/>
        <w:textAlignment w:val="auto"/>
        <w:rPr>
          <w:rFonts w:hint="eastAsia" w:ascii="宋体" w:hAnsi="宋体" w:eastAsia="宋体" w:cs="宋体"/>
          <w:bCs w:val="0"/>
          <w:color w:val="auto"/>
          <w:sz w:val="21"/>
          <w:szCs w:val="24"/>
          <w:highlight w:val="none"/>
        </w:rPr>
      </w:pPr>
      <w:bookmarkStart w:id="117" w:name="_Toc165358642"/>
      <w:bookmarkStart w:id="118" w:name="_Toc165358777"/>
      <w:r>
        <w:rPr>
          <w:rFonts w:hint="eastAsia" w:ascii="宋体" w:hAnsi="宋体" w:eastAsia="宋体" w:cs="宋体"/>
          <w:bCs w:val="0"/>
          <w:color w:val="auto"/>
          <w:sz w:val="21"/>
          <w:szCs w:val="24"/>
          <w:highlight w:val="none"/>
        </w:rPr>
        <w:t>2.3.3招标文件的澄清、修改均以广州交易集团有限公司（广州公共资源交易中心）网站发布的内容为准。当招标文件的澄清、修改在同一内容的表述不一致时，以广州交易集团有限公司（广州公共资源交易中心）网站最后发布的内容为准。</w:t>
      </w:r>
      <w:bookmarkEnd w:id="117"/>
      <w:bookmarkEnd w:id="118"/>
    </w:p>
    <w:p w14:paraId="7A53A666">
      <w:pPr>
        <w:pageBreakBefore w:val="0"/>
        <w:widowControl w:val="0"/>
        <w:kinsoku/>
        <w:wordWrap/>
        <w:overflowPunct/>
        <w:topLinePunct w:val="0"/>
        <w:autoSpaceDE/>
        <w:autoSpaceDN/>
        <w:bidi w:val="0"/>
        <w:adjustRightInd/>
        <w:spacing w:line="360" w:lineRule="auto"/>
        <w:ind w:left="0" w:leftChars="0" w:firstLine="424" w:firstLineChars="202"/>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2.3.4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r>
        <w:rPr>
          <w:rFonts w:hint="eastAsia" w:ascii="宋体" w:hAnsi="宋体" w:eastAsia="宋体" w:cs="宋体"/>
          <w:color w:val="auto"/>
          <w:szCs w:val="21"/>
          <w:highlight w:val="none"/>
        </w:rPr>
        <w:t>。</w:t>
      </w:r>
    </w:p>
    <w:p w14:paraId="72F5466A">
      <w:pPr>
        <w:pStyle w:val="3"/>
        <w:pageBreakBefore w:val="0"/>
        <w:widowControl w:val="0"/>
        <w:kinsoku/>
        <w:wordWrap/>
        <w:overflowPunct/>
        <w:topLinePunct w:val="0"/>
        <w:autoSpaceDE/>
        <w:autoSpaceDN/>
        <w:bidi w:val="0"/>
        <w:adjustRightInd/>
        <w:spacing w:before="0" w:after="0" w:line="360" w:lineRule="auto"/>
        <w:ind w:left="0" w:leftChars="0"/>
        <w:textAlignment w:val="auto"/>
        <w:rPr>
          <w:rFonts w:hint="eastAsia" w:ascii="宋体" w:hAnsi="宋体" w:eastAsia="宋体" w:cs="宋体"/>
          <w:color w:val="auto"/>
          <w:highlight w:val="none"/>
        </w:rPr>
      </w:pPr>
      <w:bookmarkStart w:id="119" w:name="_Toc26056"/>
      <w:bookmarkStart w:id="120" w:name="_Toc86413279"/>
      <w:bookmarkStart w:id="121" w:name="_Toc165358643"/>
      <w:bookmarkStart w:id="122" w:name="_Toc49303761"/>
      <w:bookmarkStart w:id="123" w:name="_Toc165358778"/>
      <w:r>
        <w:rPr>
          <w:rFonts w:hint="eastAsia" w:ascii="宋体" w:hAnsi="宋体" w:eastAsia="宋体" w:cs="宋体"/>
          <w:color w:val="auto"/>
          <w:highlight w:val="none"/>
        </w:rPr>
        <w:t xml:space="preserve">3. </w:t>
      </w:r>
      <w:bookmarkEnd w:id="119"/>
      <w:r>
        <w:rPr>
          <w:rFonts w:hint="eastAsia" w:ascii="宋体" w:hAnsi="宋体" w:eastAsia="宋体" w:cs="宋体"/>
          <w:color w:val="auto"/>
          <w:highlight w:val="none"/>
        </w:rPr>
        <w:t>投标文件</w:t>
      </w:r>
      <w:bookmarkEnd w:id="120"/>
      <w:bookmarkEnd w:id="121"/>
      <w:bookmarkEnd w:id="122"/>
      <w:bookmarkEnd w:id="123"/>
    </w:p>
    <w:p w14:paraId="2BBA3C3B">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rPr>
      </w:pPr>
      <w:bookmarkStart w:id="124" w:name="_Toc165358779"/>
      <w:bookmarkStart w:id="125" w:name="_Toc165358644"/>
      <w:r>
        <w:rPr>
          <w:rFonts w:hint="eastAsia" w:ascii="宋体" w:hAnsi="宋体" w:eastAsia="宋体" w:cs="宋体"/>
          <w:b/>
          <w:color w:val="auto"/>
          <w:sz w:val="24"/>
          <w:szCs w:val="24"/>
          <w:highlight w:val="none"/>
        </w:rPr>
        <w:t>3.1投标文件的组成</w:t>
      </w:r>
      <w:bookmarkEnd w:id="124"/>
      <w:bookmarkEnd w:id="125"/>
    </w:p>
    <w:p w14:paraId="268725A4">
      <w:pPr>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szCs w:val="21"/>
          <w:highlight w:val="none"/>
          <w:u w:val="single"/>
        </w:rPr>
        <w:t>投标文件由资格审查文件、工程总承包实施方案投标文件及定标文件</w:t>
      </w:r>
      <w:r>
        <w:rPr>
          <w:rFonts w:hint="eastAsia" w:ascii="宋体" w:hAnsi="宋体" w:eastAsia="宋体" w:cs="宋体"/>
          <w:color w:val="auto"/>
          <w:highlight w:val="none"/>
          <w:u w:val="single"/>
        </w:rPr>
        <w:t>三</w:t>
      </w:r>
      <w:r>
        <w:rPr>
          <w:rFonts w:hint="eastAsia" w:ascii="宋体" w:hAnsi="宋体" w:eastAsia="宋体" w:cs="宋体"/>
          <w:color w:val="auto"/>
          <w:szCs w:val="21"/>
          <w:highlight w:val="none"/>
          <w:u w:val="single"/>
        </w:rPr>
        <w:t>部分组成，各部分投标文件应分</w:t>
      </w:r>
      <w:r>
        <w:rPr>
          <w:rFonts w:hint="eastAsia" w:ascii="宋体" w:hAnsi="宋体" w:eastAsia="宋体" w:cs="宋体"/>
          <w:color w:val="auto"/>
          <w:highlight w:val="none"/>
          <w:u w:val="single"/>
        </w:rPr>
        <w:t>别编制。如招标文件没有格式规定的，由投标人自行编制。</w:t>
      </w:r>
    </w:p>
    <w:p w14:paraId="3C8BD36C">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3.1.1资格审查文件：</w:t>
      </w:r>
    </w:p>
    <w:p w14:paraId="0BC0664A">
      <w:pPr>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（1）封面；</w:t>
      </w:r>
    </w:p>
    <w:p w14:paraId="472E5DA8">
      <w:pPr>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（2）目录；</w:t>
      </w:r>
    </w:p>
    <w:p w14:paraId="6794AC0B">
      <w:pPr>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（3）投标单位法定代表人证明书及法人授权委托证明书</w:t>
      </w:r>
      <w:r>
        <w:rPr>
          <w:rFonts w:hint="eastAsia" w:ascii="宋体" w:hAnsi="宋体" w:eastAsia="宋体" w:cs="宋体"/>
          <w:color w:val="auto"/>
          <w:szCs w:val="21"/>
          <w:highlight w:val="none"/>
          <w:u w:val="single"/>
          <w:lang w:val="zh-CN"/>
        </w:rPr>
        <w:t>（</w:t>
      </w:r>
      <w:r>
        <w:rPr>
          <w:rFonts w:hint="eastAsia" w:ascii="宋体" w:hAnsi="宋体" w:eastAsia="宋体" w:cs="宋体"/>
          <w:color w:val="auto"/>
          <w:szCs w:val="21"/>
          <w:highlight w:val="none"/>
          <w:u w:val="single"/>
        </w:rPr>
        <w:t>按招标文件格式1要求填写)；</w:t>
      </w:r>
    </w:p>
    <w:p w14:paraId="5921F63E">
      <w:pPr>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（4）企业营业执照（联合体投标的，联合体各方均提供）；</w:t>
      </w:r>
    </w:p>
    <w:p w14:paraId="3B68B1AF">
      <w:pPr>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（5）资质证书（联合体投标的，联合体各方均提供）；</w:t>
      </w:r>
    </w:p>
    <w:p w14:paraId="4DBDD583">
      <w:pPr>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（6）安全生产许可证（联合体投标的，由承接施工任务方提供）；</w:t>
      </w:r>
    </w:p>
    <w:p w14:paraId="46C99B8B">
      <w:pPr>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（7）项目负责人（兼任施工负责人，联合体投标的，由承接施工</w:t>
      </w:r>
      <w:bookmarkStart w:id="126" w:name="OLE_LINK136"/>
      <w:bookmarkStart w:id="127" w:name="OLE_LINK135"/>
      <w:r>
        <w:rPr>
          <w:rFonts w:hint="eastAsia" w:ascii="宋体" w:hAnsi="宋体" w:eastAsia="宋体" w:cs="宋体"/>
          <w:color w:val="auto"/>
          <w:highlight w:val="none"/>
          <w:u w:val="single"/>
        </w:rPr>
        <w:t>任务的</w:t>
      </w:r>
      <w:bookmarkStart w:id="128" w:name="OLE_LINK132"/>
      <w:r>
        <w:rPr>
          <w:rFonts w:hint="eastAsia" w:ascii="宋体" w:hAnsi="宋体" w:eastAsia="宋体" w:cs="宋体"/>
          <w:color w:val="auto"/>
          <w:highlight w:val="none"/>
          <w:u w:val="single"/>
        </w:rPr>
        <w:t>主办方</w:t>
      </w:r>
      <w:bookmarkEnd w:id="126"/>
      <w:bookmarkEnd w:id="127"/>
      <w:bookmarkEnd w:id="128"/>
      <w:r>
        <w:rPr>
          <w:rFonts w:hint="eastAsia" w:ascii="宋体" w:hAnsi="宋体" w:eastAsia="宋体" w:cs="宋体"/>
          <w:color w:val="auto"/>
          <w:szCs w:val="21"/>
          <w:highlight w:val="none"/>
          <w:u w:val="single"/>
        </w:rPr>
        <w:t>提供）的建造师注册证书（以投标登记时选取的项目负责人为准），有效期内的安全培训考核合格证（B类）或建筑施工企业项目负责人安全生产考核合格证书；</w:t>
      </w:r>
    </w:p>
    <w:p w14:paraId="297246C8">
      <w:pPr>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（8）设计负责人（联合体投标的，由承接设计任务方提供）的执业证书；</w:t>
      </w:r>
    </w:p>
    <w:p w14:paraId="74BDBE77">
      <w:pPr>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（9）投标人（联合体投标的，由承接施工</w:t>
      </w:r>
      <w:r>
        <w:rPr>
          <w:rFonts w:hint="eastAsia" w:ascii="宋体" w:hAnsi="宋体" w:eastAsia="宋体" w:cs="宋体"/>
          <w:color w:val="auto"/>
          <w:highlight w:val="none"/>
          <w:u w:val="single"/>
        </w:rPr>
        <w:t>任务的主办方</w:t>
      </w:r>
      <w:r>
        <w:rPr>
          <w:rFonts w:hint="eastAsia" w:ascii="宋体" w:hAnsi="宋体" w:eastAsia="宋体" w:cs="宋体"/>
          <w:color w:val="auto"/>
          <w:szCs w:val="21"/>
          <w:highlight w:val="none"/>
          <w:u w:val="single"/>
        </w:rPr>
        <w:t>提供）拟派施工技术负责人职称证书；</w:t>
      </w:r>
    </w:p>
    <w:p w14:paraId="09327A06">
      <w:pPr>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（10）投标人（联合体投标的，由承接施工</w:t>
      </w:r>
      <w:r>
        <w:rPr>
          <w:rFonts w:hint="eastAsia" w:ascii="宋体" w:hAnsi="宋体" w:eastAsia="宋体" w:cs="宋体"/>
          <w:color w:val="auto"/>
          <w:highlight w:val="none"/>
          <w:u w:val="single"/>
        </w:rPr>
        <w:t>任务的主办方</w:t>
      </w:r>
      <w:r>
        <w:rPr>
          <w:rFonts w:hint="eastAsia" w:ascii="宋体" w:hAnsi="宋体" w:eastAsia="宋体" w:cs="宋体"/>
          <w:color w:val="auto"/>
          <w:szCs w:val="21"/>
          <w:highlight w:val="none"/>
          <w:u w:val="single"/>
        </w:rPr>
        <w:t>提供）拟派专职安全员须具有在有效期内安全生产考核合格证（C类）或建筑施工企业专职安全生产管理人员安全生产考核合格证书（C3）（以投标登记时选取的专职安全员为准）；</w:t>
      </w:r>
    </w:p>
    <w:p w14:paraId="21061271">
      <w:pPr>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（11）按招标公告附件一盖章签署的《投标人声明》；</w:t>
      </w:r>
    </w:p>
    <w:p w14:paraId="55A42BFF">
      <w:pPr>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（12）按招标公告附件二盖章签署的《联合体共同投标协议书》（如有）； </w:t>
      </w:r>
    </w:p>
    <w:p w14:paraId="72208706">
      <w:pPr>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（13）资格审查前，投标人（含联合体各方）须在广州市住房和城乡建设局信用管理平台建立企业信用档案，及拟担任本项目的项目负责人</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专职安全员是本企业信用档案中的在册人员，联合体投标的，企业信用档案和人员在册情况应与联合体共同投标协议分工对应。（需提供广州市住建行业信用管理平台企业信用档案的企业和人员信息的网上截图）。</w:t>
      </w:r>
    </w:p>
    <w:p w14:paraId="6650639F">
      <w:pPr>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（14）投标人认为应该提供的其他资料。</w:t>
      </w:r>
    </w:p>
    <w:p w14:paraId="4A09C0F6">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注：1.相关电子证书按规定需打印后手写本人签名的，应按照规定手写本人签名后再扫描提交。</w:t>
      </w:r>
    </w:p>
    <w:p w14:paraId="3DE25FFB">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4C3099AA">
      <w:pPr>
        <w:pageBreakBefore w:val="0"/>
        <w:widowControl w:val="0"/>
        <w:kinsoku/>
        <w:wordWrap/>
        <w:overflowPunct/>
        <w:topLinePunct w:val="0"/>
        <w:autoSpaceDE/>
        <w:autoSpaceDN/>
        <w:bidi w:val="0"/>
        <w:adjustRightInd/>
        <w:snapToGrid w:val="0"/>
        <w:spacing w:line="360" w:lineRule="auto"/>
        <w:ind w:left="0" w:leftChars="0" w:firstLine="422" w:firstLineChars="200"/>
        <w:textAlignment w:val="auto"/>
        <w:rPr>
          <w:rFonts w:hint="eastAsia" w:ascii="宋体" w:hAnsi="宋体" w:eastAsia="宋体" w:cs="宋体"/>
          <w:b/>
          <w:bCs/>
          <w:color w:val="auto"/>
          <w:szCs w:val="21"/>
          <w:highlight w:val="none"/>
          <w:u w:val="single"/>
        </w:rPr>
      </w:pPr>
      <w:bookmarkStart w:id="129" w:name="_Hlk116463455"/>
      <w:r>
        <w:rPr>
          <w:rFonts w:hint="eastAsia" w:ascii="宋体" w:hAnsi="宋体" w:eastAsia="宋体" w:cs="宋体"/>
          <w:b/>
          <w:bCs/>
          <w:color w:val="auto"/>
          <w:szCs w:val="21"/>
          <w:highlight w:val="none"/>
          <w:u w:val="single"/>
        </w:rPr>
        <w:t>3.1.2工程总承包实施方案（包括但不限于以下内容：）</w:t>
      </w:r>
    </w:p>
    <w:p w14:paraId="491852A9">
      <w:pPr>
        <w:pStyle w:val="43"/>
        <w:pageBreakBefore w:val="0"/>
        <w:widowControl w:val="0"/>
        <w:kinsoku/>
        <w:wordWrap/>
        <w:overflowPunct/>
        <w:topLinePunct w:val="0"/>
        <w:autoSpaceDE/>
        <w:autoSpaceDN/>
        <w:bidi w:val="0"/>
        <w:adjustRightInd/>
        <w:spacing w:after="0" w:line="360" w:lineRule="auto"/>
        <w:ind w:left="0" w:leftChars="0" w:firstLine="40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（1）封面；</w:t>
      </w:r>
    </w:p>
    <w:p w14:paraId="33252F10">
      <w:pPr>
        <w:pStyle w:val="43"/>
        <w:pageBreakBefore w:val="0"/>
        <w:widowControl w:val="0"/>
        <w:kinsoku/>
        <w:wordWrap/>
        <w:overflowPunct/>
        <w:topLinePunct w:val="0"/>
        <w:autoSpaceDE/>
        <w:autoSpaceDN/>
        <w:bidi w:val="0"/>
        <w:adjustRightInd/>
        <w:spacing w:after="0" w:line="360" w:lineRule="auto"/>
        <w:ind w:left="0" w:leftChars="0" w:firstLine="40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（2）目录；</w:t>
      </w:r>
    </w:p>
    <w:p w14:paraId="26778EFF">
      <w:pPr>
        <w:pStyle w:val="43"/>
        <w:pageBreakBefore w:val="0"/>
        <w:widowControl w:val="0"/>
        <w:kinsoku/>
        <w:wordWrap/>
        <w:overflowPunct/>
        <w:topLinePunct w:val="0"/>
        <w:autoSpaceDE/>
        <w:autoSpaceDN/>
        <w:bidi w:val="0"/>
        <w:adjustRightInd/>
        <w:spacing w:after="0" w:line="360" w:lineRule="auto"/>
        <w:ind w:left="0" w:leftChars="0" w:firstLine="40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（3）投标书(按招标文件格式2要求填写)；</w:t>
      </w:r>
    </w:p>
    <w:p w14:paraId="7E0C3F80">
      <w:pPr>
        <w:pStyle w:val="43"/>
        <w:pageBreakBefore w:val="0"/>
        <w:widowControl w:val="0"/>
        <w:kinsoku/>
        <w:wordWrap/>
        <w:overflowPunct/>
        <w:topLinePunct w:val="0"/>
        <w:autoSpaceDE/>
        <w:autoSpaceDN/>
        <w:bidi w:val="0"/>
        <w:adjustRightInd/>
        <w:spacing w:after="0" w:line="360" w:lineRule="auto"/>
        <w:ind w:left="0" w:leftChars="0" w:firstLine="40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（4）投标报价表(按招标文件格式3要求填写)；</w:t>
      </w:r>
    </w:p>
    <w:p w14:paraId="688831BC">
      <w:pPr>
        <w:pStyle w:val="43"/>
        <w:pageBreakBefore w:val="0"/>
        <w:widowControl w:val="0"/>
        <w:kinsoku/>
        <w:wordWrap/>
        <w:overflowPunct/>
        <w:topLinePunct w:val="0"/>
        <w:autoSpaceDE/>
        <w:autoSpaceDN/>
        <w:bidi w:val="0"/>
        <w:adjustRightInd/>
        <w:spacing w:after="0" w:line="360" w:lineRule="auto"/>
        <w:ind w:left="0" w:leftChars="0" w:firstLine="40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（5）投标人基本情况表（按招标文件格式4要求填写)；</w:t>
      </w:r>
    </w:p>
    <w:p w14:paraId="0DF1D1B9">
      <w:pPr>
        <w:pStyle w:val="43"/>
        <w:pageBreakBefore w:val="0"/>
        <w:widowControl w:val="0"/>
        <w:kinsoku/>
        <w:wordWrap/>
        <w:overflowPunct/>
        <w:topLinePunct w:val="0"/>
        <w:autoSpaceDE/>
        <w:autoSpaceDN/>
        <w:bidi w:val="0"/>
        <w:adjustRightInd/>
        <w:spacing w:after="0" w:line="360" w:lineRule="auto"/>
        <w:ind w:left="0" w:leftChars="0" w:firstLine="40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（6）投标承诺函、报价承诺书（按招标文件格式5-1、5-2要求填写)；</w:t>
      </w:r>
    </w:p>
    <w:p w14:paraId="0D416A18">
      <w:pPr>
        <w:pStyle w:val="43"/>
        <w:pageBreakBefore w:val="0"/>
        <w:widowControl w:val="0"/>
        <w:kinsoku/>
        <w:wordWrap/>
        <w:overflowPunct/>
        <w:topLinePunct w:val="0"/>
        <w:autoSpaceDE/>
        <w:autoSpaceDN/>
        <w:bidi w:val="0"/>
        <w:adjustRightInd/>
        <w:spacing w:after="0" w:line="360" w:lineRule="auto"/>
        <w:ind w:left="0" w:leftChars="0" w:firstLine="40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（7）企业资信实力（如有，按评分表要求结合企业自身实力提供，按招标文件格式6要求填写）；</w:t>
      </w:r>
    </w:p>
    <w:p w14:paraId="4FA0CE08">
      <w:pPr>
        <w:pStyle w:val="43"/>
        <w:pageBreakBefore w:val="0"/>
        <w:widowControl w:val="0"/>
        <w:kinsoku/>
        <w:wordWrap/>
        <w:overflowPunct/>
        <w:topLinePunct w:val="0"/>
        <w:autoSpaceDE/>
        <w:autoSpaceDN/>
        <w:bidi w:val="0"/>
        <w:adjustRightInd/>
        <w:spacing w:after="0" w:line="360" w:lineRule="auto"/>
        <w:ind w:left="0" w:leftChars="0" w:firstLine="40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（8）项目团队人员配备及技术水平资料（按招标文件格式7要求填写)；</w:t>
      </w:r>
    </w:p>
    <w:p w14:paraId="59080D2D">
      <w:pPr>
        <w:pStyle w:val="43"/>
        <w:pageBreakBefore w:val="0"/>
        <w:widowControl w:val="0"/>
        <w:kinsoku/>
        <w:wordWrap/>
        <w:overflowPunct/>
        <w:topLinePunct w:val="0"/>
        <w:autoSpaceDE/>
        <w:autoSpaceDN/>
        <w:bidi w:val="0"/>
        <w:adjustRightInd/>
        <w:spacing w:after="0" w:line="360" w:lineRule="auto"/>
        <w:ind w:left="0" w:leftChars="0" w:firstLine="40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（9）工程实施方案（按第三章附表1《工程总承包实施方案评分标准》要求编制</w:t>
      </w:r>
      <w:r>
        <w:rPr>
          <w:rFonts w:hint="eastAsia" w:ascii="宋体" w:hAnsi="宋体" w:eastAsia="宋体" w:cs="宋体"/>
          <w:color w:val="auto"/>
          <w:szCs w:val="21"/>
          <w:highlight w:val="none"/>
          <w:u w:val="single"/>
          <w:lang w:val="en-US" w:eastAsia="zh-CN"/>
        </w:rPr>
        <w:t>及</w:t>
      </w:r>
      <w:r>
        <w:rPr>
          <w:rFonts w:hint="eastAsia" w:ascii="宋体" w:hAnsi="宋体" w:eastAsia="宋体" w:cs="宋体"/>
          <w:color w:val="auto"/>
          <w:szCs w:val="21"/>
          <w:highlight w:val="none"/>
          <w:u w:val="single"/>
        </w:rPr>
        <w:t>招标文件提供的格式8填写)；</w:t>
      </w:r>
    </w:p>
    <w:p w14:paraId="6240F65B">
      <w:pPr>
        <w:pStyle w:val="43"/>
        <w:pageBreakBefore w:val="0"/>
        <w:widowControl w:val="0"/>
        <w:kinsoku/>
        <w:wordWrap/>
        <w:overflowPunct/>
        <w:topLinePunct w:val="0"/>
        <w:autoSpaceDE/>
        <w:autoSpaceDN/>
        <w:bidi w:val="0"/>
        <w:adjustRightInd/>
        <w:spacing w:after="0" w:line="360" w:lineRule="auto"/>
        <w:ind w:left="0" w:leftChars="0" w:firstLine="40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）投标文件编制人员名单（按招标文件提供的格式</w:t>
      </w:r>
      <w:r>
        <w:rPr>
          <w:rFonts w:hint="eastAsia" w:ascii="宋体" w:hAnsi="宋体" w:eastAsia="宋体" w:cs="宋体"/>
          <w:color w:val="auto"/>
          <w:szCs w:val="21"/>
          <w:highlight w:val="none"/>
          <w:u w:val="single"/>
          <w:lang w:val="en-US" w:eastAsia="zh-CN"/>
        </w:rPr>
        <w:t>9</w:t>
      </w:r>
      <w:r>
        <w:rPr>
          <w:rFonts w:hint="eastAsia" w:ascii="宋体" w:hAnsi="宋体" w:eastAsia="宋体" w:cs="宋体"/>
          <w:color w:val="auto"/>
          <w:szCs w:val="21"/>
          <w:highlight w:val="none"/>
          <w:u w:val="single"/>
        </w:rPr>
        <w:t>填写）；</w:t>
      </w:r>
    </w:p>
    <w:p w14:paraId="63FCBA50">
      <w:pPr>
        <w:pStyle w:val="43"/>
        <w:pageBreakBefore w:val="0"/>
        <w:widowControl w:val="0"/>
        <w:kinsoku/>
        <w:wordWrap/>
        <w:overflowPunct/>
        <w:topLinePunct w:val="0"/>
        <w:autoSpaceDE/>
        <w:autoSpaceDN/>
        <w:bidi w:val="0"/>
        <w:adjustRightInd/>
        <w:spacing w:after="0" w:line="360" w:lineRule="auto"/>
        <w:ind w:left="0" w:leftChars="0" w:firstLine="40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）危险性较大的分部分项工程清单及超过一定规模的危险性较大的分部分项工程清单（按招标文件提供的格式1</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填写）；</w:t>
      </w:r>
    </w:p>
    <w:p w14:paraId="61502399">
      <w:pPr>
        <w:pStyle w:val="43"/>
        <w:pageBreakBefore w:val="0"/>
        <w:widowControl w:val="0"/>
        <w:kinsoku/>
        <w:wordWrap/>
        <w:overflowPunct/>
        <w:topLinePunct w:val="0"/>
        <w:autoSpaceDE/>
        <w:autoSpaceDN/>
        <w:bidi w:val="0"/>
        <w:adjustRightInd/>
        <w:spacing w:after="0" w:line="360" w:lineRule="auto"/>
        <w:ind w:left="0" w:leftChars="0" w:firstLine="40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）投标人认为应该提供的其他资料。</w:t>
      </w:r>
      <w:bookmarkEnd w:id="129"/>
    </w:p>
    <w:p w14:paraId="2887158A">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注：投标人在编制工程总承包实施方案第2部分相应措施时应按照招标文件要求，并针对本项目的关键技术、工艺、重点、难点以及拟在本项目采用的新工艺、新技术、新材料编制，应突出重点，标准、规范中已有的内容无需赘述；</w:t>
      </w:r>
    </w:p>
    <w:p w14:paraId="6B727C2B">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3.1.3定标文件主要包括：</w:t>
      </w:r>
    </w:p>
    <w:p w14:paraId="68267616">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（1）</w:t>
      </w:r>
      <w:r>
        <w:rPr>
          <w:rFonts w:hint="eastAsia" w:ascii="宋体" w:hAnsi="宋体" w:eastAsia="宋体" w:cs="宋体"/>
          <w:color w:val="auto"/>
          <w:kern w:val="0"/>
          <w:szCs w:val="21"/>
          <w:highlight w:val="none"/>
          <w:u w:val="single"/>
          <w:lang w:val="en-US" w:eastAsia="zh-CN"/>
        </w:rPr>
        <w:t>投标人根据</w:t>
      </w:r>
      <w:r>
        <w:rPr>
          <w:rFonts w:hint="eastAsia" w:ascii="宋体" w:hAnsi="宋体" w:eastAsia="宋体" w:cs="宋体"/>
          <w:color w:val="auto"/>
          <w:kern w:val="0"/>
          <w:szCs w:val="21"/>
          <w:highlight w:val="none"/>
          <w:u w:val="single"/>
        </w:rPr>
        <w:t>《定标因素评审表》</w:t>
      </w:r>
      <w:r>
        <w:rPr>
          <w:rFonts w:hint="eastAsia" w:ascii="宋体" w:hAnsi="宋体" w:eastAsia="宋体" w:cs="宋体"/>
          <w:color w:val="auto"/>
          <w:kern w:val="0"/>
          <w:szCs w:val="21"/>
          <w:highlight w:val="none"/>
          <w:u w:val="single"/>
          <w:lang w:val="en-US" w:eastAsia="zh-CN"/>
        </w:rPr>
        <w:t>自行编制，不超20页（投标文件重复部分可以不用再提供）</w:t>
      </w:r>
      <w:r>
        <w:rPr>
          <w:rFonts w:hint="eastAsia" w:ascii="宋体" w:hAnsi="宋体" w:eastAsia="宋体" w:cs="宋体"/>
          <w:color w:val="auto"/>
          <w:kern w:val="0"/>
          <w:szCs w:val="21"/>
          <w:highlight w:val="none"/>
          <w:u w:val="single"/>
        </w:rPr>
        <w:t>；</w:t>
      </w:r>
    </w:p>
    <w:p w14:paraId="02ABA79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val="en-US" w:eastAsia="zh-CN"/>
        </w:rPr>
        <w:t>2</w:t>
      </w:r>
      <w:r>
        <w:rPr>
          <w:rFonts w:hint="eastAsia" w:ascii="宋体" w:hAnsi="宋体" w:eastAsia="宋体" w:cs="宋体"/>
          <w:color w:val="auto"/>
          <w:kern w:val="0"/>
          <w:szCs w:val="21"/>
          <w:highlight w:val="none"/>
          <w:u w:val="single"/>
        </w:rPr>
        <w:t>）投标人认为需要提交的其它文件。</w:t>
      </w:r>
    </w:p>
    <w:p w14:paraId="1954A57E">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rPr>
      </w:pPr>
      <w:bookmarkStart w:id="130" w:name="_Toc86413281"/>
      <w:bookmarkStart w:id="131" w:name="_Toc165358645"/>
      <w:bookmarkStart w:id="132" w:name="_Toc165358780"/>
      <w:r>
        <w:rPr>
          <w:rFonts w:hint="eastAsia" w:ascii="宋体" w:hAnsi="宋体" w:eastAsia="宋体" w:cs="宋体"/>
          <w:b/>
          <w:color w:val="auto"/>
          <w:sz w:val="24"/>
          <w:szCs w:val="24"/>
          <w:highlight w:val="none"/>
        </w:rPr>
        <w:t>3.2 投标报价</w:t>
      </w:r>
      <w:bookmarkEnd w:id="130"/>
      <w:bookmarkEnd w:id="131"/>
      <w:bookmarkEnd w:id="132"/>
    </w:p>
    <w:p w14:paraId="12529E3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3.2.1 投标人应按第七章“投标文件格式”的要求填写价格。具体的投标报价方式见投标须知前附表。</w:t>
      </w:r>
    </w:p>
    <w:p w14:paraId="22D6D2DD">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3.2.2 投标人应充分了解施工场地的位置、周边环境、道路、装卸、保管、安装限制以及影响投标报价的其他要素。投标人根据投标设计，结合市场情况进行投标报价。</w:t>
      </w:r>
    </w:p>
    <w:p w14:paraId="495752BF">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3.2.3投标人在投标截止时间前修改投标函中的投标报价总额，应同时修改投标文件“价格清单”中的相应报价，投标报价总额为各分项金额之和。此修改须符合本章第4.3款的有关要求。</w:t>
      </w:r>
    </w:p>
    <w:p w14:paraId="2183A85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3.2.4 招标人设有最高投标限价的，投标人的投标报价不得超过最高投标限价，最高投标限价或其计算方法在投标人须知前附表中载明。</w:t>
      </w:r>
    </w:p>
    <w:p w14:paraId="44FF9B8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3.2.5 投标报价的其他要求见投标人须知前附表。</w:t>
      </w:r>
    </w:p>
    <w:p w14:paraId="3ED94340">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rPr>
      </w:pPr>
      <w:bookmarkStart w:id="133" w:name="_Toc86413282"/>
      <w:bookmarkStart w:id="134" w:name="_Toc165358781"/>
      <w:bookmarkStart w:id="135" w:name="_Toc165358646"/>
      <w:r>
        <w:rPr>
          <w:rFonts w:hint="eastAsia" w:ascii="宋体" w:hAnsi="宋体" w:eastAsia="宋体" w:cs="宋体"/>
          <w:b/>
          <w:color w:val="auto"/>
          <w:sz w:val="24"/>
          <w:szCs w:val="24"/>
          <w:highlight w:val="none"/>
        </w:rPr>
        <w:t>3.3 投标有效期</w:t>
      </w:r>
      <w:bookmarkEnd w:id="133"/>
      <w:bookmarkEnd w:id="134"/>
      <w:bookmarkEnd w:id="135"/>
    </w:p>
    <w:p w14:paraId="4E66747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3.3.1</w:t>
      </w:r>
      <w:r>
        <w:rPr>
          <w:rFonts w:hint="eastAsia" w:ascii="宋体" w:hAnsi="宋体" w:eastAsia="宋体" w:cs="宋体"/>
          <w:color w:val="auto"/>
          <w:highlight w:val="none"/>
          <w:u w:val="single"/>
        </w:rPr>
        <w:t>投标有效期按须知前附表的规定。</w:t>
      </w:r>
    </w:p>
    <w:p w14:paraId="360F33B2">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trike w:val="0"/>
          <w:dstrike w:val="0"/>
          <w:color w:val="auto"/>
          <w:highlight w:val="none"/>
        </w:rPr>
      </w:pPr>
      <w:r>
        <w:rPr>
          <w:rFonts w:hint="eastAsia" w:ascii="宋体" w:hAnsi="宋体" w:eastAsia="宋体" w:cs="宋体"/>
          <w:strike w:val="0"/>
          <w:dstrike w:val="0"/>
          <w:color w:val="auto"/>
          <w:highlight w:val="none"/>
        </w:rPr>
        <w:t>3.3.2 在投标有效期内，投标人撤销或修改其投标文件的，应承担招标文件和法律规定的责任。</w:t>
      </w:r>
    </w:p>
    <w:p w14:paraId="5F31848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trike w:val="0"/>
          <w:dstrike w:val="0"/>
          <w:color w:val="auto"/>
          <w:highlight w:val="none"/>
        </w:rPr>
      </w:pPr>
      <w:r>
        <w:rPr>
          <w:rFonts w:hint="eastAsia" w:ascii="宋体" w:hAnsi="宋体" w:eastAsia="宋体" w:cs="宋体"/>
          <w:strike w:val="0"/>
          <w:dstrike w:val="0"/>
          <w:color w:val="auto"/>
          <w:highlight w:val="none"/>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bookmarkStart w:id="136" w:name="_Toc165358782"/>
      <w:bookmarkStart w:id="137" w:name="_Toc86413283"/>
      <w:bookmarkStart w:id="138" w:name="_Toc165358647"/>
    </w:p>
    <w:p w14:paraId="20256CDA">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3.4 投标保证金</w:t>
      </w:r>
      <w:bookmarkEnd w:id="136"/>
      <w:bookmarkEnd w:id="137"/>
      <w:bookmarkEnd w:id="138"/>
    </w:p>
    <w:p w14:paraId="04D50F26">
      <w:pPr>
        <w:pStyle w:val="4"/>
        <w:pageBreakBefore w:val="0"/>
        <w:widowControl w:val="0"/>
        <w:kinsoku/>
        <w:wordWrap/>
        <w:overflowPunct/>
        <w:topLinePunct w:val="0"/>
        <w:autoSpaceDE/>
        <w:autoSpaceDN/>
        <w:bidi w:val="0"/>
        <w:adjustRightInd/>
        <w:spacing w:before="0" w:after="0" w:line="360" w:lineRule="auto"/>
        <w:ind w:left="0" w:leftChars="0" w:firstLine="315" w:firstLineChars="150"/>
        <w:textAlignment w:val="auto"/>
        <w:rPr>
          <w:rFonts w:hint="eastAsia" w:ascii="宋体" w:hAnsi="宋体" w:eastAsia="宋体" w:cs="宋体"/>
          <w:bCs w:val="0"/>
          <w:strike w:val="0"/>
          <w:color w:val="auto"/>
          <w:sz w:val="21"/>
          <w:szCs w:val="24"/>
          <w:highlight w:val="none"/>
        </w:rPr>
      </w:pPr>
      <w:bookmarkStart w:id="139" w:name="_Toc165358783"/>
      <w:bookmarkStart w:id="140" w:name="_Toc165358648"/>
      <w:r>
        <w:rPr>
          <w:rFonts w:hint="eastAsia" w:ascii="宋体" w:hAnsi="宋体" w:eastAsia="宋体" w:cs="宋体"/>
          <w:bCs w:val="0"/>
          <w:strike w:val="0"/>
          <w:color w:val="auto"/>
          <w:sz w:val="21"/>
          <w:szCs w:val="24"/>
          <w:highlight w:val="none"/>
        </w:rPr>
        <w:t>3.4.1 投标人在递交投标文件的同时，应按投标人须知前附表规定的金额、担保形式递交投标担保，并作为其投标文件的组成部分。联合体投标的，其投标担保由主办方递交，并应符合投标人须知前附表的规定。</w:t>
      </w:r>
      <w:bookmarkEnd w:id="139"/>
      <w:bookmarkEnd w:id="140"/>
    </w:p>
    <w:p w14:paraId="62ED7454">
      <w:pPr>
        <w:pStyle w:val="4"/>
        <w:pageBreakBefore w:val="0"/>
        <w:widowControl w:val="0"/>
        <w:kinsoku/>
        <w:wordWrap/>
        <w:overflowPunct/>
        <w:topLinePunct w:val="0"/>
        <w:autoSpaceDE/>
        <w:autoSpaceDN/>
        <w:bidi w:val="0"/>
        <w:adjustRightInd/>
        <w:spacing w:before="0" w:after="0" w:line="360" w:lineRule="auto"/>
        <w:ind w:left="0" w:leftChars="0" w:firstLine="315" w:firstLineChars="150"/>
        <w:textAlignment w:val="auto"/>
        <w:rPr>
          <w:rFonts w:hint="eastAsia" w:ascii="宋体" w:hAnsi="宋体" w:eastAsia="宋体" w:cs="宋体"/>
          <w:bCs w:val="0"/>
          <w:strike w:val="0"/>
          <w:color w:val="auto"/>
          <w:sz w:val="21"/>
          <w:szCs w:val="24"/>
          <w:highlight w:val="none"/>
        </w:rPr>
      </w:pPr>
      <w:bookmarkStart w:id="141" w:name="_Toc165358649"/>
      <w:bookmarkStart w:id="142" w:name="_Toc165358784"/>
      <w:r>
        <w:rPr>
          <w:rFonts w:hint="eastAsia" w:ascii="宋体" w:hAnsi="宋体" w:eastAsia="宋体" w:cs="宋体"/>
          <w:bCs w:val="0"/>
          <w:strike w:val="0"/>
          <w:color w:val="auto"/>
          <w:sz w:val="21"/>
          <w:szCs w:val="24"/>
          <w:highlight w:val="none"/>
        </w:rPr>
        <w:t>3.4.2 投标人不按本章第3.4.1项要求提交投标担保的，评标委员会将否决其投标。</w:t>
      </w:r>
      <w:bookmarkEnd w:id="141"/>
      <w:bookmarkEnd w:id="142"/>
    </w:p>
    <w:p w14:paraId="6C13FFE1">
      <w:pPr>
        <w:pStyle w:val="4"/>
        <w:pageBreakBefore w:val="0"/>
        <w:widowControl w:val="0"/>
        <w:kinsoku/>
        <w:wordWrap/>
        <w:overflowPunct/>
        <w:topLinePunct w:val="0"/>
        <w:autoSpaceDE/>
        <w:autoSpaceDN/>
        <w:bidi w:val="0"/>
        <w:adjustRightInd/>
        <w:spacing w:before="0" w:after="0" w:line="360" w:lineRule="auto"/>
        <w:ind w:left="0" w:leftChars="0" w:firstLine="315" w:firstLineChars="150"/>
        <w:textAlignment w:val="auto"/>
        <w:rPr>
          <w:rFonts w:hint="eastAsia" w:ascii="宋体" w:hAnsi="宋体" w:eastAsia="宋体" w:cs="宋体"/>
          <w:bCs w:val="0"/>
          <w:strike w:val="0"/>
          <w:color w:val="auto"/>
          <w:sz w:val="21"/>
          <w:szCs w:val="24"/>
          <w:highlight w:val="none"/>
        </w:rPr>
      </w:pPr>
      <w:bookmarkStart w:id="143" w:name="_Toc165358650"/>
      <w:bookmarkStart w:id="144" w:name="_Toc165358785"/>
      <w:r>
        <w:rPr>
          <w:rFonts w:hint="eastAsia" w:ascii="宋体" w:hAnsi="宋体" w:eastAsia="宋体" w:cs="宋体"/>
          <w:bCs w:val="0"/>
          <w:strike w:val="0"/>
          <w:color w:val="auto"/>
          <w:sz w:val="21"/>
          <w:szCs w:val="24"/>
          <w:highlight w:val="none"/>
        </w:rPr>
        <w:t>3.4.3未中标的投标担保将尽快退还，最迟不超过招标人与中标人签定合同后的5个工作日。中标人的投标担保，在签署合同并按要求提供了履约担保后予以退还。</w:t>
      </w:r>
      <w:bookmarkEnd w:id="143"/>
      <w:bookmarkEnd w:id="144"/>
    </w:p>
    <w:p w14:paraId="49F589B0">
      <w:pPr>
        <w:pStyle w:val="4"/>
        <w:pageBreakBefore w:val="0"/>
        <w:widowControl w:val="0"/>
        <w:kinsoku/>
        <w:wordWrap/>
        <w:overflowPunct/>
        <w:topLinePunct w:val="0"/>
        <w:autoSpaceDE/>
        <w:autoSpaceDN/>
        <w:bidi w:val="0"/>
        <w:adjustRightInd/>
        <w:spacing w:before="0" w:after="0" w:line="360" w:lineRule="auto"/>
        <w:ind w:left="0" w:leftChars="0" w:firstLine="315" w:firstLineChars="150"/>
        <w:textAlignment w:val="auto"/>
        <w:rPr>
          <w:rFonts w:hint="eastAsia" w:ascii="宋体" w:hAnsi="宋体" w:eastAsia="宋体" w:cs="宋体"/>
          <w:bCs w:val="0"/>
          <w:strike w:val="0"/>
          <w:color w:val="auto"/>
          <w:sz w:val="21"/>
          <w:szCs w:val="24"/>
          <w:highlight w:val="none"/>
        </w:rPr>
      </w:pPr>
      <w:bookmarkStart w:id="145" w:name="_Toc165358786"/>
      <w:bookmarkStart w:id="146" w:name="_Toc165358651"/>
      <w:r>
        <w:rPr>
          <w:rFonts w:hint="eastAsia" w:ascii="宋体" w:hAnsi="宋体" w:eastAsia="宋体" w:cs="宋体"/>
          <w:bCs w:val="0"/>
          <w:strike w:val="0"/>
          <w:color w:val="auto"/>
          <w:sz w:val="21"/>
          <w:szCs w:val="24"/>
          <w:highlight w:val="none"/>
        </w:rPr>
        <w:t>3.4.4 有下列情形之一的，投标担保将不予退还：</w:t>
      </w:r>
      <w:bookmarkEnd w:id="145"/>
      <w:bookmarkEnd w:id="146"/>
    </w:p>
    <w:p w14:paraId="52CB60F8">
      <w:pPr>
        <w:pStyle w:val="4"/>
        <w:pageBreakBefore w:val="0"/>
        <w:widowControl w:val="0"/>
        <w:kinsoku/>
        <w:wordWrap/>
        <w:overflowPunct/>
        <w:topLinePunct w:val="0"/>
        <w:autoSpaceDE/>
        <w:autoSpaceDN/>
        <w:bidi w:val="0"/>
        <w:adjustRightInd/>
        <w:spacing w:before="0" w:after="0" w:line="360" w:lineRule="auto"/>
        <w:ind w:left="0" w:leftChars="0" w:firstLine="315" w:firstLineChars="150"/>
        <w:textAlignment w:val="auto"/>
        <w:rPr>
          <w:rFonts w:hint="eastAsia" w:ascii="宋体" w:hAnsi="宋体" w:eastAsia="宋体" w:cs="宋体"/>
          <w:bCs w:val="0"/>
          <w:strike w:val="0"/>
          <w:color w:val="auto"/>
          <w:sz w:val="21"/>
          <w:szCs w:val="24"/>
          <w:highlight w:val="none"/>
        </w:rPr>
      </w:pPr>
      <w:bookmarkStart w:id="147" w:name="_Toc165358652"/>
      <w:bookmarkStart w:id="148" w:name="_Toc165358787"/>
      <w:r>
        <w:rPr>
          <w:rFonts w:hint="eastAsia" w:ascii="宋体" w:hAnsi="宋体" w:eastAsia="宋体" w:cs="宋体"/>
          <w:bCs w:val="0"/>
          <w:strike w:val="0"/>
          <w:color w:val="auto"/>
          <w:sz w:val="21"/>
          <w:szCs w:val="24"/>
          <w:highlight w:val="none"/>
        </w:rPr>
        <w:t>（1）投标人在规定的投标有效期内撤销或修改其投标文件；</w:t>
      </w:r>
      <w:bookmarkEnd w:id="147"/>
      <w:bookmarkEnd w:id="148"/>
    </w:p>
    <w:p w14:paraId="0981B276">
      <w:pPr>
        <w:pageBreakBefore w:val="0"/>
        <w:widowControl w:val="0"/>
        <w:kinsoku/>
        <w:wordWrap/>
        <w:overflowPunct/>
        <w:topLinePunct w:val="0"/>
        <w:autoSpaceDE/>
        <w:autoSpaceDN/>
        <w:bidi w:val="0"/>
        <w:adjustRightInd/>
        <w:spacing w:line="360" w:lineRule="auto"/>
        <w:ind w:left="0" w:leftChars="0" w:firstLine="470" w:firstLineChars="224"/>
        <w:textAlignment w:val="auto"/>
        <w:rPr>
          <w:rFonts w:hint="eastAsia" w:ascii="宋体" w:hAnsi="宋体" w:eastAsia="宋体" w:cs="宋体"/>
          <w:bCs/>
          <w:strike/>
          <w:color w:val="auto"/>
          <w:sz w:val="24"/>
          <w:highlight w:val="none"/>
        </w:rPr>
      </w:pPr>
      <w:r>
        <w:rPr>
          <w:rFonts w:hint="eastAsia" w:ascii="宋体" w:hAnsi="宋体" w:eastAsia="宋体" w:cs="宋体"/>
          <w:strike w:val="0"/>
          <w:color w:val="auto"/>
          <w:highlight w:val="none"/>
        </w:rPr>
        <w:t>（2）中标人在收到中标通知书后，无正当理由拒签合同或未按招标文件规定提交履约担保。</w:t>
      </w:r>
      <w:bookmarkStart w:id="149" w:name="_Toc86413284"/>
    </w:p>
    <w:p w14:paraId="24CE01E1">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rPr>
      </w:pPr>
      <w:bookmarkStart w:id="150" w:name="_Toc165358788"/>
      <w:bookmarkStart w:id="151" w:name="_Toc165358653"/>
      <w:r>
        <w:rPr>
          <w:rFonts w:hint="eastAsia" w:ascii="宋体" w:hAnsi="宋体" w:eastAsia="宋体" w:cs="宋体"/>
          <w:b/>
          <w:color w:val="auto"/>
          <w:sz w:val="24"/>
          <w:szCs w:val="24"/>
          <w:highlight w:val="none"/>
        </w:rPr>
        <w:t>3.5 资格审查</w:t>
      </w:r>
      <w:bookmarkEnd w:id="149"/>
      <w:r>
        <w:rPr>
          <w:rFonts w:hint="eastAsia" w:ascii="宋体" w:hAnsi="宋体" w:eastAsia="宋体" w:cs="宋体"/>
          <w:b/>
          <w:color w:val="auto"/>
          <w:sz w:val="24"/>
          <w:szCs w:val="24"/>
          <w:highlight w:val="none"/>
        </w:rPr>
        <w:t>资料</w:t>
      </w:r>
      <w:bookmarkEnd w:id="150"/>
      <w:bookmarkEnd w:id="151"/>
      <w:r>
        <w:rPr>
          <w:rFonts w:hint="eastAsia" w:ascii="宋体" w:hAnsi="宋体" w:eastAsia="宋体" w:cs="宋体"/>
          <w:b/>
          <w:color w:val="auto"/>
          <w:sz w:val="24"/>
          <w:szCs w:val="24"/>
          <w:highlight w:val="none"/>
        </w:rPr>
        <w:t>（适用于未进行资格预审的）</w:t>
      </w:r>
    </w:p>
    <w:p w14:paraId="3E2A2D5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u w:val="single"/>
          <w:shd w:val="clear" w:color="auto" w:fill="FFFFFF"/>
        </w:rPr>
      </w:pPr>
      <w:r>
        <w:rPr>
          <w:rFonts w:hint="eastAsia" w:ascii="宋体" w:hAnsi="宋体" w:eastAsia="宋体" w:cs="宋体"/>
          <w:color w:val="auto"/>
          <w:highlight w:val="none"/>
          <w:u w:val="single"/>
        </w:rPr>
        <w:t>资格审查资料要求详见本章3.1.1资格审查文件组成。</w:t>
      </w:r>
    </w:p>
    <w:p w14:paraId="31BF870A">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本项目采用电子化资格后审，由评标委员会负责对投标人的资格进行审查，评标时只对通过资格审查的投标人进行下一阶段的评审。</w:t>
      </w:r>
    </w:p>
    <w:p w14:paraId="5F33CCFD">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szCs w:val="21"/>
          <w:highlight w:val="none"/>
          <w:u w:val="single"/>
        </w:rPr>
        <w:t>本项目由评标委员会负责对投标人的资格进行审查。资审合格后，投标人的资格发生变化而不满足投标人合格条件，在发出中标通知书前，资格问题仍未解决的，招标人将取消其中标资格。</w:t>
      </w:r>
    </w:p>
    <w:p w14:paraId="6EA73444">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rPr>
      </w:pPr>
      <w:bookmarkStart w:id="152" w:name="_Toc165358789"/>
      <w:bookmarkStart w:id="153" w:name="_Toc86413285"/>
      <w:bookmarkStart w:id="154" w:name="_Toc165358654"/>
      <w:r>
        <w:rPr>
          <w:rFonts w:hint="eastAsia" w:ascii="宋体" w:hAnsi="宋体" w:eastAsia="宋体" w:cs="宋体"/>
          <w:b/>
          <w:color w:val="auto"/>
          <w:sz w:val="24"/>
          <w:szCs w:val="24"/>
          <w:highlight w:val="none"/>
        </w:rPr>
        <w:t>3.6 备选投标方案</w:t>
      </w:r>
      <w:bookmarkEnd w:id="152"/>
      <w:bookmarkEnd w:id="153"/>
      <w:bookmarkEnd w:id="154"/>
    </w:p>
    <w:p w14:paraId="1F24AD5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bookmarkStart w:id="155" w:name="_Toc165358790"/>
      <w:bookmarkStart w:id="156" w:name="_Toc165358655"/>
      <w:bookmarkStart w:id="157" w:name="_Toc86413286"/>
      <w:r>
        <w:rPr>
          <w:rFonts w:hint="eastAsia" w:ascii="宋体" w:hAnsi="宋体" w:eastAsia="宋体" w:cs="宋体"/>
          <w:color w:val="auto"/>
          <w:highlight w:val="none"/>
        </w:rPr>
        <w:t>除投标人须知前附表另有规定外，投标人不得递交备选投标方案。</w:t>
      </w:r>
    </w:p>
    <w:p w14:paraId="580D18E9">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3.7 投标文件的编制</w:t>
      </w:r>
      <w:bookmarkEnd w:id="155"/>
      <w:bookmarkEnd w:id="156"/>
      <w:bookmarkEnd w:id="157"/>
    </w:p>
    <w:p w14:paraId="73A94BFE">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3.7.1投标人应按第七章“投标文件格式”进行编写，如有必要，可以增加附页，作为投标文件的组成部分。在满足招标文件实质性要求的基础上，可以提出比招标文件要求更有利于招标人的承诺。</w:t>
      </w:r>
    </w:p>
    <w:p w14:paraId="0766D4B2">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3.7.2 投标文件应当对招标文件有关招标范围、投标有效期、工期、质量标准、发包人要求等实质性内容作出响应。</w:t>
      </w:r>
    </w:p>
    <w:p w14:paraId="475BA0C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
          <w:bCs/>
          <w:color w:val="auto"/>
          <w:highlight w:val="none"/>
          <w:u w:val="single"/>
        </w:rPr>
      </w:pPr>
      <w:r>
        <w:rPr>
          <w:rFonts w:hint="eastAsia" w:ascii="宋体" w:hAnsi="宋体" w:eastAsia="宋体" w:cs="宋体"/>
          <w:color w:val="auto"/>
          <w:highlight w:val="none"/>
        </w:rPr>
        <w:t>3.7.3</w:t>
      </w:r>
      <w:r>
        <w:rPr>
          <w:rFonts w:hint="eastAsia" w:ascii="宋体" w:hAnsi="宋体" w:eastAsia="宋体" w:cs="宋体"/>
          <w:b/>
          <w:bCs/>
          <w:color w:val="auto"/>
          <w:highlight w:val="none"/>
          <w:u w:val="single"/>
        </w:rPr>
        <w:t>投标文件全部采用电子文档，投标文件应按广州交易集团有限公司（广州公共资源交易中心）交易平台相关操作指南编制。投标文件所附证书证件均为原件清晰扫描件，并采用单位数字证书，按招标文件要求在相应位置加盖电子印章。投标文件中需个人签字或盖章的，应加盖个人电子印章或在线下完成后扫描上传。具体操作详见广州交易集团有限公司（广州公共资源交易中心）交易平台相关操作指南。</w:t>
      </w:r>
    </w:p>
    <w:p w14:paraId="0D7C0CDE">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bCs/>
          <w:color w:val="auto"/>
          <w:szCs w:val="21"/>
          <w:highlight w:val="none"/>
          <w:u w:val="single"/>
        </w:rPr>
      </w:pPr>
      <w:r>
        <w:rPr>
          <w:rFonts w:hint="eastAsia" w:ascii="宋体" w:hAnsi="宋体" w:eastAsia="宋体" w:cs="宋体"/>
          <w:b/>
          <w:bCs/>
          <w:color w:val="auto"/>
          <w:highlight w:val="none"/>
          <w:u w:val="single"/>
        </w:rPr>
        <w:t>3.7.4联合体投标的，除《联合体共同投标协议书》必须联合体各单位分别按要求进行签字或盖章外，法定代表人证明书及授权委托证明书可由联合体主办方（或主办方）出具，其中“单位”一栏可只填写联合体主办方（或主办方）名称，投标文件其他内容及落款中的“投标人”应填写联合体各方的单位全称【格式示例：(主)单位全称(成)单位全称】，若需要签字或盖章的均可由联合体主办方（或主办方）签字或盖章即可。</w:t>
      </w:r>
    </w:p>
    <w:p w14:paraId="1A24ADE8">
      <w:pPr>
        <w:pStyle w:val="3"/>
        <w:pageBreakBefore w:val="0"/>
        <w:widowControl w:val="0"/>
        <w:kinsoku/>
        <w:wordWrap/>
        <w:overflowPunct/>
        <w:topLinePunct w:val="0"/>
        <w:autoSpaceDE/>
        <w:autoSpaceDN/>
        <w:bidi w:val="0"/>
        <w:adjustRightInd/>
        <w:spacing w:before="0" w:after="0" w:line="360" w:lineRule="auto"/>
        <w:ind w:left="0" w:leftChars="0"/>
        <w:textAlignment w:val="auto"/>
        <w:rPr>
          <w:rFonts w:hint="eastAsia" w:ascii="宋体" w:hAnsi="宋体" w:eastAsia="宋体" w:cs="宋体"/>
          <w:color w:val="auto"/>
          <w:highlight w:val="none"/>
        </w:rPr>
      </w:pPr>
      <w:bookmarkStart w:id="158" w:name="_Toc165358791"/>
      <w:bookmarkStart w:id="159" w:name="_Toc86413287"/>
      <w:bookmarkStart w:id="160" w:name="_Toc49303762"/>
      <w:bookmarkStart w:id="161" w:name="_Toc165358656"/>
    </w:p>
    <w:p w14:paraId="57E29B85">
      <w:pPr>
        <w:pStyle w:val="3"/>
        <w:pageBreakBefore w:val="0"/>
        <w:widowControl w:val="0"/>
        <w:kinsoku/>
        <w:wordWrap/>
        <w:overflowPunct/>
        <w:topLinePunct w:val="0"/>
        <w:autoSpaceDE/>
        <w:autoSpaceDN/>
        <w:bidi w:val="0"/>
        <w:adjustRightInd/>
        <w:spacing w:before="0" w:after="0" w:line="360"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4. 投标</w:t>
      </w:r>
      <w:bookmarkEnd w:id="158"/>
      <w:bookmarkEnd w:id="159"/>
      <w:bookmarkEnd w:id="160"/>
      <w:bookmarkEnd w:id="161"/>
    </w:p>
    <w:p w14:paraId="215DA7F2">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lang w:val="zh-CN"/>
        </w:rPr>
      </w:pPr>
      <w:bookmarkStart w:id="162" w:name="_Toc165358792"/>
      <w:bookmarkStart w:id="163" w:name="_Toc165358657"/>
      <w:bookmarkStart w:id="164" w:name="_Toc86413288"/>
      <w:r>
        <w:rPr>
          <w:rFonts w:hint="eastAsia" w:ascii="宋体" w:hAnsi="宋体" w:eastAsia="宋体" w:cs="宋体"/>
          <w:b/>
          <w:color w:val="auto"/>
          <w:sz w:val="24"/>
          <w:szCs w:val="24"/>
          <w:highlight w:val="none"/>
          <w:lang w:val="zh-CN"/>
        </w:rPr>
        <w:t>4.1 投标文件的加密</w:t>
      </w:r>
      <w:bookmarkEnd w:id="162"/>
      <w:bookmarkEnd w:id="163"/>
      <w:bookmarkEnd w:id="164"/>
    </w:p>
    <w:p w14:paraId="4513A4F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4.1.1投标人应当按照招标文件和电子招标投标交易平台的要求加密投标文件，具体操作详见：广州交易集团有限公司（广州公共资源交易中心）网站关于《房屋建筑和市政基础设施工程全流程电子化项目专章》的相关指南进行操作。</w:t>
      </w:r>
    </w:p>
    <w:p w14:paraId="66ACB75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4.1.2未按本章第4.1.1项要求加密的电子投标文件，广州交易集团有限公司（广州公共资源交易中心）交易平台将予以拒收。</w:t>
      </w:r>
    </w:p>
    <w:p w14:paraId="484CB86F">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4.1.3如有提交备用电子投标文件，封套上应写明的内容见投标人须知前附表。</w:t>
      </w:r>
    </w:p>
    <w:p w14:paraId="3512CC2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4.1.4投标人在投标截止期后逾期或未在指定地点递交备用电子投标文件的，或投标人递交的备用电子投标文件未按招标文件要求密封或未在密封处盖章的，或投标人代表未凭法定代表人证明书原件、授权委托书原件（仅限于非法定代表人）、被授权人身份证原件按要求递交备用电子投标文件的，招标人将予以拒收。</w:t>
      </w:r>
    </w:p>
    <w:p w14:paraId="2C7EA4D7">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lang w:val="zh-CN"/>
        </w:rPr>
      </w:pPr>
      <w:bookmarkStart w:id="165" w:name="_Toc165358793"/>
      <w:bookmarkStart w:id="166" w:name="_Toc165358658"/>
      <w:bookmarkStart w:id="167" w:name="_Toc86413289"/>
      <w:r>
        <w:rPr>
          <w:rFonts w:hint="eastAsia" w:ascii="宋体" w:hAnsi="宋体" w:eastAsia="宋体" w:cs="宋体"/>
          <w:b/>
          <w:color w:val="auto"/>
          <w:sz w:val="24"/>
          <w:szCs w:val="24"/>
          <w:highlight w:val="none"/>
          <w:lang w:val="zh-CN"/>
        </w:rPr>
        <w:t>4.2投标文件的递交</w:t>
      </w:r>
      <w:bookmarkEnd w:id="165"/>
      <w:bookmarkEnd w:id="166"/>
      <w:bookmarkEnd w:id="167"/>
    </w:p>
    <w:p w14:paraId="7DBB80C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4.2.1 投标人应在</w:t>
      </w:r>
      <w:r>
        <w:rPr>
          <w:rFonts w:hint="eastAsia" w:ascii="宋体" w:hAnsi="宋体" w:eastAsia="宋体" w:cs="宋体"/>
          <w:color w:val="auto"/>
          <w:szCs w:val="24"/>
          <w:highlight w:val="none"/>
          <w:u w:val="single"/>
        </w:rPr>
        <w:t>投标人须知前附表</w:t>
      </w:r>
      <w:r>
        <w:rPr>
          <w:rFonts w:hint="eastAsia" w:ascii="宋体" w:hAnsi="宋体" w:eastAsia="宋体" w:cs="宋体"/>
          <w:color w:val="auto"/>
          <w:highlight w:val="none"/>
        </w:rPr>
        <w:t>规定的投标截止时间前递交投标文件。</w:t>
      </w:r>
      <w:r>
        <w:rPr>
          <w:rFonts w:hint="eastAsia" w:ascii="宋体" w:hAnsi="宋体" w:eastAsia="宋体" w:cs="宋体"/>
          <w:color w:val="auto"/>
          <w:highlight w:val="none"/>
          <w:u w:val="single"/>
        </w:rPr>
        <w:t>投标人通过广州交易集团有限公司（广州公共资源交易中心）交易平台递交电子投标文件。</w:t>
      </w:r>
    </w:p>
    <w:p w14:paraId="03C7815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4.2.2 投标人递交投标文件的地点：见投标人须知前附表。</w:t>
      </w:r>
    </w:p>
    <w:p w14:paraId="5AEDFEE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4.2.3 除投标人须知前附表另有规定外，投标人所递交的投标文件不予退还。</w:t>
      </w:r>
    </w:p>
    <w:p w14:paraId="430F3B8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4.2.4 </w:t>
      </w:r>
      <w:r>
        <w:rPr>
          <w:rFonts w:hint="eastAsia" w:ascii="宋体" w:hAnsi="宋体" w:eastAsia="宋体" w:cs="宋体"/>
          <w:color w:val="auto"/>
          <w:szCs w:val="21"/>
          <w:highlight w:val="none"/>
          <w:u w:val="single"/>
        </w:rPr>
        <w:t>投</w:t>
      </w:r>
      <w:r>
        <w:rPr>
          <w:rFonts w:hint="eastAsia" w:ascii="宋体" w:hAnsi="宋体" w:eastAsia="宋体" w:cs="宋体"/>
          <w:color w:val="auto"/>
          <w:spacing w:val="-2"/>
          <w:szCs w:val="21"/>
          <w:highlight w:val="none"/>
          <w:u w:val="single"/>
        </w:rPr>
        <w:t>标</w:t>
      </w:r>
      <w:r>
        <w:rPr>
          <w:rFonts w:hint="eastAsia" w:ascii="宋体" w:hAnsi="宋体" w:eastAsia="宋体" w:cs="宋体"/>
          <w:color w:val="auto"/>
          <w:szCs w:val="21"/>
          <w:highlight w:val="none"/>
          <w:u w:val="single"/>
        </w:rPr>
        <w:t>人</w:t>
      </w:r>
      <w:r>
        <w:rPr>
          <w:rFonts w:hint="eastAsia" w:ascii="宋体" w:hAnsi="宋体" w:eastAsia="宋体" w:cs="宋体"/>
          <w:color w:val="auto"/>
          <w:spacing w:val="-2"/>
          <w:szCs w:val="21"/>
          <w:highlight w:val="none"/>
          <w:u w:val="single"/>
        </w:rPr>
        <w:t>完</w:t>
      </w:r>
      <w:r>
        <w:rPr>
          <w:rFonts w:hint="eastAsia" w:ascii="宋体" w:hAnsi="宋体" w:eastAsia="宋体" w:cs="宋体"/>
          <w:color w:val="auto"/>
          <w:szCs w:val="21"/>
          <w:highlight w:val="none"/>
          <w:u w:val="single"/>
        </w:rPr>
        <w:t>成</w:t>
      </w:r>
      <w:r>
        <w:rPr>
          <w:rFonts w:hint="eastAsia" w:ascii="宋体" w:hAnsi="宋体" w:eastAsia="宋体" w:cs="宋体"/>
          <w:color w:val="auto"/>
          <w:spacing w:val="-2"/>
          <w:szCs w:val="21"/>
          <w:highlight w:val="none"/>
          <w:u w:val="single"/>
        </w:rPr>
        <w:t>电</w:t>
      </w:r>
      <w:r>
        <w:rPr>
          <w:rFonts w:hint="eastAsia" w:ascii="宋体" w:hAnsi="宋体" w:eastAsia="宋体" w:cs="宋体"/>
          <w:color w:val="auto"/>
          <w:szCs w:val="21"/>
          <w:highlight w:val="none"/>
          <w:u w:val="single"/>
        </w:rPr>
        <w:t>子投</w:t>
      </w:r>
      <w:r>
        <w:rPr>
          <w:rFonts w:hint="eastAsia" w:ascii="宋体" w:hAnsi="宋体" w:eastAsia="宋体" w:cs="宋体"/>
          <w:color w:val="auto"/>
          <w:spacing w:val="-2"/>
          <w:szCs w:val="21"/>
          <w:highlight w:val="none"/>
          <w:u w:val="single"/>
        </w:rPr>
        <w:t>标</w:t>
      </w:r>
      <w:r>
        <w:rPr>
          <w:rFonts w:hint="eastAsia" w:ascii="宋体" w:hAnsi="宋体" w:eastAsia="宋体" w:cs="宋体"/>
          <w:color w:val="auto"/>
          <w:szCs w:val="21"/>
          <w:highlight w:val="none"/>
          <w:u w:val="single"/>
        </w:rPr>
        <w:t>文</w:t>
      </w:r>
      <w:r>
        <w:rPr>
          <w:rFonts w:hint="eastAsia" w:ascii="宋体" w:hAnsi="宋体" w:eastAsia="宋体" w:cs="宋体"/>
          <w:color w:val="auto"/>
          <w:spacing w:val="-2"/>
          <w:szCs w:val="21"/>
          <w:highlight w:val="none"/>
          <w:u w:val="single"/>
        </w:rPr>
        <w:t>件</w:t>
      </w:r>
      <w:r>
        <w:rPr>
          <w:rFonts w:hint="eastAsia" w:ascii="宋体" w:hAnsi="宋体" w:eastAsia="宋体" w:cs="宋体"/>
          <w:color w:val="auto"/>
          <w:szCs w:val="21"/>
          <w:highlight w:val="none"/>
          <w:u w:val="single"/>
        </w:rPr>
        <w:t>上</w:t>
      </w:r>
      <w:r>
        <w:rPr>
          <w:rFonts w:hint="eastAsia" w:ascii="宋体" w:hAnsi="宋体" w:eastAsia="宋体" w:cs="宋体"/>
          <w:color w:val="auto"/>
          <w:spacing w:val="-2"/>
          <w:szCs w:val="21"/>
          <w:highlight w:val="none"/>
          <w:u w:val="single"/>
        </w:rPr>
        <w:t>传</w:t>
      </w:r>
      <w:r>
        <w:rPr>
          <w:rFonts w:hint="eastAsia" w:ascii="宋体" w:hAnsi="宋体" w:eastAsia="宋体" w:cs="宋体"/>
          <w:color w:val="auto"/>
          <w:szCs w:val="21"/>
          <w:highlight w:val="none"/>
          <w:u w:val="single"/>
        </w:rPr>
        <w:t>后</w:t>
      </w:r>
      <w:r>
        <w:rPr>
          <w:rFonts w:hint="eastAsia" w:ascii="宋体" w:hAnsi="宋体" w:eastAsia="宋体" w:cs="宋体"/>
          <w:color w:val="auto"/>
          <w:spacing w:val="-5"/>
          <w:szCs w:val="21"/>
          <w:highlight w:val="none"/>
          <w:u w:val="single"/>
        </w:rPr>
        <w:t>，</w:t>
      </w:r>
      <w:r>
        <w:rPr>
          <w:rFonts w:hint="eastAsia" w:ascii="宋体" w:hAnsi="宋体" w:eastAsia="宋体" w:cs="宋体"/>
          <w:color w:val="auto"/>
          <w:szCs w:val="21"/>
          <w:highlight w:val="none"/>
          <w:u w:val="single"/>
        </w:rPr>
        <w:t>电</w:t>
      </w:r>
      <w:r>
        <w:rPr>
          <w:rFonts w:hint="eastAsia" w:ascii="宋体" w:hAnsi="宋体" w:eastAsia="宋体" w:cs="宋体"/>
          <w:color w:val="auto"/>
          <w:spacing w:val="-2"/>
          <w:szCs w:val="21"/>
          <w:highlight w:val="none"/>
          <w:u w:val="single"/>
        </w:rPr>
        <w:t>子</w:t>
      </w:r>
      <w:r>
        <w:rPr>
          <w:rFonts w:hint="eastAsia" w:ascii="宋体" w:hAnsi="宋体" w:eastAsia="宋体" w:cs="宋体"/>
          <w:color w:val="auto"/>
          <w:szCs w:val="21"/>
          <w:highlight w:val="none"/>
          <w:u w:val="single"/>
        </w:rPr>
        <w:t>招标</w:t>
      </w:r>
      <w:r>
        <w:rPr>
          <w:rFonts w:hint="eastAsia" w:ascii="宋体" w:hAnsi="宋体" w:eastAsia="宋体" w:cs="宋体"/>
          <w:color w:val="auto"/>
          <w:spacing w:val="-2"/>
          <w:szCs w:val="21"/>
          <w:highlight w:val="none"/>
          <w:u w:val="single"/>
        </w:rPr>
        <w:t>投</w:t>
      </w:r>
      <w:r>
        <w:rPr>
          <w:rFonts w:hint="eastAsia" w:ascii="宋体" w:hAnsi="宋体" w:eastAsia="宋体" w:cs="宋体"/>
          <w:color w:val="auto"/>
          <w:szCs w:val="21"/>
          <w:highlight w:val="none"/>
          <w:u w:val="single"/>
        </w:rPr>
        <w:t>标</w:t>
      </w:r>
      <w:r>
        <w:rPr>
          <w:rFonts w:hint="eastAsia" w:ascii="宋体" w:hAnsi="宋体" w:eastAsia="宋体" w:cs="宋体"/>
          <w:color w:val="auto"/>
          <w:spacing w:val="-2"/>
          <w:szCs w:val="21"/>
          <w:highlight w:val="none"/>
          <w:u w:val="single"/>
        </w:rPr>
        <w:t>交</w:t>
      </w:r>
      <w:r>
        <w:rPr>
          <w:rFonts w:hint="eastAsia" w:ascii="宋体" w:hAnsi="宋体" w:eastAsia="宋体" w:cs="宋体"/>
          <w:color w:val="auto"/>
          <w:szCs w:val="21"/>
          <w:highlight w:val="none"/>
          <w:u w:val="single"/>
        </w:rPr>
        <w:t>易</w:t>
      </w:r>
      <w:r>
        <w:rPr>
          <w:rFonts w:hint="eastAsia" w:ascii="宋体" w:hAnsi="宋体" w:eastAsia="宋体" w:cs="宋体"/>
          <w:color w:val="auto"/>
          <w:spacing w:val="-2"/>
          <w:szCs w:val="21"/>
          <w:highlight w:val="none"/>
          <w:u w:val="single"/>
        </w:rPr>
        <w:t>平</w:t>
      </w:r>
      <w:r>
        <w:rPr>
          <w:rFonts w:hint="eastAsia" w:ascii="宋体" w:hAnsi="宋体" w:eastAsia="宋体" w:cs="宋体"/>
          <w:color w:val="auto"/>
          <w:szCs w:val="21"/>
          <w:highlight w:val="none"/>
          <w:u w:val="single"/>
        </w:rPr>
        <w:t>台</w:t>
      </w:r>
      <w:r>
        <w:rPr>
          <w:rFonts w:hint="eastAsia" w:ascii="宋体" w:hAnsi="宋体" w:eastAsia="宋体" w:cs="宋体"/>
          <w:color w:val="auto"/>
          <w:spacing w:val="-2"/>
          <w:szCs w:val="21"/>
          <w:highlight w:val="none"/>
          <w:u w:val="single"/>
        </w:rPr>
        <w:t>即</w:t>
      </w:r>
      <w:r>
        <w:rPr>
          <w:rFonts w:hint="eastAsia" w:ascii="宋体" w:hAnsi="宋体" w:eastAsia="宋体" w:cs="宋体"/>
          <w:color w:val="auto"/>
          <w:szCs w:val="21"/>
          <w:highlight w:val="none"/>
          <w:u w:val="single"/>
        </w:rPr>
        <w:t>时</w:t>
      </w:r>
      <w:r>
        <w:rPr>
          <w:rFonts w:hint="eastAsia" w:ascii="宋体" w:hAnsi="宋体" w:eastAsia="宋体" w:cs="宋体"/>
          <w:color w:val="auto"/>
          <w:spacing w:val="-2"/>
          <w:szCs w:val="21"/>
          <w:highlight w:val="none"/>
          <w:u w:val="single"/>
        </w:rPr>
        <w:t>向</w:t>
      </w:r>
      <w:r>
        <w:rPr>
          <w:rFonts w:hint="eastAsia" w:ascii="宋体" w:hAnsi="宋体" w:eastAsia="宋体" w:cs="宋体"/>
          <w:color w:val="auto"/>
          <w:szCs w:val="21"/>
          <w:highlight w:val="none"/>
          <w:u w:val="single"/>
        </w:rPr>
        <w:t>投标</w:t>
      </w:r>
      <w:r>
        <w:rPr>
          <w:rFonts w:hint="eastAsia" w:ascii="宋体" w:hAnsi="宋体" w:eastAsia="宋体" w:cs="宋体"/>
          <w:color w:val="auto"/>
          <w:spacing w:val="-2"/>
          <w:szCs w:val="21"/>
          <w:highlight w:val="none"/>
          <w:u w:val="single"/>
        </w:rPr>
        <w:t>人</w:t>
      </w:r>
      <w:r>
        <w:rPr>
          <w:rFonts w:hint="eastAsia" w:ascii="宋体" w:hAnsi="宋体" w:eastAsia="宋体" w:cs="宋体"/>
          <w:color w:val="auto"/>
          <w:szCs w:val="21"/>
          <w:highlight w:val="none"/>
          <w:u w:val="single"/>
        </w:rPr>
        <w:t>发</w:t>
      </w:r>
      <w:r>
        <w:rPr>
          <w:rFonts w:hint="eastAsia" w:ascii="宋体" w:hAnsi="宋体" w:eastAsia="宋体" w:cs="宋体"/>
          <w:color w:val="auto"/>
          <w:spacing w:val="-2"/>
          <w:szCs w:val="21"/>
          <w:highlight w:val="none"/>
          <w:u w:val="single"/>
        </w:rPr>
        <w:t>出</w:t>
      </w:r>
      <w:r>
        <w:rPr>
          <w:rFonts w:hint="eastAsia" w:ascii="宋体" w:hAnsi="宋体" w:eastAsia="宋体" w:cs="宋体"/>
          <w:color w:val="auto"/>
          <w:szCs w:val="21"/>
          <w:highlight w:val="none"/>
          <w:u w:val="single"/>
        </w:rPr>
        <w:t>递交回</w:t>
      </w:r>
      <w:r>
        <w:rPr>
          <w:rFonts w:hint="eastAsia" w:ascii="宋体" w:hAnsi="宋体" w:eastAsia="宋体" w:cs="宋体"/>
          <w:color w:val="auto"/>
          <w:spacing w:val="-2"/>
          <w:szCs w:val="21"/>
          <w:highlight w:val="none"/>
          <w:u w:val="single"/>
        </w:rPr>
        <w:t>执</w:t>
      </w:r>
      <w:r>
        <w:rPr>
          <w:rFonts w:hint="eastAsia" w:ascii="宋体" w:hAnsi="宋体" w:eastAsia="宋体" w:cs="宋体"/>
          <w:color w:val="auto"/>
          <w:szCs w:val="21"/>
          <w:highlight w:val="none"/>
          <w:u w:val="single"/>
        </w:rPr>
        <w:t>通</w:t>
      </w:r>
      <w:r>
        <w:rPr>
          <w:rFonts w:hint="eastAsia" w:ascii="宋体" w:hAnsi="宋体" w:eastAsia="宋体" w:cs="宋体"/>
          <w:color w:val="auto"/>
          <w:spacing w:val="-3"/>
          <w:szCs w:val="21"/>
          <w:highlight w:val="none"/>
          <w:u w:val="single"/>
        </w:rPr>
        <w:t>知</w:t>
      </w:r>
      <w:r>
        <w:rPr>
          <w:rFonts w:hint="eastAsia" w:ascii="宋体" w:hAnsi="宋体" w:eastAsia="宋体" w:cs="宋体"/>
          <w:color w:val="auto"/>
          <w:szCs w:val="21"/>
          <w:highlight w:val="none"/>
          <w:u w:val="single"/>
        </w:rPr>
        <w:t>。</w:t>
      </w:r>
      <w:r>
        <w:rPr>
          <w:rFonts w:hint="eastAsia" w:ascii="宋体" w:hAnsi="宋体" w:eastAsia="宋体" w:cs="宋体"/>
          <w:color w:val="auto"/>
          <w:spacing w:val="-2"/>
          <w:szCs w:val="21"/>
          <w:highlight w:val="none"/>
          <w:u w:val="single"/>
        </w:rPr>
        <w:t>递</w:t>
      </w:r>
      <w:r>
        <w:rPr>
          <w:rFonts w:hint="eastAsia" w:ascii="宋体" w:hAnsi="宋体" w:eastAsia="宋体" w:cs="宋体"/>
          <w:color w:val="auto"/>
          <w:szCs w:val="21"/>
          <w:highlight w:val="none"/>
          <w:u w:val="single"/>
        </w:rPr>
        <w:t>交</w:t>
      </w:r>
      <w:r>
        <w:rPr>
          <w:rFonts w:hint="eastAsia" w:ascii="宋体" w:hAnsi="宋体" w:eastAsia="宋体" w:cs="宋体"/>
          <w:color w:val="auto"/>
          <w:spacing w:val="-2"/>
          <w:szCs w:val="21"/>
          <w:highlight w:val="none"/>
          <w:u w:val="single"/>
        </w:rPr>
        <w:t>时</w:t>
      </w:r>
      <w:r>
        <w:rPr>
          <w:rFonts w:hint="eastAsia" w:ascii="宋体" w:hAnsi="宋体" w:eastAsia="宋体" w:cs="宋体"/>
          <w:color w:val="auto"/>
          <w:szCs w:val="21"/>
          <w:highlight w:val="none"/>
          <w:u w:val="single"/>
        </w:rPr>
        <w:t>间</w:t>
      </w:r>
      <w:r>
        <w:rPr>
          <w:rFonts w:hint="eastAsia" w:ascii="宋体" w:hAnsi="宋体" w:eastAsia="宋体" w:cs="宋体"/>
          <w:color w:val="auto"/>
          <w:spacing w:val="-2"/>
          <w:szCs w:val="21"/>
          <w:highlight w:val="none"/>
          <w:u w:val="single"/>
        </w:rPr>
        <w:t>以</w:t>
      </w:r>
      <w:r>
        <w:rPr>
          <w:rFonts w:hint="eastAsia" w:ascii="宋体" w:hAnsi="宋体" w:eastAsia="宋体" w:cs="宋体"/>
          <w:color w:val="auto"/>
          <w:szCs w:val="21"/>
          <w:highlight w:val="none"/>
          <w:u w:val="single"/>
        </w:rPr>
        <w:t>递交</w:t>
      </w:r>
      <w:r>
        <w:rPr>
          <w:rFonts w:hint="eastAsia" w:ascii="宋体" w:hAnsi="宋体" w:eastAsia="宋体" w:cs="宋体"/>
          <w:color w:val="auto"/>
          <w:spacing w:val="-2"/>
          <w:szCs w:val="21"/>
          <w:highlight w:val="none"/>
          <w:u w:val="single"/>
        </w:rPr>
        <w:t>回</w:t>
      </w:r>
      <w:r>
        <w:rPr>
          <w:rFonts w:hint="eastAsia" w:ascii="宋体" w:hAnsi="宋体" w:eastAsia="宋体" w:cs="宋体"/>
          <w:color w:val="auto"/>
          <w:szCs w:val="21"/>
          <w:highlight w:val="none"/>
          <w:u w:val="single"/>
        </w:rPr>
        <w:t>执</w:t>
      </w:r>
      <w:r>
        <w:rPr>
          <w:rFonts w:hint="eastAsia" w:ascii="宋体" w:hAnsi="宋体" w:eastAsia="宋体" w:cs="宋体"/>
          <w:color w:val="auto"/>
          <w:spacing w:val="-2"/>
          <w:szCs w:val="21"/>
          <w:highlight w:val="none"/>
          <w:u w:val="single"/>
        </w:rPr>
        <w:t>通</w:t>
      </w:r>
      <w:r>
        <w:rPr>
          <w:rFonts w:hint="eastAsia" w:ascii="宋体" w:hAnsi="宋体" w:eastAsia="宋体" w:cs="宋体"/>
          <w:color w:val="auto"/>
          <w:szCs w:val="21"/>
          <w:highlight w:val="none"/>
          <w:u w:val="single"/>
        </w:rPr>
        <w:t>知</w:t>
      </w:r>
      <w:r>
        <w:rPr>
          <w:rFonts w:hint="eastAsia" w:ascii="宋体" w:hAnsi="宋体" w:eastAsia="宋体" w:cs="宋体"/>
          <w:color w:val="auto"/>
          <w:spacing w:val="-2"/>
          <w:szCs w:val="21"/>
          <w:highlight w:val="none"/>
          <w:u w:val="single"/>
        </w:rPr>
        <w:t>载</w:t>
      </w:r>
      <w:r>
        <w:rPr>
          <w:rFonts w:hint="eastAsia" w:ascii="宋体" w:hAnsi="宋体" w:eastAsia="宋体" w:cs="宋体"/>
          <w:color w:val="auto"/>
          <w:szCs w:val="21"/>
          <w:highlight w:val="none"/>
          <w:u w:val="single"/>
        </w:rPr>
        <w:t>明</w:t>
      </w:r>
      <w:r>
        <w:rPr>
          <w:rFonts w:hint="eastAsia" w:ascii="宋体" w:hAnsi="宋体" w:eastAsia="宋体" w:cs="宋体"/>
          <w:color w:val="auto"/>
          <w:spacing w:val="-2"/>
          <w:szCs w:val="21"/>
          <w:highlight w:val="none"/>
          <w:u w:val="single"/>
        </w:rPr>
        <w:t>的</w:t>
      </w:r>
      <w:r>
        <w:rPr>
          <w:rFonts w:hint="eastAsia" w:ascii="宋体" w:hAnsi="宋体" w:eastAsia="宋体" w:cs="宋体"/>
          <w:color w:val="auto"/>
          <w:szCs w:val="21"/>
          <w:highlight w:val="none"/>
          <w:u w:val="single"/>
        </w:rPr>
        <w:t>传</w:t>
      </w:r>
      <w:r>
        <w:rPr>
          <w:rFonts w:hint="eastAsia" w:ascii="宋体" w:hAnsi="宋体" w:eastAsia="宋体" w:cs="宋体"/>
          <w:color w:val="auto"/>
          <w:spacing w:val="-2"/>
          <w:szCs w:val="21"/>
          <w:highlight w:val="none"/>
          <w:u w:val="single"/>
        </w:rPr>
        <w:t>输</w:t>
      </w:r>
      <w:r>
        <w:rPr>
          <w:rFonts w:hint="eastAsia" w:ascii="宋体" w:hAnsi="宋体" w:eastAsia="宋体" w:cs="宋体"/>
          <w:color w:val="auto"/>
          <w:szCs w:val="21"/>
          <w:highlight w:val="none"/>
          <w:u w:val="single"/>
        </w:rPr>
        <w:t>完成</w:t>
      </w:r>
      <w:r>
        <w:rPr>
          <w:rFonts w:hint="eastAsia" w:ascii="宋体" w:hAnsi="宋体" w:eastAsia="宋体" w:cs="宋体"/>
          <w:color w:val="auto"/>
          <w:spacing w:val="-2"/>
          <w:szCs w:val="21"/>
          <w:highlight w:val="none"/>
          <w:u w:val="single"/>
        </w:rPr>
        <w:t>时</w:t>
      </w:r>
      <w:r>
        <w:rPr>
          <w:rFonts w:hint="eastAsia" w:ascii="宋体" w:hAnsi="宋体" w:eastAsia="宋体" w:cs="宋体"/>
          <w:color w:val="auto"/>
          <w:szCs w:val="21"/>
          <w:highlight w:val="none"/>
          <w:u w:val="single"/>
        </w:rPr>
        <w:t>间</w:t>
      </w:r>
      <w:r>
        <w:rPr>
          <w:rFonts w:hint="eastAsia" w:ascii="宋体" w:hAnsi="宋体" w:eastAsia="宋体" w:cs="宋体"/>
          <w:color w:val="auto"/>
          <w:spacing w:val="-2"/>
          <w:szCs w:val="21"/>
          <w:highlight w:val="none"/>
          <w:u w:val="single"/>
        </w:rPr>
        <w:t>为</w:t>
      </w:r>
      <w:r>
        <w:rPr>
          <w:rFonts w:hint="eastAsia" w:ascii="宋体" w:hAnsi="宋体" w:eastAsia="宋体" w:cs="宋体"/>
          <w:color w:val="auto"/>
          <w:szCs w:val="21"/>
          <w:highlight w:val="none"/>
          <w:u w:val="single"/>
        </w:rPr>
        <w:t>准</w:t>
      </w:r>
      <w:r>
        <w:rPr>
          <w:rFonts w:hint="eastAsia" w:ascii="宋体" w:hAnsi="宋体" w:eastAsia="宋体" w:cs="宋体"/>
          <w:color w:val="auto"/>
          <w:highlight w:val="none"/>
        </w:rPr>
        <w:t>。</w:t>
      </w:r>
    </w:p>
    <w:p w14:paraId="72A87CB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4.2.5 </w:t>
      </w:r>
      <w:r>
        <w:rPr>
          <w:rFonts w:hint="eastAsia" w:ascii="宋体" w:hAnsi="宋体" w:eastAsia="宋体" w:cs="宋体"/>
          <w:color w:val="auto"/>
          <w:spacing w:val="-2"/>
          <w:szCs w:val="21"/>
          <w:highlight w:val="none"/>
          <w:u w:val="single"/>
        </w:rPr>
        <w:t>逾</w:t>
      </w:r>
      <w:r>
        <w:rPr>
          <w:rFonts w:hint="eastAsia" w:ascii="宋体" w:hAnsi="宋体" w:eastAsia="宋体" w:cs="宋体"/>
          <w:color w:val="auto"/>
          <w:szCs w:val="21"/>
          <w:highlight w:val="none"/>
          <w:u w:val="single"/>
        </w:rPr>
        <w:t>期</w:t>
      </w:r>
      <w:r>
        <w:rPr>
          <w:rFonts w:hint="eastAsia" w:ascii="宋体" w:hAnsi="宋体" w:eastAsia="宋体" w:cs="宋体"/>
          <w:color w:val="auto"/>
          <w:spacing w:val="-2"/>
          <w:szCs w:val="21"/>
          <w:highlight w:val="none"/>
          <w:u w:val="single"/>
        </w:rPr>
        <w:t>送</w:t>
      </w:r>
      <w:r>
        <w:rPr>
          <w:rFonts w:hint="eastAsia" w:ascii="宋体" w:hAnsi="宋体" w:eastAsia="宋体" w:cs="宋体"/>
          <w:color w:val="auto"/>
          <w:szCs w:val="21"/>
          <w:highlight w:val="none"/>
          <w:u w:val="single"/>
        </w:rPr>
        <w:t>达</w:t>
      </w:r>
      <w:r>
        <w:rPr>
          <w:rFonts w:hint="eastAsia" w:ascii="宋体" w:hAnsi="宋体" w:eastAsia="宋体" w:cs="宋体"/>
          <w:color w:val="auto"/>
          <w:spacing w:val="-2"/>
          <w:szCs w:val="21"/>
          <w:highlight w:val="none"/>
          <w:u w:val="single"/>
        </w:rPr>
        <w:t>的投</w:t>
      </w:r>
      <w:r>
        <w:rPr>
          <w:rFonts w:hint="eastAsia" w:ascii="宋体" w:hAnsi="宋体" w:eastAsia="宋体" w:cs="宋体"/>
          <w:color w:val="auto"/>
          <w:szCs w:val="21"/>
          <w:highlight w:val="none"/>
          <w:u w:val="single"/>
        </w:rPr>
        <w:t>标文</w:t>
      </w:r>
      <w:r>
        <w:rPr>
          <w:rFonts w:hint="eastAsia" w:ascii="宋体" w:hAnsi="宋体" w:eastAsia="宋体" w:cs="宋体"/>
          <w:color w:val="auto"/>
          <w:spacing w:val="-2"/>
          <w:szCs w:val="21"/>
          <w:highlight w:val="none"/>
          <w:u w:val="single"/>
        </w:rPr>
        <w:t>件</w:t>
      </w:r>
      <w:r>
        <w:rPr>
          <w:rFonts w:hint="eastAsia" w:ascii="宋体" w:hAnsi="宋体" w:eastAsia="宋体" w:cs="宋体"/>
          <w:color w:val="auto"/>
          <w:szCs w:val="21"/>
          <w:highlight w:val="none"/>
          <w:u w:val="single"/>
        </w:rPr>
        <w:t>，</w:t>
      </w:r>
      <w:r>
        <w:rPr>
          <w:rFonts w:hint="eastAsia" w:ascii="宋体" w:hAnsi="宋体" w:eastAsia="宋体" w:cs="宋体"/>
          <w:color w:val="auto"/>
          <w:kern w:val="1"/>
          <w:highlight w:val="none"/>
          <w:u w:val="single"/>
        </w:rPr>
        <w:t>广州交易集团有限公司（广州公共资源交易中心）交易平台将予以拒收</w:t>
      </w:r>
      <w:r>
        <w:rPr>
          <w:rFonts w:hint="eastAsia" w:ascii="宋体" w:hAnsi="宋体" w:eastAsia="宋体" w:cs="宋体"/>
          <w:color w:val="auto"/>
          <w:highlight w:val="none"/>
          <w:u w:val="single"/>
        </w:rPr>
        <w:t>。</w:t>
      </w:r>
    </w:p>
    <w:p w14:paraId="6378B13E">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4.2.6到投标截止时间止，若电子招标投标交易平台收到的投标文件少于3家的，本项目招标失败，将依法重新招标。</w:t>
      </w:r>
    </w:p>
    <w:p w14:paraId="009BEFA3">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lang w:val="zh-CN"/>
        </w:rPr>
      </w:pPr>
      <w:bookmarkStart w:id="168" w:name="_Toc165358659"/>
      <w:bookmarkStart w:id="169" w:name="_Toc86413290"/>
      <w:bookmarkStart w:id="170" w:name="_Toc165358794"/>
      <w:r>
        <w:rPr>
          <w:rFonts w:hint="eastAsia" w:ascii="宋体" w:hAnsi="宋体" w:eastAsia="宋体" w:cs="宋体"/>
          <w:b/>
          <w:color w:val="auto"/>
          <w:sz w:val="24"/>
          <w:szCs w:val="24"/>
          <w:highlight w:val="none"/>
          <w:lang w:val="zh-CN"/>
        </w:rPr>
        <w:t>4.3 投标文件的修改与撤回</w:t>
      </w:r>
      <w:bookmarkEnd w:id="168"/>
      <w:bookmarkEnd w:id="169"/>
      <w:bookmarkEnd w:id="170"/>
    </w:p>
    <w:p w14:paraId="1C6A509D">
      <w:pPr>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1"/>
          <w:highlight w:val="none"/>
          <w:u w:val="single"/>
        </w:rPr>
      </w:pPr>
      <w:bookmarkStart w:id="171" w:name="_Toc165358660"/>
      <w:bookmarkStart w:id="172" w:name="_Toc165358795"/>
      <w:r>
        <w:rPr>
          <w:rFonts w:hint="eastAsia" w:ascii="宋体" w:hAnsi="宋体" w:eastAsia="宋体" w:cs="宋体"/>
          <w:color w:val="auto"/>
          <w:kern w:val="1"/>
          <w:highlight w:val="none"/>
          <w:u w:val="single"/>
        </w:rPr>
        <w:t>4.3.1 在规定的投标截止时间前，投标人可以修改或撤回已递交的投标文件，但应以书面形式通知招标人。</w:t>
      </w:r>
    </w:p>
    <w:p w14:paraId="21732094">
      <w:pPr>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1"/>
          <w:highlight w:val="none"/>
          <w:u w:val="single"/>
        </w:rPr>
      </w:pPr>
      <w:r>
        <w:rPr>
          <w:rFonts w:hint="eastAsia" w:ascii="宋体" w:hAnsi="宋体" w:eastAsia="宋体" w:cs="宋体"/>
          <w:color w:val="auto"/>
          <w:kern w:val="1"/>
          <w:highlight w:val="none"/>
          <w:u w:val="single"/>
        </w:rPr>
        <w:t>4.3.2 投标人修改或撤回已递交的投标文件，需在广州交易集团有限公司（广州公共资源交易中心）交易平台发出修改或撤回通知，并按要求加盖电子印章。广州交易集团有限公司（广州公共资源交易中心）交易平台收到通知后，即时向投标人发出确认回执通知。</w:t>
      </w:r>
    </w:p>
    <w:p w14:paraId="0B4A7A30">
      <w:pPr>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1"/>
          <w:highlight w:val="none"/>
          <w:u w:val="single"/>
        </w:rPr>
      </w:pPr>
      <w:r>
        <w:rPr>
          <w:rFonts w:hint="eastAsia" w:ascii="宋体" w:hAnsi="宋体" w:eastAsia="宋体" w:cs="宋体"/>
          <w:color w:val="auto"/>
          <w:kern w:val="1"/>
          <w:highlight w:val="none"/>
          <w:u w:val="single"/>
        </w:rPr>
        <w:t>4.3.3 修改后再次递交的，按4.2点的规定执行。</w:t>
      </w:r>
    </w:p>
    <w:p w14:paraId="6F5961CF">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kern w:val="1"/>
          <w:highlight w:val="none"/>
          <w:u w:val="single"/>
        </w:rPr>
        <w:t>4.3.4 在投标截止时间之后，投标人不得补充、修改和更换投标文件。</w:t>
      </w:r>
    </w:p>
    <w:p w14:paraId="468E7F30">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4.4 投标信息录入</w:t>
      </w:r>
      <w:bookmarkEnd w:id="171"/>
      <w:bookmarkEnd w:id="172"/>
    </w:p>
    <w:p w14:paraId="42A5373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4.4.1 投标人应在上传电子投标文件前将广州交易集团有限公司（广州公共资源交易中心）交易服务系统要求的相关信息在广州交易集团有限公司（广州公共资源交易中心）交易服务系统中录入完毕。</w:t>
      </w:r>
    </w:p>
    <w:p w14:paraId="23246B08">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lang w:val="zh-CN"/>
        </w:rPr>
      </w:pPr>
      <w:bookmarkStart w:id="173" w:name="_Toc3565"/>
      <w:bookmarkStart w:id="174" w:name="_Toc165358661"/>
      <w:bookmarkStart w:id="175" w:name="_Toc165358796"/>
      <w:r>
        <w:rPr>
          <w:rFonts w:hint="eastAsia" w:ascii="宋体" w:hAnsi="宋体" w:eastAsia="宋体" w:cs="宋体"/>
          <w:b/>
          <w:color w:val="auto"/>
          <w:sz w:val="24"/>
          <w:szCs w:val="24"/>
          <w:highlight w:val="none"/>
          <w:lang w:val="zh-CN"/>
        </w:rPr>
        <w:t>4.5投标文件的解密</w:t>
      </w:r>
      <w:bookmarkEnd w:id="173"/>
      <w:bookmarkEnd w:id="174"/>
      <w:bookmarkEnd w:id="175"/>
    </w:p>
    <w:p w14:paraId="49936BCD">
      <w:pPr>
        <w:pageBreakBefore w:val="0"/>
        <w:widowControl w:val="0"/>
        <w:tabs>
          <w:tab w:val="left" w:pos="105"/>
        </w:tabs>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u w:val="single"/>
        </w:rPr>
        <w:t>4.5.1</w:t>
      </w:r>
      <w:r>
        <w:rPr>
          <w:rFonts w:hint="eastAsia" w:ascii="宋体" w:hAnsi="宋体" w:eastAsia="宋体" w:cs="宋体"/>
          <w:bCs/>
          <w:color w:val="auto"/>
          <w:szCs w:val="21"/>
          <w:highlight w:val="none"/>
          <w:u w:val="single"/>
        </w:rPr>
        <w:t>投标人必须在投标须知前附表规定的时间内</w:t>
      </w:r>
      <w:r>
        <w:rPr>
          <w:rFonts w:hint="eastAsia" w:ascii="宋体" w:hAnsi="宋体" w:eastAsia="宋体" w:cs="宋体"/>
          <w:color w:val="auto"/>
          <w:szCs w:val="21"/>
          <w:highlight w:val="none"/>
          <w:u w:val="single"/>
        </w:rPr>
        <w:t>完成电子投标文件解密。</w:t>
      </w:r>
      <w:r>
        <w:rPr>
          <w:rFonts w:hint="eastAsia" w:ascii="宋体" w:hAnsi="宋体" w:eastAsia="宋体" w:cs="宋体"/>
          <w:b/>
          <w:color w:val="auto"/>
          <w:szCs w:val="21"/>
          <w:highlight w:val="none"/>
          <w:u w:val="single"/>
        </w:rPr>
        <w:t>超过时间未解密的投标文件将作为放弃投标处理。</w:t>
      </w:r>
    </w:p>
    <w:p w14:paraId="19C87AC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u w:val="single"/>
        </w:rPr>
        <w:t>4.5.2电子投标文件解密应按照广州交易集团有限公司（广州公共资源交易中心）交易平台关于《房屋建筑和市政基础设施工程全流程电子化项目专章》的相关指南进行操作。</w:t>
      </w:r>
    </w:p>
    <w:p w14:paraId="2484771D">
      <w:pPr>
        <w:pStyle w:val="3"/>
        <w:pageBreakBefore w:val="0"/>
        <w:widowControl w:val="0"/>
        <w:kinsoku/>
        <w:wordWrap/>
        <w:overflowPunct/>
        <w:topLinePunct w:val="0"/>
        <w:autoSpaceDE/>
        <w:autoSpaceDN/>
        <w:bidi w:val="0"/>
        <w:adjustRightInd/>
        <w:spacing w:before="0" w:after="0" w:line="360" w:lineRule="auto"/>
        <w:ind w:left="0" w:leftChars="0"/>
        <w:textAlignment w:val="auto"/>
        <w:rPr>
          <w:rFonts w:hint="eastAsia" w:ascii="宋体" w:hAnsi="宋体" w:eastAsia="宋体" w:cs="宋体"/>
          <w:color w:val="auto"/>
          <w:highlight w:val="none"/>
        </w:rPr>
      </w:pPr>
      <w:bookmarkStart w:id="176" w:name="_Toc49303763"/>
      <w:bookmarkStart w:id="177" w:name="_Toc165358662"/>
      <w:bookmarkStart w:id="178" w:name="_Toc16007"/>
      <w:bookmarkStart w:id="179" w:name="_Toc165358797"/>
      <w:bookmarkStart w:id="180" w:name="_Toc86413291"/>
    </w:p>
    <w:p w14:paraId="380F4325">
      <w:pPr>
        <w:pStyle w:val="3"/>
        <w:pageBreakBefore w:val="0"/>
        <w:widowControl w:val="0"/>
        <w:kinsoku/>
        <w:wordWrap/>
        <w:overflowPunct/>
        <w:topLinePunct w:val="0"/>
        <w:autoSpaceDE/>
        <w:autoSpaceDN/>
        <w:bidi w:val="0"/>
        <w:adjustRightInd/>
        <w:spacing w:before="0" w:after="0" w:line="360"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5. 开标</w:t>
      </w:r>
      <w:bookmarkEnd w:id="176"/>
      <w:bookmarkEnd w:id="177"/>
      <w:bookmarkEnd w:id="178"/>
      <w:bookmarkEnd w:id="179"/>
      <w:bookmarkEnd w:id="180"/>
    </w:p>
    <w:p w14:paraId="754DAE4F">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lang w:val="zh-CN"/>
        </w:rPr>
      </w:pPr>
      <w:bookmarkStart w:id="181" w:name="_Toc86413292"/>
      <w:bookmarkStart w:id="182" w:name="_Toc165358798"/>
      <w:bookmarkStart w:id="183" w:name="_Toc165358663"/>
      <w:r>
        <w:rPr>
          <w:rFonts w:hint="eastAsia" w:ascii="宋体" w:hAnsi="宋体" w:eastAsia="宋体" w:cs="宋体"/>
          <w:b/>
          <w:color w:val="auto"/>
          <w:sz w:val="24"/>
          <w:szCs w:val="24"/>
          <w:highlight w:val="none"/>
          <w:lang w:val="zh-CN"/>
        </w:rPr>
        <w:t>5.1 开标时间和地点</w:t>
      </w:r>
      <w:bookmarkEnd w:id="181"/>
      <w:bookmarkEnd w:id="182"/>
      <w:bookmarkEnd w:id="183"/>
    </w:p>
    <w:p w14:paraId="22B9FE0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招标人在</w:t>
      </w:r>
      <w:r>
        <w:rPr>
          <w:rFonts w:hint="eastAsia" w:ascii="宋体" w:hAnsi="宋体" w:eastAsia="宋体" w:cs="宋体"/>
          <w:color w:val="auto"/>
          <w:szCs w:val="24"/>
          <w:highlight w:val="none"/>
          <w:u w:val="single"/>
        </w:rPr>
        <w:t>投标人须知前附表</w:t>
      </w:r>
      <w:r>
        <w:rPr>
          <w:rFonts w:hint="eastAsia" w:ascii="宋体" w:hAnsi="宋体" w:eastAsia="宋体" w:cs="宋体"/>
          <w:color w:val="auto"/>
          <w:highlight w:val="none"/>
          <w:u w:val="single"/>
        </w:rPr>
        <w:t>规定的投标截止时间（开标时间）和投标人须知前附表规定的地点公开开标，并邀请所有投标人的法定代表人或其委托代理人准时参加。投标人（法定代表人或其委托代理人）可自行决定是否参加开标。投标人不参加的，视为认可开标过程及结果。</w:t>
      </w:r>
    </w:p>
    <w:p w14:paraId="137A645E">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u w:val="single"/>
          <w:lang w:val="zh-CN"/>
        </w:rPr>
      </w:pPr>
      <w:bookmarkStart w:id="184" w:name="_Toc86413293"/>
      <w:r>
        <w:rPr>
          <w:rFonts w:hint="eastAsia" w:ascii="宋体" w:hAnsi="宋体" w:eastAsia="宋体" w:cs="宋体"/>
          <w:b/>
          <w:color w:val="auto"/>
          <w:sz w:val="24"/>
          <w:szCs w:val="24"/>
          <w:highlight w:val="none"/>
          <w:u w:val="single"/>
          <w:lang w:val="zh-CN"/>
        </w:rPr>
        <w:t>5.2 开标程序</w:t>
      </w:r>
      <w:bookmarkEnd w:id="184"/>
      <w:bookmarkStart w:id="185" w:name="_Toc165358664"/>
      <w:bookmarkStart w:id="186" w:name="_Toc165358799"/>
      <w:bookmarkStart w:id="187" w:name="_Toc86413308"/>
    </w:p>
    <w:p w14:paraId="78C36826">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5.2.1招标人按投标须知前附表第5.1项所规定的时间和地点公开开标，并邀请所有投标人参加。截标后，开标开始时间因故推迟的，相关评标信息仍以原定的开标开始时间的信息为准。</w:t>
      </w:r>
      <w:bookmarkEnd w:id="185"/>
      <w:bookmarkEnd w:id="186"/>
      <w:bookmarkStart w:id="188" w:name="_Toc165358665"/>
      <w:bookmarkStart w:id="189" w:name="_Toc165358800"/>
    </w:p>
    <w:p w14:paraId="192A74F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5.2.2 开标由招标人或委托招标代理单位主持。</w:t>
      </w:r>
      <w:bookmarkEnd w:id="188"/>
      <w:bookmarkEnd w:id="189"/>
      <w:bookmarkStart w:id="190" w:name="_Toc165358666"/>
      <w:bookmarkStart w:id="191" w:name="_Toc165358801"/>
    </w:p>
    <w:p w14:paraId="238C287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5.2.3开标细则：详见投标人须知前附表。</w:t>
      </w:r>
      <w:bookmarkEnd w:id="190"/>
      <w:bookmarkEnd w:id="191"/>
      <w:bookmarkStart w:id="192" w:name="_Toc165358667"/>
      <w:bookmarkStart w:id="193" w:name="_Toc165358802"/>
    </w:p>
    <w:p w14:paraId="662D9F5C">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5.3 开标异议</w:t>
      </w:r>
      <w:bookmarkEnd w:id="187"/>
      <w:bookmarkEnd w:id="192"/>
      <w:bookmarkEnd w:id="193"/>
      <w:bookmarkStart w:id="194" w:name="_Toc165358803"/>
      <w:bookmarkStart w:id="195" w:name="_Toc165358668"/>
    </w:p>
    <w:p w14:paraId="671CE01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投标人对开标有异议的，应当在广州交易集团有限公司（广州公共资源交易中心）交易平台规定的时间内提出，招标人当场作出答复，并制作记录。</w:t>
      </w:r>
      <w:bookmarkEnd w:id="194"/>
      <w:bookmarkEnd w:id="195"/>
      <w:bookmarkStart w:id="196" w:name="_Toc31673"/>
      <w:bookmarkStart w:id="197" w:name="_Toc165358669"/>
      <w:bookmarkStart w:id="198" w:name="_Toc86413309"/>
      <w:bookmarkStart w:id="199" w:name="_Toc49303764"/>
      <w:bookmarkStart w:id="200" w:name="_Toc165358804"/>
    </w:p>
    <w:p w14:paraId="033E96FC">
      <w:pPr>
        <w:pStyle w:val="3"/>
        <w:pageBreakBefore w:val="0"/>
        <w:widowControl w:val="0"/>
        <w:kinsoku/>
        <w:wordWrap/>
        <w:overflowPunct/>
        <w:topLinePunct w:val="0"/>
        <w:autoSpaceDE/>
        <w:autoSpaceDN/>
        <w:bidi w:val="0"/>
        <w:adjustRightInd/>
        <w:spacing w:before="0" w:after="0" w:line="360" w:lineRule="auto"/>
        <w:ind w:left="0" w:leftChars="0"/>
        <w:textAlignment w:val="auto"/>
        <w:rPr>
          <w:rFonts w:hint="eastAsia" w:ascii="宋体" w:hAnsi="宋体" w:eastAsia="宋体" w:cs="宋体"/>
          <w:color w:val="auto"/>
          <w:highlight w:val="none"/>
        </w:rPr>
      </w:pPr>
    </w:p>
    <w:p w14:paraId="520EB7B2">
      <w:pPr>
        <w:pStyle w:val="3"/>
        <w:pageBreakBefore w:val="0"/>
        <w:widowControl w:val="0"/>
        <w:kinsoku/>
        <w:wordWrap/>
        <w:overflowPunct/>
        <w:topLinePunct w:val="0"/>
        <w:autoSpaceDE/>
        <w:autoSpaceDN/>
        <w:bidi w:val="0"/>
        <w:adjustRightInd/>
        <w:spacing w:before="0" w:after="0" w:line="360"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6. 评（定）标</w:t>
      </w:r>
      <w:bookmarkEnd w:id="196"/>
      <w:bookmarkEnd w:id="197"/>
      <w:bookmarkEnd w:id="198"/>
      <w:bookmarkEnd w:id="199"/>
      <w:bookmarkEnd w:id="200"/>
      <w:bookmarkStart w:id="201" w:name="_Toc165358670"/>
      <w:bookmarkStart w:id="202" w:name="_Toc165358805"/>
      <w:bookmarkStart w:id="203" w:name="_Toc86413310"/>
    </w:p>
    <w:p w14:paraId="2A702BB4">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6.1 评标委员会</w:t>
      </w:r>
      <w:bookmarkEnd w:id="201"/>
      <w:bookmarkEnd w:id="202"/>
      <w:bookmarkEnd w:id="203"/>
    </w:p>
    <w:p w14:paraId="545E092F">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6.1.1 评标由招标人依法组建的评标委员会负责。评标委员会</w:t>
      </w:r>
      <w:r>
        <w:rPr>
          <w:rFonts w:hint="eastAsia" w:ascii="宋体" w:hAnsi="宋体" w:eastAsia="宋体" w:cs="宋体"/>
          <w:color w:val="auto"/>
          <w:highlight w:val="none"/>
          <w:u w:val="single"/>
        </w:rPr>
        <w:t>由招标人依法组建</w:t>
      </w:r>
      <w:r>
        <w:rPr>
          <w:rFonts w:hint="eastAsia" w:ascii="宋体" w:hAnsi="宋体" w:eastAsia="宋体" w:cs="宋体"/>
          <w:color w:val="auto"/>
          <w:highlight w:val="none"/>
        </w:rPr>
        <w:t>。</w:t>
      </w:r>
    </w:p>
    <w:p w14:paraId="18A77C3A">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6.1.2 评标委员会成员有下列情形之一的，应当回避：</w:t>
      </w:r>
    </w:p>
    <w:p w14:paraId="0F0BFB31">
      <w:pPr>
        <w:pageBreakBefore w:val="0"/>
        <w:widowControl w:val="0"/>
        <w:kinsoku/>
        <w:wordWrap/>
        <w:overflowPunct/>
        <w:topLinePunct w:val="0"/>
        <w:autoSpaceDE/>
        <w:autoSpaceDN/>
        <w:bidi w:val="0"/>
        <w:adjustRightInd/>
        <w:spacing w:line="360" w:lineRule="auto"/>
        <w:ind w:left="0" w:leftChars="0" w:firstLine="718" w:firstLineChars="342"/>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（1）投标人或投标人主要负责人的近亲属；</w:t>
      </w:r>
    </w:p>
    <w:p w14:paraId="02A9B744">
      <w:pPr>
        <w:pageBreakBefore w:val="0"/>
        <w:widowControl w:val="0"/>
        <w:kinsoku/>
        <w:wordWrap/>
        <w:overflowPunct/>
        <w:topLinePunct w:val="0"/>
        <w:autoSpaceDE/>
        <w:autoSpaceDN/>
        <w:bidi w:val="0"/>
        <w:adjustRightInd/>
        <w:spacing w:line="360" w:lineRule="auto"/>
        <w:ind w:left="0" w:leftChars="0" w:firstLine="718" w:firstLineChars="342"/>
        <w:textAlignment w:val="auto"/>
        <w:rPr>
          <w:rFonts w:hint="eastAsia" w:ascii="宋体" w:hAnsi="宋体" w:eastAsia="宋体" w:cs="宋体"/>
          <w:color w:val="auto"/>
          <w:highlight w:val="none"/>
        </w:rPr>
      </w:pPr>
      <w:r>
        <w:rPr>
          <w:rFonts w:hint="eastAsia" w:ascii="宋体" w:hAnsi="宋体" w:eastAsia="宋体" w:cs="宋体"/>
          <w:color w:val="auto"/>
          <w:highlight w:val="none"/>
        </w:rPr>
        <w:t>（2）项目主管部门或者行政监督部门的人员；</w:t>
      </w:r>
    </w:p>
    <w:p w14:paraId="65F1DA6C">
      <w:pPr>
        <w:pageBreakBefore w:val="0"/>
        <w:widowControl w:val="0"/>
        <w:kinsoku/>
        <w:wordWrap/>
        <w:overflowPunct/>
        <w:topLinePunct w:val="0"/>
        <w:autoSpaceDE/>
        <w:autoSpaceDN/>
        <w:bidi w:val="0"/>
        <w:adjustRightInd/>
        <w:spacing w:line="360" w:lineRule="auto"/>
        <w:ind w:left="0" w:leftChars="0" w:firstLine="718" w:firstLineChars="342"/>
        <w:textAlignment w:val="auto"/>
        <w:rPr>
          <w:rFonts w:hint="eastAsia" w:ascii="宋体" w:hAnsi="宋体" w:eastAsia="宋体" w:cs="宋体"/>
          <w:color w:val="auto"/>
          <w:highlight w:val="none"/>
        </w:rPr>
      </w:pPr>
      <w:r>
        <w:rPr>
          <w:rFonts w:hint="eastAsia" w:ascii="宋体" w:hAnsi="宋体" w:eastAsia="宋体" w:cs="宋体"/>
          <w:color w:val="auto"/>
          <w:highlight w:val="none"/>
        </w:rPr>
        <w:t>（3）与投标人有经济利益关系，可能影响对投标公正评审的；</w:t>
      </w:r>
    </w:p>
    <w:p w14:paraId="2D2D153C">
      <w:pPr>
        <w:pageBreakBefore w:val="0"/>
        <w:widowControl w:val="0"/>
        <w:kinsoku/>
        <w:wordWrap/>
        <w:overflowPunct/>
        <w:topLinePunct w:val="0"/>
        <w:autoSpaceDE/>
        <w:autoSpaceDN/>
        <w:bidi w:val="0"/>
        <w:adjustRightInd/>
        <w:spacing w:line="360" w:lineRule="auto"/>
        <w:ind w:left="0" w:leftChars="0" w:firstLine="718" w:firstLineChars="342"/>
        <w:textAlignment w:val="auto"/>
        <w:rPr>
          <w:rFonts w:hint="eastAsia" w:ascii="宋体" w:hAnsi="宋体" w:eastAsia="宋体" w:cs="宋体"/>
          <w:color w:val="auto"/>
          <w:highlight w:val="none"/>
        </w:rPr>
      </w:pPr>
      <w:r>
        <w:rPr>
          <w:rFonts w:hint="eastAsia" w:ascii="宋体" w:hAnsi="宋体" w:eastAsia="宋体" w:cs="宋体"/>
          <w:color w:val="auto"/>
          <w:highlight w:val="none"/>
        </w:rPr>
        <w:t>（4）曾因在招标、评标以及其他与招标投标有关活动中从事违法行为而受过行政处罚或刑事处罚的；</w:t>
      </w:r>
    </w:p>
    <w:p w14:paraId="46E252A1">
      <w:pPr>
        <w:pageBreakBefore w:val="0"/>
        <w:widowControl w:val="0"/>
        <w:kinsoku/>
        <w:wordWrap/>
        <w:overflowPunct/>
        <w:topLinePunct w:val="0"/>
        <w:autoSpaceDE/>
        <w:autoSpaceDN/>
        <w:bidi w:val="0"/>
        <w:adjustRightInd/>
        <w:spacing w:line="360" w:lineRule="auto"/>
        <w:ind w:left="0" w:leftChars="0" w:firstLine="718" w:firstLineChars="342"/>
        <w:textAlignment w:val="auto"/>
        <w:rPr>
          <w:rFonts w:hint="eastAsia" w:ascii="宋体" w:hAnsi="宋体" w:eastAsia="宋体" w:cs="宋体"/>
          <w:color w:val="auto"/>
          <w:highlight w:val="none"/>
        </w:rPr>
      </w:pPr>
      <w:r>
        <w:rPr>
          <w:rFonts w:hint="eastAsia" w:ascii="宋体" w:hAnsi="宋体" w:eastAsia="宋体" w:cs="宋体"/>
          <w:color w:val="auto"/>
          <w:highlight w:val="none"/>
        </w:rPr>
        <w:t>（5）与投标人有其他利害关系。</w:t>
      </w:r>
    </w:p>
    <w:p w14:paraId="52CA46AD">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color w:val="auto"/>
          <w:highlight w:val="none"/>
          <w:u w:val="single"/>
        </w:rPr>
      </w:pPr>
      <w:r>
        <w:rPr>
          <w:rFonts w:hint="eastAsia" w:ascii="宋体" w:hAnsi="宋体" w:eastAsia="宋体" w:cs="宋体"/>
          <w:b/>
          <w:color w:val="auto"/>
          <w:highlight w:val="none"/>
          <w:u w:val="single"/>
        </w:rPr>
        <w:t>6.1.3 评标工作开始前，应了解评标专家的职责及守则，认真阅读附件二《评标委员会成员声明》的内容并签名，签字后方可进行评标。</w:t>
      </w:r>
    </w:p>
    <w:p w14:paraId="04EC49E2">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6.1.4 评标委员会的职责及守则：</w:t>
      </w:r>
    </w:p>
    <w:p w14:paraId="698E992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（1）根据评标细则，对投标文件进行认真评审，完成评审报告；</w:t>
      </w:r>
    </w:p>
    <w:p w14:paraId="315AFF40">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（2）向招标人报告评审意见，推荐合格的中标候选人。</w:t>
      </w:r>
    </w:p>
    <w:p w14:paraId="2FA4F83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所有参加评标人员必须遵守国家、地方政府制定的有关工程招标投标的法则、规定，遵守有关工程招标投标的保密制度；如有违反者，给予行政处分；情节严重，构成犯罪的，由司法机关依法追究其刑事责任。</w:t>
      </w:r>
    </w:p>
    <w:p w14:paraId="58E21DE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6.1.5 评标过程中，评标委员会成员有回避事由、擅离职守或者因健康等原因不能继续评标的，招标人有权更换。被更换的评标委员会成员作出的评审结论无效，由更换后的评标委员会成员重新进行评审。</w:t>
      </w:r>
    </w:p>
    <w:p w14:paraId="4B1F70C0">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lang w:val="zh-CN"/>
        </w:rPr>
      </w:pPr>
      <w:bookmarkStart w:id="204" w:name="_Toc165358671"/>
      <w:bookmarkStart w:id="205" w:name="_Toc165358806"/>
      <w:bookmarkStart w:id="206" w:name="_Toc86413311"/>
      <w:r>
        <w:rPr>
          <w:rFonts w:hint="eastAsia" w:ascii="宋体" w:hAnsi="宋体" w:eastAsia="宋体" w:cs="宋体"/>
          <w:b/>
          <w:color w:val="auto"/>
          <w:sz w:val="24"/>
          <w:szCs w:val="24"/>
          <w:highlight w:val="none"/>
          <w:lang w:val="zh-CN"/>
        </w:rPr>
        <w:t>6.2 定标委员会</w:t>
      </w:r>
      <w:bookmarkEnd w:id="204"/>
      <w:bookmarkEnd w:id="205"/>
      <w:bookmarkEnd w:id="206"/>
    </w:p>
    <w:p w14:paraId="545756FB">
      <w:pPr>
        <w:pStyle w:val="18"/>
        <w:pageBreakBefore w:val="0"/>
        <w:widowControl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u w:val="single"/>
        </w:rPr>
        <w:t>定标委员会由招标人依法依规组建，定标委员会成员于约定时间到达定标室参加由招标人组织的定标会。</w:t>
      </w:r>
    </w:p>
    <w:p w14:paraId="73B525A1">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u w:val="single"/>
          <w:lang w:val="zh-CN"/>
        </w:rPr>
      </w:pPr>
      <w:bookmarkStart w:id="207" w:name="_Toc165358807"/>
      <w:bookmarkStart w:id="208" w:name="_Toc86413312"/>
      <w:bookmarkStart w:id="209" w:name="_Toc165358672"/>
      <w:r>
        <w:rPr>
          <w:rFonts w:hint="eastAsia" w:ascii="宋体" w:hAnsi="宋体" w:eastAsia="宋体" w:cs="宋体"/>
          <w:b/>
          <w:color w:val="auto"/>
          <w:sz w:val="24"/>
          <w:szCs w:val="24"/>
          <w:highlight w:val="none"/>
          <w:u w:val="single"/>
          <w:lang w:val="zh-CN"/>
        </w:rPr>
        <w:t>6.3评（定）标办法、原则</w:t>
      </w:r>
      <w:bookmarkEnd w:id="207"/>
      <w:bookmarkEnd w:id="208"/>
      <w:bookmarkEnd w:id="209"/>
    </w:p>
    <w:p w14:paraId="5887F72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本项目评（定）标办法采用评定分离评标法。评标办法采用</w:t>
      </w:r>
      <w:bookmarkStart w:id="210" w:name="OLE_LINK137"/>
      <w:r>
        <w:rPr>
          <w:rFonts w:hint="eastAsia" w:ascii="宋体" w:hAnsi="宋体" w:eastAsia="宋体" w:cs="宋体"/>
          <w:color w:val="auto"/>
          <w:sz w:val="21"/>
          <w:szCs w:val="24"/>
          <w:highlight w:val="none"/>
          <w:u w:val="single"/>
        </w:rPr>
        <w:t>综合评估法</w:t>
      </w:r>
      <w:bookmarkEnd w:id="210"/>
      <w:r>
        <w:rPr>
          <w:rFonts w:hint="eastAsia" w:ascii="宋体" w:hAnsi="宋体" w:eastAsia="宋体" w:cs="宋体"/>
          <w:color w:val="auto"/>
          <w:highlight w:val="none"/>
          <w:u w:val="single"/>
        </w:rPr>
        <w:t>，</w:t>
      </w:r>
      <w:r>
        <w:rPr>
          <w:rFonts w:hint="eastAsia" w:ascii="宋体" w:hAnsi="宋体" w:eastAsia="宋体" w:cs="宋体"/>
          <w:b/>
          <w:color w:val="auto"/>
          <w:highlight w:val="none"/>
          <w:u w:val="single"/>
        </w:rPr>
        <w:t>定标办法</w:t>
      </w:r>
      <w:r>
        <w:rPr>
          <w:rFonts w:hint="eastAsia" w:ascii="宋体" w:hAnsi="宋体" w:eastAsia="宋体" w:cs="宋体"/>
          <w:color w:val="auto"/>
          <w:szCs w:val="21"/>
          <w:highlight w:val="none"/>
          <w:u w:val="single"/>
        </w:rPr>
        <w:t>采</w:t>
      </w:r>
      <w:r>
        <w:rPr>
          <w:rFonts w:hint="eastAsia" w:ascii="宋体" w:hAnsi="宋体" w:eastAsia="宋体" w:cs="宋体"/>
          <w:b/>
          <w:color w:val="auto"/>
          <w:szCs w:val="24"/>
          <w:highlight w:val="none"/>
          <w:u w:val="single"/>
        </w:rPr>
        <w:t>用</w:t>
      </w:r>
      <w:r>
        <w:rPr>
          <w:rFonts w:hint="eastAsia" w:ascii="宋体" w:hAnsi="宋体" w:eastAsia="宋体" w:cs="宋体"/>
          <w:b/>
          <w:color w:val="auto"/>
          <w:sz w:val="21"/>
          <w:szCs w:val="24"/>
          <w:highlight w:val="none"/>
          <w:u w:val="single"/>
        </w:rPr>
        <w:t>评分法</w:t>
      </w:r>
      <w:r>
        <w:rPr>
          <w:rFonts w:hint="eastAsia" w:ascii="宋体" w:hAnsi="宋体" w:eastAsia="宋体" w:cs="宋体"/>
          <w:color w:val="auto"/>
          <w:highlight w:val="none"/>
          <w:u w:val="single"/>
        </w:rPr>
        <w:t>。评标、定标活动遵循公平、公正、科学和择优的原则。</w:t>
      </w:r>
    </w:p>
    <w:p w14:paraId="35F5271E">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lang w:val="zh-CN"/>
        </w:rPr>
      </w:pPr>
      <w:bookmarkStart w:id="211" w:name="_Toc165358808"/>
      <w:bookmarkStart w:id="212" w:name="_Toc86413313"/>
      <w:bookmarkStart w:id="213" w:name="_Toc165358673"/>
      <w:r>
        <w:rPr>
          <w:rFonts w:hint="eastAsia" w:ascii="宋体" w:hAnsi="宋体" w:eastAsia="宋体" w:cs="宋体"/>
          <w:b/>
          <w:color w:val="auto"/>
          <w:sz w:val="24"/>
          <w:szCs w:val="24"/>
          <w:highlight w:val="none"/>
          <w:lang w:val="zh-CN"/>
        </w:rPr>
        <w:t>6.4评标</w:t>
      </w:r>
      <w:bookmarkEnd w:id="211"/>
      <w:bookmarkEnd w:id="212"/>
      <w:bookmarkEnd w:id="213"/>
    </w:p>
    <w:p w14:paraId="2C329D12">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6.4.1</w:t>
      </w:r>
      <w:r>
        <w:rPr>
          <w:rFonts w:hint="eastAsia" w:ascii="宋体" w:hAnsi="宋体" w:eastAsia="宋体" w:cs="宋体"/>
          <w:color w:val="auto"/>
          <w:highlight w:val="none"/>
          <w:u w:val="single"/>
        </w:rPr>
        <w:t>评标委员会按照第三章“评（定）标办法”中评标阶段规定的方法、评审因素、标准和程序对投标文件进行评审。第三章“评（定）标办法”没有规定的方法、评审因素和标准，不作为评标依据。</w:t>
      </w:r>
    </w:p>
    <w:p w14:paraId="5170DA8E">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6.4.2</w:t>
      </w:r>
      <w:r>
        <w:rPr>
          <w:rFonts w:hint="eastAsia" w:ascii="宋体" w:hAnsi="宋体" w:eastAsia="宋体" w:cs="宋体"/>
          <w:color w:val="auto"/>
          <w:highlight w:val="none"/>
          <w:u w:val="single"/>
        </w:rPr>
        <w:t>评标完成后，评标委员会根据初步评审的情况编写评标报告，并向招标人提交评标报告。</w:t>
      </w:r>
    </w:p>
    <w:p w14:paraId="1E5CE34C">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6.5定标</w:t>
      </w:r>
    </w:p>
    <w:p w14:paraId="1F5E0D5E">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6.5.1招标人在合格的中标候选人公示完成后5个工作日内，在</w:t>
      </w:r>
      <w:r>
        <w:rPr>
          <w:rFonts w:hint="eastAsia" w:ascii="宋体" w:hAnsi="宋体" w:eastAsia="宋体" w:cs="宋体"/>
          <w:color w:val="auto"/>
          <w:szCs w:val="24"/>
          <w:highlight w:val="none"/>
          <w:u w:val="single"/>
        </w:rPr>
        <w:t>广州交易集团有限公司（广州公共资源交易中心）</w:t>
      </w:r>
      <w:r>
        <w:rPr>
          <w:rFonts w:hint="eastAsia" w:ascii="宋体" w:hAnsi="宋体" w:eastAsia="宋体" w:cs="宋体"/>
          <w:color w:val="auto"/>
          <w:highlight w:val="none"/>
          <w:u w:val="single"/>
        </w:rPr>
        <w:t>举行定标会议完成定标工作。</w:t>
      </w:r>
    </w:p>
    <w:p w14:paraId="3CF4E9DB">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6.5.2定标委员会按照第三章“评（定）标办法”中定标阶段规定的方法、定标因素、标准和程序对定标文件进行评审。第三章“评（定）标办法”没有规定的方法、定标因素和标准，不作为定标依据。</w:t>
      </w:r>
    </w:p>
    <w:p w14:paraId="793A3A8D">
      <w:pPr>
        <w:pStyle w:val="18"/>
        <w:pageBreakBefore w:val="0"/>
        <w:widowControl w:val="0"/>
        <w:kinsoku/>
        <w:wordWrap/>
        <w:overflowPunct/>
        <w:topLinePunct w:val="0"/>
        <w:autoSpaceDE/>
        <w:autoSpaceDN/>
        <w:bidi w:val="0"/>
        <w:adjustRightInd/>
        <w:spacing w:after="0" w:line="360" w:lineRule="auto"/>
        <w:ind w:left="0" w:leftChars="0" w:firstLine="42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6.5.3定标委员会根据定标评审情况确定中标人后，撰写及签署定标报告并向招标人提交书面定标报告。</w:t>
      </w:r>
    </w:p>
    <w:p w14:paraId="0FE40415">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lang w:val="zh-CN"/>
        </w:rPr>
      </w:pPr>
      <w:bookmarkStart w:id="214" w:name="_Toc104901277"/>
      <w:bookmarkStart w:id="215" w:name="_Toc153268587"/>
      <w:r>
        <w:rPr>
          <w:rFonts w:hint="eastAsia" w:ascii="宋体" w:hAnsi="宋体" w:eastAsia="宋体" w:cs="宋体"/>
          <w:b/>
          <w:color w:val="auto"/>
          <w:sz w:val="24"/>
          <w:szCs w:val="24"/>
          <w:highlight w:val="none"/>
          <w:lang w:val="zh-CN"/>
        </w:rPr>
        <w:t>6.6评标过程的保密</w:t>
      </w:r>
      <w:bookmarkEnd w:id="214"/>
      <w:bookmarkEnd w:id="215"/>
    </w:p>
    <w:p w14:paraId="0F3F45B3">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6.6.1 开标后，直至授予中标人合同为止，凡属于对资格审查文件和投标文件的审查、澄清、评价和比较有关的资料以及中标候选人的推荐情况，与评标有关的其他任何情况均严格保密。</w:t>
      </w:r>
    </w:p>
    <w:p w14:paraId="04F9A3DF">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6.6.2 在资格审查文件和投标文件的评审和比较、中标候选人推荐以及授予合同的过程中，投标人向招标人和评标委员会施加影响的任何行为，都将会导致其投标被拒绝。</w:t>
      </w:r>
    </w:p>
    <w:p w14:paraId="5D880A12">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6.6.3 中标人确定后，招标人不对未中标人就评标过程以及未能中标原因作出任何解释。未中标人不得向评标委员会组成人员或其他有关人员索问评标过程的情况和材料。</w:t>
      </w:r>
    </w:p>
    <w:p w14:paraId="0E3A55B4">
      <w:pPr>
        <w:pStyle w:val="44"/>
        <w:pageBreakBefore w:val="0"/>
        <w:widowControl w:val="0"/>
        <w:kinsoku/>
        <w:wordWrap/>
        <w:overflowPunct/>
        <w:topLinePunct w:val="0"/>
        <w:autoSpaceDE/>
        <w:autoSpaceDN/>
        <w:bidi w:val="0"/>
        <w:adjustRightInd/>
        <w:spacing w:after="0" w:line="360" w:lineRule="auto"/>
        <w:ind w:left="0" w:leftChars="0"/>
        <w:textAlignment w:val="auto"/>
        <w:rPr>
          <w:rFonts w:hint="eastAsia" w:ascii="宋体" w:hAnsi="宋体" w:eastAsia="宋体" w:cs="宋体"/>
          <w:color w:val="auto"/>
          <w:highlight w:val="none"/>
        </w:rPr>
      </w:pPr>
    </w:p>
    <w:p w14:paraId="5311C0D7">
      <w:pPr>
        <w:pStyle w:val="3"/>
        <w:pageBreakBefore w:val="0"/>
        <w:widowControl w:val="0"/>
        <w:kinsoku/>
        <w:wordWrap/>
        <w:overflowPunct/>
        <w:topLinePunct w:val="0"/>
        <w:autoSpaceDE/>
        <w:autoSpaceDN/>
        <w:bidi w:val="0"/>
        <w:adjustRightInd/>
        <w:spacing w:before="0" w:after="0" w:line="360" w:lineRule="auto"/>
        <w:ind w:left="0" w:leftChars="0"/>
        <w:textAlignment w:val="auto"/>
        <w:rPr>
          <w:rFonts w:hint="eastAsia" w:ascii="宋体" w:hAnsi="宋体" w:eastAsia="宋体" w:cs="宋体"/>
          <w:color w:val="auto"/>
          <w:highlight w:val="none"/>
        </w:rPr>
      </w:pPr>
      <w:bookmarkStart w:id="216" w:name="_Toc5620333"/>
      <w:bookmarkStart w:id="217" w:name="_Toc13256"/>
      <w:bookmarkStart w:id="218" w:name="_Toc165358674"/>
      <w:bookmarkStart w:id="219" w:name="_Toc165358809"/>
      <w:bookmarkStart w:id="220" w:name="_Toc3304"/>
      <w:r>
        <w:rPr>
          <w:rFonts w:hint="eastAsia" w:ascii="宋体" w:hAnsi="宋体" w:eastAsia="宋体" w:cs="宋体"/>
          <w:color w:val="auto"/>
          <w:highlight w:val="none"/>
        </w:rPr>
        <w:t>7. 合同授予</w:t>
      </w:r>
      <w:bookmarkEnd w:id="216"/>
      <w:bookmarkEnd w:id="217"/>
      <w:bookmarkEnd w:id="218"/>
      <w:bookmarkEnd w:id="219"/>
      <w:bookmarkEnd w:id="220"/>
    </w:p>
    <w:p w14:paraId="250E792D">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lang w:val="zh-CN"/>
        </w:rPr>
      </w:pPr>
      <w:bookmarkStart w:id="221" w:name="_Toc165358675"/>
      <w:bookmarkStart w:id="222" w:name="_Toc86413315"/>
      <w:bookmarkStart w:id="223" w:name="_Toc165358810"/>
      <w:r>
        <w:rPr>
          <w:rFonts w:hint="eastAsia" w:ascii="宋体" w:hAnsi="宋体" w:eastAsia="宋体" w:cs="宋体"/>
          <w:b/>
          <w:color w:val="auto"/>
          <w:sz w:val="24"/>
          <w:szCs w:val="24"/>
          <w:highlight w:val="none"/>
          <w:lang w:val="zh-CN"/>
        </w:rPr>
        <w:t>7.1 定标方式</w:t>
      </w:r>
      <w:bookmarkEnd w:id="221"/>
      <w:bookmarkEnd w:id="222"/>
      <w:bookmarkEnd w:id="223"/>
    </w:p>
    <w:p w14:paraId="3EEB9CDA">
      <w:pPr>
        <w:keepNext/>
        <w:keepLines/>
        <w:pageBreakBefore w:val="0"/>
        <w:widowControl w:val="0"/>
        <w:kinsoku/>
        <w:wordWrap/>
        <w:overflowPunct/>
        <w:topLinePunct w:val="0"/>
        <w:autoSpaceDE/>
        <w:autoSpaceDN/>
        <w:bidi w:val="0"/>
        <w:adjustRightInd/>
        <w:spacing w:line="360" w:lineRule="auto"/>
        <w:ind w:left="0" w:leftChars="0" w:firstLine="420" w:firstLineChars="200"/>
        <w:textAlignment w:val="auto"/>
        <w:outlineLvl w:val="2"/>
        <w:rPr>
          <w:rFonts w:hint="eastAsia" w:ascii="宋体" w:hAnsi="宋体" w:eastAsia="宋体" w:cs="宋体"/>
          <w:color w:val="auto"/>
          <w:highlight w:val="none"/>
          <w:u w:val="single"/>
        </w:rPr>
      </w:pPr>
      <w:bookmarkStart w:id="224" w:name="_Toc165358811"/>
      <w:bookmarkStart w:id="225" w:name="_Toc165358676"/>
      <w:bookmarkStart w:id="226" w:name="_Toc86413316"/>
      <w:r>
        <w:rPr>
          <w:rFonts w:hint="eastAsia" w:ascii="宋体" w:hAnsi="宋体" w:eastAsia="宋体" w:cs="宋体"/>
          <w:color w:val="auto"/>
          <w:highlight w:val="none"/>
          <w:u w:val="single"/>
        </w:rPr>
        <w:t>7.1.1定标方式方法根据第三章“评（定）标办法”执行。</w:t>
      </w:r>
      <w:bookmarkEnd w:id="224"/>
      <w:bookmarkEnd w:id="225"/>
      <w:bookmarkEnd w:id="226"/>
      <w:r>
        <w:rPr>
          <w:rFonts w:hint="eastAsia" w:ascii="宋体" w:hAnsi="宋体" w:eastAsia="宋体" w:cs="宋体"/>
          <w:color w:val="auto"/>
          <w:highlight w:val="none"/>
          <w:u w:val="single"/>
        </w:rPr>
        <w:tab/>
      </w:r>
    </w:p>
    <w:p w14:paraId="6D064B1B">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7.1.2中标人放弃中标、或被取消中标资格，或因不可抗力提出不能履行合同，或者招标文件规定应当提交履约担保而在规定的期限内未能提交的，招标人可从其他合格的中标候选人中采用原定标办法，由原定标委员会重新确定中标人，也可以重新招标。</w:t>
      </w:r>
    </w:p>
    <w:p w14:paraId="68826A6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7.1.3定标后出现中标人不符合法定情形的，招标人可从其他合格的中标候选人中采用原定标办法，由原定标委员会确定中标人，也可以重新招标。</w:t>
      </w:r>
    </w:p>
    <w:p w14:paraId="1E570A3C">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lang w:val="zh-CN"/>
        </w:rPr>
      </w:pPr>
      <w:bookmarkStart w:id="227" w:name="_Toc86413317"/>
      <w:bookmarkStart w:id="228" w:name="_Toc165358677"/>
      <w:bookmarkStart w:id="229" w:name="_Toc165358812"/>
      <w:r>
        <w:rPr>
          <w:rFonts w:hint="eastAsia" w:ascii="宋体" w:hAnsi="宋体" w:eastAsia="宋体" w:cs="宋体"/>
          <w:b/>
          <w:color w:val="auto"/>
          <w:sz w:val="24"/>
          <w:szCs w:val="24"/>
          <w:highlight w:val="none"/>
          <w:lang w:val="zh-CN"/>
        </w:rPr>
        <w:t>7.2 中标候选人公示</w:t>
      </w:r>
      <w:bookmarkEnd w:id="227"/>
      <w:bookmarkEnd w:id="228"/>
      <w:bookmarkEnd w:id="229"/>
    </w:p>
    <w:p w14:paraId="6259F79C">
      <w:pPr>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1"/>
          <w:szCs w:val="21"/>
          <w:highlight w:val="none"/>
          <w:u w:val="single"/>
        </w:rPr>
      </w:pPr>
      <w:bookmarkStart w:id="230" w:name="_Toc165358813"/>
      <w:bookmarkStart w:id="231" w:name="_Toc86413318"/>
      <w:bookmarkStart w:id="232" w:name="_Toc165358678"/>
      <w:r>
        <w:rPr>
          <w:rFonts w:hint="eastAsia" w:ascii="宋体" w:hAnsi="宋体" w:eastAsia="宋体" w:cs="宋体"/>
          <w:color w:val="auto"/>
          <w:kern w:val="1"/>
          <w:szCs w:val="21"/>
          <w:highlight w:val="none"/>
        </w:rPr>
        <w:t>7.2.1</w:t>
      </w:r>
      <w:r>
        <w:rPr>
          <w:rFonts w:hint="eastAsia" w:ascii="宋体" w:hAnsi="宋体" w:eastAsia="宋体" w:cs="宋体"/>
          <w:color w:val="auto"/>
          <w:kern w:val="1"/>
          <w:highlight w:val="none"/>
        </w:rPr>
        <w:t>招标人在投标人须知前附表规定的媒介公示中标候选人</w:t>
      </w:r>
      <w:r>
        <w:rPr>
          <w:rFonts w:hint="eastAsia" w:ascii="宋体" w:hAnsi="宋体" w:eastAsia="宋体" w:cs="宋体"/>
          <w:color w:val="auto"/>
          <w:kern w:val="1"/>
          <w:szCs w:val="21"/>
          <w:highlight w:val="none"/>
        </w:rPr>
        <w:t>。</w:t>
      </w:r>
      <w:r>
        <w:rPr>
          <w:rFonts w:hint="eastAsia" w:ascii="宋体" w:hAnsi="宋体" w:eastAsia="宋体" w:cs="宋体"/>
          <w:color w:val="auto"/>
          <w:kern w:val="1"/>
          <w:szCs w:val="21"/>
          <w:highlight w:val="none"/>
          <w:u w:val="single"/>
        </w:rPr>
        <w:t>公示时间为三天（最后一天应为工作日，否则将公示期的最后一天顺延至下一个工作日）。</w:t>
      </w:r>
    </w:p>
    <w:p w14:paraId="75FF7780">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rPr>
        <w:t>7.2.2在产生中标候选人后，招标人将中标候选人的投标文件商务部分文件的电子文件（包括人员、业绩、奖项等资料）要求提供资料的电子版在广州交易集团有限公司（广州公共资源交易中心）网站和广东省招标投标监管网公开。</w:t>
      </w:r>
    </w:p>
    <w:p w14:paraId="49768FCF">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kern w:val="1"/>
          <w:szCs w:val="21"/>
          <w:highlight w:val="none"/>
          <w:u w:val="single"/>
        </w:rPr>
        <w:t>7.2.3 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63B9DBAA">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7.3 中标通知</w:t>
      </w:r>
      <w:bookmarkEnd w:id="230"/>
      <w:bookmarkEnd w:id="231"/>
      <w:bookmarkEnd w:id="232"/>
    </w:p>
    <w:p w14:paraId="02854B2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7.3.1 中标公示后，在本章第3.3 款规定的投标有效期内，招标人以书面形式向中标人发出中标通知书，中标通知书发出前须经广州交易集团有限公司（广州公共资源交易中心）盖章确认。</w:t>
      </w:r>
    </w:p>
    <w:p w14:paraId="343D375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bookmarkStart w:id="233" w:name="_Toc165358814"/>
      <w:bookmarkStart w:id="234" w:name="_Toc165358679"/>
      <w:bookmarkStart w:id="235" w:name="_Toc86413319"/>
      <w:r>
        <w:rPr>
          <w:rFonts w:hint="eastAsia" w:ascii="宋体" w:hAnsi="宋体" w:eastAsia="宋体" w:cs="宋体"/>
          <w:color w:val="auto"/>
          <w:highlight w:val="none"/>
        </w:rPr>
        <w:t>7.3.2中标人自行于广州交易集团有限公司（广州公共资源交易中心）交易平台下载中标通知书，同时招标人将中标结果通过广州交易集团有限公司（广州公共资源交易中心）交易平台公开发布。中标人须对其投标文件真实性负责，并准备投标文件涉及的所有原件待查，如存在弄虚作假情况或原件不齐或与原件不符的，招标人有权取消其中标人资格，并上报建设行政主管部门。</w:t>
      </w:r>
    </w:p>
    <w:p w14:paraId="143071B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7.3.3 招标人应当自确定中标人后，向招投标监管机构提交招标投标情况的书面报告；经招投标监管机构备案后，方可发出中标通知书。中标通知书由招标人（或招标代理机构）颁发，并经广州交易集团有限公司（广州公共资源交易中心）确认。</w:t>
      </w:r>
    </w:p>
    <w:p w14:paraId="40B711C0">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7.4 履约担保</w:t>
      </w:r>
      <w:bookmarkEnd w:id="233"/>
      <w:bookmarkEnd w:id="234"/>
      <w:bookmarkEnd w:id="235"/>
    </w:p>
    <w:p w14:paraId="49CBE73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7.4.1</w:t>
      </w:r>
      <w:r>
        <w:rPr>
          <w:rFonts w:hint="eastAsia" w:ascii="宋体" w:hAnsi="宋体" w:eastAsia="宋体" w:cs="宋体"/>
          <w:color w:val="auto"/>
          <w:szCs w:val="21"/>
          <w:highlight w:val="none"/>
        </w:rPr>
        <w:t>中标人应按投标人须知前附表规定的担保形式和招标文件第四章“合同条款及格式”规定的或者事先经过招标人书面认可的</w:t>
      </w:r>
      <w:r>
        <w:rPr>
          <w:rFonts w:hint="eastAsia" w:ascii="宋体" w:hAnsi="宋体" w:eastAsia="宋体" w:cs="宋体"/>
          <w:color w:val="auto"/>
          <w:szCs w:val="21"/>
          <w:highlight w:val="none"/>
          <w:u w:val="single"/>
        </w:rPr>
        <w:t>履约担保格式向招标人提交履约担保。如果中标人的履约保证金是以银行保函的形式提供，则该银行保函应由在中国注册的银行开具。</w:t>
      </w:r>
      <w:r>
        <w:rPr>
          <w:rFonts w:hint="eastAsia" w:ascii="宋体" w:hAnsi="宋体" w:eastAsia="宋体" w:cs="宋体"/>
          <w:color w:val="auto"/>
          <w:szCs w:val="21"/>
          <w:highlight w:val="none"/>
        </w:rPr>
        <w:t>除投标人须知前附表另有规定外，履约保证金金额为中标合同金额的10%。联合体中标的，其履约担保由联合体主办方的名义提交</w:t>
      </w:r>
      <w:r>
        <w:rPr>
          <w:rFonts w:hint="eastAsia" w:ascii="宋体" w:hAnsi="宋体" w:eastAsia="宋体" w:cs="宋体"/>
          <w:color w:val="auto"/>
          <w:highlight w:val="none"/>
        </w:rPr>
        <w:t>。</w:t>
      </w:r>
    </w:p>
    <w:p w14:paraId="17EE91FA">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7.4.2</w:t>
      </w:r>
      <w:r>
        <w:rPr>
          <w:rFonts w:hint="eastAsia" w:ascii="宋体" w:hAnsi="宋体" w:eastAsia="宋体" w:cs="宋体"/>
          <w:color w:val="auto"/>
          <w:szCs w:val="21"/>
          <w:highlight w:val="none"/>
        </w:rPr>
        <w:t>中标人不能按本章第7.4.1项要求提交履约担保的，视为放弃中标，</w:t>
      </w:r>
      <w:r>
        <w:rPr>
          <w:rFonts w:hint="eastAsia" w:ascii="宋体" w:hAnsi="宋体" w:eastAsia="宋体" w:cs="宋体"/>
          <w:color w:val="auto"/>
          <w:szCs w:val="21"/>
          <w:highlight w:val="none"/>
          <w:u w:val="single"/>
        </w:rPr>
        <w:t>给招标人造成的损失，中标人还当应予以赔偿</w:t>
      </w:r>
      <w:r>
        <w:rPr>
          <w:rFonts w:hint="eastAsia" w:ascii="宋体" w:hAnsi="宋体" w:eastAsia="宋体" w:cs="宋体"/>
          <w:color w:val="auto"/>
          <w:szCs w:val="21"/>
          <w:highlight w:val="none"/>
        </w:rPr>
        <w:t>。合同期内未按约定保函续保的，视为合同违约。</w:t>
      </w:r>
    </w:p>
    <w:p w14:paraId="35C38F37">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lang w:val="zh-CN"/>
        </w:rPr>
      </w:pPr>
      <w:bookmarkStart w:id="236" w:name="_Toc86413320"/>
      <w:bookmarkStart w:id="237" w:name="_Toc165358680"/>
      <w:bookmarkStart w:id="238" w:name="_Toc165358815"/>
      <w:r>
        <w:rPr>
          <w:rFonts w:hint="eastAsia" w:ascii="宋体" w:hAnsi="宋体" w:eastAsia="宋体" w:cs="宋体"/>
          <w:b/>
          <w:color w:val="auto"/>
          <w:sz w:val="24"/>
          <w:szCs w:val="24"/>
          <w:highlight w:val="none"/>
          <w:lang w:val="zh-CN"/>
        </w:rPr>
        <w:t>7.5 签订合同</w:t>
      </w:r>
      <w:bookmarkEnd w:id="236"/>
      <w:bookmarkEnd w:id="237"/>
      <w:bookmarkEnd w:id="238"/>
    </w:p>
    <w:p w14:paraId="759D1386">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7.5.1招标人和中标人应当自中标通知书发出之日起30天内，根据招标文件和中标人的投标文件订立书面合同。中标人无正当理由拒签合同的，招标人取消其中标资格，</w:t>
      </w:r>
      <w:r>
        <w:rPr>
          <w:rFonts w:hint="eastAsia" w:ascii="宋体" w:hAnsi="宋体" w:eastAsia="宋体" w:cs="宋体"/>
          <w:color w:val="auto"/>
          <w:highlight w:val="none"/>
          <w:u w:val="single"/>
        </w:rPr>
        <w:t>给招标人造成的损失，中标人还应当予以赔偿</w:t>
      </w:r>
      <w:r>
        <w:rPr>
          <w:rFonts w:hint="eastAsia" w:ascii="宋体" w:hAnsi="宋体" w:eastAsia="宋体" w:cs="宋体"/>
          <w:color w:val="auto"/>
          <w:highlight w:val="none"/>
        </w:rPr>
        <w:t xml:space="preserve">。 </w:t>
      </w:r>
    </w:p>
    <w:p w14:paraId="708C753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7.5.2 发出中标通知书后，招标人无正当理由拒签合同的，招标人向中标人退还投标保证金；给中标人造成损失的，还应当赔偿损失。</w:t>
      </w:r>
    </w:p>
    <w:p w14:paraId="56367E1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7.5.3非经招标人同意，中标人在投标过程中使用的银行名称及账号至完成竣工结算不得变更，否则招标人有权停止工程款项的拨付及至解除合同，由此造成的一切责任由中标人承担。</w:t>
      </w:r>
    </w:p>
    <w:p w14:paraId="7C979BE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u w:val="single"/>
        </w:rPr>
        <w:t>7.5.4 招标人支付工程款时，中标人应按招标人要求，提供工程所在地合法增值税发票。</w:t>
      </w:r>
    </w:p>
    <w:p w14:paraId="1161DB9D">
      <w:pPr>
        <w:pStyle w:val="23"/>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highlight w:val="none"/>
        </w:rPr>
      </w:pPr>
    </w:p>
    <w:p w14:paraId="3CFC2066">
      <w:pPr>
        <w:pStyle w:val="3"/>
        <w:pageBreakBefore w:val="0"/>
        <w:widowControl w:val="0"/>
        <w:kinsoku/>
        <w:wordWrap/>
        <w:overflowPunct/>
        <w:topLinePunct w:val="0"/>
        <w:autoSpaceDE/>
        <w:autoSpaceDN/>
        <w:bidi w:val="0"/>
        <w:adjustRightInd/>
        <w:spacing w:before="0" w:after="0" w:line="360" w:lineRule="auto"/>
        <w:ind w:left="0" w:leftChars="0"/>
        <w:textAlignment w:val="auto"/>
        <w:rPr>
          <w:rFonts w:hint="eastAsia" w:ascii="宋体" w:hAnsi="宋体" w:eastAsia="宋体" w:cs="宋体"/>
          <w:color w:val="auto"/>
          <w:highlight w:val="none"/>
        </w:rPr>
      </w:pPr>
      <w:bookmarkStart w:id="239" w:name="_Toc49303766"/>
      <w:bookmarkStart w:id="240" w:name="_Toc31841"/>
      <w:bookmarkStart w:id="241" w:name="_Toc165358681"/>
      <w:bookmarkStart w:id="242" w:name="_Toc165358816"/>
      <w:bookmarkStart w:id="243" w:name="_Toc86413321"/>
      <w:r>
        <w:rPr>
          <w:rFonts w:hint="eastAsia" w:ascii="宋体" w:hAnsi="宋体" w:eastAsia="宋体" w:cs="宋体"/>
          <w:color w:val="auto"/>
          <w:highlight w:val="none"/>
        </w:rPr>
        <w:t>8. 纪律和监督</w:t>
      </w:r>
      <w:bookmarkEnd w:id="239"/>
      <w:bookmarkEnd w:id="240"/>
      <w:bookmarkEnd w:id="241"/>
      <w:bookmarkEnd w:id="242"/>
      <w:bookmarkEnd w:id="243"/>
    </w:p>
    <w:p w14:paraId="3FCCB396">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lang w:val="zh-CN"/>
        </w:rPr>
      </w:pPr>
      <w:bookmarkStart w:id="244" w:name="_Toc165358817"/>
      <w:bookmarkStart w:id="245" w:name="_Toc86413322"/>
      <w:bookmarkStart w:id="246" w:name="_Toc165358682"/>
      <w:bookmarkStart w:id="247" w:name="_Toc24400"/>
      <w:r>
        <w:rPr>
          <w:rFonts w:hint="eastAsia" w:ascii="宋体" w:hAnsi="宋体" w:eastAsia="宋体" w:cs="宋体"/>
          <w:b/>
          <w:color w:val="auto"/>
          <w:sz w:val="24"/>
          <w:szCs w:val="24"/>
          <w:highlight w:val="none"/>
          <w:lang w:val="zh-CN"/>
        </w:rPr>
        <w:t>8.1 对招标人的纪律要求</w:t>
      </w:r>
      <w:bookmarkEnd w:id="244"/>
      <w:bookmarkEnd w:id="245"/>
      <w:bookmarkEnd w:id="246"/>
      <w:bookmarkEnd w:id="247"/>
    </w:p>
    <w:p w14:paraId="001FDE7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招标人不得泄漏招标投标活动中应当保密的情况和资料，不得与投标人串通损害国家利益、社会公共利益或者他人合法权益。</w:t>
      </w:r>
    </w:p>
    <w:p w14:paraId="56936BC9">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lang w:val="zh-CN"/>
        </w:rPr>
      </w:pPr>
      <w:bookmarkStart w:id="248" w:name="_Toc165358683"/>
      <w:bookmarkStart w:id="249" w:name="_Toc165358818"/>
      <w:bookmarkStart w:id="250" w:name="_Toc86413323"/>
      <w:r>
        <w:rPr>
          <w:rFonts w:hint="eastAsia" w:ascii="宋体" w:hAnsi="宋体" w:eastAsia="宋体" w:cs="宋体"/>
          <w:b/>
          <w:color w:val="auto"/>
          <w:sz w:val="24"/>
          <w:szCs w:val="24"/>
          <w:highlight w:val="none"/>
          <w:lang w:val="zh-CN"/>
        </w:rPr>
        <w:t>8.2 对投标人的纪律要求</w:t>
      </w:r>
      <w:bookmarkEnd w:id="248"/>
      <w:bookmarkEnd w:id="249"/>
      <w:bookmarkEnd w:id="250"/>
    </w:p>
    <w:p w14:paraId="64DA697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8.2.1投标人不得相互串通投标或者与招标人串通投标，不得向招标人或者评标委员会成员行贿谋取中标，不得以他人名义投标或者以其他方式弄虚作假骗取中标；投标人不得以任何方式干扰、影响评标工作。</w:t>
      </w:r>
    </w:p>
    <w:p w14:paraId="3F30E80D">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lang w:val="zh-CN"/>
        </w:rPr>
      </w:pPr>
      <w:bookmarkStart w:id="251" w:name="_Toc86413324"/>
      <w:bookmarkStart w:id="252" w:name="_Toc165358684"/>
      <w:bookmarkStart w:id="253" w:name="_Toc165358819"/>
      <w:r>
        <w:rPr>
          <w:rFonts w:hint="eastAsia" w:ascii="宋体" w:hAnsi="宋体" w:eastAsia="宋体" w:cs="宋体"/>
          <w:b/>
          <w:color w:val="auto"/>
          <w:sz w:val="24"/>
          <w:szCs w:val="24"/>
          <w:highlight w:val="none"/>
          <w:lang w:val="zh-CN"/>
        </w:rPr>
        <w:t>8.3 对评标委员会成员的纪律要求</w:t>
      </w:r>
      <w:bookmarkEnd w:id="251"/>
      <w:bookmarkEnd w:id="252"/>
      <w:bookmarkEnd w:id="253"/>
    </w:p>
    <w:p w14:paraId="2A978C1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定）标办法”没有规定的评审因素和标准进行评标。</w:t>
      </w:r>
    </w:p>
    <w:p w14:paraId="0BE4819F">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lang w:val="zh-CN"/>
        </w:rPr>
      </w:pPr>
      <w:bookmarkStart w:id="254" w:name="_Toc86413325"/>
      <w:bookmarkStart w:id="255" w:name="_Toc165358820"/>
      <w:bookmarkStart w:id="256" w:name="_Toc165358685"/>
      <w:r>
        <w:rPr>
          <w:rFonts w:hint="eastAsia" w:ascii="宋体" w:hAnsi="宋体" w:eastAsia="宋体" w:cs="宋体"/>
          <w:b/>
          <w:color w:val="auto"/>
          <w:sz w:val="24"/>
          <w:szCs w:val="24"/>
          <w:highlight w:val="none"/>
          <w:lang w:val="zh-CN"/>
        </w:rPr>
        <w:t>8.4 对与评标活动有关的工作人员的纪律要求</w:t>
      </w:r>
      <w:bookmarkEnd w:id="254"/>
      <w:bookmarkEnd w:id="255"/>
      <w:bookmarkEnd w:id="256"/>
    </w:p>
    <w:p w14:paraId="286C79D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C6F565A">
      <w:pPr>
        <w:pStyle w:val="4"/>
        <w:pageBreakBefore w:val="0"/>
        <w:widowControl w:val="0"/>
        <w:kinsoku/>
        <w:wordWrap/>
        <w:overflowPunct/>
        <w:topLinePunct w:val="0"/>
        <w:autoSpaceDE/>
        <w:autoSpaceDN/>
        <w:bidi w:val="0"/>
        <w:adjustRightInd/>
        <w:spacing w:before="0" w:after="0" w:line="360" w:lineRule="auto"/>
        <w:ind w:left="0" w:leftChars="0" w:firstLine="118"/>
        <w:textAlignment w:val="auto"/>
        <w:rPr>
          <w:rFonts w:hint="eastAsia" w:ascii="宋体" w:hAnsi="宋体" w:eastAsia="宋体" w:cs="宋体"/>
          <w:b/>
          <w:color w:val="auto"/>
          <w:sz w:val="24"/>
          <w:szCs w:val="24"/>
          <w:highlight w:val="none"/>
          <w:lang w:val="zh-CN"/>
        </w:rPr>
      </w:pPr>
      <w:bookmarkStart w:id="257" w:name="_Toc165358821"/>
      <w:bookmarkStart w:id="258" w:name="_Toc165358686"/>
      <w:bookmarkStart w:id="259" w:name="_Toc86413326"/>
      <w:r>
        <w:rPr>
          <w:rFonts w:hint="eastAsia" w:ascii="宋体" w:hAnsi="宋体" w:eastAsia="宋体" w:cs="宋体"/>
          <w:b/>
          <w:color w:val="auto"/>
          <w:sz w:val="24"/>
          <w:szCs w:val="24"/>
          <w:highlight w:val="none"/>
          <w:lang w:val="zh-CN"/>
        </w:rPr>
        <w:t>8.5 投诉</w:t>
      </w:r>
      <w:bookmarkEnd w:id="257"/>
      <w:bookmarkEnd w:id="258"/>
      <w:bookmarkEnd w:id="259"/>
    </w:p>
    <w:p w14:paraId="5133023B">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投标人和其他利害关系人认为本次招标活动违反法律、法规和规章规定的，有权向有关行政监督部门投诉。</w:t>
      </w:r>
    </w:p>
    <w:p w14:paraId="4B99B3BD">
      <w:pPr>
        <w:pStyle w:val="3"/>
        <w:pageBreakBefore w:val="0"/>
        <w:widowControl w:val="0"/>
        <w:kinsoku/>
        <w:wordWrap/>
        <w:overflowPunct/>
        <w:topLinePunct w:val="0"/>
        <w:autoSpaceDE/>
        <w:autoSpaceDN/>
        <w:bidi w:val="0"/>
        <w:adjustRightInd/>
        <w:spacing w:before="0" w:after="0" w:line="360" w:lineRule="auto"/>
        <w:ind w:left="0" w:leftChars="0"/>
        <w:textAlignment w:val="auto"/>
        <w:rPr>
          <w:rFonts w:hint="eastAsia" w:ascii="宋体" w:hAnsi="宋体" w:eastAsia="宋体" w:cs="宋体"/>
          <w:color w:val="auto"/>
          <w:highlight w:val="none"/>
        </w:rPr>
      </w:pPr>
      <w:bookmarkStart w:id="260" w:name="_Toc86413327"/>
      <w:bookmarkStart w:id="261" w:name="_Toc49303767"/>
      <w:bookmarkStart w:id="262" w:name="_Toc7949"/>
      <w:bookmarkStart w:id="263" w:name="_Toc165358822"/>
      <w:bookmarkStart w:id="264" w:name="_Toc165358687"/>
    </w:p>
    <w:p w14:paraId="19C1CFE0">
      <w:pPr>
        <w:pStyle w:val="3"/>
        <w:pageBreakBefore w:val="0"/>
        <w:widowControl w:val="0"/>
        <w:kinsoku/>
        <w:wordWrap/>
        <w:overflowPunct/>
        <w:topLinePunct w:val="0"/>
        <w:autoSpaceDE/>
        <w:autoSpaceDN/>
        <w:bidi w:val="0"/>
        <w:adjustRightInd/>
        <w:spacing w:before="0" w:after="0" w:line="360"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9. 需要补充的其他内容</w:t>
      </w:r>
      <w:bookmarkEnd w:id="260"/>
      <w:bookmarkEnd w:id="261"/>
      <w:bookmarkEnd w:id="262"/>
      <w:bookmarkEnd w:id="263"/>
      <w:bookmarkEnd w:id="264"/>
    </w:p>
    <w:p w14:paraId="257472E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需要补充的其他内容：见投标人须知前附表。</w:t>
      </w:r>
    </w:p>
    <w:p w14:paraId="0ABA4686">
      <w:pPr>
        <w:pStyle w:val="3"/>
        <w:pageBreakBefore w:val="0"/>
        <w:widowControl w:val="0"/>
        <w:kinsoku/>
        <w:wordWrap/>
        <w:overflowPunct/>
        <w:topLinePunct w:val="0"/>
        <w:autoSpaceDE/>
        <w:autoSpaceDN/>
        <w:bidi w:val="0"/>
        <w:adjustRightInd/>
        <w:spacing w:before="0" w:after="0" w:line="360" w:lineRule="auto"/>
        <w:ind w:left="0" w:leftChars="0"/>
        <w:textAlignment w:val="auto"/>
        <w:rPr>
          <w:rFonts w:hint="eastAsia" w:ascii="宋体" w:hAnsi="宋体" w:eastAsia="宋体" w:cs="宋体"/>
          <w:color w:val="auto"/>
          <w:highlight w:val="none"/>
        </w:rPr>
      </w:pPr>
      <w:bookmarkStart w:id="265" w:name="_Toc165358823"/>
      <w:bookmarkStart w:id="266" w:name="_Toc165358688"/>
      <w:bookmarkStart w:id="267" w:name="_Toc49303768"/>
      <w:bookmarkStart w:id="268" w:name="_Toc86413328"/>
      <w:bookmarkStart w:id="269" w:name="_Toc25384"/>
      <w:r>
        <w:rPr>
          <w:rFonts w:hint="eastAsia" w:ascii="宋体" w:hAnsi="宋体" w:eastAsia="宋体" w:cs="宋体"/>
          <w:color w:val="auto"/>
          <w:highlight w:val="none"/>
        </w:rPr>
        <w:t>10. 电子招标投标</w:t>
      </w:r>
      <w:bookmarkEnd w:id="265"/>
      <w:bookmarkEnd w:id="266"/>
      <w:bookmarkEnd w:id="267"/>
      <w:bookmarkEnd w:id="268"/>
      <w:bookmarkEnd w:id="269"/>
    </w:p>
    <w:p w14:paraId="7E2FF05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采用电子招标投标，对投标文件的编制、密封和标记、递交、开标、评标等具体要求，见投标人须知前附表。</w:t>
      </w:r>
    </w:p>
    <w:p w14:paraId="3E99DF3B">
      <w:pPr>
        <w:pStyle w:val="3"/>
        <w:pageBreakBefore w:val="0"/>
        <w:widowControl w:val="0"/>
        <w:kinsoku/>
        <w:wordWrap/>
        <w:overflowPunct/>
        <w:topLinePunct w:val="0"/>
        <w:autoSpaceDE/>
        <w:autoSpaceDN/>
        <w:bidi w:val="0"/>
        <w:adjustRightInd/>
        <w:spacing w:before="0" w:after="0" w:line="360" w:lineRule="auto"/>
        <w:ind w:left="0" w:leftChars="0"/>
        <w:textAlignment w:val="auto"/>
        <w:rPr>
          <w:rFonts w:hint="eastAsia" w:ascii="宋体" w:hAnsi="宋体" w:eastAsia="宋体" w:cs="宋体"/>
          <w:color w:val="auto"/>
          <w:highlight w:val="none"/>
        </w:rPr>
      </w:pPr>
      <w:bookmarkStart w:id="270" w:name="_Toc5620343"/>
      <w:bookmarkStart w:id="271" w:name="_Toc153268602"/>
      <w:bookmarkStart w:id="272" w:name="_Toc104901292"/>
      <w:bookmarkStart w:id="273" w:name="_Toc32213"/>
    </w:p>
    <w:p w14:paraId="79BEDE7A">
      <w:pPr>
        <w:pStyle w:val="3"/>
        <w:pageBreakBefore w:val="0"/>
        <w:widowControl w:val="0"/>
        <w:kinsoku/>
        <w:wordWrap/>
        <w:overflowPunct/>
        <w:topLinePunct w:val="0"/>
        <w:autoSpaceDE/>
        <w:autoSpaceDN/>
        <w:bidi w:val="0"/>
        <w:adjustRightInd/>
        <w:spacing w:before="0" w:after="0" w:line="360"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11.其他</w:t>
      </w:r>
      <w:bookmarkEnd w:id="270"/>
      <w:bookmarkEnd w:id="271"/>
      <w:bookmarkEnd w:id="272"/>
      <w:bookmarkEnd w:id="273"/>
    </w:p>
    <w:p w14:paraId="424C88D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u w:val="single"/>
        </w:rPr>
      </w:pPr>
      <w:bookmarkStart w:id="274" w:name="_Toc5620344"/>
      <w:r>
        <w:rPr>
          <w:rFonts w:hint="eastAsia" w:ascii="宋体" w:hAnsi="宋体" w:eastAsia="宋体" w:cs="宋体"/>
          <w:color w:val="auto"/>
          <w:highlight w:val="none"/>
          <w:u w:val="single"/>
        </w:rPr>
        <w:t>11.1 投标人按招标文件要求递交的所有资料,若存在虚假材料，一经发现或被投诉，经确认证实后，招标人将取消其中标资格，并上报给相关主管部门予以通报。</w:t>
      </w:r>
      <w:bookmarkEnd w:id="274"/>
    </w:p>
    <w:p w14:paraId="6A5F1432">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11.2投标人如在本项目中存在串通投标、弄虚作假、行贿情形的，中标无效，该投标人将被招标人列入黑名单并限制其投标。行政监督部门将对其违法行为进行政处罚并通报。</w:t>
      </w:r>
    </w:p>
    <w:p w14:paraId="270FA0E7">
      <w:pPr>
        <w:pStyle w:val="23"/>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highlight w:val="none"/>
        </w:rPr>
        <w:sectPr>
          <w:footerReference r:id="rId6" w:type="default"/>
          <w:pgSz w:w="11906" w:h="16838"/>
          <w:pgMar w:top="1134" w:right="1417" w:bottom="1134" w:left="1417" w:header="851" w:footer="567" w:gutter="0"/>
          <w:pgNumType w:start="1"/>
          <w:cols w:space="720" w:num="1"/>
          <w:docGrid w:type="lines" w:linePitch="312" w:charSpace="0"/>
        </w:sectPr>
      </w:pPr>
    </w:p>
    <w:p w14:paraId="7E7915CA">
      <w:pPr>
        <w:pStyle w:val="4"/>
        <w:spacing w:line="240" w:lineRule="auto"/>
        <w:rPr>
          <w:rFonts w:hint="eastAsia" w:ascii="宋体" w:eastAsia="宋体"/>
          <w:color w:val="auto"/>
          <w:highlight w:val="none"/>
        </w:rPr>
      </w:pPr>
      <w:bookmarkStart w:id="275" w:name="_Toc86413329"/>
      <w:bookmarkStart w:id="276" w:name="_Toc165358824"/>
      <w:bookmarkStart w:id="277" w:name="_Toc165358689"/>
      <w:r>
        <w:rPr>
          <w:rFonts w:hint="eastAsia" w:ascii="宋体" w:eastAsia="宋体"/>
          <w:color w:val="auto"/>
          <w:highlight w:val="none"/>
        </w:rPr>
        <w:t>附件一：开标记录表</w:t>
      </w:r>
      <w:bookmarkEnd w:id="275"/>
    </w:p>
    <w:p w14:paraId="51C7DEBD">
      <w:pPr>
        <w:jc w:val="center"/>
        <w:rPr>
          <w:rFonts w:hint="eastAsia" w:ascii="宋体" w:hAnsi="宋体" w:eastAsia="宋体" w:cs="宋体"/>
          <w:color w:val="auto"/>
          <w:sz w:val="28"/>
          <w:szCs w:val="28"/>
          <w:highlight w:val="none"/>
        </w:rPr>
      </w:pPr>
      <w:r>
        <w:rPr>
          <w:rStyle w:val="47"/>
          <w:rFonts w:hint="eastAsia" w:ascii="宋体" w:hAnsi="宋体" w:eastAsia="宋体" w:cs="宋体"/>
          <w:bCs w:val="0"/>
          <w:color w:val="auto"/>
          <w:sz w:val="28"/>
          <w:szCs w:val="28"/>
          <w:highlight w:val="none"/>
        </w:rPr>
        <w:t>（仅供参考，具体按交易中心系统导出为准）</w:t>
      </w:r>
      <w:bookmarkEnd w:id="276"/>
      <w:bookmarkEnd w:id="277"/>
    </w:p>
    <w:p w14:paraId="704E4E6C">
      <w:pPr>
        <w:jc w:val="center"/>
        <w:rPr>
          <w:rFonts w:ascii="宋体" w:hAnsi="宋体" w:cs="宋体"/>
          <w:color w:val="auto"/>
          <w:sz w:val="28"/>
          <w:szCs w:val="28"/>
          <w:highlight w:val="none"/>
        </w:rPr>
      </w:pPr>
      <w:r>
        <w:rPr>
          <w:rFonts w:hint="eastAsia" w:ascii="宋体" w:hAnsi="宋体" w:cs="宋体"/>
          <w:color w:val="auto"/>
          <w:sz w:val="28"/>
          <w:szCs w:val="28"/>
          <w:highlight w:val="none"/>
        </w:rPr>
        <w:t>开标记录表</w:t>
      </w:r>
    </w:p>
    <w:p w14:paraId="00B277F9">
      <w:pPr>
        <w:ind w:right="420"/>
        <w:jc w:val="right"/>
        <w:rPr>
          <w:rFonts w:ascii="宋体" w:hAnsi="宋体" w:cs="宋体"/>
          <w:color w:val="auto"/>
          <w:highlight w:val="none"/>
        </w:rPr>
      </w:pPr>
      <w:r>
        <w:rPr>
          <w:rFonts w:hint="eastAsia" w:ascii="宋体" w:hAnsi="宋体" w:cs="宋体"/>
          <w:color w:val="auto"/>
          <w:highlight w:val="none"/>
        </w:rPr>
        <w:t>开标时间：年月日时分</w:t>
      </w:r>
    </w:p>
    <w:tbl>
      <w:tblPr>
        <w:tblStyle w:val="45"/>
        <w:tblW w:w="13378" w:type="dxa"/>
        <w:jc w:val="center"/>
        <w:tblLayout w:type="fixed"/>
        <w:tblCellMar>
          <w:top w:w="0" w:type="dxa"/>
          <w:left w:w="108" w:type="dxa"/>
          <w:bottom w:w="0" w:type="dxa"/>
          <w:right w:w="108" w:type="dxa"/>
        </w:tblCellMar>
      </w:tblPr>
      <w:tblGrid>
        <w:gridCol w:w="732"/>
        <w:gridCol w:w="1418"/>
        <w:gridCol w:w="824"/>
        <w:gridCol w:w="824"/>
        <w:gridCol w:w="756"/>
        <w:gridCol w:w="709"/>
        <w:gridCol w:w="708"/>
        <w:gridCol w:w="708"/>
        <w:gridCol w:w="915"/>
        <w:gridCol w:w="776"/>
        <w:gridCol w:w="896"/>
        <w:gridCol w:w="896"/>
        <w:gridCol w:w="1197"/>
        <w:gridCol w:w="1316"/>
        <w:gridCol w:w="703"/>
      </w:tblGrid>
      <w:tr w14:paraId="0A7EC906">
        <w:tblPrEx>
          <w:tblCellMar>
            <w:top w:w="0" w:type="dxa"/>
            <w:left w:w="108" w:type="dxa"/>
            <w:bottom w:w="0" w:type="dxa"/>
            <w:right w:w="108" w:type="dxa"/>
          </w:tblCellMar>
        </w:tblPrEx>
        <w:trPr>
          <w:trHeight w:val="9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14:paraId="294FF652">
            <w:pPr>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序号</w:t>
            </w:r>
          </w:p>
        </w:tc>
        <w:tc>
          <w:tcPr>
            <w:tcW w:w="1418" w:type="dxa"/>
            <w:tcBorders>
              <w:top w:val="single" w:color="000000" w:sz="4" w:space="0"/>
              <w:left w:val="single" w:color="000000" w:sz="4" w:space="0"/>
              <w:bottom w:val="single" w:color="000000" w:sz="4" w:space="0"/>
              <w:right w:val="single" w:color="000000" w:sz="4" w:space="0"/>
            </w:tcBorders>
            <w:vAlign w:val="center"/>
          </w:tcPr>
          <w:p w14:paraId="27FB183C">
            <w:pPr>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投标人名称</w:t>
            </w:r>
          </w:p>
        </w:tc>
        <w:tc>
          <w:tcPr>
            <w:tcW w:w="824" w:type="dxa"/>
            <w:tcBorders>
              <w:top w:val="single" w:color="000000" w:sz="4" w:space="0"/>
              <w:left w:val="single" w:color="000000" w:sz="4" w:space="0"/>
              <w:bottom w:val="single" w:color="000000" w:sz="4" w:space="0"/>
              <w:right w:val="single" w:color="000000" w:sz="4" w:space="0"/>
            </w:tcBorders>
            <w:vAlign w:val="center"/>
          </w:tcPr>
          <w:p w14:paraId="0C8B4938">
            <w:pPr>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投标文件解密情况</w:t>
            </w:r>
          </w:p>
        </w:tc>
        <w:tc>
          <w:tcPr>
            <w:tcW w:w="824" w:type="dxa"/>
            <w:tcBorders>
              <w:top w:val="single" w:color="000000" w:sz="4" w:space="0"/>
              <w:left w:val="single" w:color="000000" w:sz="4" w:space="0"/>
              <w:bottom w:val="single" w:color="000000" w:sz="4" w:space="0"/>
              <w:right w:val="single" w:color="000000" w:sz="4" w:space="0"/>
            </w:tcBorders>
            <w:vAlign w:val="center"/>
          </w:tcPr>
          <w:p w14:paraId="14FFDC7A">
            <w:pPr>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工期</w:t>
            </w:r>
          </w:p>
        </w:tc>
        <w:tc>
          <w:tcPr>
            <w:tcW w:w="756" w:type="dxa"/>
            <w:tcBorders>
              <w:top w:val="single" w:color="000000" w:sz="4" w:space="0"/>
              <w:left w:val="single" w:color="000000" w:sz="4" w:space="0"/>
              <w:right w:val="single" w:color="auto" w:sz="4" w:space="0"/>
            </w:tcBorders>
            <w:vAlign w:val="center"/>
          </w:tcPr>
          <w:p w14:paraId="52045E5D">
            <w:pPr>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项目负责人</w:t>
            </w:r>
          </w:p>
        </w:tc>
        <w:tc>
          <w:tcPr>
            <w:tcW w:w="709" w:type="dxa"/>
            <w:tcBorders>
              <w:top w:val="single" w:color="000000" w:sz="4" w:space="0"/>
              <w:left w:val="single" w:color="000000" w:sz="4" w:space="0"/>
              <w:right w:val="single" w:color="auto" w:sz="4" w:space="0"/>
            </w:tcBorders>
            <w:vAlign w:val="center"/>
          </w:tcPr>
          <w:p w14:paraId="679A6C10">
            <w:pPr>
              <w:jc w:val="center"/>
              <w:rPr>
                <w:rFonts w:ascii="宋体" w:hAnsi="宋体" w:cs="宋体"/>
                <w:color w:val="auto"/>
                <w:kern w:val="1"/>
                <w:sz w:val="18"/>
                <w:szCs w:val="18"/>
                <w:highlight w:val="none"/>
              </w:rPr>
            </w:pPr>
            <w:bookmarkStart w:id="278" w:name="OLE_LINK7"/>
            <w:r>
              <w:rPr>
                <w:rFonts w:hint="eastAsia" w:ascii="宋体" w:hAnsi="宋体" w:cs="宋体"/>
                <w:color w:val="auto"/>
                <w:kern w:val="1"/>
                <w:sz w:val="18"/>
                <w:szCs w:val="18"/>
                <w:highlight w:val="none"/>
              </w:rPr>
              <w:t>设计负责人</w:t>
            </w:r>
            <w:bookmarkEnd w:id="278"/>
          </w:p>
        </w:tc>
        <w:tc>
          <w:tcPr>
            <w:tcW w:w="708" w:type="dxa"/>
            <w:tcBorders>
              <w:top w:val="single" w:color="000000" w:sz="4" w:space="0"/>
              <w:left w:val="single" w:color="000000" w:sz="4" w:space="0"/>
              <w:right w:val="single" w:color="auto" w:sz="4" w:space="0"/>
            </w:tcBorders>
            <w:vAlign w:val="center"/>
          </w:tcPr>
          <w:p w14:paraId="7D403CB9">
            <w:pPr>
              <w:jc w:val="center"/>
              <w:rPr>
                <w:rFonts w:ascii="宋体" w:hAnsi="宋体" w:cs="宋体"/>
                <w:color w:val="auto"/>
                <w:kern w:val="1"/>
                <w:sz w:val="18"/>
                <w:szCs w:val="18"/>
                <w:highlight w:val="none"/>
              </w:rPr>
            </w:pPr>
            <w:bookmarkStart w:id="279" w:name="OLE_LINK8"/>
            <w:bookmarkStart w:id="280" w:name="OLE_LINK9"/>
            <w:r>
              <w:rPr>
                <w:rFonts w:hint="eastAsia" w:ascii="宋体" w:hAnsi="宋体" w:cs="宋体"/>
                <w:color w:val="auto"/>
                <w:kern w:val="1"/>
                <w:sz w:val="18"/>
                <w:szCs w:val="18"/>
                <w:highlight w:val="none"/>
              </w:rPr>
              <w:t>技术负责人</w:t>
            </w:r>
            <w:bookmarkEnd w:id="279"/>
            <w:bookmarkEnd w:id="280"/>
          </w:p>
        </w:tc>
        <w:tc>
          <w:tcPr>
            <w:tcW w:w="708" w:type="dxa"/>
            <w:tcBorders>
              <w:top w:val="single" w:color="000000" w:sz="4" w:space="0"/>
              <w:left w:val="single" w:color="000000" w:sz="4" w:space="0"/>
              <w:right w:val="single" w:color="auto" w:sz="4" w:space="0"/>
            </w:tcBorders>
            <w:vAlign w:val="center"/>
          </w:tcPr>
          <w:p w14:paraId="68065743">
            <w:pPr>
              <w:jc w:val="center"/>
              <w:rPr>
                <w:rFonts w:ascii="宋体" w:hAnsi="宋体" w:cs="宋体"/>
                <w:color w:val="auto"/>
                <w:kern w:val="1"/>
                <w:sz w:val="18"/>
                <w:szCs w:val="18"/>
                <w:highlight w:val="none"/>
              </w:rPr>
            </w:pPr>
            <w:bookmarkStart w:id="281" w:name="OLE_LINK15"/>
            <w:bookmarkStart w:id="282" w:name="OLE_LINK12"/>
            <w:r>
              <w:rPr>
                <w:rFonts w:hint="eastAsia" w:ascii="宋体" w:hAnsi="宋体" w:cs="宋体"/>
                <w:color w:val="auto"/>
                <w:kern w:val="1"/>
                <w:sz w:val="18"/>
                <w:szCs w:val="18"/>
                <w:highlight w:val="none"/>
              </w:rPr>
              <w:t>专职安全员</w:t>
            </w:r>
            <w:bookmarkEnd w:id="281"/>
            <w:bookmarkEnd w:id="282"/>
          </w:p>
        </w:tc>
        <w:tc>
          <w:tcPr>
            <w:tcW w:w="915" w:type="dxa"/>
            <w:tcBorders>
              <w:top w:val="single" w:color="000000" w:sz="4" w:space="0"/>
              <w:left w:val="single" w:color="000000" w:sz="4" w:space="0"/>
              <w:right w:val="single" w:color="000000" w:sz="4" w:space="0"/>
            </w:tcBorders>
            <w:vAlign w:val="center"/>
          </w:tcPr>
          <w:p w14:paraId="392E0F1E">
            <w:pPr>
              <w:jc w:val="center"/>
              <w:rPr>
                <w:rFonts w:ascii="宋体" w:hAnsi="宋体" w:cs="宋体"/>
                <w:color w:val="auto"/>
                <w:kern w:val="1"/>
                <w:sz w:val="18"/>
                <w:szCs w:val="18"/>
                <w:highlight w:val="none"/>
              </w:rPr>
            </w:pPr>
            <w:bookmarkStart w:id="283" w:name="OLE_LINK17"/>
            <w:bookmarkStart w:id="284" w:name="OLE_LINK16"/>
            <w:r>
              <w:rPr>
                <w:rFonts w:hint="eastAsia" w:ascii="宋体" w:hAnsi="宋体" w:cs="宋体"/>
                <w:color w:val="auto"/>
                <w:kern w:val="1"/>
                <w:sz w:val="18"/>
                <w:szCs w:val="18"/>
                <w:highlight w:val="none"/>
              </w:rPr>
              <w:t>投标总报价</w:t>
            </w:r>
            <w:bookmarkEnd w:id="283"/>
            <w:bookmarkEnd w:id="284"/>
            <w:r>
              <w:rPr>
                <w:rFonts w:hint="eastAsia" w:ascii="宋体" w:hAnsi="宋体" w:cs="宋体"/>
                <w:color w:val="auto"/>
                <w:kern w:val="1"/>
                <w:sz w:val="18"/>
                <w:szCs w:val="18"/>
                <w:highlight w:val="none"/>
              </w:rPr>
              <w:t>（人民币：元）</w:t>
            </w:r>
          </w:p>
        </w:tc>
        <w:tc>
          <w:tcPr>
            <w:tcW w:w="776" w:type="dxa"/>
            <w:tcBorders>
              <w:top w:val="single" w:color="000000" w:sz="4" w:space="0"/>
              <w:left w:val="single" w:color="000000" w:sz="4" w:space="0"/>
              <w:bottom w:val="single" w:color="000000" w:sz="4" w:space="0"/>
              <w:right w:val="single" w:color="000000" w:sz="4" w:space="0"/>
            </w:tcBorders>
            <w:vAlign w:val="center"/>
          </w:tcPr>
          <w:p w14:paraId="0A3D8314">
            <w:pPr>
              <w:jc w:val="center"/>
              <w:rPr>
                <w:rFonts w:ascii="宋体" w:hAnsi="宋体" w:cs="宋体"/>
                <w:color w:val="auto"/>
                <w:kern w:val="1"/>
                <w:highlight w:val="none"/>
              </w:rPr>
            </w:pPr>
            <w:bookmarkStart w:id="285" w:name="OLE_LINK18"/>
            <w:bookmarkStart w:id="286" w:name="OLE_LINK22"/>
            <w:r>
              <w:rPr>
                <w:rFonts w:hint="eastAsia" w:ascii="宋体" w:hAnsi="宋体" w:cs="宋体"/>
                <w:color w:val="auto"/>
                <w:kern w:val="1"/>
                <w:sz w:val="18"/>
                <w:szCs w:val="18"/>
                <w:highlight w:val="none"/>
              </w:rPr>
              <w:t>设计费</w:t>
            </w:r>
            <w:bookmarkEnd w:id="285"/>
            <w:bookmarkEnd w:id="286"/>
            <w:r>
              <w:rPr>
                <w:rFonts w:hint="eastAsia" w:ascii="宋体" w:hAnsi="宋体" w:cs="宋体"/>
                <w:color w:val="auto"/>
                <w:kern w:val="1"/>
                <w:sz w:val="18"/>
                <w:szCs w:val="18"/>
                <w:highlight w:val="none"/>
                <w:lang w:eastAsia="zh-CN"/>
              </w:rPr>
              <w:t>（</w:t>
            </w:r>
            <w:r>
              <w:rPr>
                <w:rFonts w:hint="eastAsia" w:ascii="宋体" w:hAnsi="宋体" w:cs="宋体"/>
                <w:color w:val="auto"/>
                <w:kern w:val="1"/>
                <w:sz w:val="18"/>
                <w:szCs w:val="18"/>
                <w:highlight w:val="none"/>
                <w:lang w:val="en-US" w:eastAsia="zh-CN"/>
              </w:rPr>
              <w:t>含BIM设计费</w:t>
            </w:r>
            <w:r>
              <w:rPr>
                <w:rFonts w:hint="eastAsia" w:ascii="宋体" w:hAnsi="宋体" w:cs="宋体"/>
                <w:color w:val="auto"/>
                <w:kern w:val="1"/>
                <w:sz w:val="18"/>
                <w:szCs w:val="18"/>
                <w:highlight w:val="none"/>
                <w:lang w:eastAsia="zh-CN"/>
              </w:rPr>
              <w:t>）</w:t>
            </w:r>
            <w:r>
              <w:rPr>
                <w:rFonts w:hint="eastAsia" w:ascii="宋体" w:hAnsi="宋体" w:cs="宋体"/>
                <w:color w:val="auto"/>
                <w:kern w:val="1"/>
                <w:sz w:val="18"/>
                <w:szCs w:val="18"/>
                <w:highlight w:val="none"/>
              </w:rPr>
              <w:t>（人民币：元）</w:t>
            </w:r>
          </w:p>
        </w:tc>
        <w:tc>
          <w:tcPr>
            <w:tcW w:w="896" w:type="dxa"/>
            <w:tcBorders>
              <w:top w:val="single" w:color="000000" w:sz="4" w:space="0"/>
              <w:left w:val="single" w:color="000000" w:sz="4" w:space="0"/>
              <w:bottom w:val="single" w:color="000000" w:sz="4" w:space="0"/>
              <w:right w:val="single" w:color="000000" w:sz="4" w:space="0"/>
            </w:tcBorders>
            <w:vAlign w:val="center"/>
          </w:tcPr>
          <w:p w14:paraId="638262BE">
            <w:pPr>
              <w:jc w:val="center"/>
              <w:rPr>
                <w:rFonts w:ascii="宋体" w:hAnsi="宋体" w:cs="宋体"/>
                <w:color w:val="auto"/>
                <w:kern w:val="1"/>
                <w:sz w:val="18"/>
                <w:szCs w:val="18"/>
                <w:highlight w:val="none"/>
              </w:rPr>
            </w:pPr>
            <w:bookmarkStart w:id="287" w:name="OLE_LINK26"/>
            <w:bookmarkStart w:id="288" w:name="OLE_LINK25"/>
            <w:r>
              <w:rPr>
                <w:rFonts w:hint="eastAsia" w:ascii="宋体" w:hAnsi="宋体" w:cs="宋体"/>
                <w:color w:val="auto"/>
                <w:kern w:val="1"/>
                <w:sz w:val="18"/>
                <w:szCs w:val="18"/>
                <w:highlight w:val="none"/>
                <w:lang w:val="en-US" w:eastAsia="zh-CN"/>
              </w:rPr>
              <w:t>工程费</w:t>
            </w:r>
            <w:r>
              <w:rPr>
                <w:rFonts w:hint="eastAsia" w:ascii="宋体" w:hAnsi="宋体" w:cs="宋体"/>
                <w:color w:val="auto"/>
                <w:kern w:val="1"/>
                <w:sz w:val="18"/>
                <w:szCs w:val="18"/>
                <w:highlight w:val="none"/>
              </w:rPr>
              <w:t>（人民币：元）</w:t>
            </w:r>
            <w:bookmarkEnd w:id="287"/>
            <w:bookmarkEnd w:id="288"/>
          </w:p>
        </w:tc>
        <w:tc>
          <w:tcPr>
            <w:tcW w:w="896" w:type="dxa"/>
            <w:tcBorders>
              <w:top w:val="single" w:color="000000" w:sz="4" w:space="0"/>
              <w:left w:val="single" w:color="000000" w:sz="4" w:space="0"/>
              <w:bottom w:val="single" w:color="000000" w:sz="4" w:space="0"/>
              <w:right w:val="single" w:color="000000" w:sz="4" w:space="0"/>
            </w:tcBorders>
            <w:vAlign w:val="center"/>
          </w:tcPr>
          <w:p w14:paraId="39311A6E">
            <w:pPr>
              <w:jc w:val="center"/>
              <w:rPr>
                <w:rFonts w:ascii="宋体" w:hAnsi="宋体" w:cs="宋体"/>
                <w:color w:val="auto"/>
                <w:kern w:val="1"/>
                <w:sz w:val="18"/>
                <w:szCs w:val="18"/>
                <w:highlight w:val="none"/>
              </w:rPr>
            </w:pPr>
            <w:bookmarkStart w:id="289" w:name="OLE_LINK28"/>
            <w:bookmarkStart w:id="290" w:name="OLE_LINK27"/>
            <w:r>
              <w:rPr>
                <w:rFonts w:hint="eastAsia" w:ascii="宋体" w:hAnsi="宋体" w:cs="宋体"/>
                <w:color w:val="auto"/>
                <w:kern w:val="1"/>
                <w:sz w:val="18"/>
                <w:szCs w:val="18"/>
                <w:highlight w:val="none"/>
                <w:lang w:val="en-US" w:eastAsia="zh-CN"/>
              </w:rPr>
              <w:t>工程费</w:t>
            </w:r>
            <w:r>
              <w:rPr>
                <w:rFonts w:hint="eastAsia" w:ascii="宋体" w:hAnsi="宋体" w:cs="宋体"/>
                <w:color w:val="auto"/>
                <w:kern w:val="1"/>
                <w:sz w:val="18"/>
                <w:szCs w:val="18"/>
                <w:highlight w:val="none"/>
              </w:rPr>
              <w:t>投标下浮率（%）</w:t>
            </w:r>
            <w:bookmarkEnd w:id="289"/>
            <w:bookmarkEnd w:id="290"/>
          </w:p>
        </w:tc>
        <w:tc>
          <w:tcPr>
            <w:tcW w:w="1197" w:type="dxa"/>
            <w:tcBorders>
              <w:top w:val="single" w:color="000000" w:sz="4" w:space="0"/>
              <w:left w:val="single" w:color="000000" w:sz="4" w:space="0"/>
              <w:right w:val="single" w:color="000000" w:sz="4" w:space="0"/>
            </w:tcBorders>
            <w:vAlign w:val="center"/>
          </w:tcPr>
          <w:p w14:paraId="77D25EEC">
            <w:pPr>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投标担保</w:t>
            </w:r>
          </w:p>
        </w:tc>
        <w:tc>
          <w:tcPr>
            <w:tcW w:w="1316" w:type="dxa"/>
            <w:tcBorders>
              <w:top w:val="single" w:color="000000" w:sz="4" w:space="0"/>
              <w:left w:val="single" w:color="000000" w:sz="4" w:space="0"/>
              <w:right w:val="single" w:color="000000" w:sz="4" w:space="0"/>
            </w:tcBorders>
            <w:vAlign w:val="center"/>
          </w:tcPr>
          <w:p w14:paraId="72F93493">
            <w:pPr>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投标人代表签名</w:t>
            </w:r>
          </w:p>
        </w:tc>
        <w:tc>
          <w:tcPr>
            <w:tcW w:w="703" w:type="dxa"/>
            <w:tcBorders>
              <w:top w:val="single" w:color="000000" w:sz="4" w:space="0"/>
              <w:left w:val="single" w:color="000000" w:sz="4" w:space="0"/>
              <w:right w:val="single" w:color="000000" w:sz="4" w:space="0"/>
            </w:tcBorders>
            <w:vAlign w:val="center"/>
          </w:tcPr>
          <w:p w14:paraId="618A12A5">
            <w:pPr>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备注</w:t>
            </w:r>
          </w:p>
        </w:tc>
      </w:tr>
      <w:tr w14:paraId="66F10656">
        <w:tblPrEx>
          <w:tblCellMar>
            <w:top w:w="0" w:type="dxa"/>
            <w:left w:w="108" w:type="dxa"/>
            <w:bottom w:w="0" w:type="dxa"/>
            <w:right w:w="108" w:type="dxa"/>
          </w:tblCellMar>
        </w:tblPrEx>
        <w:trPr>
          <w:jc w:val="center"/>
        </w:trPr>
        <w:tc>
          <w:tcPr>
            <w:tcW w:w="732" w:type="dxa"/>
            <w:tcBorders>
              <w:top w:val="single" w:color="000000" w:sz="4" w:space="0"/>
              <w:left w:val="single" w:color="000000" w:sz="4" w:space="0"/>
              <w:bottom w:val="single" w:color="000000" w:sz="4" w:space="0"/>
              <w:right w:val="single" w:color="000000" w:sz="4" w:space="0"/>
            </w:tcBorders>
            <w:vAlign w:val="center"/>
          </w:tcPr>
          <w:p w14:paraId="3E6AEFAE">
            <w:pPr>
              <w:spacing w:line="620" w:lineRule="exact"/>
              <w:jc w:val="center"/>
              <w:rPr>
                <w:rFonts w:ascii="宋体" w:hAnsi="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14CE35CA">
            <w:pPr>
              <w:spacing w:line="620" w:lineRule="exact"/>
              <w:jc w:val="center"/>
              <w:rPr>
                <w:rFonts w:ascii="宋体" w:hAnsi="宋体" w:cs="宋体"/>
                <w:color w:val="auto"/>
                <w:kern w:val="1"/>
                <w:szCs w:val="21"/>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2DB6F87A">
            <w:pPr>
              <w:spacing w:line="620" w:lineRule="exact"/>
              <w:jc w:val="center"/>
              <w:rPr>
                <w:rFonts w:ascii="宋体" w:hAnsi="宋体" w:cs="宋体"/>
                <w:color w:val="auto"/>
                <w:kern w:val="1"/>
                <w:szCs w:val="21"/>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187C01D1">
            <w:pPr>
              <w:spacing w:line="620" w:lineRule="exact"/>
              <w:jc w:val="center"/>
              <w:rPr>
                <w:rFonts w:ascii="宋体" w:hAnsi="宋体" w:cs="宋体"/>
                <w:color w:val="auto"/>
                <w:kern w:val="1"/>
                <w:szCs w:val="21"/>
                <w:highlight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1314A442">
            <w:pPr>
              <w:spacing w:line="620" w:lineRule="exact"/>
              <w:jc w:val="center"/>
              <w:rPr>
                <w:rFonts w:ascii="宋体" w:hAnsi="宋体" w:cs="宋体"/>
                <w:color w:val="auto"/>
                <w:kern w:val="1"/>
                <w:szCs w:val="21"/>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26869B76">
            <w:pPr>
              <w:spacing w:line="620" w:lineRule="exact"/>
              <w:jc w:val="center"/>
              <w:rPr>
                <w:rFonts w:ascii="宋体" w:hAnsi="宋体" w:cs="宋体"/>
                <w:color w:val="auto"/>
                <w:kern w:val="1"/>
                <w:szCs w:val="21"/>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132B3B39">
            <w:pPr>
              <w:spacing w:line="620" w:lineRule="exact"/>
              <w:jc w:val="center"/>
              <w:rPr>
                <w:rFonts w:ascii="宋体" w:hAnsi="宋体" w:cs="宋体"/>
                <w:color w:val="auto"/>
                <w:kern w:val="1"/>
                <w:szCs w:val="21"/>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1BD72558">
            <w:pPr>
              <w:spacing w:line="620" w:lineRule="exact"/>
              <w:jc w:val="center"/>
              <w:rPr>
                <w:rFonts w:ascii="宋体" w:hAnsi="宋体" w:cs="宋体"/>
                <w:color w:val="auto"/>
                <w:kern w:val="1"/>
                <w:szCs w:val="21"/>
                <w:highlight w:val="none"/>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09F9A43F">
            <w:pPr>
              <w:spacing w:line="620" w:lineRule="exact"/>
              <w:jc w:val="center"/>
              <w:rPr>
                <w:rFonts w:ascii="宋体" w:hAnsi="宋体" w:cs="宋体"/>
                <w:color w:val="auto"/>
                <w:kern w:val="1"/>
                <w:szCs w:val="21"/>
                <w:highlight w:val="none"/>
              </w:rPr>
            </w:pPr>
          </w:p>
        </w:tc>
        <w:tc>
          <w:tcPr>
            <w:tcW w:w="776" w:type="dxa"/>
            <w:tcBorders>
              <w:top w:val="single" w:color="000000" w:sz="4" w:space="0"/>
              <w:left w:val="single" w:color="000000" w:sz="4" w:space="0"/>
              <w:bottom w:val="single" w:color="000000" w:sz="4" w:space="0"/>
              <w:right w:val="single" w:color="000000" w:sz="4" w:space="0"/>
            </w:tcBorders>
          </w:tcPr>
          <w:p w14:paraId="51E47D54">
            <w:pPr>
              <w:spacing w:line="620" w:lineRule="exact"/>
              <w:jc w:val="center"/>
              <w:rPr>
                <w:rFonts w:ascii="宋体" w:hAnsi="宋体" w:cs="宋体"/>
                <w:color w:val="auto"/>
                <w:kern w:val="1"/>
                <w:szCs w:val="21"/>
                <w:highlight w:val="none"/>
              </w:rPr>
            </w:pPr>
          </w:p>
        </w:tc>
        <w:tc>
          <w:tcPr>
            <w:tcW w:w="896" w:type="dxa"/>
            <w:tcBorders>
              <w:top w:val="single" w:color="000000" w:sz="4" w:space="0"/>
              <w:left w:val="single" w:color="000000" w:sz="4" w:space="0"/>
              <w:bottom w:val="single" w:color="000000" w:sz="4" w:space="0"/>
              <w:right w:val="single" w:color="000000" w:sz="4" w:space="0"/>
            </w:tcBorders>
          </w:tcPr>
          <w:p w14:paraId="262F749C">
            <w:pPr>
              <w:spacing w:line="620" w:lineRule="exact"/>
              <w:jc w:val="center"/>
              <w:rPr>
                <w:rFonts w:ascii="宋体" w:hAnsi="宋体" w:cs="宋体"/>
                <w:color w:val="auto"/>
                <w:kern w:val="1"/>
                <w:szCs w:val="21"/>
                <w:highlight w:val="none"/>
              </w:rPr>
            </w:pPr>
          </w:p>
        </w:tc>
        <w:tc>
          <w:tcPr>
            <w:tcW w:w="896" w:type="dxa"/>
            <w:tcBorders>
              <w:top w:val="single" w:color="000000" w:sz="4" w:space="0"/>
              <w:left w:val="single" w:color="000000" w:sz="4" w:space="0"/>
              <w:bottom w:val="single" w:color="000000" w:sz="4" w:space="0"/>
              <w:right w:val="single" w:color="000000" w:sz="4" w:space="0"/>
            </w:tcBorders>
          </w:tcPr>
          <w:p w14:paraId="6E6B9DA6">
            <w:pPr>
              <w:spacing w:line="620" w:lineRule="exact"/>
              <w:jc w:val="center"/>
              <w:rPr>
                <w:rFonts w:ascii="宋体" w:hAnsi="宋体" w:cs="宋体"/>
                <w:color w:val="auto"/>
                <w:kern w:val="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tcPr>
          <w:p w14:paraId="4EAFCC11">
            <w:pPr>
              <w:spacing w:line="620" w:lineRule="exact"/>
              <w:jc w:val="center"/>
              <w:rPr>
                <w:rFonts w:ascii="宋体" w:hAnsi="宋体" w:cs="宋体"/>
                <w:color w:val="auto"/>
                <w:kern w:val="1"/>
                <w:szCs w:val="21"/>
                <w:highlight w:val="none"/>
              </w:rPr>
            </w:pPr>
          </w:p>
        </w:tc>
        <w:tc>
          <w:tcPr>
            <w:tcW w:w="1316" w:type="dxa"/>
            <w:tcBorders>
              <w:top w:val="single" w:color="000000" w:sz="4" w:space="0"/>
              <w:left w:val="single" w:color="000000" w:sz="4" w:space="0"/>
              <w:bottom w:val="single" w:color="000000" w:sz="4" w:space="0"/>
              <w:right w:val="single" w:color="000000" w:sz="4" w:space="0"/>
            </w:tcBorders>
          </w:tcPr>
          <w:p w14:paraId="08BA5242">
            <w:pPr>
              <w:spacing w:line="620" w:lineRule="exact"/>
              <w:jc w:val="center"/>
              <w:rPr>
                <w:rFonts w:ascii="宋体" w:hAnsi="宋体" w:cs="宋体"/>
                <w:color w:val="auto"/>
                <w:kern w:val="1"/>
                <w:szCs w:val="21"/>
                <w:highlight w:val="none"/>
              </w:rPr>
            </w:pPr>
          </w:p>
        </w:tc>
        <w:tc>
          <w:tcPr>
            <w:tcW w:w="703" w:type="dxa"/>
            <w:tcBorders>
              <w:top w:val="single" w:color="000000" w:sz="4" w:space="0"/>
              <w:left w:val="single" w:color="000000" w:sz="4" w:space="0"/>
              <w:bottom w:val="single" w:color="000000" w:sz="4" w:space="0"/>
              <w:right w:val="single" w:color="000000" w:sz="4" w:space="0"/>
            </w:tcBorders>
          </w:tcPr>
          <w:p w14:paraId="532B13D5">
            <w:pPr>
              <w:spacing w:line="620" w:lineRule="exact"/>
              <w:jc w:val="center"/>
              <w:rPr>
                <w:rFonts w:ascii="宋体" w:hAnsi="宋体" w:cs="宋体"/>
                <w:color w:val="auto"/>
                <w:kern w:val="1"/>
                <w:szCs w:val="21"/>
                <w:highlight w:val="none"/>
              </w:rPr>
            </w:pPr>
          </w:p>
        </w:tc>
      </w:tr>
      <w:tr w14:paraId="2F973E85">
        <w:tblPrEx>
          <w:tblCellMar>
            <w:top w:w="0" w:type="dxa"/>
            <w:left w:w="108" w:type="dxa"/>
            <w:bottom w:w="0" w:type="dxa"/>
            <w:right w:w="108" w:type="dxa"/>
          </w:tblCellMar>
        </w:tblPrEx>
        <w:trPr>
          <w:jc w:val="center"/>
        </w:trPr>
        <w:tc>
          <w:tcPr>
            <w:tcW w:w="732" w:type="dxa"/>
            <w:tcBorders>
              <w:top w:val="single" w:color="000000" w:sz="4" w:space="0"/>
              <w:left w:val="single" w:color="000000" w:sz="4" w:space="0"/>
              <w:bottom w:val="single" w:color="000000" w:sz="4" w:space="0"/>
              <w:right w:val="single" w:color="000000" w:sz="4" w:space="0"/>
            </w:tcBorders>
            <w:vAlign w:val="center"/>
          </w:tcPr>
          <w:p w14:paraId="31AFC5C6">
            <w:pPr>
              <w:spacing w:line="620" w:lineRule="exact"/>
              <w:jc w:val="center"/>
              <w:rPr>
                <w:rFonts w:ascii="宋体" w:hAnsi="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6CBB1790">
            <w:pPr>
              <w:spacing w:line="620" w:lineRule="exact"/>
              <w:jc w:val="center"/>
              <w:rPr>
                <w:rFonts w:ascii="宋体" w:hAnsi="宋体" w:cs="宋体"/>
                <w:color w:val="auto"/>
                <w:kern w:val="1"/>
                <w:szCs w:val="21"/>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430002BE">
            <w:pPr>
              <w:spacing w:line="620" w:lineRule="exact"/>
              <w:jc w:val="center"/>
              <w:rPr>
                <w:rFonts w:ascii="宋体" w:hAnsi="宋体" w:cs="宋体"/>
                <w:color w:val="auto"/>
                <w:kern w:val="1"/>
                <w:szCs w:val="21"/>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0CB0D06E">
            <w:pPr>
              <w:spacing w:line="620" w:lineRule="exact"/>
              <w:jc w:val="center"/>
              <w:rPr>
                <w:rFonts w:ascii="宋体" w:hAnsi="宋体" w:cs="宋体"/>
                <w:color w:val="auto"/>
                <w:kern w:val="1"/>
                <w:szCs w:val="21"/>
                <w:highlight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2A39B159">
            <w:pPr>
              <w:spacing w:line="620" w:lineRule="exact"/>
              <w:jc w:val="center"/>
              <w:rPr>
                <w:rFonts w:ascii="宋体" w:hAnsi="宋体" w:cs="宋体"/>
                <w:color w:val="auto"/>
                <w:kern w:val="1"/>
                <w:szCs w:val="21"/>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0353D1C1">
            <w:pPr>
              <w:spacing w:line="620" w:lineRule="exact"/>
              <w:jc w:val="center"/>
              <w:rPr>
                <w:rFonts w:ascii="宋体" w:hAnsi="宋体" w:cs="宋体"/>
                <w:color w:val="auto"/>
                <w:kern w:val="1"/>
                <w:szCs w:val="21"/>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73DAF3C0">
            <w:pPr>
              <w:spacing w:line="620" w:lineRule="exact"/>
              <w:jc w:val="center"/>
              <w:rPr>
                <w:rFonts w:ascii="宋体" w:hAnsi="宋体" w:cs="宋体"/>
                <w:color w:val="auto"/>
                <w:kern w:val="1"/>
                <w:szCs w:val="21"/>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2728D395">
            <w:pPr>
              <w:spacing w:line="620" w:lineRule="exact"/>
              <w:jc w:val="center"/>
              <w:rPr>
                <w:rFonts w:ascii="宋体" w:hAnsi="宋体" w:cs="宋体"/>
                <w:color w:val="auto"/>
                <w:kern w:val="1"/>
                <w:szCs w:val="21"/>
                <w:highlight w:val="none"/>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1B1704E9">
            <w:pPr>
              <w:spacing w:line="620" w:lineRule="exact"/>
              <w:jc w:val="center"/>
              <w:rPr>
                <w:rFonts w:ascii="宋体" w:hAnsi="宋体" w:cs="宋体"/>
                <w:color w:val="auto"/>
                <w:kern w:val="1"/>
                <w:szCs w:val="21"/>
                <w:highlight w:val="none"/>
              </w:rPr>
            </w:pPr>
          </w:p>
        </w:tc>
        <w:tc>
          <w:tcPr>
            <w:tcW w:w="776" w:type="dxa"/>
            <w:tcBorders>
              <w:top w:val="single" w:color="000000" w:sz="4" w:space="0"/>
              <w:left w:val="single" w:color="000000" w:sz="4" w:space="0"/>
              <w:bottom w:val="single" w:color="000000" w:sz="4" w:space="0"/>
              <w:right w:val="single" w:color="000000" w:sz="4" w:space="0"/>
            </w:tcBorders>
          </w:tcPr>
          <w:p w14:paraId="30541449">
            <w:pPr>
              <w:spacing w:line="620" w:lineRule="exact"/>
              <w:jc w:val="center"/>
              <w:rPr>
                <w:rFonts w:ascii="宋体" w:hAnsi="宋体" w:cs="宋体"/>
                <w:color w:val="auto"/>
                <w:kern w:val="1"/>
                <w:szCs w:val="21"/>
                <w:highlight w:val="none"/>
              </w:rPr>
            </w:pPr>
          </w:p>
        </w:tc>
        <w:tc>
          <w:tcPr>
            <w:tcW w:w="896" w:type="dxa"/>
            <w:tcBorders>
              <w:top w:val="single" w:color="000000" w:sz="4" w:space="0"/>
              <w:left w:val="single" w:color="000000" w:sz="4" w:space="0"/>
              <w:bottom w:val="single" w:color="000000" w:sz="4" w:space="0"/>
              <w:right w:val="single" w:color="000000" w:sz="4" w:space="0"/>
            </w:tcBorders>
          </w:tcPr>
          <w:p w14:paraId="7133937F">
            <w:pPr>
              <w:spacing w:line="620" w:lineRule="exact"/>
              <w:jc w:val="center"/>
              <w:rPr>
                <w:rFonts w:ascii="宋体" w:hAnsi="宋体" w:cs="宋体"/>
                <w:color w:val="auto"/>
                <w:kern w:val="1"/>
                <w:szCs w:val="21"/>
                <w:highlight w:val="none"/>
              </w:rPr>
            </w:pPr>
          </w:p>
        </w:tc>
        <w:tc>
          <w:tcPr>
            <w:tcW w:w="896" w:type="dxa"/>
            <w:tcBorders>
              <w:top w:val="single" w:color="000000" w:sz="4" w:space="0"/>
              <w:left w:val="single" w:color="000000" w:sz="4" w:space="0"/>
              <w:bottom w:val="single" w:color="000000" w:sz="4" w:space="0"/>
              <w:right w:val="single" w:color="000000" w:sz="4" w:space="0"/>
            </w:tcBorders>
          </w:tcPr>
          <w:p w14:paraId="31597C43">
            <w:pPr>
              <w:spacing w:line="620" w:lineRule="exact"/>
              <w:jc w:val="center"/>
              <w:rPr>
                <w:rFonts w:ascii="宋体" w:hAnsi="宋体" w:cs="宋体"/>
                <w:color w:val="auto"/>
                <w:kern w:val="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tcPr>
          <w:p w14:paraId="3AB517E2">
            <w:pPr>
              <w:spacing w:line="620" w:lineRule="exact"/>
              <w:jc w:val="center"/>
              <w:rPr>
                <w:rFonts w:ascii="宋体" w:hAnsi="宋体" w:cs="宋体"/>
                <w:color w:val="auto"/>
                <w:kern w:val="1"/>
                <w:szCs w:val="21"/>
                <w:highlight w:val="none"/>
              </w:rPr>
            </w:pPr>
          </w:p>
        </w:tc>
        <w:tc>
          <w:tcPr>
            <w:tcW w:w="1316" w:type="dxa"/>
            <w:tcBorders>
              <w:top w:val="single" w:color="000000" w:sz="4" w:space="0"/>
              <w:left w:val="single" w:color="000000" w:sz="4" w:space="0"/>
              <w:bottom w:val="single" w:color="000000" w:sz="4" w:space="0"/>
              <w:right w:val="single" w:color="000000" w:sz="4" w:space="0"/>
            </w:tcBorders>
          </w:tcPr>
          <w:p w14:paraId="70E8C324">
            <w:pPr>
              <w:spacing w:line="620" w:lineRule="exact"/>
              <w:jc w:val="center"/>
              <w:rPr>
                <w:rFonts w:ascii="宋体" w:hAnsi="宋体" w:cs="宋体"/>
                <w:color w:val="auto"/>
                <w:kern w:val="1"/>
                <w:szCs w:val="21"/>
                <w:highlight w:val="none"/>
              </w:rPr>
            </w:pPr>
          </w:p>
        </w:tc>
        <w:tc>
          <w:tcPr>
            <w:tcW w:w="703" w:type="dxa"/>
            <w:tcBorders>
              <w:top w:val="single" w:color="000000" w:sz="4" w:space="0"/>
              <w:left w:val="single" w:color="000000" w:sz="4" w:space="0"/>
              <w:bottom w:val="single" w:color="000000" w:sz="4" w:space="0"/>
              <w:right w:val="single" w:color="000000" w:sz="4" w:space="0"/>
            </w:tcBorders>
          </w:tcPr>
          <w:p w14:paraId="4C83A415">
            <w:pPr>
              <w:spacing w:line="620" w:lineRule="exact"/>
              <w:jc w:val="center"/>
              <w:rPr>
                <w:rFonts w:ascii="宋体" w:hAnsi="宋体" w:cs="宋体"/>
                <w:color w:val="auto"/>
                <w:kern w:val="1"/>
                <w:szCs w:val="21"/>
                <w:highlight w:val="none"/>
              </w:rPr>
            </w:pPr>
          </w:p>
        </w:tc>
      </w:tr>
      <w:tr w14:paraId="618EF90A">
        <w:tblPrEx>
          <w:tblCellMar>
            <w:top w:w="0" w:type="dxa"/>
            <w:left w:w="108" w:type="dxa"/>
            <w:bottom w:w="0" w:type="dxa"/>
            <w:right w:w="108" w:type="dxa"/>
          </w:tblCellMar>
        </w:tblPrEx>
        <w:trPr>
          <w:jc w:val="center"/>
        </w:trPr>
        <w:tc>
          <w:tcPr>
            <w:tcW w:w="732" w:type="dxa"/>
            <w:tcBorders>
              <w:top w:val="single" w:color="000000" w:sz="4" w:space="0"/>
              <w:left w:val="single" w:color="000000" w:sz="4" w:space="0"/>
              <w:bottom w:val="single" w:color="000000" w:sz="4" w:space="0"/>
              <w:right w:val="single" w:color="000000" w:sz="4" w:space="0"/>
            </w:tcBorders>
            <w:vAlign w:val="center"/>
          </w:tcPr>
          <w:p w14:paraId="0C9E341D">
            <w:pPr>
              <w:spacing w:line="620" w:lineRule="exact"/>
              <w:jc w:val="center"/>
              <w:rPr>
                <w:rFonts w:ascii="宋体" w:hAnsi="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7C92D8F5">
            <w:pPr>
              <w:spacing w:line="620" w:lineRule="exact"/>
              <w:jc w:val="center"/>
              <w:rPr>
                <w:rFonts w:ascii="宋体" w:hAnsi="宋体" w:cs="宋体"/>
                <w:color w:val="auto"/>
                <w:kern w:val="1"/>
                <w:szCs w:val="21"/>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7E519401">
            <w:pPr>
              <w:spacing w:line="620" w:lineRule="exact"/>
              <w:jc w:val="center"/>
              <w:rPr>
                <w:rFonts w:ascii="宋体" w:hAnsi="宋体" w:cs="宋体"/>
                <w:color w:val="auto"/>
                <w:kern w:val="1"/>
                <w:szCs w:val="21"/>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51EA1C6E">
            <w:pPr>
              <w:spacing w:line="620" w:lineRule="exact"/>
              <w:jc w:val="center"/>
              <w:rPr>
                <w:rFonts w:ascii="宋体" w:hAnsi="宋体" w:cs="宋体"/>
                <w:color w:val="auto"/>
                <w:kern w:val="1"/>
                <w:szCs w:val="21"/>
                <w:highlight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198A10BA">
            <w:pPr>
              <w:spacing w:line="620" w:lineRule="exact"/>
              <w:jc w:val="center"/>
              <w:rPr>
                <w:rFonts w:ascii="宋体" w:hAnsi="宋体" w:cs="宋体"/>
                <w:color w:val="auto"/>
                <w:kern w:val="1"/>
                <w:szCs w:val="21"/>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54A2F68D">
            <w:pPr>
              <w:spacing w:line="620" w:lineRule="exact"/>
              <w:jc w:val="center"/>
              <w:rPr>
                <w:rFonts w:ascii="宋体" w:hAnsi="宋体" w:cs="宋体"/>
                <w:color w:val="auto"/>
                <w:kern w:val="1"/>
                <w:szCs w:val="21"/>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72E560E6">
            <w:pPr>
              <w:spacing w:line="620" w:lineRule="exact"/>
              <w:jc w:val="center"/>
              <w:rPr>
                <w:rFonts w:ascii="宋体" w:hAnsi="宋体" w:cs="宋体"/>
                <w:color w:val="auto"/>
                <w:kern w:val="1"/>
                <w:szCs w:val="21"/>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4063CF6D">
            <w:pPr>
              <w:spacing w:line="620" w:lineRule="exact"/>
              <w:jc w:val="center"/>
              <w:rPr>
                <w:rFonts w:ascii="宋体" w:hAnsi="宋体" w:cs="宋体"/>
                <w:color w:val="auto"/>
                <w:kern w:val="1"/>
                <w:szCs w:val="21"/>
                <w:highlight w:val="none"/>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69347F89">
            <w:pPr>
              <w:spacing w:line="620" w:lineRule="exact"/>
              <w:jc w:val="center"/>
              <w:rPr>
                <w:rFonts w:ascii="宋体" w:hAnsi="宋体" w:cs="宋体"/>
                <w:color w:val="auto"/>
                <w:kern w:val="1"/>
                <w:szCs w:val="21"/>
                <w:highlight w:val="none"/>
              </w:rPr>
            </w:pPr>
          </w:p>
        </w:tc>
        <w:tc>
          <w:tcPr>
            <w:tcW w:w="776" w:type="dxa"/>
            <w:tcBorders>
              <w:top w:val="single" w:color="000000" w:sz="4" w:space="0"/>
              <w:left w:val="single" w:color="000000" w:sz="4" w:space="0"/>
              <w:bottom w:val="single" w:color="000000" w:sz="4" w:space="0"/>
              <w:right w:val="single" w:color="000000" w:sz="4" w:space="0"/>
            </w:tcBorders>
          </w:tcPr>
          <w:p w14:paraId="5FB81D10">
            <w:pPr>
              <w:spacing w:line="620" w:lineRule="exact"/>
              <w:jc w:val="center"/>
              <w:rPr>
                <w:rFonts w:ascii="宋体" w:hAnsi="宋体" w:cs="宋体"/>
                <w:color w:val="auto"/>
                <w:kern w:val="1"/>
                <w:szCs w:val="21"/>
                <w:highlight w:val="none"/>
              </w:rPr>
            </w:pPr>
          </w:p>
        </w:tc>
        <w:tc>
          <w:tcPr>
            <w:tcW w:w="896" w:type="dxa"/>
            <w:tcBorders>
              <w:top w:val="single" w:color="000000" w:sz="4" w:space="0"/>
              <w:left w:val="single" w:color="000000" w:sz="4" w:space="0"/>
              <w:bottom w:val="single" w:color="000000" w:sz="4" w:space="0"/>
              <w:right w:val="single" w:color="000000" w:sz="4" w:space="0"/>
            </w:tcBorders>
          </w:tcPr>
          <w:p w14:paraId="7989569F">
            <w:pPr>
              <w:spacing w:line="620" w:lineRule="exact"/>
              <w:jc w:val="center"/>
              <w:rPr>
                <w:rFonts w:ascii="宋体" w:hAnsi="宋体" w:cs="宋体"/>
                <w:color w:val="auto"/>
                <w:kern w:val="1"/>
                <w:szCs w:val="21"/>
                <w:highlight w:val="none"/>
              </w:rPr>
            </w:pPr>
          </w:p>
        </w:tc>
        <w:tc>
          <w:tcPr>
            <w:tcW w:w="896" w:type="dxa"/>
            <w:tcBorders>
              <w:top w:val="single" w:color="000000" w:sz="4" w:space="0"/>
              <w:left w:val="single" w:color="000000" w:sz="4" w:space="0"/>
              <w:bottom w:val="single" w:color="000000" w:sz="4" w:space="0"/>
              <w:right w:val="single" w:color="000000" w:sz="4" w:space="0"/>
            </w:tcBorders>
          </w:tcPr>
          <w:p w14:paraId="217C412E">
            <w:pPr>
              <w:spacing w:line="620" w:lineRule="exact"/>
              <w:jc w:val="center"/>
              <w:rPr>
                <w:rFonts w:ascii="宋体" w:hAnsi="宋体" w:cs="宋体"/>
                <w:color w:val="auto"/>
                <w:kern w:val="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tcPr>
          <w:p w14:paraId="75B2201D">
            <w:pPr>
              <w:spacing w:line="620" w:lineRule="exact"/>
              <w:jc w:val="center"/>
              <w:rPr>
                <w:rFonts w:ascii="宋体" w:hAnsi="宋体" w:cs="宋体"/>
                <w:color w:val="auto"/>
                <w:kern w:val="1"/>
                <w:szCs w:val="21"/>
                <w:highlight w:val="none"/>
              </w:rPr>
            </w:pPr>
          </w:p>
        </w:tc>
        <w:tc>
          <w:tcPr>
            <w:tcW w:w="1316" w:type="dxa"/>
            <w:tcBorders>
              <w:top w:val="single" w:color="000000" w:sz="4" w:space="0"/>
              <w:left w:val="single" w:color="000000" w:sz="4" w:space="0"/>
              <w:bottom w:val="single" w:color="000000" w:sz="4" w:space="0"/>
              <w:right w:val="single" w:color="000000" w:sz="4" w:space="0"/>
            </w:tcBorders>
          </w:tcPr>
          <w:p w14:paraId="23B46CD5">
            <w:pPr>
              <w:spacing w:line="620" w:lineRule="exact"/>
              <w:jc w:val="center"/>
              <w:rPr>
                <w:rFonts w:ascii="宋体" w:hAnsi="宋体" w:cs="宋体"/>
                <w:color w:val="auto"/>
                <w:kern w:val="1"/>
                <w:szCs w:val="21"/>
                <w:highlight w:val="none"/>
              </w:rPr>
            </w:pPr>
          </w:p>
        </w:tc>
        <w:tc>
          <w:tcPr>
            <w:tcW w:w="703" w:type="dxa"/>
            <w:tcBorders>
              <w:top w:val="single" w:color="000000" w:sz="4" w:space="0"/>
              <w:left w:val="single" w:color="000000" w:sz="4" w:space="0"/>
              <w:bottom w:val="single" w:color="000000" w:sz="4" w:space="0"/>
              <w:right w:val="single" w:color="000000" w:sz="4" w:space="0"/>
            </w:tcBorders>
          </w:tcPr>
          <w:p w14:paraId="23EA1876">
            <w:pPr>
              <w:spacing w:line="620" w:lineRule="exact"/>
              <w:jc w:val="center"/>
              <w:rPr>
                <w:rFonts w:ascii="宋体" w:hAnsi="宋体" w:cs="宋体"/>
                <w:color w:val="auto"/>
                <w:kern w:val="1"/>
                <w:szCs w:val="21"/>
                <w:highlight w:val="none"/>
              </w:rPr>
            </w:pPr>
          </w:p>
        </w:tc>
      </w:tr>
      <w:tr w14:paraId="64B0EBDB">
        <w:tblPrEx>
          <w:tblCellMar>
            <w:top w:w="0" w:type="dxa"/>
            <w:left w:w="108" w:type="dxa"/>
            <w:bottom w:w="0" w:type="dxa"/>
            <w:right w:w="108" w:type="dxa"/>
          </w:tblCellMar>
        </w:tblPrEx>
        <w:trPr>
          <w:jc w:val="center"/>
        </w:trPr>
        <w:tc>
          <w:tcPr>
            <w:tcW w:w="732" w:type="dxa"/>
            <w:tcBorders>
              <w:top w:val="single" w:color="000000" w:sz="4" w:space="0"/>
              <w:left w:val="single" w:color="000000" w:sz="4" w:space="0"/>
              <w:bottom w:val="single" w:color="000000" w:sz="4" w:space="0"/>
              <w:right w:val="single" w:color="000000" w:sz="4" w:space="0"/>
            </w:tcBorders>
            <w:vAlign w:val="center"/>
          </w:tcPr>
          <w:p w14:paraId="38C332E9">
            <w:pPr>
              <w:spacing w:line="620" w:lineRule="exact"/>
              <w:jc w:val="center"/>
              <w:rPr>
                <w:rFonts w:ascii="宋体" w:hAnsi="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17F59D0D">
            <w:pPr>
              <w:spacing w:line="620" w:lineRule="exact"/>
              <w:jc w:val="center"/>
              <w:rPr>
                <w:rFonts w:ascii="宋体" w:hAnsi="宋体" w:cs="宋体"/>
                <w:color w:val="auto"/>
                <w:kern w:val="1"/>
                <w:szCs w:val="21"/>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6E20126F">
            <w:pPr>
              <w:spacing w:line="620" w:lineRule="exact"/>
              <w:jc w:val="center"/>
              <w:rPr>
                <w:rFonts w:ascii="宋体" w:hAnsi="宋体" w:cs="宋体"/>
                <w:color w:val="auto"/>
                <w:kern w:val="1"/>
                <w:szCs w:val="21"/>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05C15A41">
            <w:pPr>
              <w:spacing w:line="620" w:lineRule="exact"/>
              <w:jc w:val="center"/>
              <w:rPr>
                <w:rFonts w:ascii="宋体" w:hAnsi="宋体" w:cs="宋体"/>
                <w:color w:val="auto"/>
                <w:kern w:val="1"/>
                <w:szCs w:val="21"/>
                <w:highlight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7C394B1F">
            <w:pPr>
              <w:spacing w:line="620" w:lineRule="exact"/>
              <w:jc w:val="center"/>
              <w:rPr>
                <w:rFonts w:ascii="宋体" w:hAnsi="宋体" w:cs="宋体"/>
                <w:color w:val="auto"/>
                <w:kern w:val="1"/>
                <w:szCs w:val="21"/>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767D24FA">
            <w:pPr>
              <w:spacing w:line="620" w:lineRule="exact"/>
              <w:jc w:val="center"/>
              <w:rPr>
                <w:rFonts w:ascii="宋体" w:hAnsi="宋体" w:cs="宋体"/>
                <w:color w:val="auto"/>
                <w:kern w:val="1"/>
                <w:szCs w:val="21"/>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1EBACE58">
            <w:pPr>
              <w:spacing w:line="620" w:lineRule="exact"/>
              <w:jc w:val="center"/>
              <w:rPr>
                <w:rFonts w:ascii="宋体" w:hAnsi="宋体" w:cs="宋体"/>
                <w:color w:val="auto"/>
                <w:kern w:val="1"/>
                <w:szCs w:val="21"/>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06AD3ABF">
            <w:pPr>
              <w:spacing w:line="620" w:lineRule="exact"/>
              <w:jc w:val="center"/>
              <w:rPr>
                <w:rFonts w:ascii="宋体" w:hAnsi="宋体" w:cs="宋体"/>
                <w:color w:val="auto"/>
                <w:kern w:val="1"/>
                <w:szCs w:val="21"/>
                <w:highlight w:val="none"/>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6E8492AB">
            <w:pPr>
              <w:spacing w:line="620" w:lineRule="exact"/>
              <w:jc w:val="center"/>
              <w:rPr>
                <w:rFonts w:ascii="宋体" w:hAnsi="宋体" w:cs="宋体"/>
                <w:color w:val="auto"/>
                <w:kern w:val="1"/>
                <w:szCs w:val="21"/>
                <w:highlight w:val="none"/>
              </w:rPr>
            </w:pPr>
          </w:p>
        </w:tc>
        <w:tc>
          <w:tcPr>
            <w:tcW w:w="776" w:type="dxa"/>
            <w:tcBorders>
              <w:top w:val="single" w:color="000000" w:sz="4" w:space="0"/>
              <w:left w:val="single" w:color="000000" w:sz="4" w:space="0"/>
              <w:bottom w:val="single" w:color="000000" w:sz="4" w:space="0"/>
              <w:right w:val="single" w:color="000000" w:sz="4" w:space="0"/>
            </w:tcBorders>
          </w:tcPr>
          <w:p w14:paraId="32CEBCEE">
            <w:pPr>
              <w:spacing w:line="620" w:lineRule="exact"/>
              <w:jc w:val="center"/>
              <w:rPr>
                <w:rFonts w:ascii="宋体" w:hAnsi="宋体" w:cs="宋体"/>
                <w:color w:val="auto"/>
                <w:kern w:val="1"/>
                <w:szCs w:val="21"/>
                <w:highlight w:val="none"/>
              </w:rPr>
            </w:pPr>
          </w:p>
        </w:tc>
        <w:tc>
          <w:tcPr>
            <w:tcW w:w="896" w:type="dxa"/>
            <w:tcBorders>
              <w:top w:val="single" w:color="000000" w:sz="4" w:space="0"/>
              <w:left w:val="single" w:color="000000" w:sz="4" w:space="0"/>
              <w:bottom w:val="single" w:color="000000" w:sz="4" w:space="0"/>
              <w:right w:val="single" w:color="000000" w:sz="4" w:space="0"/>
            </w:tcBorders>
          </w:tcPr>
          <w:p w14:paraId="4DA63105">
            <w:pPr>
              <w:spacing w:line="620" w:lineRule="exact"/>
              <w:jc w:val="center"/>
              <w:rPr>
                <w:rFonts w:ascii="宋体" w:hAnsi="宋体" w:cs="宋体"/>
                <w:color w:val="auto"/>
                <w:kern w:val="1"/>
                <w:szCs w:val="21"/>
                <w:highlight w:val="none"/>
              </w:rPr>
            </w:pPr>
          </w:p>
        </w:tc>
        <w:tc>
          <w:tcPr>
            <w:tcW w:w="896" w:type="dxa"/>
            <w:tcBorders>
              <w:top w:val="single" w:color="000000" w:sz="4" w:space="0"/>
              <w:left w:val="single" w:color="000000" w:sz="4" w:space="0"/>
              <w:bottom w:val="single" w:color="000000" w:sz="4" w:space="0"/>
              <w:right w:val="single" w:color="000000" w:sz="4" w:space="0"/>
            </w:tcBorders>
          </w:tcPr>
          <w:p w14:paraId="235F8784">
            <w:pPr>
              <w:spacing w:line="620" w:lineRule="exact"/>
              <w:jc w:val="center"/>
              <w:rPr>
                <w:rFonts w:ascii="宋体" w:hAnsi="宋体" w:cs="宋体"/>
                <w:color w:val="auto"/>
                <w:kern w:val="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tcPr>
          <w:p w14:paraId="35144EDD">
            <w:pPr>
              <w:spacing w:line="620" w:lineRule="exact"/>
              <w:jc w:val="center"/>
              <w:rPr>
                <w:rFonts w:ascii="宋体" w:hAnsi="宋体" w:cs="宋体"/>
                <w:color w:val="auto"/>
                <w:kern w:val="1"/>
                <w:szCs w:val="21"/>
                <w:highlight w:val="none"/>
              </w:rPr>
            </w:pPr>
          </w:p>
        </w:tc>
        <w:tc>
          <w:tcPr>
            <w:tcW w:w="1316" w:type="dxa"/>
            <w:tcBorders>
              <w:top w:val="single" w:color="000000" w:sz="4" w:space="0"/>
              <w:left w:val="single" w:color="000000" w:sz="4" w:space="0"/>
              <w:bottom w:val="single" w:color="000000" w:sz="4" w:space="0"/>
              <w:right w:val="single" w:color="000000" w:sz="4" w:space="0"/>
            </w:tcBorders>
          </w:tcPr>
          <w:p w14:paraId="5A503439">
            <w:pPr>
              <w:spacing w:line="620" w:lineRule="exact"/>
              <w:jc w:val="center"/>
              <w:rPr>
                <w:rFonts w:ascii="宋体" w:hAnsi="宋体" w:cs="宋体"/>
                <w:color w:val="auto"/>
                <w:kern w:val="1"/>
                <w:szCs w:val="21"/>
                <w:highlight w:val="none"/>
              </w:rPr>
            </w:pPr>
          </w:p>
        </w:tc>
        <w:tc>
          <w:tcPr>
            <w:tcW w:w="703" w:type="dxa"/>
            <w:tcBorders>
              <w:top w:val="single" w:color="000000" w:sz="4" w:space="0"/>
              <w:left w:val="single" w:color="000000" w:sz="4" w:space="0"/>
              <w:bottom w:val="single" w:color="000000" w:sz="4" w:space="0"/>
              <w:right w:val="single" w:color="000000" w:sz="4" w:space="0"/>
            </w:tcBorders>
          </w:tcPr>
          <w:p w14:paraId="34D731F0">
            <w:pPr>
              <w:spacing w:line="620" w:lineRule="exact"/>
              <w:jc w:val="center"/>
              <w:rPr>
                <w:rFonts w:ascii="宋体" w:hAnsi="宋体" w:cs="宋体"/>
                <w:color w:val="auto"/>
                <w:kern w:val="1"/>
                <w:szCs w:val="21"/>
                <w:highlight w:val="none"/>
              </w:rPr>
            </w:pPr>
          </w:p>
        </w:tc>
      </w:tr>
      <w:tr w14:paraId="18ACE280">
        <w:tblPrEx>
          <w:tblCellMar>
            <w:top w:w="0" w:type="dxa"/>
            <w:left w:w="108" w:type="dxa"/>
            <w:bottom w:w="0" w:type="dxa"/>
            <w:right w:w="108" w:type="dxa"/>
          </w:tblCellMar>
        </w:tblPrEx>
        <w:trPr>
          <w:trHeight w:val="577"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14:paraId="03FAFB50">
            <w:pPr>
              <w:spacing w:line="620" w:lineRule="exact"/>
              <w:jc w:val="center"/>
              <w:rPr>
                <w:rFonts w:ascii="宋体" w:hAnsi="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6132EAB3">
            <w:pPr>
              <w:spacing w:line="620" w:lineRule="exact"/>
              <w:jc w:val="center"/>
              <w:rPr>
                <w:rFonts w:ascii="宋体" w:hAnsi="宋体" w:cs="宋体"/>
                <w:color w:val="auto"/>
                <w:kern w:val="1"/>
                <w:szCs w:val="21"/>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09831BC4">
            <w:pPr>
              <w:spacing w:line="620" w:lineRule="exact"/>
              <w:jc w:val="center"/>
              <w:rPr>
                <w:rFonts w:ascii="宋体" w:hAnsi="宋体" w:cs="宋体"/>
                <w:color w:val="auto"/>
                <w:kern w:val="1"/>
                <w:szCs w:val="21"/>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02DC1743">
            <w:pPr>
              <w:spacing w:line="620" w:lineRule="exact"/>
              <w:jc w:val="center"/>
              <w:rPr>
                <w:rFonts w:ascii="宋体" w:hAnsi="宋体" w:cs="宋体"/>
                <w:color w:val="auto"/>
                <w:kern w:val="1"/>
                <w:szCs w:val="21"/>
                <w:highlight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7A45FFE6">
            <w:pPr>
              <w:spacing w:line="620" w:lineRule="exact"/>
              <w:jc w:val="center"/>
              <w:rPr>
                <w:rFonts w:ascii="宋体" w:hAnsi="宋体" w:cs="宋体"/>
                <w:color w:val="auto"/>
                <w:kern w:val="1"/>
                <w:szCs w:val="21"/>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78517C84">
            <w:pPr>
              <w:spacing w:line="620" w:lineRule="exact"/>
              <w:jc w:val="center"/>
              <w:rPr>
                <w:rFonts w:ascii="宋体" w:hAnsi="宋体" w:cs="宋体"/>
                <w:color w:val="auto"/>
                <w:kern w:val="1"/>
                <w:szCs w:val="21"/>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7CFB7561">
            <w:pPr>
              <w:spacing w:line="620" w:lineRule="exact"/>
              <w:jc w:val="center"/>
              <w:rPr>
                <w:rFonts w:ascii="宋体" w:hAnsi="宋体" w:cs="宋体"/>
                <w:color w:val="auto"/>
                <w:kern w:val="1"/>
                <w:szCs w:val="21"/>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3864E4C6">
            <w:pPr>
              <w:spacing w:line="620" w:lineRule="exact"/>
              <w:jc w:val="center"/>
              <w:rPr>
                <w:rFonts w:ascii="宋体" w:hAnsi="宋体" w:cs="宋体"/>
                <w:color w:val="auto"/>
                <w:kern w:val="1"/>
                <w:szCs w:val="21"/>
                <w:highlight w:val="none"/>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08EB9FBB">
            <w:pPr>
              <w:spacing w:line="620" w:lineRule="exact"/>
              <w:jc w:val="center"/>
              <w:rPr>
                <w:rFonts w:ascii="宋体" w:hAnsi="宋体" w:cs="宋体"/>
                <w:color w:val="auto"/>
                <w:kern w:val="1"/>
                <w:szCs w:val="21"/>
                <w:highlight w:val="none"/>
              </w:rPr>
            </w:pPr>
          </w:p>
        </w:tc>
        <w:tc>
          <w:tcPr>
            <w:tcW w:w="776" w:type="dxa"/>
            <w:tcBorders>
              <w:top w:val="single" w:color="000000" w:sz="4" w:space="0"/>
              <w:left w:val="single" w:color="000000" w:sz="4" w:space="0"/>
              <w:bottom w:val="single" w:color="000000" w:sz="4" w:space="0"/>
              <w:right w:val="single" w:color="000000" w:sz="4" w:space="0"/>
            </w:tcBorders>
          </w:tcPr>
          <w:p w14:paraId="3BCAF2A9">
            <w:pPr>
              <w:spacing w:line="620" w:lineRule="exact"/>
              <w:jc w:val="center"/>
              <w:rPr>
                <w:rFonts w:ascii="宋体" w:hAnsi="宋体" w:cs="宋体"/>
                <w:color w:val="auto"/>
                <w:kern w:val="1"/>
                <w:szCs w:val="21"/>
                <w:highlight w:val="none"/>
              </w:rPr>
            </w:pPr>
          </w:p>
        </w:tc>
        <w:tc>
          <w:tcPr>
            <w:tcW w:w="896" w:type="dxa"/>
            <w:tcBorders>
              <w:top w:val="single" w:color="000000" w:sz="4" w:space="0"/>
              <w:left w:val="single" w:color="000000" w:sz="4" w:space="0"/>
              <w:bottom w:val="single" w:color="000000" w:sz="4" w:space="0"/>
              <w:right w:val="single" w:color="000000" w:sz="4" w:space="0"/>
            </w:tcBorders>
          </w:tcPr>
          <w:p w14:paraId="17F217EF">
            <w:pPr>
              <w:spacing w:line="620" w:lineRule="exact"/>
              <w:jc w:val="center"/>
              <w:rPr>
                <w:rFonts w:ascii="宋体" w:hAnsi="宋体" w:cs="宋体"/>
                <w:color w:val="auto"/>
                <w:kern w:val="1"/>
                <w:szCs w:val="21"/>
                <w:highlight w:val="none"/>
              </w:rPr>
            </w:pPr>
          </w:p>
        </w:tc>
        <w:tc>
          <w:tcPr>
            <w:tcW w:w="896" w:type="dxa"/>
            <w:tcBorders>
              <w:top w:val="single" w:color="000000" w:sz="4" w:space="0"/>
              <w:left w:val="single" w:color="000000" w:sz="4" w:space="0"/>
              <w:bottom w:val="single" w:color="000000" w:sz="4" w:space="0"/>
              <w:right w:val="single" w:color="000000" w:sz="4" w:space="0"/>
            </w:tcBorders>
          </w:tcPr>
          <w:p w14:paraId="05067499">
            <w:pPr>
              <w:spacing w:line="620" w:lineRule="exact"/>
              <w:jc w:val="center"/>
              <w:rPr>
                <w:rFonts w:ascii="宋体" w:hAnsi="宋体" w:cs="宋体"/>
                <w:color w:val="auto"/>
                <w:kern w:val="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tcPr>
          <w:p w14:paraId="6BBF464A">
            <w:pPr>
              <w:spacing w:line="620" w:lineRule="exact"/>
              <w:jc w:val="center"/>
              <w:rPr>
                <w:rFonts w:ascii="宋体" w:hAnsi="宋体" w:cs="宋体"/>
                <w:color w:val="auto"/>
                <w:kern w:val="1"/>
                <w:szCs w:val="21"/>
                <w:highlight w:val="none"/>
              </w:rPr>
            </w:pPr>
          </w:p>
        </w:tc>
        <w:tc>
          <w:tcPr>
            <w:tcW w:w="1316" w:type="dxa"/>
            <w:tcBorders>
              <w:top w:val="single" w:color="000000" w:sz="4" w:space="0"/>
              <w:left w:val="single" w:color="000000" w:sz="4" w:space="0"/>
              <w:bottom w:val="single" w:color="000000" w:sz="4" w:space="0"/>
              <w:right w:val="single" w:color="000000" w:sz="4" w:space="0"/>
            </w:tcBorders>
          </w:tcPr>
          <w:p w14:paraId="65F6C967">
            <w:pPr>
              <w:spacing w:line="620" w:lineRule="exact"/>
              <w:jc w:val="center"/>
              <w:rPr>
                <w:rFonts w:ascii="宋体" w:hAnsi="宋体" w:cs="宋体"/>
                <w:color w:val="auto"/>
                <w:kern w:val="1"/>
                <w:szCs w:val="21"/>
                <w:highlight w:val="none"/>
              </w:rPr>
            </w:pPr>
          </w:p>
        </w:tc>
        <w:tc>
          <w:tcPr>
            <w:tcW w:w="703" w:type="dxa"/>
            <w:tcBorders>
              <w:top w:val="single" w:color="000000" w:sz="4" w:space="0"/>
              <w:left w:val="single" w:color="000000" w:sz="4" w:space="0"/>
              <w:bottom w:val="single" w:color="000000" w:sz="4" w:space="0"/>
              <w:right w:val="single" w:color="000000" w:sz="4" w:space="0"/>
            </w:tcBorders>
          </w:tcPr>
          <w:p w14:paraId="6E599A12">
            <w:pPr>
              <w:spacing w:line="620" w:lineRule="exact"/>
              <w:jc w:val="center"/>
              <w:rPr>
                <w:rFonts w:ascii="宋体" w:hAnsi="宋体" w:cs="宋体"/>
                <w:color w:val="auto"/>
                <w:kern w:val="1"/>
                <w:szCs w:val="21"/>
                <w:highlight w:val="none"/>
              </w:rPr>
            </w:pPr>
          </w:p>
        </w:tc>
      </w:tr>
      <w:tr w14:paraId="1FFB6551">
        <w:tblPrEx>
          <w:tblCellMar>
            <w:top w:w="0" w:type="dxa"/>
            <w:left w:w="108" w:type="dxa"/>
            <w:bottom w:w="0" w:type="dxa"/>
            <w:right w:w="108" w:type="dxa"/>
          </w:tblCellMar>
        </w:tblPrEx>
        <w:trPr>
          <w:jc w:val="center"/>
        </w:trPr>
        <w:tc>
          <w:tcPr>
            <w:tcW w:w="732" w:type="dxa"/>
            <w:tcBorders>
              <w:top w:val="single" w:color="000000" w:sz="4" w:space="0"/>
              <w:left w:val="single" w:color="000000" w:sz="4" w:space="0"/>
              <w:bottom w:val="single" w:color="000000" w:sz="4" w:space="0"/>
              <w:right w:val="single" w:color="000000" w:sz="4" w:space="0"/>
            </w:tcBorders>
            <w:vAlign w:val="center"/>
          </w:tcPr>
          <w:p w14:paraId="66154D29">
            <w:pPr>
              <w:spacing w:line="620" w:lineRule="exact"/>
              <w:jc w:val="center"/>
              <w:rPr>
                <w:rFonts w:ascii="宋体" w:hAnsi="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0A192C3D">
            <w:pPr>
              <w:spacing w:line="620" w:lineRule="exact"/>
              <w:jc w:val="center"/>
              <w:rPr>
                <w:rFonts w:ascii="宋体" w:hAnsi="宋体" w:cs="宋体"/>
                <w:color w:val="auto"/>
                <w:kern w:val="1"/>
                <w:szCs w:val="21"/>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5079A2E2">
            <w:pPr>
              <w:spacing w:line="620" w:lineRule="exact"/>
              <w:jc w:val="center"/>
              <w:rPr>
                <w:rFonts w:ascii="宋体" w:hAnsi="宋体" w:cs="宋体"/>
                <w:color w:val="auto"/>
                <w:kern w:val="1"/>
                <w:szCs w:val="21"/>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3BF3F0A1">
            <w:pPr>
              <w:spacing w:line="620" w:lineRule="exact"/>
              <w:jc w:val="center"/>
              <w:rPr>
                <w:rFonts w:ascii="宋体" w:hAnsi="宋体" w:cs="宋体"/>
                <w:color w:val="auto"/>
                <w:kern w:val="1"/>
                <w:szCs w:val="21"/>
                <w:highlight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680DEE5B">
            <w:pPr>
              <w:spacing w:line="620" w:lineRule="exact"/>
              <w:jc w:val="center"/>
              <w:rPr>
                <w:rFonts w:ascii="宋体" w:hAnsi="宋体" w:cs="宋体"/>
                <w:color w:val="auto"/>
                <w:kern w:val="1"/>
                <w:szCs w:val="21"/>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2570424D">
            <w:pPr>
              <w:spacing w:line="620" w:lineRule="exact"/>
              <w:jc w:val="center"/>
              <w:rPr>
                <w:rFonts w:ascii="宋体" w:hAnsi="宋体" w:cs="宋体"/>
                <w:color w:val="auto"/>
                <w:kern w:val="1"/>
                <w:szCs w:val="21"/>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13B722A7">
            <w:pPr>
              <w:spacing w:line="620" w:lineRule="exact"/>
              <w:jc w:val="center"/>
              <w:rPr>
                <w:rFonts w:ascii="宋体" w:hAnsi="宋体" w:cs="宋体"/>
                <w:color w:val="auto"/>
                <w:kern w:val="1"/>
                <w:szCs w:val="21"/>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2801B99C">
            <w:pPr>
              <w:spacing w:line="620" w:lineRule="exact"/>
              <w:jc w:val="center"/>
              <w:rPr>
                <w:rFonts w:ascii="宋体" w:hAnsi="宋体" w:cs="宋体"/>
                <w:color w:val="auto"/>
                <w:kern w:val="1"/>
                <w:szCs w:val="21"/>
                <w:highlight w:val="none"/>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3EA88604">
            <w:pPr>
              <w:spacing w:line="620" w:lineRule="exact"/>
              <w:jc w:val="center"/>
              <w:rPr>
                <w:rFonts w:ascii="宋体" w:hAnsi="宋体" w:cs="宋体"/>
                <w:color w:val="auto"/>
                <w:kern w:val="1"/>
                <w:szCs w:val="21"/>
                <w:highlight w:val="none"/>
              </w:rPr>
            </w:pPr>
          </w:p>
        </w:tc>
        <w:tc>
          <w:tcPr>
            <w:tcW w:w="776" w:type="dxa"/>
            <w:tcBorders>
              <w:top w:val="single" w:color="000000" w:sz="4" w:space="0"/>
              <w:left w:val="single" w:color="000000" w:sz="4" w:space="0"/>
              <w:bottom w:val="single" w:color="000000" w:sz="4" w:space="0"/>
              <w:right w:val="single" w:color="000000" w:sz="4" w:space="0"/>
            </w:tcBorders>
          </w:tcPr>
          <w:p w14:paraId="26B3104B">
            <w:pPr>
              <w:spacing w:line="620" w:lineRule="exact"/>
              <w:jc w:val="center"/>
              <w:rPr>
                <w:rFonts w:ascii="宋体" w:hAnsi="宋体" w:cs="宋体"/>
                <w:color w:val="auto"/>
                <w:kern w:val="1"/>
                <w:szCs w:val="21"/>
                <w:highlight w:val="none"/>
              </w:rPr>
            </w:pPr>
          </w:p>
        </w:tc>
        <w:tc>
          <w:tcPr>
            <w:tcW w:w="896" w:type="dxa"/>
            <w:tcBorders>
              <w:top w:val="single" w:color="000000" w:sz="4" w:space="0"/>
              <w:left w:val="single" w:color="000000" w:sz="4" w:space="0"/>
              <w:bottom w:val="single" w:color="000000" w:sz="4" w:space="0"/>
              <w:right w:val="single" w:color="000000" w:sz="4" w:space="0"/>
            </w:tcBorders>
          </w:tcPr>
          <w:p w14:paraId="2C019EF1">
            <w:pPr>
              <w:spacing w:line="620" w:lineRule="exact"/>
              <w:jc w:val="center"/>
              <w:rPr>
                <w:rFonts w:ascii="宋体" w:hAnsi="宋体" w:cs="宋体"/>
                <w:color w:val="auto"/>
                <w:kern w:val="1"/>
                <w:szCs w:val="21"/>
                <w:highlight w:val="none"/>
              </w:rPr>
            </w:pPr>
          </w:p>
        </w:tc>
        <w:tc>
          <w:tcPr>
            <w:tcW w:w="896" w:type="dxa"/>
            <w:tcBorders>
              <w:top w:val="single" w:color="000000" w:sz="4" w:space="0"/>
              <w:left w:val="single" w:color="000000" w:sz="4" w:space="0"/>
              <w:bottom w:val="single" w:color="000000" w:sz="4" w:space="0"/>
              <w:right w:val="single" w:color="000000" w:sz="4" w:space="0"/>
            </w:tcBorders>
          </w:tcPr>
          <w:p w14:paraId="08775DEB">
            <w:pPr>
              <w:spacing w:line="620" w:lineRule="exact"/>
              <w:jc w:val="center"/>
              <w:rPr>
                <w:rFonts w:ascii="宋体" w:hAnsi="宋体" w:cs="宋体"/>
                <w:color w:val="auto"/>
                <w:kern w:val="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tcPr>
          <w:p w14:paraId="63A06196">
            <w:pPr>
              <w:spacing w:line="620" w:lineRule="exact"/>
              <w:jc w:val="center"/>
              <w:rPr>
                <w:rFonts w:ascii="宋体" w:hAnsi="宋体" w:cs="宋体"/>
                <w:color w:val="auto"/>
                <w:kern w:val="1"/>
                <w:szCs w:val="21"/>
                <w:highlight w:val="none"/>
              </w:rPr>
            </w:pPr>
          </w:p>
        </w:tc>
        <w:tc>
          <w:tcPr>
            <w:tcW w:w="1316" w:type="dxa"/>
            <w:tcBorders>
              <w:top w:val="single" w:color="000000" w:sz="4" w:space="0"/>
              <w:left w:val="single" w:color="000000" w:sz="4" w:space="0"/>
              <w:bottom w:val="single" w:color="000000" w:sz="4" w:space="0"/>
              <w:right w:val="single" w:color="000000" w:sz="4" w:space="0"/>
            </w:tcBorders>
          </w:tcPr>
          <w:p w14:paraId="623C1332">
            <w:pPr>
              <w:spacing w:line="620" w:lineRule="exact"/>
              <w:jc w:val="center"/>
              <w:rPr>
                <w:rFonts w:ascii="宋体" w:hAnsi="宋体" w:cs="宋体"/>
                <w:color w:val="auto"/>
                <w:kern w:val="1"/>
                <w:szCs w:val="21"/>
                <w:highlight w:val="none"/>
              </w:rPr>
            </w:pPr>
          </w:p>
        </w:tc>
        <w:tc>
          <w:tcPr>
            <w:tcW w:w="703" w:type="dxa"/>
            <w:tcBorders>
              <w:top w:val="single" w:color="000000" w:sz="4" w:space="0"/>
              <w:left w:val="single" w:color="000000" w:sz="4" w:space="0"/>
              <w:bottom w:val="single" w:color="000000" w:sz="4" w:space="0"/>
              <w:right w:val="single" w:color="000000" w:sz="4" w:space="0"/>
            </w:tcBorders>
          </w:tcPr>
          <w:p w14:paraId="422E5754">
            <w:pPr>
              <w:spacing w:line="620" w:lineRule="exact"/>
              <w:jc w:val="center"/>
              <w:rPr>
                <w:rFonts w:ascii="宋体" w:hAnsi="宋体" w:cs="宋体"/>
                <w:color w:val="auto"/>
                <w:kern w:val="1"/>
                <w:szCs w:val="21"/>
                <w:highlight w:val="none"/>
              </w:rPr>
            </w:pPr>
          </w:p>
        </w:tc>
      </w:tr>
    </w:tbl>
    <w:p w14:paraId="06013AA3">
      <w:pPr>
        <w:spacing w:line="360" w:lineRule="auto"/>
        <w:ind w:firstLine="630" w:firstLineChars="300"/>
        <w:rPr>
          <w:rFonts w:ascii="宋体" w:hAnsi="宋体"/>
          <w:color w:val="auto"/>
          <w:highlight w:val="none"/>
          <w:u w:val="single"/>
        </w:rPr>
      </w:pPr>
      <w:r>
        <w:rPr>
          <w:rFonts w:hint="eastAsia" w:ascii="宋体" w:hAnsi="宋体" w:cs="宋体"/>
          <w:color w:val="auto"/>
          <w:highlight w:val="none"/>
        </w:rPr>
        <w:t>招标代理代表：                  招标人代表：               交易中心见证人：</w:t>
      </w:r>
    </w:p>
    <w:p w14:paraId="7979B313">
      <w:pPr>
        <w:pStyle w:val="23"/>
        <w:rPr>
          <w:rFonts w:hAnsi="宋体"/>
          <w:color w:val="auto"/>
          <w:highlight w:val="none"/>
          <w:u w:val="single"/>
        </w:rPr>
      </w:pPr>
    </w:p>
    <w:p w14:paraId="3B94AA18">
      <w:pPr>
        <w:pStyle w:val="23"/>
        <w:rPr>
          <w:rFonts w:hAnsi="宋体"/>
          <w:color w:val="auto"/>
          <w:highlight w:val="none"/>
          <w:u w:val="single"/>
        </w:rPr>
      </w:pPr>
      <w:r>
        <w:rPr>
          <w:rFonts w:hint="eastAsia" w:hAnsi="宋体"/>
          <w:color w:val="auto"/>
          <w:highlight w:val="none"/>
          <w:u w:val="single"/>
        </w:rPr>
        <w:t>本表仅供参考，具体以开标时的开标记录表为准。</w:t>
      </w:r>
    </w:p>
    <w:p w14:paraId="53947014">
      <w:pPr>
        <w:pStyle w:val="18"/>
        <w:rPr>
          <w:rFonts w:ascii="宋体" w:hAnsi="宋体"/>
          <w:color w:val="auto"/>
          <w:highlight w:val="none"/>
        </w:rPr>
        <w:sectPr>
          <w:headerReference r:id="rId9" w:type="first"/>
          <w:footerReference r:id="rId12" w:type="first"/>
          <w:headerReference r:id="rId7" w:type="default"/>
          <w:footerReference r:id="rId10" w:type="default"/>
          <w:headerReference r:id="rId8" w:type="even"/>
          <w:footerReference r:id="rId11" w:type="even"/>
          <w:pgSz w:w="16838" w:h="11906" w:orient="landscape"/>
          <w:pgMar w:top="1797" w:right="1440" w:bottom="1797" w:left="1440" w:header="851" w:footer="992" w:gutter="0"/>
          <w:cols w:space="720" w:num="1"/>
          <w:docGrid w:linePitch="312" w:charSpace="0"/>
        </w:sectPr>
      </w:pPr>
    </w:p>
    <w:p w14:paraId="775AC4A1">
      <w:pPr>
        <w:pStyle w:val="4"/>
        <w:keepNext/>
        <w:keepLines/>
        <w:spacing w:before="120" w:after="120" w:line="240" w:lineRule="auto"/>
        <w:rPr>
          <w:rFonts w:hint="eastAsia" w:ascii="宋体" w:hAnsi="宋体" w:eastAsia="宋体" w:cs="Times New Roman"/>
          <w:color w:val="auto"/>
          <w:szCs w:val="28"/>
          <w:highlight w:val="none"/>
        </w:rPr>
      </w:pPr>
      <w:bookmarkStart w:id="291" w:name="_Toc7969"/>
      <w:r>
        <w:rPr>
          <w:rFonts w:hint="eastAsia" w:ascii="宋体" w:hAnsi="宋体" w:eastAsia="宋体" w:cs="Times New Roman"/>
          <w:color w:val="auto"/>
          <w:szCs w:val="28"/>
          <w:highlight w:val="none"/>
        </w:rPr>
        <w:t>附件二：《评标委员会成员声明》</w:t>
      </w:r>
    </w:p>
    <w:p w14:paraId="2ACD4FC1">
      <w:pPr>
        <w:spacing w:line="360" w:lineRule="auto"/>
        <w:ind w:firstLine="560" w:firstLineChars="200"/>
        <w:jc w:val="center"/>
        <w:rPr>
          <w:rFonts w:ascii="宋体" w:hAnsi="宋体"/>
          <w:color w:val="auto"/>
          <w:sz w:val="28"/>
          <w:szCs w:val="28"/>
          <w:highlight w:val="none"/>
        </w:rPr>
      </w:pPr>
      <w:r>
        <w:rPr>
          <w:rFonts w:hint="eastAsia" w:ascii="宋体" w:hAnsi="宋体"/>
          <w:color w:val="auto"/>
          <w:sz w:val="28"/>
          <w:szCs w:val="28"/>
          <w:highlight w:val="none"/>
        </w:rPr>
        <w:t>评标委员会成员声明</w:t>
      </w:r>
    </w:p>
    <w:p w14:paraId="6C6A7DE8">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本项目招标人  </w:t>
      </w:r>
      <w:r>
        <w:rPr>
          <w:rFonts w:hint="eastAsia" w:ascii="宋体" w:hAnsi="宋体"/>
          <w:color w:val="auto"/>
          <w:szCs w:val="21"/>
          <w:highlight w:val="none"/>
        </w:rPr>
        <w:t>：</w:t>
      </w:r>
    </w:p>
    <w:p w14:paraId="3DBF694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本人就参与项目的评标工作，作出郑重声明：</w:t>
      </w:r>
    </w:p>
    <w:p w14:paraId="5F58327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5EA0EEC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2AFC3AE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1B73C1C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1EC9E64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524841D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如果本人违反上述声明内容，造成的后果由本人自行承担。</w:t>
      </w:r>
    </w:p>
    <w:p w14:paraId="5DD50301">
      <w:pPr>
        <w:spacing w:line="360" w:lineRule="auto"/>
        <w:ind w:firstLine="420" w:firstLineChars="200"/>
        <w:rPr>
          <w:rFonts w:ascii="宋体" w:hAnsi="宋体"/>
          <w:color w:val="auto"/>
          <w:szCs w:val="21"/>
          <w:highlight w:val="none"/>
        </w:rPr>
      </w:pPr>
    </w:p>
    <w:p w14:paraId="5E52D3DF">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 xml:space="preserve">                             声明人：</w:t>
      </w:r>
      <w:r>
        <w:rPr>
          <w:rFonts w:hint="eastAsia" w:ascii="宋体" w:hAnsi="宋体"/>
          <w:color w:val="auto"/>
          <w:szCs w:val="21"/>
          <w:highlight w:val="none"/>
          <w:u w:val="single"/>
        </w:rPr>
        <w:t xml:space="preserve">（签名）  </w:t>
      </w:r>
    </w:p>
    <w:p w14:paraId="4D7B73D4">
      <w:pPr>
        <w:pStyle w:val="18"/>
        <w:rPr>
          <w:rFonts w:ascii="宋体" w:hAnsi="宋体"/>
          <w:color w:val="auto"/>
          <w:highlight w:val="none"/>
        </w:rPr>
      </w:pPr>
    </w:p>
    <w:p w14:paraId="1904C2F7">
      <w:pPr>
        <w:pStyle w:val="18"/>
        <w:rPr>
          <w:rFonts w:ascii="宋体" w:hAnsi="宋体"/>
          <w:color w:val="auto"/>
          <w:highlight w:val="none"/>
        </w:rPr>
      </w:pPr>
    </w:p>
    <w:p w14:paraId="1984C5D6">
      <w:pPr>
        <w:pStyle w:val="18"/>
        <w:rPr>
          <w:rFonts w:ascii="宋体" w:hAnsi="宋体"/>
          <w:color w:val="auto"/>
          <w:highlight w:val="none"/>
        </w:rPr>
      </w:pPr>
    </w:p>
    <w:p w14:paraId="08C6FDBD">
      <w:pPr>
        <w:pStyle w:val="18"/>
        <w:rPr>
          <w:rFonts w:ascii="宋体" w:hAnsi="宋体"/>
          <w:color w:val="auto"/>
          <w:highlight w:val="none"/>
        </w:rPr>
      </w:pPr>
    </w:p>
    <w:p w14:paraId="626DC062">
      <w:pPr>
        <w:pStyle w:val="18"/>
        <w:rPr>
          <w:rFonts w:ascii="宋体" w:hAnsi="宋体"/>
          <w:color w:val="auto"/>
          <w:highlight w:val="none"/>
        </w:rPr>
      </w:pPr>
    </w:p>
    <w:p w14:paraId="12A9BAB9">
      <w:pPr>
        <w:pStyle w:val="18"/>
        <w:rPr>
          <w:rFonts w:ascii="宋体" w:hAnsi="宋体"/>
          <w:color w:val="auto"/>
          <w:highlight w:val="none"/>
        </w:rPr>
      </w:pPr>
    </w:p>
    <w:p w14:paraId="4F8B887A">
      <w:pPr>
        <w:pStyle w:val="18"/>
        <w:rPr>
          <w:rFonts w:ascii="宋体" w:hAnsi="宋体"/>
          <w:color w:val="auto"/>
          <w:highlight w:val="none"/>
        </w:rPr>
      </w:pPr>
    </w:p>
    <w:p w14:paraId="0678C1FD">
      <w:pPr>
        <w:pStyle w:val="18"/>
        <w:rPr>
          <w:rFonts w:ascii="宋体" w:hAnsi="宋体"/>
          <w:color w:val="auto"/>
          <w:sz w:val="28"/>
          <w:szCs w:val="28"/>
          <w:highlight w:val="none"/>
        </w:rPr>
      </w:pPr>
      <w:r>
        <w:rPr>
          <w:rFonts w:hint="eastAsia" w:ascii="宋体" w:hAnsi="宋体"/>
          <w:color w:val="auto"/>
          <w:highlight w:val="none"/>
        </w:rPr>
        <w:t>附件三：问题澄清通知</w:t>
      </w:r>
      <w:bookmarkEnd w:id="291"/>
    </w:p>
    <w:p w14:paraId="19543067">
      <w:pPr>
        <w:spacing w:line="440" w:lineRule="exact"/>
        <w:jc w:val="center"/>
        <w:rPr>
          <w:rFonts w:ascii="宋体" w:hAnsi="宋体" w:cs="宋体"/>
          <w:color w:val="auto"/>
          <w:szCs w:val="21"/>
          <w:highlight w:val="none"/>
        </w:rPr>
      </w:pPr>
    </w:p>
    <w:p w14:paraId="25CA096A">
      <w:pPr>
        <w:spacing w:line="4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问题澄清通知</w:t>
      </w:r>
    </w:p>
    <w:p w14:paraId="701898E7">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编号：</w:t>
      </w:r>
    </w:p>
    <w:p w14:paraId="19CAE7B7">
      <w:pPr>
        <w:spacing w:line="440" w:lineRule="exact"/>
        <w:rPr>
          <w:rFonts w:ascii="宋体" w:hAnsi="宋体" w:cs="宋体"/>
          <w:color w:val="auto"/>
          <w:szCs w:val="21"/>
          <w:highlight w:val="none"/>
        </w:rPr>
      </w:pPr>
    </w:p>
    <w:p w14:paraId="30A2B265">
      <w:pPr>
        <w:spacing w:line="440" w:lineRule="exact"/>
        <w:rPr>
          <w:rFonts w:ascii="宋体" w:hAnsi="宋体" w:cs="宋体"/>
          <w:color w:val="auto"/>
          <w:szCs w:val="21"/>
          <w:highlight w:val="none"/>
        </w:rPr>
      </w:pPr>
      <w:r>
        <w:rPr>
          <w:rFonts w:hint="eastAsia" w:ascii="宋体" w:hAnsi="宋体" w:cs="宋体"/>
          <w:color w:val="auto"/>
          <w:szCs w:val="21"/>
          <w:highlight w:val="none"/>
        </w:rPr>
        <w:t>（投标人名称）：</w:t>
      </w:r>
    </w:p>
    <w:p w14:paraId="7482893B">
      <w:pPr>
        <w:spacing w:line="440" w:lineRule="exact"/>
        <w:rPr>
          <w:rFonts w:ascii="宋体" w:hAnsi="宋体" w:cs="宋体"/>
          <w:color w:val="auto"/>
          <w:szCs w:val="21"/>
          <w:highlight w:val="none"/>
        </w:rPr>
      </w:pPr>
    </w:p>
    <w:p w14:paraId="75892721">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（项目名称）招标的评标委员会，对你方的投标文件进行了仔细的审查，现需你方对下列问题以书面形式予以澄清：</w:t>
      </w:r>
    </w:p>
    <w:p w14:paraId="748EF4B5">
      <w:pPr>
        <w:spacing w:line="440" w:lineRule="exact"/>
        <w:rPr>
          <w:rFonts w:ascii="宋体" w:hAnsi="宋体" w:cs="宋体"/>
          <w:color w:val="auto"/>
          <w:szCs w:val="21"/>
          <w:highlight w:val="none"/>
        </w:rPr>
      </w:pPr>
      <w:r>
        <w:rPr>
          <w:rFonts w:hint="eastAsia" w:ascii="宋体" w:hAnsi="宋体" w:cs="宋体"/>
          <w:color w:val="auto"/>
          <w:szCs w:val="21"/>
          <w:highlight w:val="none"/>
        </w:rPr>
        <w:t>　　</w:t>
      </w:r>
    </w:p>
    <w:p w14:paraId="0530E92C">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1.</w:t>
      </w:r>
    </w:p>
    <w:p w14:paraId="12254ADF">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2.</w:t>
      </w:r>
    </w:p>
    <w:p w14:paraId="6C7632DA">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   </w:t>
      </w:r>
    </w:p>
    <w:p w14:paraId="56BE5357">
      <w:pPr>
        <w:spacing w:line="440" w:lineRule="exact"/>
        <w:rPr>
          <w:rFonts w:ascii="宋体" w:hAnsi="宋体" w:cs="宋体"/>
          <w:color w:val="auto"/>
          <w:szCs w:val="21"/>
          <w:highlight w:val="none"/>
        </w:rPr>
      </w:pPr>
      <w:r>
        <w:rPr>
          <w:rFonts w:hint="eastAsia" w:ascii="宋体" w:hAnsi="宋体" w:cs="宋体"/>
          <w:color w:val="auto"/>
          <w:szCs w:val="21"/>
          <w:highlight w:val="none"/>
        </w:rPr>
        <w:t>　　　</w:t>
      </w:r>
    </w:p>
    <w:p w14:paraId="09173594">
      <w:pPr>
        <w:spacing w:line="440" w:lineRule="exact"/>
        <w:rPr>
          <w:rFonts w:ascii="宋体" w:hAnsi="宋体" w:cs="宋体"/>
          <w:color w:val="auto"/>
          <w:szCs w:val="21"/>
          <w:highlight w:val="none"/>
        </w:rPr>
      </w:pPr>
      <w:r>
        <w:rPr>
          <w:rFonts w:hint="eastAsia" w:ascii="宋体" w:hAnsi="宋体" w:cs="宋体"/>
          <w:color w:val="auto"/>
          <w:szCs w:val="21"/>
          <w:highlight w:val="none"/>
        </w:rPr>
        <w:t>　　请将上述问题的澄清于年月日时前递交至（详细地址）或传真至</w:t>
      </w:r>
      <w:bookmarkStart w:id="292" w:name="_Toc247527607"/>
      <w:bookmarkStart w:id="293" w:name="_Toc144974549"/>
      <w:bookmarkStart w:id="294" w:name="_Toc356469229"/>
      <w:bookmarkStart w:id="295" w:name="_Toc357089563"/>
      <w:bookmarkStart w:id="296" w:name="_Toc152045582"/>
      <w:bookmarkStart w:id="297" w:name="_Toc152042359"/>
      <w:bookmarkStart w:id="298" w:name="_Toc247514006"/>
      <w:bookmarkStart w:id="299" w:name="_Toc300835003"/>
      <w:bookmarkStart w:id="300" w:name="_Toc439246049"/>
      <w:bookmarkStart w:id="301" w:name="_Toc439240650"/>
      <w:r>
        <w:rPr>
          <w:rFonts w:hint="eastAsia" w:ascii="宋体" w:hAnsi="宋体" w:cs="宋体"/>
          <w:color w:val="auto"/>
          <w:szCs w:val="21"/>
          <w:highlight w:val="none"/>
        </w:rPr>
        <w:t>（传真号码</w:t>
      </w:r>
      <w:bookmarkEnd w:id="292"/>
      <w:bookmarkEnd w:id="293"/>
      <w:bookmarkEnd w:id="294"/>
      <w:bookmarkEnd w:id="295"/>
      <w:bookmarkEnd w:id="296"/>
      <w:bookmarkEnd w:id="297"/>
      <w:bookmarkEnd w:id="298"/>
      <w:bookmarkEnd w:id="299"/>
      <w:bookmarkEnd w:id="300"/>
      <w:bookmarkEnd w:id="301"/>
      <w:r>
        <w:rPr>
          <w:rFonts w:hint="eastAsia" w:ascii="宋体" w:hAnsi="宋体" w:cs="宋体"/>
          <w:color w:val="auto"/>
          <w:szCs w:val="21"/>
          <w:highlight w:val="none"/>
        </w:rPr>
        <w:t>）。采用传真方式的，应在年月日时前将原件递交至（详细地址）。</w:t>
      </w:r>
    </w:p>
    <w:p w14:paraId="4D513661">
      <w:pPr>
        <w:spacing w:line="440" w:lineRule="exact"/>
        <w:rPr>
          <w:rFonts w:ascii="宋体" w:hAnsi="宋体" w:cs="宋体"/>
          <w:color w:val="auto"/>
          <w:szCs w:val="21"/>
          <w:highlight w:val="none"/>
        </w:rPr>
      </w:pPr>
    </w:p>
    <w:p w14:paraId="7CDBEF94">
      <w:pPr>
        <w:spacing w:line="440" w:lineRule="exact"/>
        <w:rPr>
          <w:rFonts w:ascii="宋体" w:hAnsi="宋体" w:cs="宋体"/>
          <w:color w:val="auto"/>
          <w:szCs w:val="21"/>
          <w:highlight w:val="none"/>
        </w:rPr>
      </w:pPr>
    </w:p>
    <w:p w14:paraId="458AA173">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评标委员会</w:t>
      </w:r>
    </w:p>
    <w:p w14:paraId="3D561E1D">
      <w:pPr>
        <w:spacing w:line="440" w:lineRule="exact"/>
        <w:rPr>
          <w:rFonts w:ascii="宋体" w:hAnsi="宋体" w:cs="宋体"/>
          <w:color w:val="auto"/>
          <w:szCs w:val="21"/>
          <w:highlight w:val="none"/>
        </w:rPr>
      </w:pPr>
    </w:p>
    <w:p w14:paraId="56E4108F">
      <w:pPr>
        <w:spacing w:line="440" w:lineRule="exact"/>
        <w:ind w:firstLine="5670" w:firstLineChars="2700"/>
        <w:rPr>
          <w:rFonts w:ascii="宋体" w:hAnsi="宋体" w:cs="宋体"/>
          <w:color w:val="auto"/>
          <w:szCs w:val="21"/>
          <w:highlight w:val="none"/>
        </w:rPr>
      </w:pPr>
      <w:r>
        <w:rPr>
          <w:rFonts w:hint="eastAsia" w:ascii="宋体" w:hAnsi="宋体" w:cs="宋体"/>
          <w:color w:val="auto"/>
          <w:szCs w:val="21"/>
          <w:highlight w:val="none"/>
        </w:rPr>
        <w:t>年  月  日</w:t>
      </w:r>
    </w:p>
    <w:p w14:paraId="340974E5">
      <w:pPr>
        <w:spacing w:line="400" w:lineRule="exact"/>
        <w:rPr>
          <w:rFonts w:ascii="宋体" w:hAnsi="宋体" w:cs="宋体"/>
          <w:color w:val="auto"/>
          <w:highlight w:val="none"/>
        </w:rPr>
      </w:pPr>
    </w:p>
    <w:p w14:paraId="6D1FDE88">
      <w:pPr>
        <w:spacing w:line="400" w:lineRule="exact"/>
        <w:rPr>
          <w:rFonts w:ascii="宋体" w:hAnsi="宋体" w:cs="宋体"/>
          <w:color w:val="auto"/>
          <w:highlight w:val="none"/>
        </w:rPr>
      </w:pPr>
      <w:r>
        <w:rPr>
          <w:rFonts w:hint="eastAsia" w:ascii="宋体" w:hAnsi="宋体" w:cs="宋体"/>
          <w:color w:val="auto"/>
          <w:highlight w:val="none"/>
        </w:rPr>
        <w:br w:type="page"/>
      </w:r>
    </w:p>
    <w:p w14:paraId="32673A16">
      <w:pPr>
        <w:pStyle w:val="18"/>
        <w:rPr>
          <w:rFonts w:ascii="宋体" w:hAnsi="宋体"/>
          <w:color w:val="auto"/>
          <w:highlight w:val="none"/>
        </w:rPr>
      </w:pPr>
      <w:bookmarkStart w:id="302" w:name="_Toc165358690"/>
      <w:bookmarkStart w:id="303" w:name="_Toc165358825"/>
      <w:bookmarkStart w:id="304" w:name="_Toc4953"/>
      <w:r>
        <w:rPr>
          <w:rFonts w:hint="eastAsia" w:ascii="宋体" w:hAnsi="宋体"/>
          <w:color w:val="auto"/>
          <w:highlight w:val="none"/>
        </w:rPr>
        <w:t>附件四：问题的澄清</w:t>
      </w:r>
      <w:bookmarkEnd w:id="302"/>
      <w:bookmarkEnd w:id="303"/>
      <w:bookmarkEnd w:id="304"/>
    </w:p>
    <w:p w14:paraId="3004C64A">
      <w:pPr>
        <w:spacing w:line="400" w:lineRule="exact"/>
        <w:jc w:val="center"/>
        <w:rPr>
          <w:rFonts w:ascii="宋体" w:hAnsi="宋体" w:cs="宋体"/>
          <w:color w:val="auto"/>
          <w:sz w:val="28"/>
          <w:szCs w:val="28"/>
          <w:highlight w:val="none"/>
        </w:rPr>
      </w:pPr>
    </w:p>
    <w:p w14:paraId="749AD770">
      <w:pPr>
        <w:spacing w:line="40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问题的澄清</w:t>
      </w:r>
    </w:p>
    <w:p w14:paraId="1F59A8D5">
      <w:pPr>
        <w:spacing w:line="400" w:lineRule="exact"/>
        <w:ind w:firstLine="3465" w:firstLineChars="1650"/>
        <w:rPr>
          <w:rFonts w:ascii="宋体" w:hAnsi="宋体" w:cs="宋体"/>
          <w:color w:val="auto"/>
          <w:highlight w:val="none"/>
        </w:rPr>
      </w:pPr>
      <w:r>
        <w:rPr>
          <w:rFonts w:hint="eastAsia" w:ascii="宋体" w:hAnsi="宋体" w:cs="宋体"/>
          <w:color w:val="auto"/>
          <w:highlight w:val="none"/>
        </w:rPr>
        <w:t xml:space="preserve">编号： </w:t>
      </w:r>
    </w:p>
    <w:p w14:paraId="47E032AD">
      <w:pPr>
        <w:spacing w:line="400" w:lineRule="exact"/>
        <w:rPr>
          <w:rFonts w:ascii="宋体" w:hAnsi="宋体" w:cs="宋体"/>
          <w:color w:val="auto"/>
          <w:szCs w:val="21"/>
          <w:highlight w:val="none"/>
        </w:rPr>
      </w:pPr>
    </w:p>
    <w:p w14:paraId="3D06D42D">
      <w:pPr>
        <w:spacing w:line="440" w:lineRule="exact"/>
        <w:rPr>
          <w:rFonts w:ascii="宋体" w:hAnsi="宋体" w:cs="宋体"/>
          <w:color w:val="auto"/>
          <w:szCs w:val="21"/>
          <w:highlight w:val="none"/>
        </w:rPr>
      </w:pPr>
      <w:r>
        <w:rPr>
          <w:rFonts w:hint="eastAsia" w:ascii="宋体" w:hAnsi="宋体" w:cs="宋体"/>
          <w:color w:val="auto"/>
          <w:szCs w:val="21"/>
          <w:highlight w:val="none"/>
        </w:rPr>
        <w:t>（项目名称）招标评标委员会：</w:t>
      </w:r>
    </w:p>
    <w:p w14:paraId="59F36CCF">
      <w:pPr>
        <w:spacing w:line="440" w:lineRule="exact"/>
        <w:rPr>
          <w:rFonts w:ascii="宋体" w:hAnsi="宋体" w:cs="宋体"/>
          <w:color w:val="auto"/>
          <w:szCs w:val="21"/>
          <w:highlight w:val="none"/>
        </w:rPr>
      </w:pPr>
    </w:p>
    <w:p w14:paraId="66F58875">
      <w:pPr>
        <w:spacing w:line="440" w:lineRule="exact"/>
        <w:rPr>
          <w:rFonts w:ascii="宋体" w:hAnsi="宋体" w:cs="宋体"/>
          <w:color w:val="auto"/>
          <w:szCs w:val="21"/>
          <w:highlight w:val="none"/>
        </w:rPr>
      </w:pPr>
      <w:r>
        <w:rPr>
          <w:rFonts w:hint="eastAsia" w:ascii="宋体" w:hAnsi="宋体" w:cs="宋体"/>
          <w:color w:val="auto"/>
          <w:szCs w:val="21"/>
          <w:highlight w:val="none"/>
        </w:rPr>
        <w:t>　　问题澄清通知（编号：）已收悉，现澄清如下：</w:t>
      </w:r>
    </w:p>
    <w:p w14:paraId="1AF0AD6E">
      <w:pPr>
        <w:spacing w:line="440" w:lineRule="exact"/>
        <w:rPr>
          <w:rFonts w:ascii="宋体" w:hAnsi="宋体" w:cs="宋体"/>
          <w:color w:val="auto"/>
          <w:szCs w:val="21"/>
          <w:highlight w:val="none"/>
        </w:rPr>
      </w:pPr>
      <w:r>
        <w:rPr>
          <w:rFonts w:hint="eastAsia" w:ascii="宋体" w:hAnsi="宋体" w:cs="宋体"/>
          <w:color w:val="auto"/>
          <w:szCs w:val="21"/>
          <w:highlight w:val="none"/>
        </w:rPr>
        <w:t>　     1.</w:t>
      </w:r>
    </w:p>
    <w:p w14:paraId="24A9B0C3">
      <w:pPr>
        <w:spacing w:line="440" w:lineRule="exact"/>
        <w:rPr>
          <w:rFonts w:ascii="宋体" w:hAnsi="宋体" w:cs="宋体"/>
          <w:color w:val="auto"/>
          <w:szCs w:val="21"/>
          <w:highlight w:val="none"/>
        </w:rPr>
      </w:pPr>
      <w:r>
        <w:rPr>
          <w:rFonts w:hint="eastAsia" w:ascii="宋体" w:hAnsi="宋体" w:cs="宋体"/>
          <w:color w:val="auto"/>
          <w:szCs w:val="21"/>
          <w:highlight w:val="none"/>
        </w:rPr>
        <w:t>　     2.</w:t>
      </w:r>
    </w:p>
    <w:p w14:paraId="74B913EA">
      <w:pPr>
        <w:spacing w:line="440" w:lineRule="exact"/>
        <w:rPr>
          <w:rFonts w:ascii="宋体" w:hAnsi="宋体" w:cs="宋体"/>
          <w:color w:val="auto"/>
          <w:szCs w:val="21"/>
          <w:highlight w:val="none"/>
        </w:rPr>
      </w:pPr>
      <w:r>
        <w:rPr>
          <w:rFonts w:hint="eastAsia" w:ascii="宋体" w:hAnsi="宋体" w:cs="宋体"/>
          <w:color w:val="auto"/>
          <w:szCs w:val="21"/>
          <w:highlight w:val="none"/>
        </w:rPr>
        <w:t>　    .....</w:t>
      </w:r>
    </w:p>
    <w:p w14:paraId="449EB247">
      <w:pPr>
        <w:spacing w:line="440" w:lineRule="exact"/>
        <w:rPr>
          <w:rFonts w:ascii="宋体" w:hAnsi="宋体" w:cs="宋体"/>
          <w:color w:val="auto"/>
          <w:szCs w:val="21"/>
          <w:highlight w:val="none"/>
        </w:rPr>
      </w:pPr>
    </w:p>
    <w:p w14:paraId="3530701C">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p>
    <w:p w14:paraId="3D03122C">
      <w:pPr>
        <w:spacing w:line="440" w:lineRule="exact"/>
        <w:rPr>
          <w:rFonts w:ascii="宋体" w:hAnsi="宋体" w:cs="宋体"/>
          <w:color w:val="auto"/>
          <w:szCs w:val="21"/>
          <w:highlight w:val="none"/>
        </w:rPr>
      </w:pPr>
    </w:p>
    <w:p w14:paraId="6EE56F42">
      <w:pPr>
        <w:spacing w:line="440" w:lineRule="exact"/>
        <w:rPr>
          <w:rFonts w:ascii="宋体" w:hAnsi="宋体" w:cs="宋体"/>
          <w:color w:val="auto"/>
          <w:szCs w:val="21"/>
          <w:highlight w:val="none"/>
        </w:rPr>
      </w:pPr>
    </w:p>
    <w:p w14:paraId="422B120B">
      <w:pPr>
        <w:spacing w:line="440" w:lineRule="exact"/>
        <w:rPr>
          <w:rFonts w:ascii="宋体" w:hAnsi="宋体" w:cs="宋体"/>
          <w:color w:val="auto"/>
          <w:szCs w:val="21"/>
          <w:highlight w:val="none"/>
        </w:rPr>
      </w:pPr>
    </w:p>
    <w:p w14:paraId="522991B1">
      <w:pPr>
        <w:spacing w:line="440" w:lineRule="exact"/>
        <w:rPr>
          <w:rFonts w:ascii="宋体" w:hAnsi="宋体" w:cs="宋体"/>
          <w:color w:val="auto"/>
          <w:szCs w:val="21"/>
          <w:highlight w:val="none"/>
        </w:rPr>
      </w:pPr>
    </w:p>
    <w:p w14:paraId="3DC694D7">
      <w:pPr>
        <w:spacing w:line="440" w:lineRule="exact"/>
        <w:rPr>
          <w:rFonts w:ascii="宋体" w:hAnsi="宋体" w:cs="宋体"/>
          <w:color w:val="auto"/>
          <w:szCs w:val="21"/>
          <w:highlight w:val="none"/>
        </w:rPr>
      </w:pPr>
      <w:r>
        <w:rPr>
          <w:rFonts w:hint="eastAsia" w:ascii="宋体" w:hAnsi="宋体" w:cs="宋体"/>
          <w:color w:val="auto"/>
          <w:szCs w:val="21"/>
          <w:highlight w:val="none"/>
        </w:rPr>
        <w:t>　　　　　　　　　　　　　　　投标人：（盖单位章）</w:t>
      </w:r>
    </w:p>
    <w:p w14:paraId="23B54DAA">
      <w:pPr>
        <w:spacing w:line="440" w:lineRule="exact"/>
        <w:rPr>
          <w:rFonts w:ascii="宋体" w:hAnsi="宋体" w:cs="宋体"/>
          <w:color w:val="auto"/>
          <w:szCs w:val="21"/>
          <w:highlight w:val="none"/>
        </w:rPr>
      </w:pPr>
      <w:r>
        <w:rPr>
          <w:rFonts w:hint="eastAsia" w:ascii="宋体" w:hAnsi="宋体" w:cs="宋体"/>
          <w:color w:val="auto"/>
          <w:szCs w:val="21"/>
          <w:highlight w:val="none"/>
        </w:rPr>
        <w:t>　　　　　　　　　　　　　　　</w:t>
      </w:r>
    </w:p>
    <w:p w14:paraId="45349799">
      <w:pPr>
        <w:spacing w:line="440" w:lineRule="exact"/>
        <w:rPr>
          <w:rFonts w:ascii="宋体" w:hAnsi="宋体" w:cs="宋体"/>
          <w:color w:val="auto"/>
          <w:szCs w:val="21"/>
          <w:highlight w:val="none"/>
        </w:rPr>
      </w:pPr>
      <w:r>
        <w:rPr>
          <w:rFonts w:hint="eastAsia" w:ascii="宋体" w:hAnsi="宋体" w:cs="宋体"/>
          <w:color w:val="auto"/>
          <w:szCs w:val="21"/>
          <w:highlight w:val="none"/>
        </w:rPr>
        <w:t>　　　　　　　　　　　　　　　法定代表人或其委托代理人：（签字或盖章）</w:t>
      </w:r>
    </w:p>
    <w:p w14:paraId="289F193C">
      <w:pPr>
        <w:spacing w:line="440" w:lineRule="exact"/>
        <w:rPr>
          <w:rFonts w:ascii="宋体" w:hAnsi="宋体" w:cs="宋体"/>
          <w:color w:val="auto"/>
          <w:szCs w:val="21"/>
          <w:highlight w:val="none"/>
        </w:rPr>
      </w:pPr>
      <w:r>
        <w:rPr>
          <w:rFonts w:hint="eastAsia" w:ascii="宋体" w:hAnsi="宋体" w:cs="宋体"/>
          <w:color w:val="auto"/>
          <w:szCs w:val="21"/>
          <w:highlight w:val="none"/>
        </w:rPr>
        <w:t>　　　　　　</w:t>
      </w:r>
      <w:bookmarkStart w:id="305" w:name="_Toc152042360"/>
      <w:bookmarkStart w:id="306" w:name="_Toc247514007"/>
      <w:bookmarkStart w:id="307" w:name="_Toc152045583"/>
      <w:bookmarkStart w:id="308" w:name="_Toc357089564"/>
      <w:bookmarkStart w:id="309" w:name="_Toc300835004"/>
      <w:bookmarkStart w:id="310" w:name="_Toc144974550"/>
      <w:bookmarkStart w:id="311" w:name="_Toc247527608"/>
      <w:bookmarkStart w:id="312" w:name="_Toc356469230"/>
      <w:bookmarkStart w:id="313" w:name="_Toc439240651"/>
      <w:bookmarkStart w:id="314" w:name="_Toc439246050"/>
      <w:r>
        <w:rPr>
          <w:rFonts w:hint="eastAsia" w:ascii="宋体" w:hAnsi="宋体" w:cs="宋体"/>
          <w:color w:val="auto"/>
          <w:szCs w:val="21"/>
          <w:highlight w:val="none"/>
        </w:rPr>
        <w:t>　　　　　　　　　</w:t>
      </w:r>
      <w:bookmarkEnd w:id="305"/>
      <w:bookmarkEnd w:id="306"/>
      <w:bookmarkEnd w:id="307"/>
      <w:bookmarkEnd w:id="308"/>
      <w:bookmarkEnd w:id="309"/>
      <w:bookmarkEnd w:id="310"/>
      <w:bookmarkEnd w:id="311"/>
      <w:bookmarkEnd w:id="312"/>
      <w:bookmarkEnd w:id="313"/>
      <w:bookmarkEnd w:id="314"/>
    </w:p>
    <w:p w14:paraId="3E42F0EA">
      <w:pPr>
        <w:spacing w:line="440" w:lineRule="exact"/>
        <w:rPr>
          <w:rFonts w:ascii="宋体" w:hAnsi="宋体" w:cs="宋体"/>
          <w:color w:val="auto"/>
          <w:szCs w:val="21"/>
          <w:highlight w:val="none"/>
        </w:rPr>
      </w:pPr>
      <w:r>
        <w:rPr>
          <w:rFonts w:hint="eastAsia" w:ascii="宋体" w:hAnsi="宋体" w:cs="宋体"/>
          <w:color w:val="auto"/>
          <w:szCs w:val="21"/>
          <w:highlight w:val="none"/>
        </w:rPr>
        <w:t>　　　　　　　　　　　　　　　        年  月   日</w:t>
      </w:r>
    </w:p>
    <w:p w14:paraId="61FDACA5">
      <w:pPr>
        <w:pStyle w:val="18"/>
        <w:rPr>
          <w:rFonts w:ascii="宋体" w:hAnsi="宋体"/>
          <w:color w:val="auto"/>
          <w:highlight w:val="none"/>
        </w:rPr>
      </w:pPr>
    </w:p>
    <w:p w14:paraId="168F352F">
      <w:pPr>
        <w:pStyle w:val="23"/>
        <w:rPr>
          <w:rFonts w:hAnsi="宋体"/>
          <w:color w:val="auto"/>
          <w:highlight w:val="none"/>
          <w:u w:val="single"/>
        </w:rPr>
        <w:sectPr>
          <w:pgSz w:w="11906" w:h="16838"/>
          <w:pgMar w:top="1134" w:right="1417" w:bottom="1134" w:left="1417" w:header="851" w:footer="992" w:gutter="0"/>
          <w:cols w:space="720" w:num="1"/>
          <w:docGrid w:linePitch="312" w:charSpace="0"/>
        </w:sectPr>
      </w:pPr>
    </w:p>
    <w:p w14:paraId="459D5734">
      <w:pPr>
        <w:keepNext/>
        <w:keepLines/>
        <w:spacing w:line="576" w:lineRule="auto"/>
        <w:jc w:val="center"/>
        <w:outlineLvl w:val="0"/>
        <w:rPr>
          <w:rFonts w:ascii="宋体" w:hAnsi="宋体" w:cs="宋体"/>
          <w:b/>
          <w:bCs/>
          <w:color w:val="auto"/>
          <w:kern w:val="44"/>
          <w:sz w:val="44"/>
          <w:szCs w:val="44"/>
          <w:highlight w:val="none"/>
        </w:rPr>
      </w:pPr>
      <w:bookmarkStart w:id="315" w:name="_Toc32048"/>
      <w:bookmarkStart w:id="316" w:name="_Toc13679"/>
      <w:bookmarkStart w:id="317" w:name="_Toc144974565"/>
      <w:bookmarkStart w:id="318" w:name="_Toc485211093"/>
      <w:bookmarkStart w:id="319" w:name="_Toc14000"/>
      <w:bookmarkStart w:id="320" w:name="_Toc152042375"/>
      <w:bookmarkStart w:id="321" w:name="_Toc5899"/>
      <w:bookmarkStart w:id="322" w:name="_Toc247527623"/>
      <w:bookmarkStart w:id="323" w:name="_Toc5053"/>
      <w:bookmarkStart w:id="324" w:name="_Toc247514022"/>
      <w:bookmarkStart w:id="325" w:name="_Toc3070"/>
      <w:bookmarkStart w:id="326" w:name="_Toc152045598"/>
      <w:bookmarkStart w:id="327" w:name="_Toc24996"/>
      <w:bookmarkStart w:id="328" w:name="_Toc165358826"/>
      <w:bookmarkStart w:id="329" w:name="_Toc485211107"/>
      <w:bookmarkStart w:id="330" w:name="_Toc26600"/>
      <w:bookmarkStart w:id="331" w:name="_Toc25006"/>
      <w:bookmarkStart w:id="332" w:name="_Toc21185"/>
      <w:bookmarkStart w:id="333" w:name="_Toc27985"/>
      <w:bookmarkStart w:id="334" w:name="_Toc17999"/>
      <w:bookmarkStart w:id="335" w:name="_Toc15305"/>
      <w:bookmarkStart w:id="336" w:name="_Toc356306516"/>
      <w:r>
        <w:rPr>
          <w:rFonts w:hint="eastAsia" w:ascii="宋体" w:hAnsi="宋体" w:cs="宋体"/>
          <w:b/>
          <w:bCs/>
          <w:color w:val="auto"/>
          <w:kern w:val="44"/>
          <w:sz w:val="44"/>
          <w:szCs w:val="44"/>
          <w:highlight w:val="none"/>
        </w:rPr>
        <w:t>第三章 评（定）标办法</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Start w:id="337" w:name="_Toc152042376"/>
      <w:bookmarkStart w:id="338" w:name="_Toc247527624"/>
      <w:bookmarkStart w:id="339" w:name="_Toc247514023"/>
      <w:bookmarkStart w:id="340" w:name="_Toc152045599"/>
      <w:bookmarkStart w:id="341" w:name="_Toc144974566"/>
    </w:p>
    <w:bookmarkEnd w:id="337"/>
    <w:bookmarkEnd w:id="338"/>
    <w:bookmarkEnd w:id="339"/>
    <w:bookmarkEnd w:id="340"/>
    <w:bookmarkEnd w:id="341"/>
    <w:p w14:paraId="3CA6C737">
      <w:pPr>
        <w:pStyle w:val="3"/>
        <w:spacing w:before="0" w:after="0"/>
        <w:jc w:val="center"/>
        <w:rPr>
          <w:rFonts w:ascii="宋体" w:hAnsi="宋体" w:eastAsia="宋体"/>
          <w:color w:val="auto"/>
          <w:highlight w:val="none"/>
        </w:rPr>
      </w:pPr>
      <w:bookmarkStart w:id="342" w:name="_Toc165358827"/>
      <w:bookmarkStart w:id="343" w:name="_Toc165358692"/>
      <w:bookmarkStart w:id="344" w:name="_Toc8954"/>
      <w:bookmarkStart w:id="345" w:name="_Toc22237"/>
      <w:bookmarkStart w:id="346" w:name="_Toc375931097"/>
      <w:bookmarkStart w:id="347" w:name="_Toc3030"/>
      <w:bookmarkStart w:id="348" w:name="_Toc21694"/>
      <w:bookmarkStart w:id="349" w:name="_Toc86413334"/>
      <w:bookmarkStart w:id="350" w:name="_Toc14459"/>
      <w:bookmarkStart w:id="351" w:name="_Toc28121"/>
      <w:bookmarkStart w:id="352" w:name="_Toc12763"/>
      <w:bookmarkStart w:id="353" w:name="_Toc485211095"/>
      <w:bookmarkStart w:id="354" w:name="_Toc16531"/>
      <w:bookmarkStart w:id="355" w:name="_Toc29426"/>
      <w:r>
        <w:rPr>
          <w:rFonts w:hint="eastAsia" w:ascii="宋体" w:hAnsi="宋体" w:eastAsia="宋体"/>
          <w:color w:val="auto"/>
          <w:highlight w:val="none"/>
        </w:rPr>
        <w:t>评标办法前附表</w:t>
      </w:r>
      <w:bookmarkEnd w:id="342"/>
      <w:bookmarkEnd w:id="343"/>
    </w:p>
    <w:tbl>
      <w:tblPr>
        <w:tblStyle w:val="45"/>
        <w:tblW w:w="996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22"/>
        <w:gridCol w:w="1151"/>
        <w:gridCol w:w="2968"/>
        <w:gridCol w:w="4922"/>
      </w:tblGrid>
      <w:tr w14:paraId="7959EF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blHeader/>
          <w:jc w:val="center"/>
        </w:trPr>
        <w:tc>
          <w:tcPr>
            <w:tcW w:w="2073" w:type="dxa"/>
            <w:gridSpan w:val="2"/>
            <w:vAlign w:val="center"/>
          </w:tcPr>
          <w:p w14:paraId="6C2FACD6">
            <w:pPr>
              <w:spacing w:line="24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2968" w:type="dxa"/>
            <w:vAlign w:val="center"/>
          </w:tcPr>
          <w:p w14:paraId="371CB879">
            <w:pPr>
              <w:spacing w:line="24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评审因素</w:t>
            </w:r>
          </w:p>
        </w:tc>
        <w:tc>
          <w:tcPr>
            <w:tcW w:w="4922" w:type="dxa"/>
            <w:vAlign w:val="center"/>
          </w:tcPr>
          <w:p w14:paraId="11547FBF">
            <w:pPr>
              <w:spacing w:line="24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评审标准</w:t>
            </w:r>
          </w:p>
        </w:tc>
      </w:tr>
      <w:tr w14:paraId="22FC0F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22" w:type="dxa"/>
            <w:vMerge w:val="restart"/>
            <w:vAlign w:val="center"/>
          </w:tcPr>
          <w:p w14:paraId="7B5EFF41">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2.1.1</w:t>
            </w:r>
          </w:p>
        </w:tc>
        <w:tc>
          <w:tcPr>
            <w:tcW w:w="1151" w:type="dxa"/>
            <w:vMerge w:val="restart"/>
            <w:vAlign w:val="center"/>
          </w:tcPr>
          <w:p w14:paraId="396C3FF4">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形式评审标准</w:t>
            </w:r>
          </w:p>
        </w:tc>
        <w:tc>
          <w:tcPr>
            <w:tcW w:w="2968" w:type="dxa"/>
            <w:vAlign w:val="center"/>
          </w:tcPr>
          <w:p w14:paraId="55B5C582">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4922" w:type="dxa"/>
            <w:vAlign w:val="center"/>
          </w:tcPr>
          <w:p w14:paraId="3AA97D43">
            <w:pPr>
              <w:rPr>
                <w:rFonts w:hint="eastAsia" w:ascii="宋体" w:hAnsi="宋体" w:cs="宋体"/>
                <w:color w:val="auto"/>
                <w:szCs w:val="21"/>
                <w:highlight w:val="none"/>
              </w:rPr>
            </w:pPr>
            <w:r>
              <w:rPr>
                <w:rFonts w:hint="eastAsia" w:ascii="宋体" w:hAnsi="宋体" w:cs="宋体"/>
                <w:color w:val="auto"/>
                <w:szCs w:val="21"/>
                <w:highlight w:val="none"/>
              </w:rPr>
              <w:t>与营业执照、资质证书一致</w:t>
            </w:r>
          </w:p>
        </w:tc>
      </w:tr>
      <w:tr w14:paraId="690109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22" w:type="dxa"/>
            <w:vMerge w:val="continue"/>
            <w:vAlign w:val="center"/>
          </w:tcPr>
          <w:p w14:paraId="050F7F10">
            <w:pPr>
              <w:spacing w:line="240" w:lineRule="auto"/>
              <w:jc w:val="center"/>
              <w:rPr>
                <w:rFonts w:hint="eastAsia" w:ascii="宋体" w:hAnsi="宋体" w:cs="宋体"/>
                <w:color w:val="auto"/>
                <w:szCs w:val="21"/>
                <w:highlight w:val="none"/>
              </w:rPr>
            </w:pPr>
          </w:p>
        </w:tc>
        <w:tc>
          <w:tcPr>
            <w:tcW w:w="1151" w:type="dxa"/>
            <w:vMerge w:val="continue"/>
            <w:vAlign w:val="center"/>
          </w:tcPr>
          <w:p w14:paraId="3A01F87C">
            <w:pPr>
              <w:spacing w:line="240" w:lineRule="auto"/>
              <w:jc w:val="center"/>
              <w:rPr>
                <w:rFonts w:hint="eastAsia" w:ascii="宋体" w:hAnsi="宋体" w:cs="宋体"/>
                <w:color w:val="auto"/>
                <w:szCs w:val="21"/>
                <w:highlight w:val="none"/>
              </w:rPr>
            </w:pPr>
          </w:p>
        </w:tc>
        <w:tc>
          <w:tcPr>
            <w:tcW w:w="2968" w:type="dxa"/>
            <w:vAlign w:val="center"/>
          </w:tcPr>
          <w:p w14:paraId="02B1E3CB">
            <w:pPr>
              <w:spacing w:line="240" w:lineRule="auto"/>
              <w:jc w:val="center"/>
              <w:rPr>
                <w:rFonts w:hint="eastAsia" w:ascii="宋体" w:hAnsi="宋体" w:cs="宋体"/>
                <w:color w:val="auto"/>
                <w:szCs w:val="21"/>
                <w:highlight w:val="none"/>
              </w:rPr>
            </w:pPr>
            <w:bookmarkStart w:id="356" w:name="OLE_LINK31"/>
            <w:bookmarkStart w:id="357" w:name="OLE_LINK32"/>
            <w:r>
              <w:rPr>
                <w:rFonts w:hint="eastAsia" w:ascii="宋体" w:hAnsi="宋体" w:cs="宋体"/>
                <w:color w:val="auto"/>
                <w:szCs w:val="21"/>
                <w:highlight w:val="none"/>
              </w:rPr>
              <w:t>法定代表人证明及授权</w:t>
            </w:r>
            <w:bookmarkEnd w:id="356"/>
            <w:bookmarkEnd w:id="357"/>
          </w:p>
        </w:tc>
        <w:tc>
          <w:tcPr>
            <w:tcW w:w="4922" w:type="dxa"/>
            <w:vAlign w:val="center"/>
          </w:tcPr>
          <w:p w14:paraId="30DE0D35">
            <w:pPr>
              <w:rPr>
                <w:rFonts w:hint="eastAsia" w:ascii="宋体" w:hAnsi="宋体" w:cs="宋体"/>
                <w:color w:val="auto"/>
                <w:szCs w:val="21"/>
                <w:highlight w:val="none"/>
              </w:rPr>
            </w:pPr>
            <w:bookmarkStart w:id="358" w:name="OLE_LINK33"/>
            <w:bookmarkStart w:id="359" w:name="OLE_LINK34"/>
            <w:r>
              <w:rPr>
                <w:rFonts w:hint="eastAsia" w:ascii="宋体" w:hAnsi="宋体" w:cs="宋体"/>
                <w:color w:val="auto"/>
                <w:szCs w:val="21"/>
                <w:highlight w:val="none"/>
              </w:rPr>
              <w:t>投标文件中有有效的法定代表人证明书，或由委托代理人签字或盖章的投标文件中有法定代表人证明书和授权委托证明书</w:t>
            </w:r>
            <w:bookmarkEnd w:id="358"/>
            <w:bookmarkEnd w:id="359"/>
          </w:p>
        </w:tc>
      </w:tr>
      <w:tr w14:paraId="14219D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22" w:type="dxa"/>
            <w:vMerge w:val="continue"/>
            <w:vAlign w:val="center"/>
          </w:tcPr>
          <w:p w14:paraId="6D48E193">
            <w:pPr>
              <w:spacing w:line="240" w:lineRule="auto"/>
              <w:jc w:val="center"/>
              <w:rPr>
                <w:rFonts w:hint="eastAsia" w:ascii="宋体" w:hAnsi="宋体" w:cs="宋体"/>
                <w:color w:val="auto"/>
                <w:szCs w:val="21"/>
                <w:highlight w:val="none"/>
              </w:rPr>
            </w:pPr>
          </w:p>
        </w:tc>
        <w:tc>
          <w:tcPr>
            <w:tcW w:w="1151" w:type="dxa"/>
            <w:vMerge w:val="continue"/>
            <w:vAlign w:val="center"/>
          </w:tcPr>
          <w:p w14:paraId="20B980E5">
            <w:pPr>
              <w:spacing w:line="240" w:lineRule="auto"/>
              <w:jc w:val="center"/>
              <w:rPr>
                <w:rFonts w:hint="eastAsia" w:ascii="宋体" w:hAnsi="宋体" w:cs="宋体"/>
                <w:color w:val="auto"/>
                <w:szCs w:val="21"/>
                <w:highlight w:val="none"/>
              </w:rPr>
            </w:pPr>
          </w:p>
        </w:tc>
        <w:tc>
          <w:tcPr>
            <w:tcW w:w="2968" w:type="dxa"/>
            <w:vAlign w:val="center"/>
          </w:tcPr>
          <w:p w14:paraId="698460AC">
            <w:pPr>
              <w:spacing w:line="240" w:lineRule="auto"/>
              <w:jc w:val="center"/>
              <w:rPr>
                <w:rFonts w:hint="eastAsia" w:ascii="宋体" w:hAnsi="宋体" w:cs="宋体"/>
                <w:color w:val="auto"/>
                <w:szCs w:val="21"/>
                <w:highlight w:val="none"/>
              </w:rPr>
            </w:pPr>
            <w:bookmarkStart w:id="360" w:name="OLE_LINK36"/>
            <w:bookmarkStart w:id="361" w:name="OLE_LINK35"/>
            <w:r>
              <w:rPr>
                <w:rFonts w:hint="eastAsia" w:ascii="宋体" w:hAnsi="宋体" w:cs="宋体"/>
                <w:color w:val="auto"/>
                <w:szCs w:val="21"/>
                <w:highlight w:val="none"/>
              </w:rPr>
              <w:t>投标文件格式</w:t>
            </w:r>
            <w:bookmarkEnd w:id="360"/>
            <w:bookmarkEnd w:id="361"/>
          </w:p>
        </w:tc>
        <w:tc>
          <w:tcPr>
            <w:tcW w:w="4922" w:type="dxa"/>
            <w:vAlign w:val="center"/>
          </w:tcPr>
          <w:p w14:paraId="2DCE2FA2">
            <w:pPr>
              <w:rPr>
                <w:rFonts w:hint="eastAsia" w:ascii="宋体" w:hAnsi="宋体" w:cs="宋体"/>
                <w:color w:val="auto"/>
                <w:szCs w:val="21"/>
                <w:highlight w:val="none"/>
              </w:rPr>
            </w:pPr>
            <w:bookmarkStart w:id="362" w:name="OLE_LINK38"/>
            <w:bookmarkStart w:id="363" w:name="OLE_LINK37"/>
            <w:r>
              <w:rPr>
                <w:rFonts w:hint="eastAsia" w:ascii="宋体" w:hAnsi="宋体" w:cs="宋体"/>
                <w:color w:val="auto"/>
                <w:szCs w:val="21"/>
                <w:highlight w:val="none"/>
              </w:rPr>
              <w:t>符合第七章“投标文件格式”（规定格式为格式2、格式5）的要求，按规定盖章签署，主要内容齐全，关键字迹清晰、能辨认；</w:t>
            </w:r>
            <w:bookmarkEnd w:id="362"/>
            <w:bookmarkEnd w:id="363"/>
          </w:p>
        </w:tc>
      </w:tr>
      <w:tr w14:paraId="4C675C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22" w:type="dxa"/>
            <w:vMerge w:val="continue"/>
            <w:vAlign w:val="center"/>
          </w:tcPr>
          <w:p w14:paraId="7FCCF488">
            <w:pPr>
              <w:spacing w:line="240" w:lineRule="auto"/>
              <w:jc w:val="center"/>
              <w:rPr>
                <w:rFonts w:hint="eastAsia" w:ascii="宋体" w:hAnsi="宋体" w:cs="宋体"/>
                <w:color w:val="auto"/>
                <w:szCs w:val="21"/>
                <w:highlight w:val="none"/>
              </w:rPr>
            </w:pPr>
          </w:p>
        </w:tc>
        <w:tc>
          <w:tcPr>
            <w:tcW w:w="1151" w:type="dxa"/>
            <w:vMerge w:val="continue"/>
            <w:vAlign w:val="center"/>
          </w:tcPr>
          <w:p w14:paraId="3DE4565F">
            <w:pPr>
              <w:spacing w:line="240" w:lineRule="auto"/>
              <w:jc w:val="center"/>
              <w:rPr>
                <w:rFonts w:hint="eastAsia" w:ascii="宋体" w:hAnsi="宋体" w:cs="宋体"/>
                <w:color w:val="auto"/>
                <w:szCs w:val="21"/>
                <w:highlight w:val="none"/>
              </w:rPr>
            </w:pPr>
          </w:p>
        </w:tc>
        <w:tc>
          <w:tcPr>
            <w:tcW w:w="2968" w:type="dxa"/>
            <w:vAlign w:val="center"/>
          </w:tcPr>
          <w:p w14:paraId="6DB5CD70">
            <w:pPr>
              <w:spacing w:line="240" w:lineRule="auto"/>
              <w:jc w:val="center"/>
              <w:rPr>
                <w:rFonts w:hint="eastAsia" w:ascii="宋体" w:hAnsi="宋体" w:cs="宋体"/>
                <w:color w:val="auto"/>
                <w:szCs w:val="21"/>
                <w:highlight w:val="none"/>
              </w:rPr>
            </w:pPr>
            <w:bookmarkStart w:id="364" w:name="OLE_LINK39"/>
            <w:bookmarkStart w:id="365" w:name="OLE_LINK40"/>
            <w:r>
              <w:rPr>
                <w:rFonts w:hint="eastAsia" w:ascii="宋体" w:hAnsi="宋体" w:cs="宋体"/>
                <w:color w:val="auto"/>
                <w:szCs w:val="21"/>
                <w:highlight w:val="none"/>
              </w:rPr>
              <w:t>报价唯一</w:t>
            </w:r>
            <w:bookmarkEnd w:id="364"/>
            <w:bookmarkEnd w:id="365"/>
          </w:p>
        </w:tc>
        <w:tc>
          <w:tcPr>
            <w:tcW w:w="4922" w:type="dxa"/>
            <w:vAlign w:val="center"/>
          </w:tcPr>
          <w:p w14:paraId="2D6ED651">
            <w:pPr>
              <w:rPr>
                <w:rFonts w:hint="eastAsia" w:ascii="宋体" w:hAnsi="宋体" w:cs="宋体"/>
                <w:color w:val="auto"/>
                <w:szCs w:val="21"/>
                <w:highlight w:val="none"/>
              </w:rPr>
            </w:pPr>
            <w:bookmarkStart w:id="366" w:name="OLE_LINK41"/>
            <w:bookmarkStart w:id="367" w:name="OLE_LINK42"/>
            <w:r>
              <w:rPr>
                <w:rFonts w:hint="eastAsia" w:ascii="宋体" w:hAnsi="宋体" w:cs="宋体"/>
                <w:color w:val="auto"/>
                <w:szCs w:val="21"/>
                <w:highlight w:val="none"/>
                <w:u w:val="single"/>
              </w:rPr>
              <w:t>每一个报价只能有一个有效报价</w:t>
            </w:r>
            <w:bookmarkEnd w:id="366"/>
            <w:bookmarkEnd w:id="367"/>
          </w:p>
        </w:tc>
      </w:tr>
      <w:tr w14:paraId="3270A6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22" w:type="dxa"/>
            <w:vMerge w:val="continue"/>
            <w:vAlign w:val="center"/>
          </w:tcPr>
          <w:p w14:paraId="6F369E2C">
            <w:pPr>
              <w:spacing w:line="240" w:lineRule="auto"/>
              <w:jc w:val="center"/>
              <w:rPr>
                <w:rFonts w:hint="eastAsia" w:ascii="宋体" w:hAnsi="宋体" w:cs="宋体"/>
                <w:color w:val="auto"/>
                <w:szCs w:val="21"/>
                <w:highlight w:val="none"/>
              </w:rPr>
            </w:pPr>
          </w:p>
        </w:tc>
        <w:tc>
          <w:tcPr>
            <w:tcW w:w="1151" w:type="dxa"/>
            <w:vMerge w:val="continue"/>
            <w:vAlign w:val="center"/>
          </w:tcPr>
          <w:p w14:paraId="68DF8136">
            <w:pPr>
              <w:spacing w:line="240" w:lineRule="auto"/>
              <w:jc w:val="center"/>
              <w:rPr>
                <w:rFonts w:hint="eastAsia" w:ascii="宋体" w:hAnsi="宋体" w:cs="宋体"/>
                <w:color w:val="auto"/>
                <w:szCs w:val="21"/>
                <w:highlight w:val="none"/>
              </w:rPr>
            </w:pPr>
          </w:p>
        </w:tc>
        <w:tc>
          <w:tcPr>
            <w:tcW w:w="2968" w:type="dxa"/>
            <w:vAlign w:val="center"/>
          </w:tcPr>
          <w:p w14:paraId="728D3069">
            <w:pPr>
              <w:spacing w:line="240" w:lineRule="auto"/>
              <w:jc w:val="center"/>
              <w:rPr>
                <w:rFonts w:hint="eastAsia" w:ascii="宋体" w:hAnsi="宋体" w:cs="宋体"/>
                <w:color w:val="auto"/>
                <w:szCs w:val="21"/>
                <w:highlight w:val="none"/>
              </w:rPr>
            </w:pPr>
            <w:bookmarkStart w:id="368" w:name="OLE_LINK43"/>
            <w:bookmarkStart w:id="369" w:name="OLE_LINK44"/>
            <w:r>
              <w:rPr>
                <w:rFonts w:hint="eastAsia" w:ascii="宋体" w:hAnsi="宋体" w:cs="宋体"/>
                <w:color w:val="auto"/>
                <w:szCs w:val="21"/>
                <w:highlight w:val="none"/>
              </w:rPr>
              <w:t>机器特征码一致</w:t>
            </w:r>
            <w:bookmarkEnd w:id="368"/>
            <w:bookmarkEnd w:id="369"/>
          </w:p>
        </w:tc>
        <w:tc>
          <w:tcPr>
            <w:tcW w:w="4922" w:type="dxa"/>
            <w:vAlign w:val="center"/>
          </w:tcPr>
          <w:p w14:paraId="38CA0E24">
            <w:pPr>
              <w:rPr>
                <w:rFonts w:hint="eastAsia" w:ascii="宋体" w:hAnsi="宋体" w:cs="宋体"/>
                <w:color w:val="auto"/>
                <w:szCs w:val="21"/>
                <w:highlight w:val="none"/>
                <w:u w:val="single"/>
              </w:rPr>
            </w:pPr>
            <w:bookmarkStart w:id="370" w:name="OLE_LINK46"/>
            <w:bookmarkStart w:id="371" w:name="OLE_LINK45"/>
            <w:r>
              <w:rPr>
                <w:rFonts w:hint="eastAsia" w:ascii="宋体" w:hAnsi="宋体" w:cs="宋体"/>
                <w:color w:val="auto"/>
                <w:szCs w:val="21"/>
                <w:highlight w:val="none"/>
                <w:u w:val="single"/>
              </w:rPr>
              <w:t>投标人与本项目其他投标人加密打包投标文件电脑机器特征码不一致的(以广州交易集团有限公司（广州公共资源交易中心）交易平台评标系统的检索信息为准)</w:t>
            </w:r>
            <w:bookmarkEnd w:id="370"/>
            <w:bookmarkEnd w:id="371"/>
          </w:p>
        </w:tc>
      </w:tr>
      <w:tr w14:paraId="345C52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22" w:type="dxa"/>
            <w:vMerge w:val="restart"/>
            <w:vAlign w:val="center"/>
          </w:tcPr>
          <w:p w14:paraId="5B6B6E2B">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2.1.2</w:t>
            </w:r>
          </w:p>
        </w:tc>
        <w:tc>
          <w:tcPr>
            <w:tcW w:w="1151" w:type="dxa"/>
            <w:vMerge w:val="restart"/>
            <w:vAlign w:val="center"/>
          </w:tcPr>
          <w:p w14:paraId="76F7E4EE">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资格评审标准</w:t>
            </w:r>
          </w:p>
        </w:tc>
        <w:tc>
          <w:tcPr>
            <w:tcW w:w="2968" w:type="dxa"/>
            <w:vAlign w:val="center"/>
          </w:tcPr>
          <w:p w14:paraId="67A344C6">
            <w:pPr>
              <w:spacing w:line="240" w:lineRule="auto"/>
              <w:jc w:val="center"/>
              <w:rPr>
                <w:rFonts w:hint="eastAsia" w:ascii="宋体" w:hAnsi="宋体" w:cs="宋体"/>
                <w:color w:val="auto"/>
                <w:szCs w:val="21"/>
                <w:highlight w:val="none"/>
              </w:rPr>
            </w:pPr>
            <w:bookmarkStart w:id="372" w:name="OLE_LINK48"/>
            <w:bookmarkStart w:id="373" w:name="OLE_LINK47"/>
            <w:r>
              <w:rPr>
                <w:rFonts w:hint="eastAsia" w:ascii="宋体" w:hAnsi="宋体" w:cs="宋体"/>
                <w:color w:val="auto"/>
                <w:szCs w:val="21"/>
                <w:highlight w:val="none"/>
              </w:rPr>
              <w:t>营业执照</w:t>
            </w:r>
            <w:bookmarkEnd w:id="372"/>
            <w:bookmarkEnd w:id="373"/>
          </w:p>
        </w:tc>
        <w:tc>
          <w:tcPr>
            <w:tcW w:w="4922" w:type="dxa"/>
            <w:vAlign w:val="center"/>
          </w:tcPr>
          <w:p w14:paraId="201B7D6E">
            <w:pPr>
              <w:spacing w:line="240" w:lineRule="auto"/>
              <w:rPr>
                <w:rFonts w:hint="eastAsia" w:ascii="宋体" w:hAnsi="宋体" w:cs="宋体"/>
                <w:color w:val="auto"/>
                <w:szCs w:val="21"/>
                <w:highlight w:val="none"/>
              </w:rPr>
            </w:pPr>
            <w:bookmarkStart w:id="374" w:name="OLE_LINK50"/>
            <w:bookmarkStart w:id="375" w:name="OLE_LINK49"/>
            <w:r>
              <w:rPr>
                <w:rFonts w:hint="eastAsia" w:ascii="宋体" w:hAnsi="宋体" w:cs="宋体"/>
                <w:color w:val="auto"/>
                <w:szCs w:val="21"/>
                <w:highlight w:val="none"/>
              </w:rPr>
              <w:t>符合第二章“投标人须知”第1.4.1项规定</w:t>
            </w:r>
            <w:bookmarkEnd w:id="374"/>
            <w:bookmarkEnd w:id="375"/>
          </w:p>
        </w:tc>
      </w:tr>
      <w:tr w14:paraId="5D3E7C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2" w:hRule="atLeast"/>
          <w:jc w:val="center"/>
        </w:trPr>
        <w:tc>
          <w:tcPr>
            <w:tcW w:w="922" w:type="dxa"/>
            <w:vMerge w:val="continue"/>
            <w:vAlign w:val="center"/>
          </w:tcPr>
          <w:p w14:paraId="6A99F860">
            <w:pPr>
              <w:spacing w:line="240" w:lineRule="auto"/>
              <w:jc w:val="center"/>
              <w:rPr>
                <w:rFonts w:hint="eastAsia" w:ascii="宋体" w:hAnsi="宋体" w:cs="宋体"/>
                <w:color w:val="auto"/>
                <w:szCs w:val="21"/>
                <w:highlight w:val="none"/>
              </w:rPr>
            </w:pPr>
          </w:p>
        </w:tc>
        <w:tc>
          <w:tcPr>
            <w:tcW w:w="1151" w:type="dxa"/>
            <w:vMerge w:val="continue"/>
            <w:vAlign w:val="center"/>
          </w:tcPr>
          <w:p w14:paraId="39BA543F">
            <w:pPr>
              <w:spacing w:line="240" w:lineRule="auto"/>
              <w:jc w:val="center"/>
              <w:rPr>
                <w:rFonts w:hint="eastAsia" w:ascii="宋体" w:hAnsi="宋体" w:cs="宋体"/>
                <w:color w:val="auto"/>
                <w:szCs w:val="21"/>
                <w:highlight w:val="none"/>
              </w:rPr>
            </w:pPr>
          </w:p>
        </w:tc>
        <w:tc>
          <w:tcPr>
            <w:tcW w:w="2968" w:type="dxa"/>
            <w:vAlign w:val="center"/>
          </w:tcPr>
          <w:p w14:paraId="56218EBB">
            <w:pPr>
              <w:spacing w:line="240" w:lineRule="auto"/>
              <w:jc w:val="center"/>
              <w:rPr>
                <w:rFonts w:hint="eastAsia" w:ascii="宋体" w:hAnsi="宋体" w:cs="宋体"/>
                <w:color w:val="auto"/>
                <w:szCs w:val="21"/>
                <w:highlight w:val="none"/>
              </w:rPr>
            </w:pPr>
            <w:bookmarkStart w:id="376" w:name="OLE_LINK51"/>
            <w:r>
              <w:rPr>
                <w:rFonts w:hint="eastAsia" w:ascii="宋体" w:hAnsi="宋体" w:cs="宋体"/>
                <w:color w:val="auto"/>
                <w:szCs w:val="21"/>
                <w:highlight w:val="none"/>
              </w:rPr>
              <w:t>安全生产许可证</w:t>
            </w:r>
            <w:bookmarkEnd w:id="376"/>
          </w:p>
        </w:tc>
        <w:tc>
          <w:tcPr>
            <w:tcW w:w="4922" w:type="dxa"/>
            <w:vAlign w:val="center"/>
          </w:tcPr>
          <w:p w14:paraId="5453DF82">
            <w:pPr>
              <w:spacing w:line="240" w:lineRule="auto"/>
              <w:rPr>
                <w:rFonts w:hint="eastAsia" w:ascii="宋体" w:hAnsi="宋体" w:cs="宋体"/>
                <w:color w:val="auto"/>
                <w:szCs w:val="21"/>
                <w:highlight w:val="none"/>
              </w:rPr>
            </w:pPr>
            <w:bookmarkStart w:id="377" w:name="OLE_LINK52"/>
            <w:bookmarkStart w:id="378" w:name="OLE_LINK53"/>
            <w:r>
              <w:rPr>
                <w:rFonts w:hint="eastAsia" w:ascii="宋体" w:hAnsi="宋体" w:cs="宋体"/>
                <w:color w:val="auto"/>
                <w:szCs w:val="21"/>
                <w:highlight w:val="none"/>
              </w:rPr>
              <w:t>符合第二章“投标人须知”第1.4.1项规定</w:t>
            </w:r>
            <w:bookmarkEnd w:id="377"/>
            <w:bookmarkEnd w:id="378"/>
          </w:p>
        </w:tc>
      </w:tr>
      <w:tr w14:paraId="6A1EC2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22" w:type="dxa"/>
            <w:vMerge w:val="continue"/>
            <w:vAlign w:val="center"/>
          </w:tcPr>
          <w:p w14:paraId="16C3E060">
            <w:pPr>
              <w:spacing w:line="240" w:lineRule="auto"/>
              <w:jc w:val="center"/>
              <w:rPr>
                <w:rFonts w:hint="eastAsia" w:ascii="宋体" w:hAnsi="宋体" w:cs="宋体"/>
                <w:color w:val="auto"/>
                <w:szCs w:val="21"/>
                <w:highlight w:val="none"/>
              </w:rPr>
            </w:pPr>
          </w:p>
        </w:tc>
        <w:tc>
          <w:tcPr>
            <w:tcW w:w="1151" w:type="dxa"/>
            <w:vMerge w:val="continue"/>
            <w:vAlign w:val="center"/>
          </w:tcPr>
          <w:p w14:paraId="1BAC5AB3">
            <w:pPr>
              <w:spacing w:line="240" w:lineRule="auto"/>
              <w:jc w:val="center"/>
              <w:rPr>
                <w:rFonts w:hint="eastAsia" w:ascii="宋体" w:hAnsi="宋体" w:cs="宋体"/>
                <w:color w:val="auto"/>
                <w:szCs w:val="21"/>
                <w:highlight w:val="none"/>
              </w:rPr>
            </w:pPr>
          </w:p>
        </w:tc>
        <w:tc>
          <w:tcPr>
            <w:tcW w:w="2968" w:type="dxa"/>
            <w:vAlign w:val="center"/>
          </w:tcPr>
          <w:p w14:paraId="3EC71865">
            <w:pPr>
              <w:spacing w:line="240" w:lineRule="auto"/>
              <w:jc w:val="center"/>
              <w:rPr>
                <w:rFonts w:hint="eastAsia" w:ascii="宋体" w:hAnsi="宋体" w:cs="宋体"/>
                <w:color w:val="auto"/>
                <w:szCs w:val="21"/>
                <w:highlight w:val="none"/>
              </w:rPr>
            </w:pPr>
            <w:bookmarkStart w:id="379" w:name="OLE_LINK54"/>
            <w:bookmarkStart w:id="380" w:name="OLE_LINK55"/>
            <w:r>
              <w:rPr>
                <w:rFonts w:hint="eastAsia" w:ascii="宋体" w:hAnsi="宋体" w:cs="宋体"/>
                <w:color w:val="auto"/>
                <w:szCs w:val="21"/>
                <w:highlight w:val="none"/>
              </w:rPr>
              <w:t>资质等级</w:t>
            </w:r>
            <w:bookmarkEnd w:id="379"/>
            <w:bookmarkEnd w:id="380"/>
          </w:p>
        </w:tc>
        <w:tc>
          <w:tcPr>
            <w:tcW w:w="4922" w:type="dxa"/>
            <w:vAlign w:val="center"/>
          </w:tcPr>
          <w:p w14:paraId="565E53B3">
            <w:pPr>
              <w:spacing w:line="240" w:lineRule="auto"/>
              <w:rPr>
                <w:rFonts w:hint="eastAsia" w:ascii="宋体" w:hAnsi="宋体" w:cs="宋体"/>
                <w:color w:val="auto"/>
                <w:szCs w:val="21"/>
                <w:highlight w:val="none"/>
              </w:rPr>
            </w:pPr>
            <w:bookmarkStart w:id="381" w:name="OLE_LINK56"/>
            <w:bookmarkStart w:id="382" w:name="OLE_LINK57"/>
            <w:r>
              <w:rPr>
                <w:rFonts w:hint="eastAsia" w:ascii="宋体" w:hAnsi="宋体" w:cs="宋体"/>
                <w:color w:val="auto"/>
                <w:szCs w:val="21"/>
                <w:highlight w:val="none"/>
              </w:rPr>
              <w:t>符合第二章“投标人须知”第1.4.1项规定</w:t>
            </w:r>
            <w:bookmarkEnd w:id="381"/>
            <w:bookmarkEnd w:id="382"/>
          </w:p>
        </w:tc>
      </w:tr>
      <w:tr w14:paraId="71B8D3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22" w:type="dxa"/>
            <w:vMerge w:val="continue"/>
            <w:vAlign w:val="center"/>
          </w:tcPr>
          <w:p w14:paraId="2FDA02B4">
            <w:pPr>
              <w:spacing w:line="240" w:lineRule="auto"/>
              <w:jc w:val="center"/>
              <w:rPr>
                <w:rFonts w:hint="eastAsia" w:ascii="宋体" w:hAnsi="宋体" w:cs="宋体"/>
                <w:color w:val="auto"/>
                <w:szCs w:val="21"/>
                <w:highlight w:val="none"/>
              </w:rPr>
            </w:pPr>
          </w:p>
        </w:tc>
        <w:tc>
          <w:tcPr>
            <w:tcW w:w="1151" w:type="dxa"/>
            <w:vMerge w:val="continue"/>
            <w:vAlign w:val="center"/>
          </w:tcPr>
          <w:p w14:paraId="06CFC98F">
            <w:pPr>
              <w:spacing w:line="240" w:lineRule="auto"/>
              <w:jc w:val="center"/>
              <w:rPr>
                <w:rFonts w:hint="eastAsia" w:ascii="宋体" w:hAnsi="宋体" w:cs="宋体"/>
                <w:color w:val="auto"/>
                <w:szCs w:val="21"/>
                <w:highlight w:val="none"/>
              </w:rPr>
            </w:pPr>
          </w:p>
        </w:tc>
        <w:tc>
          <w:tcPr>
            <w:tcW w:w="2968" w:type="dxa"/>
            <w:vAlign w:val="center"/>
          </w:tcPr>
          <w:p w14:paraId="28963D1D">
            <w:pPr>
              <w:spacing w:line="240" w:lineRule="auto"/>
              <w:jc w:val="center"/>
              <w:rPr>
                <w:rFonts w:hint="eastAsia" w:ascii="宋体" w:hAnsi="宋体" w:cs="宋体"/>
                <w:color w:val="auto"/>
                <w:szCs w:val="21"/>
                <w:highlight w:val="none"/>
              </w:rPr>
            </w:pPr>
            <w:bookmarkStart w:id="383" w:name="OLE_LINK58"/>
            <w:bookmarkStart w:id="384" w:name="OLE_LINK59"/>
            <w:r>
              <w:rPr>
                <w:rFonts w:hint="eastAsia" w:ascii="宋体" w:hAnsi="宋体" w:cs="宋体"/>
                <w:color w:val="auto"/>
                <w:szCs w:val="21"/>
                <w:highlight w:val="none"/>
              </w:rPr>
              <w:t>投标人声明</w:t>
            </w:r>
            <w:bookmarkEnd w:id="383"/>
            <w:bookmarkEnd w:id="384"/>
          </w:p>
        </w:tc>
        <w:tc>
          <w:tcPr>
            <w:tcW w:w="4922" w:type="dxa"/>
            <w:vAlign w:val="center"/>
          </w:tcPr>
          <w:p w14:paraId="435B2401">
            <w:pPr>
              <w:spacing w:line="240" w:lineRule="auto"/>
              <w:rPr>
                <w:rFonts w:hint="eastAsia" w:ascii="宋体" w:hAnsi="宋体" w:cs="宋体"/>
                <w:color w:val="auto"/>
                <w:szCs w:val="21"/>
                <w:highlight w:val="none"/>
              </w:rPr>
            </w:pPr>
            <w:bookmarkStart w:id="385" w:name="OLE_LINK60"/>
            <w:bookmarkStart w:id="386" w:name="OLE_LINK61"/>
            <w:r>
              <w:rPr>
                <w:rFonts w:hint="eastAsia" w:ascii="宋体" w:hAnsi="宋体" w:cs="宋体"/>
                <w:color w:val="auto"/>
                <w:szCs w:val="21"/>
                <w:highlight w:val="none"/>
              </w:rPr>
              <w:t>符合第二章“投标人须知”第1.4.1项规定</w:t>
            </w:r>
            <w:bookmarkEnd w:id="385"/>
            <w:bookmarkEnd w:id="386"/>
          </w:p>
        </w:tc>
      </w:tr>
      <w:tr w14:paraId="7EE214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22" w:type="dxa"/>
            <w:vMerge w:val="continue"/>
            <w:vAlign w:val="center"/>
          </w:tcPr>
          <w:p w14:paraId="12DF4E9E">
            <w:pPr>
              <w:spacing w:line="240" w:lineRule="auto"/>
              <w:jc w:val="center"/>
              <w:rPr>
                <w:rFonts w:hint="eastAsia" w:ascii="宋体" w:hAnsi="宋体" w:cs="宋体"/>
                <w:color w:val="auto"/>
                <w:szCs w:val="21"/>
                <w:highlight w:val="none"/>
              </w:rPr>
            </w:pPr>
          </w:p>
        </w:tc>
        <w:tc>
          <w:tcPr>
            <w:tcW w:w="1151" w:type="dxa"/>
            <w:vMerge w:val="continue"/>
            <w:vAlign w:val="center"/>
          </w:tcPr>
          <w:p w14:paraId="1F7D0702">
            <w:pPr>
              <w:spacing w:line="240" w:lineRule="auto"/>
              <w:jc w:val="center"/>
              <w:rPr>
                <w:rFonts w:hint="eastAsia" w:ascii="宋体" w:hAnsi="宋体" w:cs="宋体"/>
                <w:color w:val="auto"/>
                <w:szCs w:val="21"/>
                <w:highlight w:val="none"/>
              </w:rPr>
            </w:pPr>
          </w:p>
        </w:tc>
        <w:tc>
          <w:tcPr>
            <w:tcW w:w="2968" w:type="dxa"/>
            <w:vAlign w:val="center"/>
          </w:tcPr>
          <w:p w14:paraId="77E78F73">
            <w:pPr>
              <w:spacing w:line="240" w:lineRule="auto"/>
              <w:jc w:val="center"/>
              <w:rPr>
                <w:rFonts w:hint="eastAsia" w:ascii="宋体" w:hAnsi="宋体" w:cs="宋体"/>
                <w:color w:val="auto"/>
                <w:szCs w:val="21"/>
                <w:highlight w:val="none"/>
              </w:rPr>
            </w:pPr>
            <w:bookmarkStart w:id="387" w:name="OLE_LINK63"/>
            <w:bookmarkStart w:id="388" w:name="OLE_LINK62"/>
            <w:r>
              <w:rPr>
                <w:rFonts w:hint="eastAsia" w:ascii="宋体" w:hAnsi="宋体" w:cs="宋体"/>
                <w:color w:val="auto"/>
                <w:szCs w:val="21"/>
                <w:highlight w:val="none"/>
              </w:rPr>
              <w:t>项目负责人（兼施工负责人）</w:t>
            </w:r>
            <w:bookmarkEnd w:id="387"/>
            <w:bookmarkEnd w:id="388"/>
          </w:p>
        </w:tc>
        <w:tc>
          <w:tcPr>
            <w:tcW w:w="4922" w:type="dxa"/>
            <w:vAlign w:val="center"/>
          </w:tcPr>
          <w:p w14:paraId="5D7FCDFA">
            <w:pPr>
              <w:spacing w:line="240" w:lineRule="auto"/>
              <w:rPr>
                <w:rFonts w:hint="eastAsia" w:ascii="宋体" w:hAnsi="宋体" w:cs="宋体"/>
                <w:color w:val="auto"/>
                <w:szCs w:val="21"/>
                <w:highlight w:val="none"/>
              </w:rPr>
            </w:pPr>
            <w:bookmarkStart w:id="389" w:name="OLE_LINK64"/>
            <w:bookmarkStart w:id="390" w:name="OLE_LINK65"/>
            <w:r>
              <w:rPr>
                <w:rFonts w:hint="eastAsia" w:ascii="宋体" w:hAnsi="宋体" w:cs="宋体"/>
                <w:color w:val="auto"/>
                <w:szCs w:val="21"/>
                <w:highlight w:val="none"/>
              </w:rPr>
              <w:t>符合第二章“投标人须知”第1.4.1项规定</w:t>
            </w:r>
            <w:bookmarkEnd w:id="389"/>
            <w:bookmarkEnd w:id="390"/>
          </w:p>
        </w:tc>
      </w:tr>
      <w:tr w14:paraId="3E71AD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22" w:type="dxa"/>
            <w:vMerge w:val="continue"/>
            <w:vAlign w:val="center"/>
          </w:tcPr>
          <w:p w14:paraId="30DD1576">
            <w:pPr>
              <w:spacing w:line="240" w:lineRule="auto"/>
              <w:jc w:val="center"/>
              <w:rPr>
                <w:rFonts w:hint="eastAsia" w:ascii="宋体" w:hAnsi="宋体" w:cs="宋体"/>
                <w:color w:val="auto"/>
                <w:szCs w:val="21"/>
                <w:highlight w:val="none"/>
              </w:rPr>
            </w:pPr>
          </w:p>
        </w:tc>
        <w:tc>
          <w:tcPr>
            <w:tcW w:w="1151" w:type="dxa"/>
            <w:vMerge w:val="continue"/>
            <w:vAlign w:val="center"/>
          </w:tcPr>
          <w:p w14:paraId="5CFC4919">
            <w:pPr>
              <w:spacing w:line="240" w:lineRule="auto"/>
              <w:jc w:val="center"/>
              <w:rPr>
                <w:rFonts w:hint="eastAsia" w:ascii="宋体" w:hAnsi="宋体" w:cs="宋体"/>
                <w:color w:val="auto"/>
                <w:szCs w:val="21"/>
                <w:highlight w:val="none"/>
              </w:rPr>
            </w:pPr>
          </w:p>
        </w:tc>
        <w:tc>
          <w:tcPr>
            <w:tcW w:w="2968" w:type="dxa"/>
            <w:vAlign w:val="center"/>
          </w:tcPr>
          <w:p w14:paraId="5F98FBBE">
            <w:pPr>
              <w:spacing w:line="240" w:lineRule="auto"/>
              <w:jc w:val="center"/>
              <w:rPr>
                <w:rFonts w:hint="eastAsia" w:ascii="宋体" w:hAnsi="宋体" w:cs="宋体"/>
                <w:color w:val="auto"/>
                <w:szCs w:val="21"/>
                <w:highlight w:val="none"/>
              </w:rPr>
            </w:pPr>
            <w:bookmarkStart w:id="391" w:name="OLE_LINK66"/>
            <w:bookmarkStart w:id="392" w:name="OLE_LINK67"/>
            <w:r>
              <w:rPr>
                <w:rFonts w:hint="eastAsia" w:ascii="宋体" w:hAnsi="宋体" w:cs="宋体"/>
                <w:color w:val="auto"/>
                <w:szCs w:val="21"/>
                <w:highlight w:val="none"/>
              </w:rPr>
              <w:t>设计负责人</w:t>
            </w:r>
            <w:bookmarkEnd w:id="391"/>
            <w:bookmarkEnd w:id="392"/>
          </w:p>
        </w:tc>
        <w:tc>
          <w:tcPr>
            <w:tcW w:w="4922" w:type="dxa"/>
            <w:vAlign w:val="center"/>
          </w:tcPr>
          <w:p w14:paraId="4C70D4EE">
            <w:pPr>
              <w:spacing w:line="240" w:lineRule="auto"/>
              <w:rPr>
                <w:rFonts w:hint="eastAsia" w:ascii="宋体" w:hAnsi="宋体" w:cs="宋体"/>
                <w:color w:val="auto"/>
                <w:szCs w:val="21"/>
                <w:highlight w:val="none"/>
              </w:rPr>
            </w:pPr>
            <w:bookmarkStart w:id="393" w:name="OLE_LINK68"/>
            <w:bookmarkStart w:id="394" w:name="OLE_LINK69"/>
            <w:r>
              <w:rPr>
                <w:rFonts w:hint="eastAsia" w:ascii="宋体" w:hAnsi="宋体" w:cs="宋体"/>
                <w:color w:val="auto"/>
                <w:szCs w:val="21"/>
                <w:highlight w:val="none"/>
              </w:rPr>
              <w:t>符合第二章“投标人须知”第1.4.1项规定</w:t>
            </w:r>
            <w:bookmarkEnd w:id="393"/>
            <w:bookmarkEnd w:id="394"/>
          </w:p>
        </w:tc>
      </w:tr>
      <w:tr w14:paraId="5D71C7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22" w:type="dxa"/>
            <w:vMerge w:val="continue"/>
            <w:vAlign w:val="center"/>
          </w:tcPr>
          <w:p w14:paraId="60D2CA6A">
            <w:pPr>
              <w:spacing w:line="240" w:lineRule="auto"/>
              <w:jc w:val="center"/>
              <w:rPr>
                <w:rFonts w:hint="eastAsia" w:ascii="宋体" w:hAnsi="宋体" w:cs="宋体"/>
                <w:color w:val="auto"/>
                <w:szCs w:val="21"/>
                <w:highlight w:val="none"/>
              </w:rPr>
            </w:pPr>
          </w:p>
        </w:tc>
        <w:tc>
          <w:tcPr>
            <w:tcW w:w="1151" w:type="dxa"/>
            <w:vMerge w:val="continue"/>
            <w:vAlign w:val="center"/>
          </w:tcPr>
          <w:p w14:paraId="098E4B75">
            <w:pPr>
              <w:spacing w:line="240" w:lineRule="auto"/>
              <w:jc w:val="center"/>
              <w:rPr>
                <w:rFonts w:hint="eastAsia" w:ascii="宋体" w:hAnsi="宋体" w:cs="宋体"/>
                <w:color w:val="auto"/>
                <w:szCs w:val="21"/>
                <w:highlight w:val="none"/>
              </w:rPr>
            </w:pPr>
          </w:p>
        </w:tc>
        <w:tc>
          <w:tcPr>
            <w:tcW w:w="2968" w:type="dxa"/>
            <w:vAlign w:val="center"/>
          </w:tcPr>
          <w:p w14:paraId="6A9CAFBD">
            <w:pPr>
              <w:spacing w:line="240" w:lineRule="auto"/>
              <w:jc w:val="center"/>
              <w:rPr>
                <w:rFonts w:hint="eastAsia" w:ascii="宋体" w:hAnsi="宋体" w:cs="宋体"/>
                <w:color w:val="auto"/>
                <w:szCs w:val="21"/>
                <w:highlight w:val="none"/>
              </w:rPr>
            </w:pPr>
            <w:bookmarkStart w:id="395" w:name="OLE_LINK70"/>
            <w:r>
              <w:rPr>
                <w:rFonts w:hint="eastAsia" w:ascii="宋体" w:hAnsi="宋体" w:cs="宋体"/>
                <w:color w:val="auto"/>
                <w:szCs w:val="21"/>
                <w:highlight w:val="none"/>
              </w:rPr>
              <w:t>技术负责人</w:t>
            </w:r>
            <w:bookmarkEnd w:id="395"/>
          </w:p>
        </w:tc>
        <w:tc>
          <w:tcPr>
            <w:tcW w:w="4922" w:type="dxa"/>
            <w:vAlign w:val="center"/>
          </w:tcPr>
          <w:p w14:paraId="211D0862">
            <w:pPr>
              <w:spacing w:line="240" w:lineRule="auto"/>
              <w:rPr>
                <w:rFonts w:hint="eastAsia" w:ascii="宋体" w:hAnsi="宋体" w:cs="宋体"/>
                <w:color w:val="auto"/>
                <w:szCs w:val="21"/>
                <w:highlight w:val="none"/>
              </w:rPr>
            </w:pPr>
            <w:bookmarkStart w:id="396" w:name="OLE_LINK72"/>
            <w:bookmarkStart w:id="397" w:name="OLE_LINK71"/>
            <w:r>
              <w:rPr>
                <w:rFonts w:hint="eastAsia" w:ascii="宋体" w:hAnsi="宋体" w:cs="宋体"/>
                <w:color w:val="auto"/>
                <w:szCs w:val="21"/>
                <w:highlight w:val="none"/>
              </w:rPr>
              <w:t>符合第二章“投标人须知”第1.4.1项规定</w:t>
            </w:r>
            <w:bookmarkEnd w:id="396"/>
            <w:bookmarkEnd w:id="397"/>
          </w:p>
        </w:tc>
      </w:tr>
      <w:tr w14:paraId="680F3D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22" w:type="dxa"/>
            <w:vMerge w:val="continue"/>
            <w:vAlign w:val="center"/>
          </w:tcPr>
          <w:p w14:paraId="7D46E2A1">
            <w:pPr>
              <w:spacing w:line="240" w:lineRule="auto"/>
              <w:jc w:val="center"/>
              <w:rPr>
                <w:rFonts w:hint="eastAsia" w:ascii="宋体" w:hAnsi="宋体" w:cs="宋体"/>
                <w:color w:val="auto"/>
                <w:szCs w:val="21"/>
                <w:highlight w:val="none"/>
              </w:rPr>
            </w:pPr>
          </w:p>
        </w:tc>
        <w:tc>
          <w:tcPr>
            <w:tcW w:w="1151" w:type="dxa"/>
            <w:vMerge w:val="continue"/>
            <w:vAlign w:val="center"/>
          </w:tcPr>
          <w:p w14:paraId="6B9C8757">
            <w:pPr>
              <w:spacing w:line="240" w:lineRule="auto"/>
              <w:jc w:val="center"/>
              <w:rPr>
                <w:rFonts w:hint="eastAsia" w:ascii="宋体" w:hAnsi="宋体" w:cs="宋体"/>
                <w:color w:val="auto"/>
                <w:szCs w:val="21"/>
                <w:highlight w:val="none"/>
              </w:rPr>
            </w:pPr>
          </w:p>
        </w:tc>
        <w:tc>
          <w:tcPr>
            <w:tcW w:w="2968" w:type="dxa"/>
            <w:vAlign w:val="center"/>
          </w:tcPr>
          <w:p w14:paraId="7D9B7CDF">
            <w:pPr>
              <w:spacing w:line="240" w:lineRule="auto"/>
              <w:jc w:val="center"/>
              <w:rPr>
                <w:rFonts w:hint="eastAsia" w:ascii="宋体" w:hAnsi="宋体" w:cs="宋体"/>
                <w:color w:val="auto"/>
                <w:szCs w:val="21"/>
                <w:highlight w:val="none"/>
              </w:rPr>
            </w:pPr>
            <w:bookmarkStart w:id="398" w:name="OLE_LINK73"/>
            <w:bookmarkStart w:id="399" w:name="OLE_LINK74"/>
            <w:r>
              <w:rPr>
                <w:rFonts w:hint="eastAsia" w:ascii="宋体" w:hAnsi="宋体" w:cs="宋体"/>
                <w:color w:val="auto"/>
                <w:szCs w:val="21"/>
                <w:highlight w:val="none"/>
              </w:rPr>
              <w:t>专职安全员</w:t>
            </w:r>
            <w:bookmarkEnd w:id="398"/>
            <w:bookmarkEnd w:id="399"/>
          </w:p>
        </w:tc>
        <w:tc>
          <w:tcPr>
            <w:tcW w:w="4922" w:type="dxa"/>
            <w:vAlign w:val="center"/>
          </w:tcPr>
          <w:p w14:paraId="788FB6FA">
            <w:pPr>
              <w:spacing w:line="240" w:lineRule="auto"/>
              <w:rPr>
                <w:rFonts w:hint="eastAsia" w:ascii="宋体" w:hAnsi="宋体" w:cs="宋体"/>
                <w:color w:val="auto"/>
                <w:szCs w:val="21"/>
                <w:highlight w:val="none"/>
              </w:rPr>
            </w:pPr>
            <w:bookmarkStart w:id="400" w:name="OLE_LINK76"/>
            <w:bookmarkStart w:id="401" w:name="OLE_LINK75"/>
            <w:r>
              <w:rPr>
                <w:rFonts w:hint="eastAsia" w:ascii="宋体" w:hAnsi="宋体" w:cs="宋体"/>
                <w:color w:val="auto"/>
                <w:szCs w:val="21"/>
                <w:highlight w:val="none"/>
              </w:rPr>
              <w:t>符合第二章“投标人须知”第1.4.1项规定</w:t>
            </w:r>
            <w:bookmarkEnd w:id="400"/>
            <w:bookmarkEnd w:id="401"/>
          </w:p>
        </w:tc>
      </w:tr>
      <w:tr w14:paraId="2550D9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22" w:type="dxa"/>
            <w:vMerge w:val="continue"/>
            <w:vAlign w:val="center"/>
          </w:tcPr>
          <w:p w14:paraId="7C1C0E83">
            <w:pPr>
              <w:spacing w:line="240" w:lineRule="auto"/>
              <w:jc w:val="center"/>
              <w:rPr>
                <w:rFonts w:hint="eastAsia" w:ascii="宋体" w:hAnsi="宋体" w:cs="宋体"/>
                <w:color w:val="auto"/>
                <w:szCs w:val="21"/>
                <w:highlight w:val="none"/>
              </w:rPr>
            </w:pPr>
          </w:p>
        </w:tc>
        <w:tc>
          <w:tcPr>
            <w:tcW w:w="1151" w:type="dxa"/>
            <w:vMerge w:val="continue"/>
            <w:vAlign w:val="center"/>
          </w:tcPr>
          <w:p w14:paraId="7882B3E5">
            <w:pPr>
              <w:spacing w:line="240" w:lineRule="auto"/>
              <w:jc w:val="center"/>
              <w:rPr>
                <w:rFonts w:hint="eastAsia" w:ascii="宋体" w:hAnsi="宋体" w:cs="宋体"/>
                <w:color w:val="auto"/>
                <w:szCs w:val="21"/>
                <w:highlight w:val="none"/>
              </w:rPr>
            </w:pPr>
          </w:p>
        </w:tc>
        <w:tc>
          <w:tcPr>
            <w:tcW w:w="2968" w:type="dxa"/>
            <w:vAlign w:val="center"/>
          </w:tcPr>
          <w:p w14:paraId="699FA733">
            <w:pPr>
              <w:spacing w:line="240" w:lineRule="auto"/>
              <w:jc w:val="center"/>
              <w:rPr>
                <w:rFonts w:hint="eastAsia" w:ascii="宋体" w:hAnsi="宋体" w:cs="宋体"/>
                <w:color w:val="auto"/>
                <w:szCs w:val="21"/>
                <w:highlight w:val="none"/>
              </w:rPr>
            </w:pPr>
            <w:bookmarkStart w:id="402" w:name="OLE_LINK78"/>
            <w:bookmarkStart w:id="403" w:name="OLE_LINK77"/>
            <w:r>
              <w:rPr>
                <w:rFonts w:hint="eastAsia" w:ascii="宋体" w:hAnsi="宋体" w:cs="宋体"/>
                <w:color w:val="auto"/>
                <w:szCs w:val="21"/>
                <w:highlight w:val="none"/>
              </w:rPr>
              <w:t>其他要求</w:t>
            </w:r>
            <w:bookmarkEnd w:id="402"/>
            <w:bookmarkEnd w:id="403"/>
          </w:p>
        </w:tc>
        <w:tc>
          <w:tcPr>
            <w:tcW w:w="4922" w:type="dxa"/>
            <w:vAlign w:val="center"/>
          </w:tcPr>
          <w:p w14:paraId="24A3D28C">
            <w:pPr>
              <w:spacing w:line="240" w:lineRule="auto"/>
              <w:rPr>
                <w:rFonts w:hint="eastAsia" w:ascii="宋体" w:hAnsi="宋体" w:cs="宋体"/>
                <w:color w:val="auto"/>
                <w:szCs w:val="21"/>
                <w:highlight w:val="none"/>
              </w:rPr>
            </w:pPr>
            <w:bookmarkStart w:id="404" w:name="OLE_LINK79"/>
            <w:r>
              <w:rPr>
                <w:rFonts w:hint="eastAsia" w:ascii="宋体" w:hAnsi="宋体" w:cs="宋体"/>
                <w:color w:val="auto"/>
                <w:szCs w:val="21"/>
                <w:highlight w:val="none"/>
              </w:rPr>
              <w:t>符合第二章“投标人须知”第1.4.1项规定</w:t>
            </w:r>
            <w:bookmarkEnd w:id="404"/>
          </w:p>
        </w:tc>
      </w:tr>
      <w:tr w14:paraId="653B50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22" w:type="dxa"/>
            <w:vMerge w:val="continue"/>
            <w:vAlign w:val="center"/>
          </w:tcPr>
          <w:p w14:paraId="64D6DC09">
            <w:pPr>
              <w:spacing w:line="240" w:lineRule="auto"/>
              <w:jc w:val="center"/>
              <w:rPr>
                <w:rFonts w:hint="eastAsia" w:ascii="宋体" w:hAnsi="宋体" w:cs="宋体"/>
                <w:color w:val="auto"/>
                <w:szCs w:val="21"/>
                <w:highlight w:val="none"/>
              </w:rPr>
            </w:pPr>
          </w:p>
        </w:tc>
        <w:tc>
          <w:tcPr>
            <w:tcW w:w="1151" w:type="dxa"/>
            <w:vMerge w:val="continue"/>
            <w:vAlign w:val="center"/>
          </w:tcPr>
          <w:p w14:paraId="623D8B03">
            <w:pPr>
              <w:spacing w:line="240" w:lineRule="auto"/>
              <w:jc w:val="center"/>
              <w:rPr>
                <w:rFonts w:hint="eastAsia" w:ascii="宋体" w:hAnsi="宋体" w:cs="宋体"/>
                <w:color w:val="auto"/>
                <w:szCs w:val="21"/>
                <w:highlight w:val="none"/>
              </w:rPr>
            </w:pPr>
          </w:p>
        </w:tc>
        <w:tc>
          <w:tcPr>
            <w:tcW w:w="2968" w:type="dxa"/>
            <w:vAlign w:val="center"/>
          </w:tcPr>
          <w:p w14:paraId="0B45BD7C">
            <w:pPr>
              <w:spacing w:line="240" w:lineRule="auto"/>
              <w:jc w:val="center"/>
              <w:rPr>
                <w:rFonts w:hint="eastAsia" w:ascii="宋体" w:hAnsi="宋体" w:cs="宋体"/>
                <w:color w:val="auto"/>
                <w:szCs w:val="21"/>
                <w:highlight w:val="none"/>
              </w:rPr>
            </w:pPr>
            <w:bookmarkStart w:id="405" w:name="OLE_LINK80"/>
            <w:bookmarkStart w:id="406" w:name="OLE_LINK81"/>
            <w:r>
              <w:rPr>
                <w:rFonts w:hint="eastAsia" w:ascii="宋体" w:hAnsi="宋体" w:cs="宋体"/>
                <w:color w:val="auto"/>
                <w:szCs w:val="21"/>
                <w:highlight w:val="none"/>
              </w:rPr>
              <w:t>联合体投标人</w:t>
            </w:r>
            <w:bookmarkEnd w:id="405"/>
            <w:bookmarkEnd w:id="406"/>
          </w:p>
        </w:tc>
        <w:tc>
          <w:tcPr>
            <w:tcW w:w="4922" w:type="dxa"/>
            <w:vAlign w:val="center"/>
          </w:tcPr>
          <w:p w14:paraId="35A30809">
            <w:pPr>
              <w:spacing w:line="240" w:lineRule="auto"/>
              <w:rPr>
                <w:rFonts w:hint="eastAsia" w:ascii="宋体" w:hAnsi="宋体" w:cs="宋体"/>
                <w:color w:val="auto"/>
                <w:szCs w:val="21"/>
                <w:highlight w:val="none"/>
              </w:rPr>
            </w:pPr>
            <w:bookmarkStart w:id="407" w:name="OLE_LINK82"/>
            <w:r>
              <w:rPr>
                <w:rFonts w:hint="eastAsia" w:ascii="宋体" w:hAnsi="宋体" w:cs="宋体"/>
                <w:color w:val="auto"/>
                <w:szCs w:val="21"/>
                <w:highlight w:val="none"/>
              </w:rPr>
              <w:t>符合第二章“投标人须知”第1.4.2项规定</w:t>
            </w:r>
            <w:bookmarkEnd w:id="407"/>
          </w:p>
        </w:tc>
      </w:tr>
      <w:tr w14:paraId="540E9A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22" w:type="dxa"/>
            <w:vMerge w:val="continue"/>
            <w:vAlign w:val="center"/>
          </w:tcPr>
          <w:p w14:paraId="611665EC">
            <w:pPr>
              <w:spacing w:line="240" w:lineRule="auto"/>
              <w:jc w:val="center"/>
              <w:rPr>
                <w:rFonts w:hint="eastAsia" w:ascii="宋体" w:hAnsi="宋体" w:cs="宋体"/>
                <w:color w:val="auto"/>
                <w:szCs w:val="21"/>
                <w:highlight w:val="none"/>
              </w:rPr>
            </w:pPr>
          </w:p>
        </w:tc>
        <w:tc>
          <w:tcPr>
            <w:tcW w:w="1151" w:type="dxa"/>
            <w:vMerge w:val="continue"/>
            <w:vAlign w:val="center"/>
          </w:tcPr>
          <w:p w14:paraId="3B59D997">
            <w:pPr>
              <w:spacing w:line="240" w:lineRule="auto"/>
              <w:jc w:val="center"/>
              <w:rPr>
                <w:rFonts w:hint="eastAsia" w:ascii="宋体" w:hAnsi="宋体" w:cs="宋体"/>
                <w:color w:val="auto"/>
                <w:szCs w:val="21"/>
                <w:highlight w:val="none"/>
              </w:rPr>
            </w:pPr>
          </w:p>
        </w:tc>
        <w:tc>
          <w:tcPr>
            <w:tcW w:w="2968" w:type="dxa"/>
            <w:vAlign w:val="center"/>
          </w:tcPr>
          <w:p w14:paraId="580E8CC2">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未在以往工程中因不充分履约行为被本项目招标人书面拒绝投标的</w:t>
            </w:r>
          </w:p>
        </w:tc>
        <w:tc>
          <w:tcPr>
            <w:tcW w:w="4922" w:type="dxa"/>
            <w:vAlign w:val="center"/>
          </w:tcPr>
          <w:p w14:paraId="2696FE7A">
            <w:pPr>
              <w:spacing w:line="240" w:lineRule="auto"/>
              <w:rPr>
                <w:rFonts w:hint="eastAsia" w:ascii="宋体" w:hAnsi="宋体" w:cs="宋体"/>
                <w:color w:val="auto"/>
                <w:szCs w:val="21"/>
                <w:highlight w:val="none"/>
              </w:rPr>
            </w:pPr>
            <w:r>
              <w:rPr>
                <w:rFonts w:hint="eastAsia" w:ascii="宋体" w:hAnsi="宋体" w:cs="宋体"/>
                <w:color w:val="auto"/>
                <w:szCs w:val="21"/>
                <w:highlight w:val="none"/>
              </w:rPr>
              <w:t>投标人无需提供资料，资格审查时，按第一章“招标公告”附件三《被招标人拒绝投标的企业名单》进行评审</w:t>
            </w:r>
          </w:p>
        </w:tc>
      </w:tr>
      <w:tr w14:paraId="45751B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22" w:type="dxa"/>
            <w:vMerge w:val="continue"/>
            <w:vAlign w:val="center"/>
          </w:tcPr>
          <w:p w14:paraId="141778F6">
            <w:pPr>
              <w:spacing w:line="240" w:lineRule="auto"/>
              <w:jc w:val="center"/>
              <w:rPr>
                <w:rFonts w:hint="eastAsia" w:ascii="宋体" w:hAnsi="宋体" w:cs="宋体"/>
                <w:color w:val="auto"/>
                <w:szCs w:val="21"/>
                <w:highlight w:val="none"/>
              </w:rPr>
            </w:pPr>
          </w:p>
        </w:tc>
        <w:tc>
          <w:tcPr>
            <w:tcW w:w="1151" w:type="dxa"/>
            <w:vMerge w:val="continue"/>
            <w:vAlign w:val="center"/>
          </w:tcPr>
          <w:p w14:paraId="789A0B19">
            <w:pPr>
              <w:spacing w:line="240" w:lineRule="auto"/>
              <w:jc w:val="center"/>
              <w:rPr>
                <w:rFonts w:hint="eastAsia" w:ascii="宋体" w:hAnsi="宋体" w:cs="宋体"/>
                <w:color w:val="auto"/>
                <w:szCs w:val="21"/>
                <w:highlight w:val="none"/>
              </w:rPr>
            </w:pPr>
          </w:p>
        </w:tc>
        <w:tc>
          <w:tcPr>
            <w:tcW w:w="2968" w:type="dxa"/>
            <w:vAlign w:val="center"/>
          </w:tcPr>
          <w:p w14:paraId="2AEB62E1">
            <w:pPr>
              <w:spacing w:line="240" w:lineRule="auto"/>
              <w:jc w:val="center"/>
              <w:rPr>
                <w:rFonts w:hint="eastAsia" w:ascii="宋体" w:hAnsi="宋体" w:cs="宋体"/>
                <w:color w:val="auto"/>
                <w:szCs w:val="21"/>
                <w:highlight w:val="none"/>
              </w:rPr>
            </w:pPr>
            <w:bookmarkStart w:id="408" w:name="OLE_LINK86"/>
            <w:bookmarkStart w:id="409" w:name="OLE_LINK87"/>
            <w:r>
              <w:rPr>
                <w:rFonts w:hint="eastAsia" w:ascii="宋体" w:hAnsi="宋体" w:cs="宋体"/>
                <w:color w:val="auto"/>
                <w:szCs w:val="21"/>
                <w:highlight w:val="none"/>
              </w:rPr>
              <w:t>投标人之间的关系</w:t>
            </w:r>
            <w:bookmarkEnd w:id="408"/>
            <w:bookmarkEnd w:id="409"/>
          </w:p>
        </w:tc>
        <w:tc>
          <w:tcPr>
            <w:tcW w:w="4922" w:type="dxa"/>
            <w:vAlign w:val="center"/>
          </w:tcPr>
          <w:p w14:paraId="0B6FF76F">
            <w:pPr>
              <w:spacing w:line="240" w:lineRule="auto"/>
              <w:rPr>
                <w:rFonts w:hint="eastAsia" w:ascii="宋体" w:hAnsi="宋体" w:cs="宋体"/>
                <w:color w:val="auto"/>
                <w:szCs w:val="21"/>
                <w:highlight w:val="none"/>
              </w:rPr>
            </w:pPr>
            <w:bookmarkStart w:id="410" w:name="OLE_LINK89"/>
            <w:bookmarkStart w:id="411" w:name="OLE_LINK88"/>
            <w:r>
              <w:rPr>
                <w:rFonts w:hint="eastAsia" w:ascii="宋体" w:hAnsi="宋体" w:cs="宋体"/>
                <w:color w:val="auto"/>
                <w:szCs w:val="21"/>
                <w:highlight w:val="none"/>
              </w:rPr>
              <w:t>符合第一章“招标公告”第3.4.6项规定（按投标人提供的《投标人声明》第八条内容进行评审）</w:t>
            </w:r>
            <w:bookmarkEnd w:id="410"/>
            <w:bookmarkEnd w:id="411"/>
          </w:p>
        </w:tc>
      </w:tr>
      <w:tr w14:paraId="7E0975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22" w:type="dxa"/>
            <w:vMerge w:val="continue"/>
            <w:vAlign w:val="center"/>
          </w:tcPr>
          <w:p w14:paraId="345FF74D">
            <w:pPr>
              <w:spacing w:line="240" w:lineRule="auto"/>
              <w:jc w:val="center"/>
              <w:rPr>
                <w:rFonts w:hint="eastAsia" w:ascii="宋体" w:hAnsi="宋体" w:cs="宋体"/>
                <w:color w:val="auto"/>
                <w:szCs w:val="21"/>
                <w:highlight w:val="none"/>
              </w:rPr>
            </w:pPr>
          </w:p>
        </w:tc>
        <w:tc>
          <w:tcPr>
            <w:tcW w:w="1151" w:type="dxa"/>
            <w:vMerge w:val="continue"/>
            <w:vAlign w:val="center"/>
          </w:tcPr>
          <w:p w14:paraId="7397BFBD">
            <w:pPr>
              <w:spacing w:line="240" w:lineRule="auto"/>
              <w:jc w:val="center"/>
              <w:rPr>
                <w:rFonts w:hint="eastAsia" w:ascii="宋体" w:hAnsi="宋体" w:cs="宋体"/>
                <w:color w:val="auto"/>
                <w:szCs w:val="21"/>
                <w:highlight w:val="none"/>
              </w:rPr>
            </w:pPr>
          </w:p>
        </w:tc>
        <w:tc>
          <w:tcPr>
            <w:tcW w:w="2968" w:type="dxa"/>
            <w:vAlign w:val="center"/>
          </w:tcPr>
          <w:p w14:paraId="2CBBEE5E">
            <w:pPr>
              <w:spacing w:line="240" w:lineRule="auto"/>
              <w:jc w:val="center"/>
              <w:rPr>
                <w:rFonts w:hint="eastAsia" w:ascii="宋体" w:hAnsi="宋体" w:cs="宋体"/>
                <w:color w:val="auto"/>
                <w:szCs w:val="21"/>
                <w:highlight w:val="none"/>
              </w:rPr>
            </w:pPr>
            <w:bookmarkStart w:id="412" w:name="OLE_LINK91"/>
            <w:bookmarkStart w:id="413" w:name="OLE_LINK90"/>
            <w:r>
              <w:rPr>
                <w:rFonts w:hint="eastAsia" w:ascii="宋体" w:hAnsi="宋体" w:cs="宋体"/>
                <w:color w:val="auto"/>
                <w:szCs w:val="21"/>
                <w:highlight w:val="none"/>
              </w:rPr>
              <w:t>失信联合惩戒</w:t>
            </w:r>
            <w:bookmarkEnd w:id="412"/>
            <w:bookmarkEnd w:id="413"/>
          </w:p>
        </w:tc>
        <w:tc>
          <w:tcPr>
            <w:tcW w:w="4922" w:type="dxa"/>
            <w:vAlign w:val="center"/>
          </w:tcPr>
          <w:p w14:paraId="7F5373D3">
            <w:pPr>
              <w:spacing w:line="240" w:lineRule="auto"/>
              <w:rPr>
                <w:rFonts w:hint="eastAsia" w:ascii="宋体" w:hAnsi="宋体" w:cs="宋体"/>
                <w:color w:val="auto"/>
                <w:szCs w:val="21"/>
                <w:highlight w:val="none"/>
              </w:rPr>
            </w:pPr>
            <w:bookmarkStart w:id="414" w:name="OLE_LINK93"/>
            <w:bookmarkStart w:id="415" w:name="OLE_LINK92"/>
            <w:r>
              <w:rPr>
                <w:rFonts w:hint="eastAsia" w:ascii="宋体" w:hAnsi="宋体" w:cs="宋体"/>
                <w:color w:val="auto"/>
                <w:szCs w:val="21"/>
                <w:highlight w:val="none"/>
              </w:rPr>
              <w:t>符合第一章“招标公告”第3.4.7项规定（投标人无需提供资料，按投标截止时间交易系统比对的结果进行评审）</w:t>
            </w:r>
            <w:bookmarkEnd w:id="414"/>
            <w:bookmarkEnd w:id="415"/>
          </w:p>
        </w:tc>
      </w:tr>
      <w:tr w14:paraId="3ECB10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22" w:type="dxa"/>
            <w:vMerge w:val="restart"/>
            <w:vAlign w:val="center"/>
          </w:tcPr>
          <w:p w14:paraId="290F7590">
            <w:pPr>
              <w:spacing w:line="240" w:lineRule="auto"/>
              <w:jc w:val="center"/>
              <w:rPr>
                <w:rFonts w:hint="eastAsia" w:ascii="宋体" w:hAnsi="宋体" w:cs="宋体"/>
                <w:color w:val="auto"/>
                <w:szCs w:val="21"/>
                <w:highlight w:val="none"/>
              </w:rPr>
            </w:pPr>
          </w:p>
          <w:p w14:paraId="5310590C">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2.1.3</w:t>
            </w:r>
          </w:p>
        </w:tc>
        <w:tc>
          <w:tcPr>
            <w:tcW w:w="1151" w:type="dxa"/>
            <w:vMerge w:val="restart"/>
            <w:vAlign w:val="center"/>
          </w:tcPr>
          <w:p w14:paraId="64F1C6F8">
            <w:pPr>
              <w:spacing w:line="240" w:lineRule="auto"/>
              <w:ind w:left="-78" w:leftChars="-37" w:right="-69" w:rightChars="-33"/>
              <w:jc w:val="center"/>
              <w:rPr>
                <w:rFonts w:hint="eastAsia" w:ascii="宋体" w:hAnsi="宋体" w:cs="宋体"/>
                <w:color w:val="auto"/>
                <w:szCs w:val="21"/>
                <w:highlight w:val="none"/>
              </w:rPr>
            </w:pPr>
          </w:p>
          <w:p w14:paraId="719175EE">
            <w:pPr>
              <w:spacing w:line="240" w:lineRule="auto"/>
              <w:ind w:left="-78" w:leftChars="-37" w:right="-69" w:rightChars="-33"/>
              <w:jc w:val="center"/>
              <w:rPr>
                <w:rFonts w:hint="eastAsia" w:ascii="宋体" w:hAnsi="宋体" w:cs="宋体"/>
                <w:color w:val="auto"/>
                <w:szCs w:val="21"/>
                <w:highlight w:val="none"/>
              </w:rPr>
            </w:pPr>
            <w:r>
              <w:rPr>
                <w:rFonts w:hint="eastAsia" w:ascii="宋体" w:hAnsi="宋体" w:cs="宋体"/>
                <w:color w:val="auto"/>
                <w:szCs w:val="21"/>
                <w:highlight w:val="none"/>
              </w:rPr>
              <w:t>响应性评审标准</w:t>
            </w:r>
          </w:p>
        </w:tc>
        <w:tc>
          <w:tcPr>
            <w:tcW w:w="2968" w:type="dxa"/>
            <w:vAlign w:val="center"/>
          </w:tcPr>
          <w:p w14:paraId="2048F42A">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tc>
        <w:tc>
          <w:tcPr>
            <w:tcW w:w="4922" w:type="dxa"/>
            <w:vAlign w:val="center"/>
          </w:tcPr>
          <w:p w14:paraId="57D2D2B4">
            <w:pPr>
              <w:spacing w:line="240" w:lineRule="auto"/>
              <w:jc w:val="left"/>
              <w:rPr>
                <w:rFonts w:hint="eastAsia" w:ascii="宋体" w:hAnsi="宋体" w:cs="宋体"/>
                <w:color w:val="auto"/>
                <w:szCs w:val="21"/>
                <w:highlight w:val="none"/>
              </w:rPr>
            </w:pPr>
            <w:bookmarkStart w:id="416" w:name="OLE_LINK94"/>
            <w:bookmarkStart w:id="417" w:name="OLE_LINK95"/>
            <w:r>
              <w:rPr>
                <w:rFonts w:hint="eastAsia" w:ascii="宋体" w:hAnsi="宋体" w:cs="宋体"/>
                <w:color w:val="auto"/>
                <w:szCs w:val="21"/>
                <w:highlight w:val="none"/>
              </w:rPr>
              <w:t>符合第二章“投标人须知”第3.2项规定。</w:t>
            </w:r>
          </w:p>
          <w:p w14:paraId="071D6502">
            <w:pPr>
              <w:spacing w:line="24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投标总报价不高于最高投标限价总价的，设计费</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含BIM设计费</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报价不高于设计费</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含BIM设计费</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最高投标限价的，</w:t>
            </w:r>
            <w:r>
              <w:rPr>
                <w:rFonts w:hint="eastAsia" w:ascii="宋体" w:hAnsi="宋体" w:cs="宋体"/>
                <w:b/>
                <w:color w:val="auto"/>
                <w:szCs w:val="21"/>
                <w:highlight w:val="none"/>
                <w:lang w:val="en-US" w:eastAsia="zh-CN"/>
              </w:rPr>
              <w:t>工程费</w:t>
            </w:r>
            <w:r>
              <w:rPr>
                <w:rFonts w:hint="eastAsia" w:ascii="宋体" w:hAnsi="宋体" w:eastAsia="宋体" w:cs="宋体"/>
                <w:b/>
                <w:color w:val="auto"/>
                <w:kern w:val="2"/>
                <w:sz w:val="21"/>
                <w:szCs w:val="21"/>
                <w:highlight w:val="none"/>
                <w:lang w:val="en-US" w:eastAsia="zh-CN" w:bidi="ar"/>
              </w:rPr>
              <w:t>各分部报价不高于最高投标限价公布函公布的任一对应的最高投标限价</w:t>
            </w:r>
            <w:r>
              <w:rPr>
                <w:rFonts w:hint="eastAsia" w:ascii="宋体" w:hAnsi="宋体" w:cs="宋体"/>
                <w:b/>
                <w:color w:val="auto"/>
                <w:szCs w:val="21"/>
                <w:highlight w:val="none"/>
              </w:rPr>
              <w:t>。</w:t>
            </w:r>
            <w:bookmarkEnd w:id="416"/>
            <w:bookmarkEnd w:id="417"/>
          </w:p>
        </w:tc>
      </w:tr>
      <w:tr w14:paraId="157E18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22" w:type="dxa"/>
            <w:vMerge w:val="continue"/>
            <w:vAlign w:val="center"/>
          </w:tcPr>
          <w:p w14:paraId="1FCD6FFC">
            <w:pPr>
              <w:spacing w:line="240" w:lineRule="auto"/>
              <w:jc w:val="center"/>
              <w:rPr>
                <w:rFonts w:hint="eastAsia" w:ascii="宋体" w:hAnsi="宋体" w:cs="宋体"/>
                <w:color w:val="auto"/>
                <w:szCs w:val="21"/>
                <w:highlight w:val="none"/>
              </w:rPr>
            </w:pPr>
          </w:p>
        </w:tc>
        <w:tc>
          <w:tcPr>
            <w:tcW w:w="1151" w:type="dxa"/>
            <w:vMerge w:val="continue"/>
            <w:vAlign w:val="center"/>
          </w:tcPr>
          <w:p w14:paraId="08BD1C15">
            <w:pPr>
              <w:spacing w:line="240" w:lineRule="auto"/>
              <w:ind w:left="-78" w:leftChars="-37" w:right="-69" w:rightChars="-33"/>
              <w:jc w:val="center"/>
              <w:rPr>
                <w:rFonts w:hint="eastAsia" w:ascii="宋体" w:hAnsi="宋体" w:cs="宋体"/>
                <w:color w:val="auto"/>
                <w:szCs w:val="21"/>
                <w:highlight w:val="none"/>
              </w:rPr>
            </w:pPr>
          </w:p>
        </w:tc>
        <w:tc>
          <w:tcPr>
            <w:tcW w:w="2968" w:type="dxa"/>
            <w:vAlign w:val="center"/>
          </w:tcPr>
          <w:p w14:paraId="6EEF3358">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投标内容</w:t>
            </w:r>
          </w:p>
        </w:tc>
        <w:tc>
          <w:tcPr>
            <w:tcW w:w="4922" w:type="dxa"/>
            <w:vAlign w:val="center"/>
          </w:tcPr>
          <w:p w14:paraId="0325E240">
            <w:pPr>
              <w:spacing w:line="240" w:lineRule="auto"/>
              <w:jc w:val="left"/>
              <w:rPr>
                <w:rFonts w:hint="eastAsia" w:ascii="宋体" w:hAnsi="宋体" w:cs="宋体"/>
                <w:color w:val="auto"/>
                <w:szCs w:val="21"/>
                <w:highlight w:val="none"/>
              </w:rPr>
            </w:pPr>
            <w:bookmarkStart w:id="418" w:name="OLE_LINK97"/>
            <w:bookmarkStart w:id="419" w:name="OLE_LINK96"/>
            <w:r>
              <w:rPr>
                <w:rFonts w:hint="eastAsia" w:ascii="宋体" w:hAnsi="宋体" w:cs="宋体"/>
                <w:color w:val="auto"/>
                <w:szCs w:val="21"/>
                <w:highlight w:val="none"/>
              </w:rPr>
              <w:t>符合第二章“投标人须知”第1.3.1项规定（以投标承诺函为依据进行评审）</w:t>
            </w:r>
            <w:bookmarkEnd w:id="418"/>
            <w:bookmarkEnd w:id="419"/>
          </w:p>
        </w:tc>
      </w:tr>
      <w:tr w14:paraId="24A482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22" w:type="dxa"/>
            <w:vMerge w:val="continue"/>
            <w:vAlign w:val="center"/>
          </w:tcPr>
          <w:p w14:paraId="468BB7EA">
            <w:pPr>
              <w:spacing w:line="240" w:lineRule="auto"/>
              <w:jc w:val="center"/>
              <w:rPr>
                <w:rFonts w:hint="eastAsia" w:ascii="宋体" w:hAnsi="宋体" w:cs="宋体"/>
                <w:color w:val="auto"/>
                <w:szCs w:val="21"/>
                <w:highlight w:val="none"/>
              </w:rPr>
            </w:pPr>
          </w:p>
        </w:tc>
        <w:tc>
          <w:tcPr>
            <w:tcW w:w="1151" w:type="dxa"/>
            <w:vMerge w:val="continue"/>
            <w:vAlign w:val="center"/>
          </w:tcPr>
          <w:p w14:paraId="159DABB7">
            <w:pPr>
              <w:spacing w:line="240" w:lineRule="auto"/>
              <w:ind w:left="-78" w:leftChars="-37" w:right="-69" w:rightChars="-33"/>
              <w:jc w:val="center"/>
              <w:rPr>
                <w:rFonts w:hint="eastAsia" w:ascii="宋体" w:hAnsi="宋体" w:cs="宋体"/>
                <w:color w:val="auto"/>
                <w:szCs w:val="21"/>
                <w:highlight w:val="none"/>
              </w:rPr>
            </w:pPr>
          </w:p>
        </w:tc>
        <w:tc>
          <w:tcPr>
            <w:tcW w:w="2968" w:type="dxa"/>
            <w:vAlign w:val="center"/>
          </w:tcPr>
          <w:p w14:paraId="2BA669A1">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工期</w:t>
            </w:r>
          </w:p>
        </w:tc>
        <w:tc>
          <w:tcPr>
            <w:tcW w:w="4922" w:type="dxa"/>
            <w:vAlign w:val="center"/>
          </w:tcPr>
          <w:p w14:paraId="04B8C015">
            <w:pPr>
              <w:spacing w:line="240" w:lineRule="auto"/>
              <w:jc w:val="left"/>
              <w:rPr>
                <w:rFonts w:hint="eastAsia" w:ascii="宋体" w:hAnsi="宋体" w:cs="宋体"/>
                <w:color w:val="auto"/>
                <w:szCs w:val="21"/>
                <w:highlight w:val="none"/>
              </w:rPr>
            </w:pPr>
            <w:bookmarkStart w:id="420" w:name="OLE_LINK98"/>
            <w:bookmarkStart w:id="421" w:name="OLE_LINK99"/>
            <w:r>
              <w:rPr>
                <w:rFonts w:hint="eastAsia" w:ascii="宋体" w:hAnsi="宋体" w:cs="宋体"/>
                <w:color w:val="auto"/>
                <w:szCs w:val="21"/>
                <w:highlight w:val="none"/>
              </w:rPr>
              <w:t>符合第二章“投标人须知”第1.3.2项规定（以投标书为依据进行评审）</w:t>
            </w:r>
            <w:bookmarkEnd w:id="420"/>
            <w:bookmarkEnd w:id="421"/>
          </w:p>
        </w:tc>
      </w:tr>
      <w:tr w14:paraId="3FC9EA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22" w:type="dxa"/>
            <w:vMerge w:val="continue"/>
            <w:vAlign w:val="center"/>
          </w:tcPr>
          <w:p w14:paraId="6611D926">
            <w:pPr>
              <w:spacing w:line="240" w:lineRule="auto"/>
              <w:jc w:val="center"/>
              <w:rPr>
                <w:rFonts w:hint="eastAsia" w:ascii="宋体" w:hAnsi="宋体" w:cs="宋体"/>
                <w:color w:val="auto"/>
                <w:szCs w:val="21"/>
                <w:highlight w:val="none"/>
              </w:rPr>
            </w:pPr>
          </w:p>
        </w:tc>
        <w:tc>
          <w:tcPr>
            <w:tcW w:w="1151" w:type="dxa"/>
            <w:vMerge w:val="continue"/>
            <w:vAlign w:val="center"/>
          </w:tcPr>
          <w:p w14:paraId="2BF2CF98">
            <w:pPr>
              <w:spacing w:line="240" w:lineRule="auto"/>
              <w:ind w:left="-78" w:leftChars="-37" w:right="-69" w:rightChars="-33"/>
              <w:jc w:val="center"/>
              <w:rPr>
                <w:rFonts w:hint="eastAsia" w:ascii="宋体" w:hAnsi="宋体" w:cs="宋体"/>
                <w:color w:val="auto"/>
                <w:szCs w:val="21"/>
                <w:highlight w:val="none"/>
              </w:rPr>
            </w:pPr>
          </w:p>
        </w:tc>
        <w:tc>
          <w:tcPr>
            <w:tcW w:w="2968" w:type="dxa"/>
            <w:vAlign w:val="center"/>
          </w:tcPr>
          <w:p w14:paraId="648CE05A">
            <w:pPr>
              <w:spacing w:line="240" w:lineRule="auto"/>
              <w:jc w:val="center"/>
              <w:rPr>
                <w:rFonts w:hint="eastAsia" w:ascii="宋体" w:hAnsi="宋体" w:cs="宋体"/>
                <w:color w:val="auto"/>
                <w:szCs w:val="21"/>
                <w:highlight w:val="none"/>
              </w:rPr>
            </w:pPr>
            <w:bookmarkStart w:id="422" w:name="OLE_LINK101"/>
            <w:bookmarkStart w:id="423" w:name="OLE_LINK100"/>
            <w:r>
              <w:rPr>
                <w:rFonts w:hint="eastAsia" w:ascii="宋体" w:hAnsi="宋体" w:cs="宋体"/>
                <w:color w:val="auto"/>
                <w:szCs w:val="21"/>
                <w:highlight w:val="none"/>
              </w:rPr>
              <w:t>质量标准</w:t>
            </w:r>
            <w:bookmarkEnd w:id="422"/>
            <w:bookmarkEnd w:id="423"/>
          </w:p>
        </w:tc>
        <w:tc>
          <w:tcPr>
            <w:tcW w:w="4922" w:type="dxa"/>
            <w:vAlign w:val="center"/>
          </w:tcPr>
          <w:p w14:paraId="1E947CCE">
            <w:pPr>
              <w:spacing w:line="240" w:lineRule="auto"/>
              <w:jc w:val="left"/>
              <w:rPr>
                <w:rFonts w:hint="eastAsia" w:ascii="宋体" w:hAnsi="宋体" w:cs="宋体"/>
                <w:color w:val="auto"/>
                <w:szCs w:val="21"/>
                <w:highlight w:val="none"/>
              </w:rPr>
            </w:pPr>
            <w:bookmarkStart w:id="424" w:name="OLE_LINK102"/>
            <w:r>
              <w:rPr>
                <w:rFonts w:hint="eastAsia" w:ascii="宋体" w:hAnsi="宋体" w:cs="宋体"/>
                <w:color w:val="auto"/>
                <w:szCs w:val="21"/>
                <w:highlight w:val="none"/>
              </w:rPr>
              <w:t>符合第二章“投标人须知”第1.3.3项规定（以投标书为依据进行评审）</w:t>
            </w:r>
            <w:bookmarkEnd w:id="424"/>
          </w:p>
        </w:tc>
      </w:tr>
      <w:tr w14:paraId="2ED847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22" w:type="dxa"/>
            <w:vMerge w:val="continue"/>
            <w:vAlign w:val="center"/>
          </w:tcPr>
          <w:p w14:paraId="7589C1D8">
            <w:pPr>
              <w:spacing w:line="240" w:lineRule="auto"/>
              <w:jc w:val="center"/>
              <w:rPr>
                <w:rFonts w:hint="eastAsia" w:ascii="宋体" w:hAnsi="宋体" w:cs="宋体"/>
                <w:color w:val="auto"/>
                <w:szCs w:val="21"/>
                <w:highlight w:val="none"/>
              </w:rPr>
            </w:pPr>
          </w:p>
        </w:tc>
        <w:tc>
          <w:tcPr>
            <w:tcW w:w="1151" w:type="dxa"/>
            <w:vMerge w:val="continue"/>
            <w:vAlign w:val="center"/>
          </w:tcPr>
          <w:p w14:paraId="7C834D33">
            <w:pPr>
              <w:spacing w:line="240" w:lineRule="auto"/>
              <w:ind w:left="-78" w:leftChars="-37" w:right="-69" w:rightChars="-33"/>
              <w:jc w:val="center"/>
              <w:rPr>
                <w:rFonts w:hint="eastAsia" w:ascii="宋体" w:hAnsi="宋体" w:cs="宋体"/>
                <w:color w:val="auto"/>
                <w:szCs w:val="21"/>
                <w:highlight w:val="none"/>
              </w:rPr>
            </w:pPr>
          </w:p>
        </w:tc>
        <w:tc>
          <w:tcPr>
            <w:tcW w:w="2968" w:type="dxa"/>
            <w:vAlign w:val="center"/>
          </w:tcPr>
          <w:p w14:paraId="37BDBB85">
            <w:pPr>
              <w:spacing w:line="240" w:lineRule="auto"/>
              <w:jc w:val="center"/>
              <w:rPr>
                <w:rFonts w:hint="eastAsia" w:ascii="宋体" w:hAnsi="宋体" w:cs="宋体"/>
                <w:color w:val="auto"/>
                <w:szCs w:val="21"/>
                <w:highlight w:val="none"/>
              </w:rPr>
            </w:pPr>
            <w:bookmarkStart w:id="425" w:name="OLE_LINK104"/>
            <w:bookmarkStart w:id="426" w:name="OLE_LINK103"/>
            <w:r>
              <w:rPr>
                <w:rFonts w:hint="eastAsia" w:ascii="宋体" w:hAnsi="宋体" w:cs="宋体"/>
                <w:color w:val="auto"/>
                <w:szCs w:val="21"/>
                <w:highlight w:val="none"/>
              </w:rPr>
              <w:t>保修期限</w:t>
            </w:r>
            <w:bookmarkEnd w:id="425"/>
            <w:bookmarkEnd w:id="426"/>
          </w:p>
        </w:tc>
        <w:tc>
          <w:tcPr>
            <w:tcW w:w="4922" w:type="dxa"/>
            <w:vAlign w:val="center"/>
          </w:tcPr>
          <w:p w14:paraId="44A2CDFB">
            <w:pPr>
              <w:spacing w:line="240" w:lineRule="auto"/>
              <w:jc w:val="left"/>
              <w:rPr>
                <w:rFonts w:hint="eastAsia" w:ascii="宋体" w:hAnsi="宋体" w:cs="宋体"/>
                <w:color w:val="auto"/>
                <w:szCs w:val="21"/>
                <w:highlight w:val="none"/>
              </w:rPr>
            </w:pPr>
            <w:bookmarkStart w:id="427" w:name="OLE_LINK106"/>
            <w:bookmarkStart w:id="428" w:name="OLE_LINK105"/>
            <w:r>
              <w:rPr>
                <w:rFonts w:hint="eastAsia" w:ascii="宋体" w:hAnsi="宋体" w:cs="宋体"/>
                <w:color w:val="auto"/>
                <w:szCs w:val="21"/>
                <w:highlight w:val="none"/>
              </w:rPr>
              <w:t>符合第二章“投标人须知前附表”第9.</w:t>
            </w:r>
            <w:r>
              <w:rPr>
                <w:rFonts w:hint="eastAsia" w:ascii="宋体" w:hAnsi="宋体" w:cs="宋体"/>
                <w:color w:val="auto"/>
                <w:szCs w:val="21"/>
                <w:highlight w:val="none"/>
                <w:lang w:eastAsia="zh-CN"/>
              </w:rPr>
              <w:t>7</w:t>
            </w:r>
            <w:r>
              <w:rPr>
                <w:rFonts w:hint="eastAsia" w:ascii="宋体" w:hAnsi="宋体" w:cs="宋体"/>
                <w:color w:val="auto"/>
                <w:szCs w:val="21"/>
                <w:highlight w:val="none"/>
              </w:rPr>
              <w:t>项规定</w:t>
            </w:r>
            <w:bookmarkEnd w:id="427"/>
            <w:bookmarkEnd w:id="428"/>
          </w:p>
        </w:tc>
      </w:tr>
      <w:tr w14:paraId="6A1CDE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22" w:type="dxa"/>
            <w:vMerge w:val="continue"/>
            <w:vAlign w:val="center"/>
          </w:tcPr>
          <w:p w14:paraId="68FA6630">
            <w:pPr>
              <w:spacing w:line="240" w:lineRule="auto"/>
              <w:jc w:val="center"/>
              <w:rPr>
                <w:rFonts w:hint="eastAsia" w:ascii="宋体" w:hAnsi="宋体" w:cs="宋体"/>
                <w:color w:val="auto"/>
                <w:szCs w:val="21"/>
                <w:highlight w:val="none"/>
              </w:rPr>
            </w:pPr>
          </w:p>
        </w:tc>
        <w:tc>
          <w:tcPr>
            <w:tcW w:w="1151" w:type="dxa"/>
            <w:vMerge w:val="continue"/>
            <w:vAlign w:val="center"/>
          </w:tcPr>
          <w:p w14:paraId="4D4D7FBD">
            <w:pPr>
              <w:spacing w:line="240" w:lineRule="auto"/>
              <w:ind w:left="-78" w:leftChars="-37" w:right="-69" w:rightChars="-33"/>
              <w:jc w:val="center"/>
              <w:rPr>
                <w:rFonts w:hint="eastAsia" w:ascii="宋体" w:hAnsi="宋体" w:cs="宋体"/>
                <w:color w:val="auto"/>
                <w:szCs w:val="21"/>
                <w:highlight w:val="none"/>
              </w:rPr>
            </w:pPr>
          </w:p>
        </w:tc>
        <w:tc>
          <w:tcPr>
            <w:tcW w:w="2968" w:type="dxa"/>
            <w:vAlign w:val="center"/>
          </w:tcPr>
          <w:p w14:paraId="52D8E898">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投标保证金</w:t>
            </w:r>
          </w:p>
        </w:tc>
        <w:tc>
          <w:tcPr>
            <w:tcW w:w="4922" w:type="dxa"/>
            <w:vAlign w:val="center"/>
          </w:tcPr>
          <w:p w14:paraId="560FB77D">
            <w:pPr>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符合第二章“投标人须知”第3.4.1项规定</w:t>
            </w:r>
          </w:p>
        </w:tc>
      </w:tr>
      <w:tr w14:paraId="63C5AF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22" w:type="dxa"/>
            <w:vMerge w:val="continue"/>
            <w:vAlign w:val="center"/>
          </w:tcPr>
          <w:p w14:paraId="115D9417">
            <w:pPr>
              <w:spacing w:line="240" w:lineRule="auto"/>
              <w:jc w:val="center"/>
              <w:rPr>
                <w:rFonts w:hint="eastAsia" w:ascii="宋体" w:hAnsi="宋体" w:cs="宋体"/>
                <w:color w:val="auto"/>
                <w:szCs w:val="21"/>
                <w:highlight w:val="none"/>
              </w:rPr>
            </w:pPr>
          </w:p>
        </w:tc>
        <w:tc>
          <w:tcPr>
            <w:tcW w:w="1151" w:type="dxa"/>
            <w:vMerge w:val="continue"/>
            <w:vAlign w:val="center"/>
          </w:tcPr>
          <w:p w14:paraId="76860B97">
            <w:pPr>
              <w:spacing w:line="240" w:lineRule="auto"/>
              <w:ind w:left="-78" w:leftChars="-37" w:right="-69" w:rightChars="-33"/>
              <w:jc w:val="center"/>
              <w:rPr>
                <w:rFonts w:hint="eastAsia" w:ascii="宋体" w:hAnsi="宋体" w:cs="宋体"/>
                <w:color w:val="auto"/>
                <w:szCs w:val="21"/>
                <w:highlight w:val="none"/>
              </w:rPr>
            </w:pPr>
          </w:p>
        </w:tc>
        <w:tc>
          <w:tcPr>
            <w:tcW w:w="2968" w:type="dxa"/>
            <w:vAlign w:val="center"/>
          </w:tcPr>
          <w:p w14:paraId="313340E9">
            <w:pPr>
              <w:spacing w:line="240" w:lineRule="auto"/>
              <w:jc w:val="center"/>
              <w:rPr>
                <w:rFonts w:hint="eastAsia" w:ascii="宋体" w:hAnsi="宋体" w:cs="宋体"/>
                <w:color w:val="auto"/>
                <w:szCs w:val="21"/>
                <w:highlight w:val="none"/>
              </w:rPr>
            </w:pPr>
            <w:bookmarkStart w:id="429" w:name="OLE_LINK107"/>
            <w:bookmarkStart w:id="430" w:name="OLE_LINK108"/>
            <w:r>
              <w:rPr>
                <w:rFonts w:hint="eastAsia" w:ascii="宋体" w:hAnsi="宋体" w:cs="宋体"/>
                <w:color w:val="auto"/>
                <w:szCs w:val="21"/>
                <w:highlight w:val="none"/>
              </w:rPr>
              <w:t>投标有效期</w:t>
            </w:r>
            <w:bookmarkEnd w:id="429"/>
            <w:bookmarkEnd w:id="430"/>
          </w:p>
        </w:tc>
        <w:tc>
          <w:tcPr>
            <w:tcW w:w="4922" w:type="dxa"/>
            <w:vAlign w:val="center"/>
          </w:tcPr>
          <w:p w14:paraId="279DF88E">
            <w:pPr>
              <w:spacing w:line="240" w:lineRule="auto"/>
              <w:jc w:val="left"/>
              <w:rPr>
                <w:rFonts w:hint="eastAsia" w:ascii="宋体" w:hAnsi="宋体" w:cs="宋体"/>
                <w:color w:val="auto"/>
                <w:szCs w:val="21"/>
                <w:highlight w:val="none"/>
              </w:rPr>
            </w:pPr>
            <w:bookmarkStart w:id="431" w:name="OLE_LINK109"/>
            <w:r>
              <w:rPr>
                <w:rFonts w:hint="eastAsia" w:ascii="宋体" w:hAnsi="宋体" w:cs="宋体"/>
                <w:color w:val="auto"/>
                <w:szCs w:val="21"/>
                <w:highlight w:val="none"/>
              </w:rPr>
              <w:t>符合第二章“投标人须知”第3.3.1项规定（以投标书为依据进行评审）</w:t>
            </w:r>
            <w:bookmarkEnd w:id="431"/>
          </w:p>
        </w:tc>
      </w:tr>
      <w:tr w14:paraId="286C5E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22" w:type="dxa"/>
            <w:vMerge w:val="continue"/>
            <w:vAlign w:val="center"/>
          </w:tcPr>
          <w:p w14:paraId="3030FBC0">
            <w:pPr>
              <w:spacing w:line="240" w:lineRule="auto"/>
              <w:jc w:val="center"/>
              <w:rPr>
                <w:rFonts w:hint="eastAsia" w:ascii="宋体" w:hAnsi="宋体" w:cs="宋体"/>
                <w:color w:val="auto"/>
                <w:szCs w:val="21"/>
                <w:highlight w:val="none"/>
              </w:rPr>
            </w:pPr>
          </w:p>
        </w:tc>
        <w:tc>
          <w:tcPr>
            <w:tcW w:w="1151" w:type="dxa"/>
            <w:vMerge w:val="continue"/>
            <w:vAlign w:val="center"/>
          </w:tcPr>
          <w:p w14:paraId="02FA528D">
            <w:pPr>
              <w:spacing w:line="240" w:lineRule="auto"/>
              <w:ind w:left="-78" w:leftChars="-37" w:right="-69" w:rightChars="-33"/>
              <w:jc w:val="center"/>
              <w:rPr>
                <w:rFonts w:hint="eastAsia" w:ascii="宋体" w:hAnsi="宋体" w:cs="宋体"/>
                <w:color w:val="auto"/>
                <w:szCs w:val="21"/>
                <w:highlight w:val="none"/>
              </w:rPr>
            </w:pPr>
          </w:p>
        </w:tc>
        <w:tc>
          <w:tcPr>
            <w:tcW w:w="2968" w:type="dxa"/>
            <w:vAlign w:val="center"/>
          </w:tcPr>
          <w:p w14:paraId="06459CC8">
            <w:pPr>
              <w:spacing w:line="240" w:lineRule="auto"/>
              <w:jc w:val="center"/>
              <w:rPr>
                <w:rFonts w:hint="eastAsia" w:ascii="宋体" w:hAnsi="宋体" w:cs="宋体"/>
                <w:color w:val="auto"/>
                <w:szCs w:val="21"/>
                <w:highlight w:val="none"/>
              </w:rPr>
            </w:pPr>
            <w:bookmarkStart w:id="432" w:name="OLE_LINK111"/>
            <w:bookmarkStart w:id="433" w:name="OLE_LINK110"/>
            <w:r>
              <w:rPr>
                <w:rFonts w:hint="eastAsia" w:ascii="宋体" w:hAnsi="宋体" w:cs="宋体"/>
                <w:color w:val="auto"/>
                <w:szCs w:val="21"/>
                <w:highlight w:val="none"/>
              </w:rPr>
              <w:t>合法合规性</w:t>
            </w:r>
            <w:bookmarkEnd w:id="432"/>
            <w:bookmarkEnd w:id="433"/>
          </w:p>
        </w:tc>
        <w:tc>
          <w:tcPr>
            <w:tcW w:w="4922" w:type="dxa"/>
            <w:vAlign w:val="center"/>
          </w:tcPr>
          <w:p w14:paraId="135FC8D1">
            <w:pPr>
              <w:spacing w:line="240" w:lineRule="auto"/>
              <w:jc w:val="left"/>
              <w:rPr>
                <w:rFonts w:hint="eastAsia" w:ascii="宋体" w:hAnsi="宋体" w:cs="宋体"/>
                <w:color w:val="auto"/>
                <w:szCs w:val="21"/>
                <w:highlight w:val="none"/>
              </w:rPr>
            </w:pPr>
            <w:bookmarkStart w:id="434" w:name="OLE_LINK113"/>
            <w:bookmarkStart w:id="435" w:name="OLE_LINK112"/>
            <w:r>
              <w:rPr>
                <w:rFonts w:hint="eastAsia" w:ascii="宋体" w:hAnsi="宋体" w:cs="宋体"/>
                <w:color w:val="auto"/>
                <w:szCs w:val="21"/>
                <w:highlight w:val="none"/>
              </w:rPr>
              <w:t>投标人之间不存在《广东省实施&lt;中华人民共和国招标投标法&gt;办法》第十六条所禁止的情形的</w:t>
            </w:r>
            <w:bookmarkEnd w:id="434"/>
            <w:bookmarkEnd w:id="435"/>
          </w:p>
        </w:tc>
      </w:tr>
      <w:tr w14:paraId="7F1E3F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22" w:type="dxa"/>
            <w:vMerge w:val="continue"/>
            <w:vAlign w:val="center"/>
          </w:tcPr>
          <w:p w14:paraId="429174CF">
            <w:pPr>
              <w:spacing w:line="240" w:lineRule="auto"/>
              <w:jc w:val="center"/>
              <w:rPr>
                <w:rFonts w:hint="eastAsia" w:ascii="宋体" w:hAnsi="宋体" w:cs="宋体"/>
                <w:color w:val="auto"/>
                <w:szCs w:val="21"/>
                <w:highlight w:val="none"/>
              </w:rPr>
            </w:pPr>
          </w:p>
        </w:tc>
        <w:tc>
          <w:tcPr>
            <w:tcW w:w="1151" w:type="dxa"/>
            <w:vMerge w:val="continue"/>
            <w:vAlign w:val="center"/>
          </w:tcPr>
          <w:p w14:paraId="241DA7CC">
            <w:pPr>
              <w:spacing w:line="240" w:lineRule="auto"/>
              <w:ind w:left="-78" w:leftChars="-37" w:right="-69" w:rightChars="-33"/>
              <w:jc w:val="center"/>
              <w:rPr>
                <w:rFonts w:hint="eastAsia" w:ascii="宋体" w:hAnsi="宋体" w:cs="宋体"/>
                <w:color w:val="auto"/>
                <w:szCs w:val="21"/>
                <w:highlight w:val="none"/>
              </w:rPr>
            </w:pPr>
          </w:p>
        </w:tc>
        <w:tc>
          <w:tcPr>
            <w:tcW w:w="2968" w:type="dxa"/>
            <w:vAlign w:val="center"/>
          </w:tcPr>
          <w:p w14:paraId="466E6DC9">
            <w:pPr>
              <w:spacing w:line="240" w:lineRule="auto"/>
              <w:jc w:val="center"/>
              <w:rPr>
                <w:rFonts w:hint="eastAsia" w:ascii="宋体" w:hAnsi="宋体" w:cs="宋体"/>
                <w:color w:val="auto"/>
                <w:szCs w:val="21"/>
                <w:highlight w:val="none"/>
              </w:rPr>
            </w:pPr>
            <w:bookmarkStart w:id="436" w:name="OLE_LINK115"/>
            <w:bookmarkStart w:id="437" w:name="OLE_LINK114"/>
            <w:r>
              <w:rPr>
                <w:rFonts w:hint="eastAsia" w:ascii="宋体" w:hAnsi="宋体" w:cs="宋体"/>
                <w:color w:val="auto"/>
                <w:szCs w:val="21"/>
                <w:highlight w:val="none"/>
              </w:rPr>
              <w:t>备选投标方案</w:t>
            </w:r>
            <w:bookmarkEnd w:id="436"/>
            <w:bookmarkEnd w:id="437"/>
          </w:p>
        </w:tc>
        <w:tc>
          <w:tcPr>
            <w:tcW w:w="4922" w:type="dxa"/>
            <w:vAlign w:val="center"/>
          </w:tcPr>
          <w:p w14:paraId="54A2A351">
            <w:pPr>
              <w:spacing w:line="240" w:lineRule="auto"/>
              <w:rPr>
                <w:rFonts w:hint="eastAsia" w:ascii="宋体" w:hAnsi="宋体" w:cs="宋体"/>
                <w:b/>
                <w:color w:val="auto"/>
                <w:szCs w:val="21"/>
                <w:highlight w:val="none"/>
              </w:rPr>
            </w:pPr>
            <w:bookmarkStart w:id="438" w:name="OLE_LINK116"/>
            <w:bookmarkStart w:id="439" w:name="OLE_LINK117"/>
            <w:r>
              <w:rPr>
                <w:rFonts w:hint="eastAsia" w:ascii="宋体" w:hAnsi="宋体" w:cs="宋体"/>
                <w:color w:val="auto"/>
                <w:szCs w:val="21"/>
                <w:highlight w:val="none"/>
              </w:rPr>
              <w:t>投标文件不存在两个（或以上）投标方案</w:t>
            </w:r>
            <w:bookmarkEnd w:id="438"/>
            <w:bookmarkEnd w:id="439"/>
          </w:p>
        </w:tc>
      </w:tr>
      <w:tr w14:paraId="3E2FDF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73" w:type="dxa"/>
            <w:gridSpan w:val="2"/>
            <w:vAlign w:val="center"/>
          </w:tcPr>
          <w:p w14:paraId="0CB54C88">
            <w:pPr>
              <w:spacing w:line="240" w:lineRule="auto"/>
              <w:jc w:val="center"/>
              <w:rPr>
                <w:rFonts w:hint="eastAsia" w:ascii="宋体" w:hAnsi="宋体" w:cs="宋体"/>
                <w:color w:val="auto"/>
                <w:szCs w:val="21"/>
                <w:highlight w:val="none"/>
              </w:rPr>
            </w:pPr>
            <w:r>
              <w:rPr>
                <w:rFonts w:hint="eastAsia" w:ascii="宋体" w:hAnsi="宋体" w:cs="宋体"/>
                <w:b/>
                <w:color w:val="auto"/>
                <w:szCs w:val="21"/>
                <w:highlight w:val="none"/>
              </w:rPr>
              <w:t>条款号</w:t>
            </w:r>
          </w:p>
        </w:tc>
        <w:tc>
          <w:tcPr>
            <w:tcW w:w="2968" w:type="dxa"/>
            <w:vAlign w:val="center"/>
          </w:tcPr>
          <w:p w14:paraId="2D48C939">
            <w:pPr>
              <w:spacing w:line="240" w:lineRule="auto"/>
              <w:jc w:val="center"/>
              <w:rPr>
                <w:rFonts w:hint="eastAsia" w:ascii="宋体" w:hAnsi="宋体" w:cs="宋体"/>
                <w:color w:val="auto"/>
                <w:szCs w:val="21"/>
                <w:highlight w:val="none"/>
              </w:rPr>
            </w:pPr>
            <w:r>
              <w:rPr>
                <w:rFonts w:hint="eastAsia" w:ascii="宋体" w:hAnsi="宋体" w:cs="宋体"/>
                <w:b/>
                <w:color w:val="auto"/>
                <w:szCs w:val="21"/>
                <w:highlight w:val="none"/>
              </w:rPr>
              <w:t>条款内容</w:t>
            </w:r>
          </w:p>
        </w:tc>
        <w:tc>
          <w:tcPr>
            <w:tcW w:w="4922" w:type="dxa"/>
            <w:vAlign w:val="center"/>
          </w:tcPr>
          <w:p w14:paraId="3760FB5E">
            <w:pPr>
              <w:spacing w:line="240" w:lineRule="auto"/>
              <w:jc w:val="center"/>
              <w:rPr>
                <w:rFonts w:hint="eastAsia" w:ascii="宋体" w:hAnsi="宋体" w:cs="宋体"/>
                <w:color w:val="auto"/>
                <w:szCs w:val="21"/>
                <w:highlight w:val="none"/>
              </w:rPr>
            </w:pPr>
            <w:r>
              <w:rPr>
                <w:rFonts w:hint="eastAsia" w:ascii="宋体" w:hAnsi="宋体" w:cs="宋体"/>
                <w:b/>
                <w:color w:val="auto"/>
                <w:szCs w:val="21"/>
                <w:highlight w:val="none"/>
              </w:rPr>
              <w:t>编列内容</w:t>
            </w:r>
          </w:p>
        </w:tc>
      </w:tr>
      <w:tr w14:paraId="5C2A5D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73" w:type="dxa"/>
            <w:gridSpan w:val="2"/>
            <w:vAlign w:val="center"/>
          </w:tcPr>
          <w:p w14:paraId="010AF3EF">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2.2.1</w:t>
            </w:r>
          </w:p>
        </w:tc>
        <w:tc>
          <w:tcPr>
            <w:tcW w:w="2968" w:type="dxa"/>
            <w:vAlign w:val="center"/>
          </w:tcPr>
          <w:p w14:paraId="785B7528">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分值构成及</w:t>
            </w:r>
          </w:p>
          <w:p w14:paraId="06B77AB1">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权重</w:t>
            </w:r>
          </w:p>
        </w:tc>
        <w:tc>
          <w:tcPr>
            <w:tcW w:w="4922" w:type="dxa"/>
            <w:vAlign w:val="center"/>
          </w:tcPr>
          <w:p w14:paraId="5D8C9C18">
            <w:pPr>
              <w:spacing w:line="240" w:lineRule="auto"/>
              <w:rPr>
                <w:rFonts w:hint="eastAsia" w:ascii="宋体" w:hAnsi="宋体" w:cs="宋体"/>
                <w:b w:val="0"/>
                <w:bCs/>
                <w:color w:val="auto"/>
                <w:szCs w:val="21"/>
                <w:highlight w:val="none"/>
                <w:u w:val="none"/>
              </w:rPr>
            </w:pPr>
            <w:r>
              <w:rPr>
                <w:rFonts w:hint="eastAsia" w:ascii="宋体" w:hAnsi="宋体" w:cs="宋体"/>
                <w:b w:val="0"/>
                <w:bCs/>
                <w:color w:val="auto"/>
                <w:szCs w:val="21"/>
                <w:highlight w:val="none"/>
                <w:u w:val="none"/>
              </w:rPr>
              <w:t>投标人总得分（满分100分）=工程总承包实施方案得分（100分）×权重（</w:t>
            </w:r>
            <w:r>
              <w:rPr>
                <w:rFonts w:hint="eastAsia" w:ascii="宋体" w:hAnsi="宋体" w:cs="宋体"/>
                <w:b w:val="0"/>
                <w:bCs/>
                <w:color w:val="auto"/>
                <w:szCs w:val="21"/>
                <w:highlight w:val="none"/>
                <w:u w:val="none"/>
                <w:lang w:val="en-US" w:eastAsia="zh-CN"/>
              </w:rPr>
              <w:t>55</w:t>
            </w:r>
            <w:r>
              <w:rPr>
                <w:rFonts w:hint="eastAsia" w:ascii="宋体" w:hAnsi="宋体" w:cs="宋体"/>
                <w:b w:val="0"/>
                <w:bCs/>
                <w:color w:val="auto"/>
                <w:szCs w:val="21"/>
                <w:highlight w:val="none"/>
                <w:u w:val="none"/>
              </w:rPr>
              <w:t>%）+投标报价得分（100分）×权重（</w:t>
            </w:r>
            <w:r>
              <w:rPr>
                <w:rFonts w:hint="eastAsia" w:ascii="宋体" w:hAnsi="宋体" w:cs="宋体"/>
                <w:b w:val="0"/>
                <w:bCs/>
                <w:color w:val="auto"/>
                <w:szCs w:val="21"/>
                <w:highlight w:val="none"/>
                <w:u w:val="none"/>
                <w:lang w:val="en-US" w:eastAsia="zh-CN"/>
              </w:rPr>
              <w:t>45</w:t>
            </w:r>
            <w:r>
              <w:rPr>
                <w:rFonts w:hint="eastAsia" w:ascii="宋体" w:hAnsi="宋体" w:cs="宋体"/>
                <w:b w:val="0"/>
                <w:bCs/>
                <w:color w:val="auto"/>
                <w:szCs w:val="21"/>
                <w:highlight w:val="none"/>
                <w:u w:val="none"/>
              </w:rPr>
              <w:t>%）</w:t>
            </w:r>
          </w:p>
        </w:tc>
      </w:tr>
      <w:tr w14:paraId="71B7E1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73" w:type="dxa"/>
            <w:gridSpan w:val="2"/>
            <w:vAlign w:val="center"/>
          </w:tcPr>
          <w:p w14:paraId="44787E4F">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2.2.2</w:t>
            </w:r>
          </w:p>
        </w:tc>
        <w:tc>
          <w:tcPr>
            <w:tcW w:w="2968" w:type="dxa"/>
            <w:vAlign w:val="center"/>
          </w:tcPr>
          <w:p w14:paraId="175116A5">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评标基准价计算方法</w:t>
            </w:r>
          </w:p>
        </w:tc>
        <w:tc>
          <w:tcPr>
            <w:tcW w:w="4922" w:type="dxa"/>
            <w:vAlign w:val="center"/>
          </w:tcPr>
          <w:p w14:paraId="2D054191">
            <w:pPr>
              <w:spacing w:line="240" w:lineRule="auto"/>
              <w:rPr>
                <w:rFonts w:hint="eastAsia" w:ascii="宋体" w:hAnsi="宋体" w:cs="宋体"/>
                <w:b w:val="0"/>
                <w:bCs/>
                <w:color w:val="auto"/>
                <w:szCs w:val="21"/>
                <w:highlight w:val="none"/>
                <w:u w:val="none"/>
              </w:rPr>
            </w:pPr>
            <w:r>
              <w:rPr>
                <w:rFonts w:hint="eastAsia" w:ascii="宋体" w:hAnsi="宋体" w:eastAsia="宋体" w:cs="宋体"/>
                <w:b w:val="0"/>
                <w:bCs/>
                <w:color w:val="auto"/>
                <w:sz w:val="21"/>
                <w:szCs w:val="21"/>
                <w:highlight w:val="none"/>
                <w:u w:val="none"/>
              </w:rPr>
              <w:t>经评审的</w:t>
            </w:r>
            <w:r>
              <w:rPr>
                <w:rFonts w:hint="eastAsia" w:ascii="宋体" w:hAnsi="宋体" w:cs="宋体"/>
                <w:b w:val="0"/>
                <w:bCs/>
                <w:color w:val="auto"/>
                <w:szCs w:val="21"/>
                <w:highlight w:val="none"/>
                <w:u w:val="none"/>
                <w:lang w:val="en-US" w:eastAsia="zh-CN"/>
              </w:rPr>
              <w:t>工程费</w:t>
            </w:r>
            <w:r>
              <w:rPr>
                <w:rFonts w:hint="eastAsia" w:ascii="宋体" w:hAnsi="宋体" w:cs="宋体"/>
                <w:b w:val="0"/>
                <w:bCs/>
                <w:color w:val="auto"/>
                <w:szCs w:val="21"/>
                <w:highlight w:val="none"/>
                <w:u w:val="none"/>
              </w:rPr>
              <w:t>在[成本警示价，</w:t>
            </w:r>
            <w:r>
              <w:rPr>
                <w:rFonts w:hint="eastAsia" w:ascii="宋体" w:hAnsi="宋体" w:cs="宋体"/>
                <w:b w:val="0"/>
                <w:bCs/>
                <w:color w:val="auto"/>
                <w:szCs w:val="21"/>
                <w:highlight w:val="none"/>
                <w:u w:val="none"/>
                <w:lang w:val="en-US" w:eastAsia="zh-CN"/>
              </w:rPr>
              <w:t>最高投标限价</w:t>
            </w:r>
            <w:r>
              <w:rPr>
                <w:rFonts w:hint="eastAsia" w:ascii="宋体" w:hAnsi="宋体" w:cs="宋体"/>
                <w:b w:val="0"/>
                <w:bCs/>
                <w:color w:val="auto"/>
                <w:szCs w:val="21"/>
                <w:highlight w:val="none"/>
                <w:u w:val="none"/>
              </w:rPr>
              <w:t>×95%]区间的投标报价数量为G，上述G个投标人的</w:t>
            </w:r>
            <w:r>
              <w:rPr>
                <w:rFonts w:hint="eastAsia" w:ascii="宋体" w:hAnsi="宋体" w:eastAsia="宋体" w:cs="宋体"/>
                <w:b w:val="0"/>
                <w:bCs/>
                <w:color w:val="auto"/>
                <w:szCs w:val="21"/>
                <w:highlight w:val="none"/>
                <w:u w:val="none"/>
                <w:lang w:eastAsia="zh-CN"/>
              </w:rPr>
              <w:t>工程总承包实施方案</w:t>
            </w:r>
            <w:r>
              <w:rPr>
                <w:rFonts w:hint="eastAsia" w:ascii="宋体" w:hAnsi="宋体" w:cs="宋体"/>
                <w:b w:val="0"/>
                <w:bCs/>
                <w:color w:val="auto"/>
                <w:szCs w:val="21"/>
                <w:highlight w:val="none"/>
                <w:u w:val="none"/>
              </w:rPr>
              <w:t>得分由高至低排序，将</w:t>
            </w:r>
            <w:r>
              <w:rPr>
                <w:rFonts w:hint="eastAsia" w:ascii="宋体" w:hAnsi="宋体" w:eastAsia="宋体" w:cs="宋体"/>
                <w:b w:val="0"/>
                <w:bCs/>
                <w:color w:val="auto"/>
                <w:szCs w:val="21"/>
                <w:highlight w:val="none"/>
                <w:u w:val="none"/>
                <w:lang w:eastAsia="zh-CN"/>
              </w:rPr>
              <w:t>工程总承包实施方案</w:t>
            </w:r>
            <w:r>
              <w:rPr>
                <w:rFonts w:hint="eastAsia" w:ascii="宋体" w:hAnsi="宋体" w:cs="宋体"/>
                <w:b w:val="0"/>
                <w:bCs/>
                <w:color w:val="auto"/>
                <w:szCs w:val="21"/>
                <w:highlight w:val="none"/>
                <w:u w:val="none"/>
              </w:rPr>
              <w:t>得分前H名的投标报价的算术平均值作为</w:t>
            </w:r>
            <w:r>
              <w:rPr>
                <w:rFonts w:hint="eastAsia" w:ascii="宋体" w:hAnsi="宋体" w:cs="宋体"/>
                <w:b w:val="0"/>
                <w:bCs/>
                <w:color w:val="auto"/>
                <w:szCs w:val="21"/>
                <w:highlight w:val="none"/>
                <w:u w:val="none"/>
                <w:lang w:eastAsia="zh-CN"/>
              </w:rPr>
              <w:t>评标基准价</w:t>
            </w:r>
            <w:r>
              <w:rPr>
                <w:rFonts w:hint="eastAsia" w:ascii="宋体" w:hAnsi="宋体" w:cs="宋体"/>
                <w:b w:val="0"/>
                <w:bCs/>
                <w:color w:val="auto"/>
                <w:szCs w:val="21"/>
                <w:highlight w:val="none"/>
                <w:u w:val="none"/>
              </w:rPr>
              <w:t>（如G≥10，则H=10；如1≤G&lt;10，则H=G）；若G=0的，则采用成本警示价与“</w:t>
            </w:r>
            <w:r>
              <w:rPr>
                <w:rFonts w:hint="eastAsia" w:ascii="宋体" w:hAnsi="宋体" w:cs="宋体"/>
                <w:b w:val="0"/>
                <w:bCs/>
                <w:color w:val="auto"/>
                <w:szCs w:val="21"/>
                <w:highlight w:val="none"/>
                <w:u w:val="none"/>
                <w:lang w:val="en-US" w:eastAsia="zh-CN"/>
              </w:rPr>
              <w:t>最高投标限价</w:t>
            </w:r>
            <w:r>
              <w:rPr>
                <w:rFonts w:hint="eastAsia" w:ascii="宋体" w:hAnsi="宋体" w:cs="宋体"/>
                <w:b w:val="0"/>
                <w:bCs/>
                <w:color w:val="auto"/>
                <w:szCs w:val="21"/>
                <w:highlight w:val="none"/>
                <w:u w:val="none"/>
              </w:rPr>
              <w:t>×95%”的算术平均值为</w:t>
            </w:r>
            <w:r>
              <w:rPr>
                <w:rFonts w:hint="eastAsia" w:ascii="宋体" w:hAnsi="宋体" w:cs="宋体"/>
                <w:b w:val="0"/>
                <w:bCs/>
                <w:color w:val="auto"/>
                <w:szCs w:val="21"/>
                <w:highlight w:val="none"/>
                <w:u w:val="none"/>
                <w:lang w:eastAsia="zh-CN"/>
              </w:rPr>
              <w:t>评标基准价</w:t>
            </w:r>
            <w:r>
              <w:rPr>
                <w:rFonts w:hint="eastAsia" w:ascii="宋体" w:hAnsi="宋体" w:cs="宋体"/>
                <w:b w:val="0"/>
                <w:bCs/>
                <w:color w:val="auto"/>
                <w:szCs w:val="21"/>
                <w:highlight w:val="none"/>
                <w:u w:val="none"/>
              </w:rPr>
              <w:t>。</w:t>
            </w:r>
          </w:p>
        </w:tc>
      </w:tr>
      <w:tr w14:paraId="5A12C0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73" w:type="dxa"/>
            <w:gridSpan w:val="2"/>
            <w:vAlign w:val="center"/>
          </w:tcPr>
          <w:p w14:paraId="35AC185E">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2.2.3</w:t>
            </w:r>
          </w:p>
        </w:tc>
        <w:tc>
          <w:tcPr>
            <w:tcW w:w="2968" w:type="dxa"/>
            <w:vAlign w:val="center"/>
          </w:tcPr>
          <w:p w14:paraId="2E9554A7">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投标报价的偏差率</w:t>
            </w:r>
          </w:p>
          <w:p w14:paraId="2810AA52">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计算公式</w:t>
            </w:r>
          </w:p>
        </w:tc>
        <w:tc>
          <w:tcPr>
            <w:tcW w:w="4922" w:type="dxa"/>
            <w:vAlign w:val="center"/>
          </w:tcPr>
          <w:p w14:paraId="6CC096D7">
            <w:pPr>
              <w:spacing w:line="240" w:lineRule="auto"/>
              <w:rPr>
                <w:rFonts w:hint="eastAsia" w:ascii="宋体" w:hAnsi="宋体" w:cs="宋体"/>
                <w:b w:val="0"/>
                <w:bCs/>
                <w:color w:val="auto"/>
                <w:szCs w:val="21"/>
                <w:highlight w:val="none"/>
                <w:u w:val="none"/>
              </w:rPr>
            </w:pPr>
            <w:r>
              <w:rPr>
                <w:rFonts w:hint="eastAsia" w:ascii="宋体" w:hAnsi="宋体" w:cs="宋体"/>
                <w:b w:val="0"/>
                <w:bCs/>
                <w:color w:val="auto"/>
                <w:szCs w:val="21"/>
                <w:highlight w:val="none"/>
                <w:u w:val="none"/>
              </w:rPr>
              <w:t>偏差率=100% ×（投标人总报价－评标基准价）/评标基准价</w:t>
            </w:r>
          </w:p>
        </w:tc>
      </w:tr>
      <w:tr w14:paraId="2E55DC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73" w:type="dxa"/>
            <w:gridSpan w:val="2"/>
            <w:vAlign w:val="center"/>
          </w:tcPr>
          <w:p w14:paraId="3262F88B">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2.2.4（1）</w:t>
            </w:r>
          </w:p>
        </w:tc>
        <w:tc>
          <w:tcPr>
            <w:tcW w:w="2968" w:type="dxa"/>
            <w:vAlign w:val="center"/>
          </w:tcPr>
          <w:p w14:paraId="42539E5F">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工程总承包实施方案评分标准</w:t>
            </w:r>
          </w:p>
        </w:tc>
        <w:tc>
          <w:tcPr>
            <w:tcW w:w="4922" w:type="dxa"/>
            <w:vAlign w:val="center"/>
          </w:tcPr>
          <w:p w14:paraId="58568071">
            <w:pPr>
              <w:spacing w:line="240" w:lineRule="auto"/>
              <w:rPr>
                <w:rFonts w:hint="eastAsia" w:ascii="宋体" w:hAnsi="宋体" w:cs="宋体"/>
                <w:b w:val="0"/>
                <w:bCs/>
                <w:color w:val="auto"/>
                <w:szCs w:val="21"/>
                <w:highlight w:val="none"/>
                <w:u w:val="none"/>
              </w:rPr>
            </w:pPr>
            <w:r>
              <w:rPr>
                <w:rFonts w:hint="eastAsia" w:ascii="宋体" w:hAnsi="宋体" w:cs="宋体"/>
                <w:b w:val="0"/>
                <w:bCs/>
                <w:color w:val="auto"/>
                <w:szCs w:val="21"/>
                <w:highlight w:val="none"/>
                <w:u w:val="none"/>
              </w:rPr>
              <w:t>见附表1《</w:t>
            </w:r>
            <w:r>
              <w:rPr>
                <w:rFonts w:hint="eastAsia" w:ascii="宋体" w:hAnsi="宋体" w:eastAsia="宋体" w:cs="宋体"/>
                <w:b w:val="0"/>
                <w:bCs/>
                <w:color w:val="auto"/>
                <w:szCs w:val="21"/>
                <w:highlight w:val="none"/>
                <w:u w:val="none"/>
                <w:lang w:eastAsia="zh-CN"/>
              </w:rPr>
              <w:t>工程总承包实施方案评分表</w:t>
            </w:r>
            <w:r>
              <w:rPr>
                <w:rFonts w:hint="eastAsia" w:ascii="宋体" w:hAnsi="宋体" w:cs="宋体"/>
                <w:b w:val="0"/>
                <w:bCs/>
                <w:color w:val="auto"/>
                <w:szCs w:val="21"/>
                <w:highlight w:val="none"/>
                <w:u w:val="none"/>
              </w:rPr>
              <w:t>》</w:t>
            </w:r>
          </w:p>
        </w:tc>
      </w:tr>
      <w:tr w14:paraId="3499AD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73" w:type="dxa"/>
            <w:gridSpan w:val="2"/>
            <w:vAlign w:val="center"/>
          </w:tcPr>
          <w:p w14:paraId="5841DD65">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2.2.4（2）</w:t>
            </w:r>
          </w:p>
        </w:tc>
        <w:tc>
          <w:tcPr>
            <w:tcW w:w="2968" w:type="dxa"/>
            <w:vAlign w:val="center"/>
          </w:tcPr>
          <w:p w14:paraId="0652BA2D">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投标报价评分标准</w:t>
            </w:r>
          </w:p>
        </w:tc>
        <w:tc>
          <w:tcPr>
            <w:tcW w:w="4922" w:type="dxa"/>
            <w:vAlign w:val="center"/>
          </w:tcPr>
          <w:p w14:paraId="42381F0F">
            <w:pPr>
              <w:spacing w:line="240" w:lineRule="auto"/>
              <w:rPr>
                <w:rFonts w:hint="eastAsia" w:ascii="宋体" w:hAnsi="宋体" w:cs="宋体"/>
                <w:b w:val="0"/>
                <w:bCs/>
                <w:color w:val="auto"/>
                <w:szCs w:val="21"/>
                <w:highlight w:val="none"/>
                <w:u w:val="none"/>
              </w:rPr>
            </w:pPr>
            <w:r>
              <w:rPr>
                <w:rFonts w:hint="eastAsia" w:ascii="宋体" w:hAnsi="宋体" w:cs="宋体"/>
                <w:b w:val="0"/>
                <w:bCs/>
                <w:color w:val="auto"/>
                <w:szCs w:val="21"/>
                <w:highlight w:val="none"/>
                <w:u w:val="none"/>
              </w:rPr>
              <w:t>当通过</w:t>
            </w:r>
            <w:r>
              <w:rPr>
                <w:rFonts w:hint="eastAsia" w:ascii="宋体" w:hAnsi="宋体" w:eastAsia="宋体" w:cs="宋体"/>
                <w:b w:val="0"/>
                <w:bCs/>
                <w:color w:val="auto"/>
                <w:szCs w:val="21"/>
                <w:highlight w:val="none"/>
                <w:u w:val="none"/>
                <w:lang w:val="en-US" w:eastAsia="zh-CN"/>
              </w:rPr>
              <w:t>初步评审</w:t>
            </w:r>
            <w:r>
              <w:rPr>
                <w:rFonts w:hint="eastAsia" w:ascii="宋体" w:hAnsi="宋体" w:cs="宋体"/>
                <w:b w:val="0"/>
                <w:bCs/>
                <w:color w:val="auto"/>
                <w:szCs w:val="21"/>
                <w:highlight w:val="none"/>
                <w:u w:val="none"/>
              </w:rPr>
              <w:t>并经算术校核的</w:t>
            </w:r>
            <w:r>
              <w:rPr>
                <w:rFonts w:hint="eastAsia" w:ascii="宋体" w:hAnsi="宋体" w:cs="宋体"/>
                <w:b w:val="0"/>
                <w:bCs/>
                <w:color w:val="auto"/>
                <w:szCs w:val="21"/>
                <w:highlight w:val="none"/>
                <w:u w:val="none"/>
                <w:lang w:val="en-US" w:eastAsia="zh-CN"/>
              </w:rPr>
              <w:t>工程费</w:t>
            </w:r>
            <w:r>
              <w:rPr>
                <w:rFonts w:hint="eastAsia" w:ascii="宋体" w:hAnsi="宋体" w:cs="宋体"/>
                <w:b w:val="0"/>
                <w:bCs/>
                <w:color w:val="auto"/>
                <w:szCs w:val="21"/>
                <w:highlight w:val="none"/>
                <w:u w:val="none"/>
              </w:rPr>
              <w:t>投标报价等于</w:t>
            </w:r>
            <w:r>
              <w:rPr>
                <w:rFonts w:hint="eastAsia" w:ascii="宋体" w:hAnsi="宋体" w:cs="宋体"/>
                <w:b w:val="0"/>
                <w:bCs/>
                <w:color w:val="auto"/>
                <w:szCs w:val="21"/>
                <w:highlight w:val="none"/>
                <w:u w:val="none"/>
                <w:lang w:eastAsia="zh-CN"/>
              </w:rPr>
              <w:t>评标基准价</w:t>
            </w:r>
            <w:r>
              <w:rPr>
                <w:rFonts w:hint="eastAsia" w:ascii="宋体" w:hAnsi="宋体" w:cs="宋体"/>
                <w:b w:val="0"/>
                <w:bCs/>
                <w:color w:val="auto"/>
                <w:szCs w:val="21"/>
                <w:highlight w:val="none"/>
                <w:u w:val="none"/>
              </w:rPr>
              <w:t>时得100分，</w:t>
            </w:r>
            <w:r>
              <w:rPr>
                <w:rFonts w:hint="eastAsia" w:ascii="宋体" w:hAnsi="宋体" w:cs="宋体"/>
                <w:b w:val="0"/>
                <w:bCs/>
                <w:color w:val="auto"/>
                <w:szCs w:val="21"/>
                <w:highlight w:val="none"/>
                <w:u w:val="none"/>
                <w:lang w:val="en-US" w:eastAsia="zh-CN"/>
              </w:rPr>
              <w:t>工程费</w:t>
            </w:r>
            <w:r>
              <w:rPr>
                <w:rFonts w:hint="eastAsia" w:ascii="宋体" w:hAnsi="宋体" w:cs="宋体"/>
                <w:b w:val="0"/>
                <w:bCs/>
                <w:color w:val="auto"/>
                <w:szCs w:val="21"/>
                <w:highlight w:val="none"/>
                <w:u w:val="none"/>
              </w:rPr>
              <w:t>投标报价每高于</w:t>
            </w:r>
            <w:r>
              <w:rPr>
                <w:rFonts w:hint="eastAsia" w:ascii="宋体" w:hAnsi="宋体" w:cs="宋体"/>
                <w:b w:val="0"/>
                <w:bCs/>
                <w:color w:val="auto"/>
                <w:szCs w:val="21"/>
                <w:highlight w:val="none"/>
                <w:u w:val="none"/>
                <w:lang w:eastAsia="zh-CN"/>
              </w:rPr>
              <w:t>评标基准价</w:t>
            </w:r>
            <w:r>
              <w:rPr>
                <w:rFonts w:hint="eastAsia" w:ascii="宋体" w:hAnsi="宋体" w:cs="宋体"/>
                <w:b w:val="0"/>
                <w:bCs/>
                <w:color w:val="auto"/>
                <w:szCs w:val="21"/>
                <w:highlight w:val="none"/>
                <w:u w:val="none"/>
              </w:rPr>
              <w:t>1%，扣1.5分，每低于</w:t>
            </w:r>
            <w:r>
              <w:rPr>
                <w:rFonts w:hint="eastAsia" w:ascii="宋体" w:hAnsi="宋体" w:cs="宋体"/>
                <w:b w:val="0"/>
                <w:bCs/>
                <w:color w:val="auto"/>
                <w:szCs w:val="21"/>
                <w:highlight w:val="none"/>
                <w:u w:val="none"/>
                <w:lang w:eastAsia="zh-CN"/>
              </w:rPr>
              <w:t>评标基准价</w:t>
            </w:r>
            <w:r>
              <w:rPr>
                <w:rFonts w:hint="eastAsia" w:ascii="宋体" w:hAnsi="宋体" w:cs="宋体"/>
                <w:b w:val="0"/>
                <w:bCs/>
                <w:color w:val="auto"/>
                <w:szCs w:val="21"/>
                <w:highlight w:val="none"/>
                <w:u w:val="none"/>
              </w:rPr>
              <w:t>1%，扣1分，最多扣100分，得出的</w:t>
            </w:r>
            <w:r>
              <w:rPr>
                <w:rFonts w:hint="eastAsia" w:ascii="宋体" w:hAnsi="宋体" w:cs="宋体"/>
                <w:b w:val="0"/>
                <w:bCs/>
                <w:color w:val="auto"/>
                <w:szCs w:val="21"/>
                <w:highlight w:val="none"/>
                <w:u w:val="none"/>
                <w:lang w:val="en-US" w:eastAsia="zh-CN"/>
              </w:rPr>
              <w:t>工程费</w:t>
            </w:r>
            <w:r>
              <w:rPr>
                <w:rFonts w:hint="eastAsia" w:ascii="宋体" w:hAnsi="宋体" w:cs="宋体"/>
                <w:b w:val="0"/>
                <w:bCs/>
                <w:color w:val="auto"/>
                <w:szCs w:val="21"/>
                <w:highlight w:val="none"/>
                <w:u w:val="none"/>
              </w:rPr>
              <w:t>投标报价得分×权重（</w:t>
            </w:r>
            <w:r>
              <w:rPr>
                <w:rFonts w:hint="eastAsia" w:ascii="宋体" w:hAnsi="宋体" w:cs="宋体"/>
                <w:b w:val="0"/>
                <w:bCs/>
                <w:color w:val="auto"/>
                <w:szCs w:val="21"/>
                <w:highlight w:val="none"/>
                <w:u w:val="none"/>
                <w:lang w:val="en-US" w:eastAsia="zh-CN"/>
              </w:rPr>
              <w:t>45</w:t>
            </w:r>
            <w:r>
              <w:rPr>
                <w:rFonts w:hint="eastAsia" w:ascii="宋体" w:hAnsi="宋体" w:cs="宋体"/>
                <w:b w:val="0"/>
                <w:bCs/>
                <w:color w:val="auto"/>
                <w:szCs w:val="21"/>
                <w:highlight w:val="none"/>
                <w:u w:val="none"/>
              </w:rPr>
              <w:t>%）作为投标报价得分，精确到小数点后两位。</w:t>
            </w:r>
          </w:p>
          <w:p w14:paraId="2B928E0D">
            <w:pPr>
              <w:spacing w:line="240" w:lineRule="auto"/>
              <w:rPr>
                <w:rFonts w:hint="eastAsia" w:ascii="宋体" w:hAnsi="宋体" w:cs="宋体"/>
                <w:b w:val="0"/>
                <w:bCs/>
                <w:color w:val="auto"/>
                <w:szCs w:val="21"/>
                <w:highlight w:val="none"/>
                <w:u w:val="none"/>
              </w:rPr>
            </w:pPr>
            <w:r>
              <w:rPr>
                <w:rFonts w:hint="eastAsia" w:ascii="宋体" w:hAnsi="宋体" w:cs="宋体"/>
                <w:b w:val="0"/>
                <w:bCs/>
                <w:color w:val="auto"/>
                <w:szCs w:val="21"/>
                <w:highlight w:val="none"/>
                <w:u w:val="none"/>
              </w:rPr>
              <w:t>对于报价低于成本警示价的投标人，不参加</w:t>
            </w:r>
            <w:r>
              <w:rPr>
                <w:rFonts w:hint="eastAsia" w:ascii="宋体" w:hAnsi="宋体" w:cs="宋体"/>
                <w:b w:val="0"/>
                <w:bCs/>
                <w:color w:val="auto"/>
                <w:szCs w:val="21"/>
                <w:highlight w:val="none"/>
                <w:u w:val="none"/>
                <w:lang w:val="en-US" w:eastAsia="zh-CN"/>
              </w:rPr>
              <w:t>投标报价</w:t>
            </w:r>
            <w:r>
              <w:rPr>
                <w:rFonts w:hint="eastAsia" w:ascii="宋体" w:hAnsi="宋体" w:cs="宋体"/>
                <w:b w:val="0"/>
                <w:bCs/>
                <w:color w:val="auto"/>
                <w:szCs w:val="21"/>
                <w:highlight w:val="none"/>
                <w:u w:val="none"/>
              </w:rPr>
              <w:t>详细评审，但需参加</w:t>
            </w:r>
            <w:r>
              <w:rPr>
                <w:rFonts w:hint="eastAsia" w:ascii="宋体" w:hAnsi="宋体" w:eastAsia="宋体" w:cs="宋体"/>
                <w:color w:val="auto"/>
                <w:szCs w:val="21"/>
                <w:highlight w:val="none"/>
              </w:rPr>
              <w:t>工程总承包实施方案</w:t>
            </w:r>
            <w:r>
              <w:rPr>
                <w:rFonts w:hint="eastAsia" w:ascii="宋体" w:hAnsi="宋体" w:cs="宋体"/>
                <w:b w:val="0"/>
                <w:bCs/>
                <w:color w:val="auto"/>
                <w:szCs w:val="21"/>
                <w:highlight w:val="none"/>
                <w:u w:val="none"/>
              </w:rPr>
              <w:t>的详细评审。评标委员会根据</w:t>
            </w:r>
            <w:r>
              <w:rPr>
                <w:rFonts w:hint="eastAsia" w:ascii="宋体" w:hAnsi="宋体" w:eastAsia="宋体" w:cs="宋体"/>
                <w:color w:val="auto"/>
                <w:szCs w:val="21"/>
                <w:highlight w:val="none"/>
              </w:rPr>
              <w:t>工程总承包实施方案</w:t>
            </w:r>
            <w:r>
              <w:rPr>
                <w:rFonts w:hint="eastAsia" w:ascii="宋体" w:hAnsi="宋体" w:cs="宋体"/>
                <w:b w:val="0"/>
                <w:bCs/>
                <w:color w:val="auto"/>
                <w:szCs w:val="21"/>
                <w:highlight w:val="none"/>
                <w:u w:val="none"/>
              </w:rPr>
              <w:t>详细评审的排序，推荐的中标候选人数量为1。</w:t>
            </w:r>
          </w:p>
        </w:tc>
      </w:tr>
      <w:tr w14:paraId="49B7B7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963" w:type="dxa"/>
            <w:gridSpan w:val="4"/>
            <w:vAlign w:val="center"/>
          </w:tcPr>
          <w:p w14:paraId="4A729FFF">
            <w:pPr>
              <w:spacing w:line="240" w:lineRule="auto"/>
              <w:ind w:firstLine="422"/>
              <w:rPr>
                <w:rFonts w:hint="eastAsia" w:ascii="宋体" w:hAnsi="宋体" w:cs="宋体"/>
                <w:color w:val="auto"/>
                <w:szCs w:val="21"/>
                <w:highlight w:val="none"/>
              </w:rPr>
            </w:pPr>
            <w:r>
              <w:rPr>
                <w:rFonts w:hint="eastAsia" w:ascii="宋体" w:hAnsi="宋体" w:cs="宋体"/>
                <w:b/>
                <w:color w:val="auto"/>
                <w:szCs w:val="21"/>
                <w:highlight w:val="none"/>
              </w:rPr>
              <w:t>需要补充的其他内容</w:t>
            </w:r>
          </w:p>
        </w:tc>
      </w:tr>
      <w:tr w14:paraId="20321F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963" w:type="dxa"/>
            <w:gridSpan w:val="4"/>
          </w:tcPr>
          <w:p w14:paraId="59CD7203">
            <w:pPr>
              <w:rPr>
                <w:rFonts w:hint="eastAsia" w:ascii="宋体" w:hAnsi="宋体" w:cs="宋体"/>
                <w:dstrike/>
                <w:color w:val="auto"/>
                <w:szCs w:val="21"/>
                <w:highlight w:val="none"/>
              </w:rPr>
            </w:pPr>
            <w:r>
              <w:rPr>
                <w:rFonts w:hint="eastAsia" w:ascii="宋体" w:hAnsi="宋体" w:cs="宋体"/>
                <w:color w:val="auto"/>
                <w:szCs w:val="21"/>
                <w:highlight w:val="none"/>
              </w:rPr>
              <w:t>（1）如组成联合体投标的，除评分项明确注明外，设计部分评分以承接设计任务的单位为准，施工部分评分以承接施工任务的主办方单位为准。</w:t>
            </w:r>
          </w:p>
        </w:tc>
      </w:tr>
    </w:tbl>
    <w:p w14:paraId="149C2F01">
      <w:pPr>
        <w:pStyle w:val="44"/>
        <w:ind w:left="0" w:leftChars="0" w:firstLine="0" w:firstLineChars="0"/>
        <w:rPr>
          <w:rFonts w:ascii="宋体" w:hAnsi="宋体"/>
          <w:color w:val="auto"/>
          <w:highlight w:val="none"/>
        </w:rPr>
      </w:pPr>
    </w:p>
    <w:p w14:paraId="1ACFE24C">
      <w:pPr>
        <w:pStyle w:val="3"/>
        <w:spacing w:before="0" w:after="0"/>
        <w:rPr>
          <w:rFonts w:ascii="宋体" w:hAnsi="宋体" w:eastAsia="宋体"/>
          <w:color w:val="auto"/>
          <w:highlight w:val="none"/>
        </w:rPr>
        <w:sectPr>
          <w:footerReference r:id="rId13" w:type="default"/>
          <w:pgSz w:w="11906" w:h="16838"/>
          <w:pgMar w:top="1134" w:right="1417" w:bottom="1134" w:left="1417" w:header="851" w:footer="850" w:gutter="0"/>
          <w:cols w:space="720" w:num="1"/>
          <w:docGrid w:linePitch="312" w:charSpace="0"/>
        </w:sectPr>
      </w:pPr>
    </w:p>
    <w:bookmarkEnd w:id="344"/>
    <w:bookmarkEnd w:id="345"/>
    <w:bookmarkEnd w:id="346"/>
    <w:bookmarkEnd w:id="347"/>
    <w:bookmarkEnd w:id="348"/>
    <w:bookmarkEnd w:id="349"/>
    <w:bookmarkEnd w:id="350"/>
    <w:bookmarkEnd w:id="351"/>
    <w:bookmarkEnd w:id="352"/>
    <w:bookmarkEnd w:id="353"/>
    <w:bookmarkEnd w:id="354"/>
    <w:bookmarkEnd w:id="355"/>
    <w:p w14:paraId="578375B3">
      <w:pPr>
        <w:pStyle w:val="3"/>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color w:val="auto"/>
          <w:highlight w:val="none"/>
        </w:rPr>
      </w:pPr>
      <w:bookmarkStart w:id="440" w:name="_Toc165358693"/>
      <w:bookmarkStart w:id="441" w:name="_Toc165358828"/>
      <w:r>
        <w:rPr>
          <w:rFonts w:hint="eastAsia" w:ascii="宋体" w:hAnsi="宋体" w:eastAsia="宋体" w:cs="宋体"/>
          <w:color w:val="auto"/>
          <w:highlight w:val="none"/>
        </w:rPr>
        <w:t>1. 评标方法</w:t>
      </w:r>
      <w:bookmarkEnd w:id="440"/>
      <w:bookmarkEnd w:id="441"/>
    </w:p>
    <w:p w14:paraId="6B881DCD">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本次评标采用</w:t>
      </w:r>
      <w:r>
        <w:rPr>
          <w:rFonts w:hint="eastAsia" w:ascii="宋体" w:hAnsi="宋体" w:eastAsia="宋体" w:cs="宋体"/>
          <w:color w:val="auto"/>
          <w:highlight w:val="none"/>
          <w:u w:val="single"/>
          <w:lang w:val="en-US" w:eastAsia="zh-CN"/>
        </w:rPr>
        <w:t>综合评估</w:t>
      </w:r>
      <w:r>
        <w:rPr>
          <w:rFonts w:hint="eastAsia" w:ascii="宋体" w:hAnsi="宋体" w:eastAsia="宋体" w:cs="宋体"/>
          <w:color w:val="auto"/>
          <w:highlight w:val="none"/>
          <w:u w:val="single"/>
        </w:rPr>
        <w:t>法</w:t>
      </w:r>
      <w:r>
        <w:rPr>
          <w:rFonts w:hint="eastAsia" w:ascii="宋体" w:hAnsi="宋体" w:eastAsia="宋体" w:cs="宋体"/>
          <w:color w:val="auto"/>
          <w:highlight w:val="none"/>
        </w:rPr>
        <w:t>。评标委员会对满足招标文件实质性要</w:t>
      </w:r>
      <w:bookmarkStart w:id="442" w:name="_Toc443505836"/>
      <w:r>
        <w:rPr>
          <w:rFonts w:hint="eastAsia" w:ascii="宋体" w:hAnsi="宋体" w:eastAsia="宋体" w:cs="宋体"/>
          <w:color w:val="auto"/>
          <w:highlight w:val="none"/>
        </w:rPr>
        <w:t>求的投标文件，</w:t>
      </w:r>
      <w:bookmarkEnd w:id="442"/>
      <w:r>
        <w:rPr>
          <w:rFonts w:hint="eastAsia" w:ascii="宋体" w:hAnsi="宋体" w:eastAsia="宋体" w:cs="宋体"/>
          <w:color w:val="auto"/>
          <w:highlight w:val="none"/>
        </w:rPr>
        <w:t>按照本章第2.2款规定的评分标准进行打分，并按得分由高到低顺序推荐</w:t>
      </w:r>
      <w:r>
        <w:rPr>
          <w:rFonts w:hint="eastAsia" w:ascii="宋体" w:hAnsi="宋体" w:eastAsia="宋体" w:cs="宋体"/>
          <w:color w:val="auto"/>
          <w:highlight w:val="none"/>
          <w:u w:val="single"/>
        </w:rPr>
        <w:t>合格</w:t>
      </w:r>
      <w:r>
        <w:rPr>
          <w:rFonts w:hint="eastAsia" w:ascii="宋体" w:hAnsi="宋体" w:eastAsia="宋体" w:cs="宋体"/>
          <w:color w:val="auto"/>
          <w:highlight w:val="none"/>
          <w:u w:val="single"/>
          <w:lang w:val="en-US" w:eastAsia="zh-CN"/>
        </w:rPr>
        <w:t>的</w:t>
      </w:r>
      <w:r>
        <w:rPr>
          <w:rFonts w:hint="eastAsia" w:ascii="宋体" w:hAnsi="宋体" w:eastAsia="宋体" w:cs="宋体"/>
          <w:color w:val="auto"/>
          <w:highlight w:val="none"/>
          <w:u w:val="single"/>
        </w:rPr>
        <w:t>中标候选人进入定标阶段</w:t>
      </w:r>
      <w:r>
        <w:rPr>
          <w:rFonts w:hint="eastAsia" w:ascii="宋体" w:hAnsi="宋体" w:eastAsia="宋体" w:cs="宋体"/>
          <w:color w:val="auto"/>
          <w:highlight w:val="none"/>
        </w:rPr>
        <w:t>，但投标报价低于其成本的除外。</w:t>
      </w:r>
    </w:p>
    <w:p w14:paraId="0C855333">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rPr>
      </w:pPr>
    </w:p>
    <w:p w14:paraId="5B0DEF78">
      <w:pPr>
        <w:pStyle w:val="3"/>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color w:val="auto"/>
          <w:highlight w:val="none"/>
        </w:rPr>
      </w:pPr>
      <w:bookmarkStart w:id="443" w:name="_Toc165358694"/>
      <w:bookmarkStart w:id="444" w:name="_Toc165358829"/>
      <w:bookmarkStart w:id="445" w:name="_Toc30106"/>
      <w:r>
        <w:rPr>
          <w:rFonts w:hint="eastAsia" w:ascii="宋体" w:hAnsi="宋体" w:eastAsia="宋体" w:cs="宋体"/>
          <w:color w:val="auto"/>
          <w:highlight w:val="none"/>
        </w:rPr>
        <w:t>2. 评审标准</w:t>
      </w:r>
      <w:bookmarkEnd w:id="443"/>
      <w:bookmarkEnd w:id="444"/>
      <w:bookmarkEnd w:id="445"/>
    </w:p>
    <w:p w14:paraId="272B96F5">
      <w:pPr>
        <w:pStyle w:val="4"/>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color w:val="auto"/>
          <w:highlight w:val="none"/>
        </w:rPr>
      </w:pPr>
      <w:bookmarkStart w:id="446" w:name="_Toc165358830"/>
      <w:bookmarkStart w:id="447" w:name="_Toc20189"/>
      <w:bookmarkStart w:id="448" w:name="_Toc165358695"/>
      <w:r>
        <w:rPr>
          <w:rFonts w:hint="eastAsia" w:ascii="宋体" w:hAnsi="宋体" w:eastAsia="宋体" w:cs="宋体"/>
          <w:color w:val="auto"/>
          <w:highlight w:val="none"/>
          <w:lang w:val="zh-CN"/>
        </w:rPr>
        <w:t>2.1 初步评审标准</w:t>
      </w:r>
      <w:bookmarkEnd w:id="446"/>
      <w:bookmarkEnd w:id="447"/>
      <w:bookmarkEnd w:id="448"/>
    </w:p>
    <w:p w14:paraId="13AC0290">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2.1.1 形式评审标准：见评标办法前附表。</w:t>
      </w:r>
    </w:p>
    <w:p w14:paraId="181E3143">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2.1.2 资格评审标准：见评标办法前附表。</w:t>
      </w:r>
    </w:p>
    <w:p w14:paraId="456C6D89">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2.1.3 响应性评审标准：见评标办法前附表。</w:t>
      </w:r>
    </w:p>
    <w:p w14:paraId="766DA198">
      <w:pPr>
        <w:pStyle w:val="4"/>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color w:val="auto"/>
          <w:highlight w:val="none"/>
        </w:rPr>
      </w:pPr>
      <w:bookmarkStart w:id="449" w:name="_Toc165358696"/>
      <w:bookmarkStart w:id="450" w:name="_Toc165358831"/>
      <w:r>
        <w:rPr>
          <w:rFonts w:hint="eastAsia" w:ascii="宋体" w:hAnsi="宋体" w:eastAsia="宋体" w:cs="宋体"/>
          <w:color w:val="auto"/>
          <w:highlight w:val="none"/>
          <w:lang w:val="zh-CN"/>
        </w:rPr>
        <w:t>2.2 分值构成与评分标准</w:t>
      </w:r>
      <w:bookmarkEnd w:id="449"/>
      <w:bookmarkEnd w:id="450"/>
    </w:p>
    <w:p w14:paraId="595D6196">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2.2.1 </w:t>
      </w:r>
      <w:r>
        <w:rPr>
          <w:rFonts w:hint="eastAsia" w:ascii="宋体" w:hAnsi="宋体" w:eastAsia="宋体" w:cs="宋体"/>
          <w:color w:val="auto"/>
          <w:szCs w:val="21"/>
          <w:highlight w:val="none"/>
          <w:u w:val="single"/>
        </w:rPr>
        <w:t>分值构成及权重</w:t>
      </w:r>
      <w:r>
        <w:rPr>
          <w:rFonts w:hint="eastAsia" w:ascii="宋体" w:hAnsi="宋体" w:eastAsia="宋体" w:cs="宋体"/>
          <w:color w:val="auto"/>
          <w:highlight w:val="none"/>
          <w:u w:val="single"/>
        </w:rPr>
        <w:t>：见评标办法前附表。</w:t>
      </w:r>
    </w:p>
    <w:p w14:paraId="419E03D2">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2.2.2 评分标准</w:t>
      </w:r>
    </w:p>
    <w:p w14:paraId="1E897521">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lang w:eastAsia="zh-CN"/>
        </w:rPr>
        <w:t>工程总承包实施方案</w:t>
      </w:r>
      <w:r>
        <w:rPr>
          <w:rFonts w:hint="eastAsia" w:ascii="宋体" w:hAnsi="宋体" w:eastAsia="宋体" w:cs="宋体"/>
          <w:color w:val="auto"/>
          <w:highlight w:val="none"/>
          <w:u w:val="single"/>
        </w:rPr>
        <w:t>评分、投标报价评分标准：见评标办法前附表。</w:t>
      </w:r>
    </w:p>
    <w:p w14:paraId="73C4BB63">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u w:val="single"/>
        </w:rPr>
      </w:pPr>
    </w:p>
    <w:p w14:paraId="4B7AAE00">
      <w:pPr>
        <w:pStyle w:val="3"/>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color w:val="auto"/>
          <w:highlight w:val="none"/>
        </w:rPr>
      </w:pPr>
      <w:bookmarkStart w:id="451" w:name="_Toc505152703"/>
      <w:bookmarkStart w:id="452" w:name="_Toc165358832"/>
      <w:bookmarkStart w:id="453" w:name="_Toc8401"/>
      <w:bookmarkStart w:id="454" w:name="_Toc480225664"/>
      <w:bookmarkStart w:id="455" w:name="_Toc165358697"/>
      <w:bookmarkStart w:id="456" w:name="_Toc443505839"/>
      <w:r>
        <w:rPr>
          <w:rFonts w:hint="eastAsia" w:ascii="宋体" w:hAnsi="宋体" w:eastAsia="宋体" w:cs="宋体"/>
          <w:color w:val="auto"/>
          <w:highlight w:val="none"/>
        </w:rPr>
        <w:t>3. 评标程序</w:t>
      </w:r>
      <w:bookmarkEnd w:id="451"/>
      <w:bookmarkEnd w:id="452"/>
      <w:bookmarkEnd w:id="453"/>
      <w:bookmarkEnd w:id="454"/>
      <w:bookmarkEnd w:id="455"/>
      <w:bookmarkEnd w:id="456"/>
    </w:p>
    <w:p w14:paraId="60662C28">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u w:val="single"/>
          <w:lang w:eastAsia="zh-CN"/>
        </w:rPr>
      </w:pPr>
      <w:bookmarkStart w:id="457" w:name="_Toc47018635"/>
      <w:bookmarkStart w:id="458" w:name="_Toc503806433"/>
      <w:bookmarkStart w:id="459" w:name="_Toc47018338"/>
      <w:r>
        <w:rPr>
          <w:rFonts w:hint="eastAsia" w:ascii="宋体" w:hAnsi="宋体" w:eastAsia="宋体" w:cs="宋体"/>
          <w:color w:val="auto"/>
          <w:highlight w:val="none"/>
          <w:u w:val="single"/>
          <w:lang w:eastAsia="zh-CN"/>
        </w:rPr>
        <w:t>本项目采取电子评标。评标委员会为综合评标委员会，负责形式审查、资格审查、响应性审查及评标工作。</w:t>
      </w:r>
    </w:p>
    <w:p w14:paraId="11A85507">
      <w:pPr>
        <w:pStyle w:val="4"/>
        <w:pageBreakBefore w:val="0"/>
        <w:widowControl w:val="0"/>
        <w:kinsoku/>
        <w:wordWrap/>
        <w:overflowPunct/>
        <w:topLinePunct w:val="0"/>
        <w:autoSpaceDE/>
        <w:autoSpaceDN/>
        <w:bidi w:val="0"/>
        <w:adjustRightInd/>
        <w:spacing w:before="0" w:after="0" w:line="360" w:lineRule="auto"/>
        <w:ind w:firstLine="56" w:firstLineChars="20"/>
        <w:textAlignment w:val="auto"/>
        <w:rPr>
          <w:rFonts w:hint="eastAsia" w:ascii="宋体" w:hAnsi="宋体" w:eastAsia="宋体" w:cs="宋体"/>
          <w:color w:val="auto"/>
          <w:highlight w:val="none"/>
        </w:rPr>
      </w:pPr>
      <w:bookmarkStart w:id="460" w:name="_Toc165358698"/>
      <w:bookmarkStart w:id="461" w:name="_Toc165358833"/>
      <w:bookmarkStart w:id="462" w:name="_Toc16960"/>
      <w:bookmarkStart w:id="463" w:name="_Toc20824"/>
      <w:bookmarkStart w:id="464" w:name="_Toc14048"/>
      <w:bookmarkStart w:id="465" w:name="_Toc485211100"/>
      <w:r>
        <w:rPr>
          <w:rFonts w:hint="eastAsia" w:ascii="宋体" w:hAnsi="宋体" w:eastAsia="宋体" w:cs="宋体"/>
          <w:color w:val="auto"/>
          <w:highlight w:val="none"/>
        </w:rPr>
        <w:t>3.1形式评审</w:t>
      </w:r>
      <w:bookmarkEnd w:id="460"/>
      <w:bookmarkEnd w:id="461"/>
    </w:p>
    <w:p w14:paraId="734B55D9">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3.1.1形式审查中全部符合形式评审标准（详见评标办法前附表）中规定情形的，为形式审查合格。否则为形式审查不合格，经评标委员会评委共同认定后，其投标文件将被拒绝。如评标委员会评委的评审意见不一致时，以评标委员会过半数成员的意见作为评标委员会对该情形的认定结论。</w:t>
      </w:r>
    </w:p>
    <w:p w14:paraId="62FA25A4">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3.1.2汇总形式审查情况，只有通过形式审查的投标人方可进入下一阶段评审。形式审查合格的投标人少于3名的，则本项目招标失败。</w:t>
      </w:r>
    </w:p>
    <w:p w14:paraId="55BCE368">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3.1.3评委发现投标文件中含义不明确、对同类问题表述不一致、有明显文字和计算错误的，应当要求投标人作必要的澄清、说明后再判定投标人是否通过形式审查、资格审查，不得直接否决投标。</w:t>
      </w:r>
    </w:p>
    <w:p w14:paraId="516B6E72">
      <w:pPr>
        <w:pStyle w:val="4"/>
        <w:pageBreakBefore w:val="0"/>
        <w:widowControl w:val="0"/>
        <w:kinsoku/>
        <w:wordWrap/>
        <w:overflowPunct/>
        <w:topLinePunct w:val="0"/>
        <w:autoSpaceDE/>
        <w:autoSpaceDN/>
        <w:bidi w:val="0"/>
        <w:adjustRightInd/>
        <w:spacing w:before="0" w:after="0" w:line="360" w:lineRule="auto"/>
        <w:ind w:firstLine="56" w:firstLineChars="20"/>
        <w:textAlignment w:val="auto"/>
        <w:rPr>
          <w:rFonts w:hint="eastAsia" w:ascii="宋体" w:hAnsi="宋体" w:eastAsia="宋体" w:cs="宋体"/>
          <w:color w:val="auto"/>
          <w:highlight w:val="none"/>
        </w:rPr>
      </w:pPr>
      <w:bookmarkStart w:id="466" w:name="_Toc165358834"/>
      <w:bookmarkStart w:id="467" w:name="_Toc165358699"/>
      <w:r>
        <w:rPr>
          <w:rFonts w:hint="eastAsia" w:ascii="宋体" w:hAnsi="宋体" w:eastAsia="宋体" w:cs="宋体"/>
          <w:color w:val="auto"/>
          <w:highlight w:val="none"/>
        </w:rPr>
        <w:t>3.2资格评审</w:t>
      </w:r>
      <w:bookmarkEnd w:id="466"/>
      <w:bookmarkEnd w:id="467"/>
    </w:p>
    <w:p w14:paraId="5BF7F188">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3.2.1评标委员会对所有通过形式评审的投标人进行资格评审。资格审查文件中全部符合资格评审标准（详见评标办法前附表）中规定情形的，为资格审查合格。否则为资格审查不合格，评标委员会评委共同认定后，其投标将被拒绝。如评标委员会评委的评审意见不一致时，以评标委员会评委过半数成员的意见作为评标委员会对该情形的认定结论。只有通过资格审查的投标人方可进入下一阶段的评审。</w:t>
      </w:r>
    </w:p>
    <w:p w14:paraId="4820A31C">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3.2.2汇总资格审查情况，编写资格审查报告。资格审查合格的投标人少于3名的，则本项目招标失败。</w:t>
      </w:r>
    </w:p>
    <w:p w14:paraId="68A6A44B">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3.2.3评委发现投标文件中含义不明确、对同类问题表述不一致、有明显文字和计算错误的，应当要求投标人作必要的澄清、说明后再判定投标人是否通过形式审查、资格审查，不得直接否决投标。</w:t>
      </w:r>
    </w:p>
    <w:p w14:paraId="7C95A4FA">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3.2.4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14:paraId="6568E97E">
      <w:pPr>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highlight w:val="none"/>
          <w:u w:val="single"/>
        </w:rPr>
      </w:pPr>
      <w:r>
        <w:rPr>
          <w:rFonts w:hint="eastAsia" w:ascii="宋体" w:hAnsi="宋体" w:eastAsia="宋体" w:cs="宋体"/>
          <w:b/>
          <w:color w:val="auto"/>
          <w:highlight w:val="none"/>
          <w:u w:val="single"/>
        </w:rPr>
        <w:t>特别声明：资审合格后，投标人的资格发生变化而不满足投标人合格条件，在发出中标通知书前，资格问题仍未解决的，招标人将取消其中标资格。</w:t>
      </w:r>
    </w:p>
    <w:p w14:paraId="15B48F2D">
      <w:pPr>
        <w:pStyle w:val="4"/>
        <w:pageBreakBefore w:val="0"/>
        <w:widowControl w:val="0"/>
        <w:kinsoku/>
        <w:wordWrap/>
        <w:overflowPunct/>
        <w:topLinePunct w:val="0"/>
        <w:autoSpaceDE/>
        <w:autoSpaceDN/>
        <w:bidi w:val="0"/>
        <w:adjustRightInd/>
        <w:spacing w:before="0" w:after="0" w:line="360" w:lineRule="auto"/>
        <w:ind w:firstLine="56" w:firstLineChars="20"/>
        <w:textAlignment w:val="auto"/>
        <w:rPr>
          <w:rFonts w:hint="eastAsia" w:ascii="宋体" w:hAnsi="宋体" w:eastAsia="宋体" w:cs="宋体"/>
          <w:color w:val="auto"/>
          <w:highlight w:val="none"/>
        </w:rPr>
      </w:pPr>
      <w:bookmarkStart w:id="468" w:name="_Toc165358700"/>
      <w:bookmarkStart w:id="469" w:name="_Toc165358835"/>
      <w:r>
        <w:rPr>
          <w:rFonts w:hint="eastAsia" w:ascii="宋体" w:hAnsi="宋体" w:eastAsia="宋体" w:cs="宋体"/>
          <w:color w:val="auto"/>
          <w:highlight w:val="none"/>
        </w:rPr>
        <w:t>3.3响应性评审</w:t>
      </w:r>
      <w:bookmarkEnd w:id="468"/>
      <w:bookmarkEnd w:id="469"/>
    </w:p>
    <w:p w14:paraId="650BE93F">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3.3.1响应性审查：评标委员会评委对所有通过资格审查的投标人进行响应性评审（见评标办法前附表），投标文件通过响应性评审标准的为有效标书，否则为无效标书，经评标委员会评委共同认定后，其投标文件将被拒绝。如评标委员会评委的评审意见不一致时，以评标委员会评委过半数成员的意见作为评标委员会对该情形的认定结论。</w:t>
      </w:r>
    </w:p>
    <w:p w14:paraId="2AF962DB">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3.3.2 投标人有以下情形之一的，评标委员会应当否决其投标：</w:t>
      </w:r>
    </w:p>
    <w:p w14:paraId="52347B43">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（1）串通投标或弄虚作假或有其他违法行为的；</w:t>
      </w:r>
    </w:p>
    <w:p w14:paraId="705A9776">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（2）不按评标委员会要求澄清、说明或补正的。</w:t>
      </w:r>
    </w:p>
    <w:p w14:paraId="37335FAB">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3.3.3 投标报价的算术校核。评标委员会对通过响应性评审的投标文件投标报进行算术校核，具体标准如下：</w:t>
      </w:r>
    </w:p>
    <w:p w14:paraId="429419A4">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（1）如果数字表示的金额和用文字表示的金额不一致时，应以文字表示的金额为准（有以下算术性错误需要修正的除外）；</w:t>
      </w:r>
    </w:p>
    <w:p w14:paraId="3ECE7A18">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（2）经算术复核的投标人报价与其投标报价不一致时，按就低不就高原则确定其最终报价；</w:t>
      </w:r>
    </w:p>
    <w:p w14:paraId="6858F8FB">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35C6AC24">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（4）当合价、金额累加错误时，按就低不就高原则，如果累加修正值小于原累加值，则按累加修正值；如果累加修正值大于原累加值，则按原累加值；</w:t>
      </w:r>
    </w:p>
    <w:p w14:paraId="339D65F7">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（5）如果投标人的有关规费、暂列金额、暂估价、绿色施工安全防护措施费等未按招标文件规定的金额填写的，由评标委员会按照招标文件规定的金额进行修正；</w:t>
      </w:r>
    </w:p>
    <w:p w14:paraId="5E701DA0">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（6）按就低不就高原则，当修正后报价小于原报价，总价按修正后报价；当修正后报价大于原报价，总价按原报价，并在签订合同时载明在结算价中扣除修正报价与原报价的差额。</w:t>
      </w:r>
    </w:p>
    <w:p w14:paraId="573910DB">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（7）投标文件存在其他计算性错误的，按正确的方法计算并修正；</w:t>
      </w:r>
    </w:p>
    <w:p w14:paraId="0D1B6B6C">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（8）按上述修正错误的原则及方法调整或修正投标文件的投标报价，调整后的投标报价对投标人起约束作用。如果投标人不接受修正后的报价，则取消其投标资格，并且其投标担保也将被没收。</w:t>
      </w:r>
    </w:p>
    <w:p w14:paraId="03F7CE6D">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3.3.3评委发现投标文件中含义不明确、对同类问题表述不一致、有明显文字和计算错误的，应当要求投标人作必要的澄清、说明后再判定投标人是否通过形式审查、资格审查，不得直接否决投标。</w:t>
      </w:r>
    </w:p>
    <w:bookmarkEnd w:id="462"/>
    <w:bookmarkEnd w:id="463"/>
    <w:bookmarkEnd w:id="464"/>
    <w:bookmarkEnd w:id="465"/>
    <w:p w14:paraId="1FEC5034">
      <w:pPr>
        <w:pStyle w:val="4"/>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color w:val="auto"/>
          <w:highlight w:val="none"/>
          <w:u w:val="single"/>
          <w:lang w:val="zh-CN"/>
        </w:rPr>
      </w:pPr>
      <w:bookmarkStart w:id="470" w:name="_Toc165358701"/>
      <w:bookmarkStart w:id="471" w:name="_Toc165358836"/>
      <w:r>
        <w:rPr>
          <w:rFonts w:hint="eastAsia" w:ascii="宋体" w:hAnsi="宋体" w:eastAsia="宋体" w:cs="宋体"/>
          <w:color w:val="auto"/>
          <w:highlight w:val="none"/>
          <w:u w:val="single"/>
          <w:lang w:val="zh-CN"/>
        </w:rPr>
        <w:t>3.</w:t>
      </w:r>
      <w:r>
        <w:rPr>
          <w:rFonts w:hint="eastAsia" w:ascii="宋体" w:hAnsi="宋体" w:eastAsia="宋体" w:cs="宋体"/>
          <w:color w:val="auto"/>
          <w:highlight w:val="none"/>
          <w:u w:val="single"/>
        </w:rPr>
        <w:t>4</w:t>
      </w:r>
      <w:r>
        <w:rPr>
          <w:rFonts w:hint="eastAsia" w:ascii="宋体" w:hAnsi="宋体" w:eastAsia="宋体" w:cs="宋体"/>
          <w:color w:val="auto"/>
          <w:highlight w:val="none"/>
          <w:u w:val="single"/>
          <w:lang w:val="zh-CN"/>
        </w:rPr>
        <w:t xml:space="preserve"> 工程总承包实施方案评审</w:t>
      </w:r>
      <w:bookmarkEnd w:id="457"/>
      <w:bookmarkEnd w:id="458"/>
      <w:bookmarkEnd w:id="459"/>
      <w:bookmarkEnd w:id="470"/>
      <w:bookmarkEnd w:id="471"/>
    </w:p>
    <w:p w14:paraId="4BE98945">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u w:val="single"/>
        </w:rPr>
      </w:pPr>
      <w:bookmarkStart w:id="472" w:name="_Toc439246061"/>
      <w:bookmarkStart w:id="473" w:name="_Toc439240662"/>
      <w:r>
        <w:rPr>
          <w:rFonts w:hint="eastAsia" w:ascii="宋体" w:hAnsi="宋体" w:eastAsia="宋体" w:cs="宋体"/>
          <w:color w:val="auto"/>
          <w:highlight w:val="none"/>
          <w:u w:val="single"/>
        </w:rPr>
        <w:t>3.4.1评标委员会按本办法附表1《</w:t>
      </w:r>
      <w:r>
        <w:rPr>
          <w:rFonts w:hint="eastAsia" w:ascii="宋体" w:hAnsi="宋体" w:eastAsia="宋体" w:cs="宋体"/>
          <w:color w:val="auto"/>
          <w:highlight w:val="none"/>
          <w:u w:val="single"/>
          <w:lang w:eastAsia="zh-CN"/>
        </w:rPr>
        <w:t>工程总承包实施方案评分表</w:t>
      </w:r>
      <w:r>
        <w:rPr>
          <w:rFonts w:hint="eastAsia" w:ascii="宋体" w:hAnsi="宋体" w:eastAsia="宋体" w:cs="宋体"/>
          <w:color w:val="auto"/>
          <w:highlight w:val="none"/>
          <w:u w:val="single"/>
        </w:rPr>
        <w:t>》对通过初步评审的投标人进行详细评分。评标委员会各成员评分汇总后的算术平均值作为</w:t>
      </w:r>
      <w:r>
        <w:rPr>
          <w:rFonts w:hint="eastAsia" w:ascii="宋体" w:hAnsi="宋体" w:eastAsia="宋体" w:cs="宋体"/>
          <w:color w:val="auto"/>
          <w:highlight w:val="none"/>
          <w:u w:val="single"/>
          <w:lang w:eastAsia="zh-CN"/>
        </w:rPr>
        <w:t>工程总承包实施方案</w:t>
      </w:r>
      <w:r>
        <w:rPr>
          <w:rFonts w:hint="eastAsia" w:ascii="宋体" w:hAnsi="宋体" w:eastAsia="宋体" w:cs="宋体"/>
          <w:color w:val="auto"/>
          <w:highlight w:val="none"/>
          <w:u w:val="single"/>
        </w:rPr>
        <w:t>得分。分数出现小数点，保留小数点后二位，第三位小数四舍五入。</w:t>
      </w:r>
    </w:p>
    <w:bookmarkEnd w:id="472"/>
    <w:bookmarkEnd w:id="473"/>
    <w:p w14:paraId="7DD040AF">
      <w:pPr>
        <w:pStyle w:val="4"/>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color w:val="auto"/>
          <w:highlight w:val="none"/>
          <w:u w:val="single"/>
          <w:lang w:val="zh-CN"/>
        </w:rPr>
      </w:pPr>
      <w:bookmarkStart w:id="474" w:name="_Toc165358702"/>
      <w:bookmarkStart w:id="475" w:name="_Toc165358837"/>
      <w:r>
        <w:rPr>
          <w:rFonts w:hint="eastAsia" w:ascii="宋体" w:hAnsi="宋体" w:eastAsia="宋体" w:cs="宋体"/>
          <w:color w:val="auto"/>
          <w:highlight w:val="none"/>
          <w:u w:val="single"/>
          <w:lang w:val="zh-CN"/>
        </w:rPr>
        <w:t>3.</w:t>
      </w:r>
      <w:r>
        <w:rPr>
          <w:rFonts w:hint="eastAsia" w:ascii="宋体" w:hAnsi="宋体" w:eastAsia="宋体" w:cs="宋体"/>
          <w:color w:val="auto"/>
          <w:highlight w:val="none"/>
          <w:u w:val="single"/>
        </w:rPr>
        <w:t>5</w:t>
      </w:r>
      <w:r>
        <w:rPr>
          <w:rFonts w:hint="eastAsia" w:ascii="宋体" w:hAnsi="宋体" w:eastAsia="宋体" w:cs="宋体"/>
          <w:color w:val="auto"/>
          <w:highlight w:val="none"/>
          <w:u w:val="single"/>
          <w:lang w:val="zh-CN"/>
        </w:rPr>
        <w:t xml:space="preserve"> 投标报价评审</w:t>
      </w:r>
      <w:bookmarkEnd w:id="474"/>
      <w:bookmarkEnd w:id="475"/>
    </w:p>
    <w:p w14:paraId="5F6B8159">
      <w:pPr>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Cs w:val="21"/>
          <w:highlight w:val="none"/>
          <w:u w:val="single"/>
        </w:rPr>
      </w:pPr>
      <w:r>
        <w:rPr>
          <w:rFonts w:hint="eastAsia" w:ascii="宋体" w:hAnsi="宋体" w:eastAsia="宋体" w:cs="宋体"/>
          <w:color w:val="auto"/>
          <w:highlight w:val="none"/>
          <w:u w:val="single"/>
        </w:rPr>
        <w:t>3.5.1投标报价评分</w:t>
      </w:r>
      <w:r>
        <w:rPr>
          <w:rFonts w:hint="eastAsia" w:ascii="宋体" w:hAnsi="宋体" w:eastAsia="宋体" w:cs="宋体"/>
          <w:color w:val="auto"/>
          <w:szCs w:val="21"/>
          <w:highlight w:val="none"/>
          <w:u w:val="single"/>
        </w:rPr>
        <w:t>（见评标办法前附表）</w:t>
      </w:r>
    </w:p>
    <w:p w14:paraId="35FBD988">
      <w:pPr>
        <w:pStyle w:val="4"/>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color w:val="auto"/>
          <w:highlight w:val="none"/>
          <w:u w:val="single"/>
          <w:lang w:val="zh-CN"/>
        </w:rPr>
      </w:pPr>
      <w:bookmarkStart w:id="476" w:name="_Toc165358838"/>
      <w:bookmarkStart w:id="477" w:name="_Toc165358703"/>
      <w:r>
        <w:rPr>
          <w:rFonts w:hint="eastAsia" w:ascii="宋体" w:hAnsi="宋体" w:eastAsia="宋体" w:cs="宋体"/>
          <w:color w:val="auto"/>
          <w:highlight w:val="none"/>
          <w:u w:val="single"/>
          <w:lang w:val="zh-CN"/>
        </w:rPr>
        <w:t>3.</w:t>
      </w:r>
      <w:r>
        <w:rPr>
          <w:rFonts w:hint="eastAsia" w:ascii="宋体" w:hAnsi="宋体" w:eastAsia="宋体" w:cs="宋体"/>
          <w:color w:val="auto"/>
          <w:highlight w:val="none"/>
          <w:u w:val="single"/>
        </w:rPr>
        <w:t>6</w:t>
      </w:r>
      <w:r>
        <w:rPr>
          <w:rFonts w:hint="eastAsia" w:ascii="宋体" w:hAnsi="宋体" w:eastAsia="宋体" w:cs="宋体"/>
          <w:color w:val="auto"/>
          <w:highlight w:val="none"/>
          <w:u w:val="single"/>
          <w:lang w:val="zh-CN"/>
        </w:rPr>
        <w:t xml:space="preserve"> 评审汇总</w:t>
      </w:r>
      <w:bookmarkEnd w:id="476"/>
      <w:bookmarkEnd w:id="477"/>
    </w:p>
    <w:p w14:paraId="4ACEDCFD">
      <w:pPr>
        <w:pageBreakBefore w:val="0"/>
        <w:widowControl w:val="0"/>
        <w:kinsoku/>
        <w:wordWrap/>
        <w:overflowPunct/>
        <w:topLinePunct w:val="0"/>
        <w:autoSpaceDE/>
        <w:autoSpaceDN/>
        <w:bidi w:val="0"/>
        <w:adjustRightInd/>
        <w:snapToGrid w:val="0"/>
        <w:spacing w:line="360" w:lineRule="auto"/>
        <w:ind w:firstLine="424" w:firstLineChars="202"/>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3.6.1 投标人总得分满分为100分，分值构成及权重见:评标办法前附表。</w:t>
      </w:r>
    </w:p>
    <w:p w14:paraId="1B113DA5">
      <w:pPr>
        <w:pageBreakBefore w:val="0"/>
        <w:widowControl w:val="0"/>
        <w:kinsoku/>
        <w:wordWrap/>
        <w:overflowPunct/>
        <w:topLinePunct w:val="0"/>
        <w:autoSpaceDE/>
        <w:autoSpaceDN/>
        <w:bidi w:val="0"/>
        <w:adjustRightInd/>
        <w:snapToGrid w:val="0"/>
        <w:spacing w:line="360" w:lineRule="auto"/>
        <w:ind w:firstLine="424" w:firstLineChars="202"/>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Cs w:val="21"/>
          <w:highlight w:val="none"/>
          <w:u w:val="single"/>
        </w:rPr>
        <w:t xml:space="preserve">3.6.2 </w:t>
      </w:r>
      <w:bookmarkStart w:id="478" w:name="OLE_LINK11"/>
      <w:r>
        <w:rPr>
          <w:rFonts w:hint="eastAsia" w:ascii="宋体" w:hAnsi="宋体" w:eastAsia="宋体" w:cs="宋体"/>
          <w:color w:val="auto"/>
          <w:szCs w:val="21"/>
          <w:highlight w:val="none"/>
          <w:u w:val="single"/>
        </w:rPr>
        <w:t>对于初步评审合格的投标文件（含形式评审、资格评审、响应性评审）的投标人，评标委员会采用综合评估法详细评审，推荐中标候选人。</w:t>
      </w:r>
    </w:p>
    <w:p w14:paraId="54FF85BF">
      <w:pPr>
        <w:pageBreakBefore w:val="0"/>
        <w:widowControl w:val="0"/>
        <w:kinsoku/>
        <w:wordWrap/>
        <w:overflowPunct/>
        <w:topLinePunct w:val="0"/>
        <w:autoSpaceDE/>
        <w:autoSpaceDN/>
        <w:bidi w:val="0"/>
        <w:adjustRightInd/>
        <w:snapToGrid w:val="0"/>
        <w:spacing w:line="360" w:lineRule="auto"/>
        <w:ind w:firstLine="424" w:firstLineChars="202"/>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（1）当通过初步评审的投标人数≥3时，按以下方式确定中标候选人：</w:t>
      </w:r>
    </w:p>
    <w:p w14:paraId="06B8F69D">
      <w:pPr>
        <w:pageBreakBefore w:val="0"/>
        <w:widowControl w:val="0"/>
        <w:kinsoku/>
        <w:wordWrap/>
        <w:overflowPunct/>
        <w:topLinePunct w:val="0"/>
        <w:autoSpaceDE/>
        <w:autoSpaceDN/>
        <w:bidi w:val="0"/>
        <w:adjustRightInd/>
        <w:snapToGrid w:val="0"/>
        <w:spacing w:line="360" w:lineRule="auto"/>
        <w:ind w:firstLine="424" w:firstLineChars="202"/>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①对于报价低于成本警示价的投标人，不参加投标报价详细评审，但需参加工程总承包实施方案标的详细评审。评标委员会根据工程总承包实施方案标详细评审的排序，推荐的中标候选人数量为1。</w:t>
      </w:r>
    </w:p>
    <w:p w14:paraId="1963102E">
      <w:pPr>
        <w:pageBreakBefore w:val="0"/>
        <w:widowControl w:val="0"/>
        <w:kinsoku/>
        <w:wordWrap/>
        <w:overflowPunct/>
        <w:topLinePunct w:val="0"/>
        <w:autoSpaceDE/>
        <w:autoSpaceDN/>
        <w:bidi w:val="0"/>
        <w:adjustRightInd/>
        <w:snapToGrid w:val="0"/>
        <w:spacing w:line="360" w:lineRule="auto"/>
        <w:ind w:firstLine="424" w:firstLineChars="202"/>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评标委员会计算各有效投标文件的总得分，并按照总得分从高到低排列先后次序。总得分相同的，以工程总承包实施方案得分高优先，如工程总承包实施方案得分相同的，由评标委员会按照合格中标候选人数的规定采用记名投票方式确定排序。评标委员会应按排序先后，在有效的投标人中，向招标人推荐不排序中标候选人。</w:t>
      </w:r>
    </w:p>
    <w:p w14:paraId="571519D3">
      <w:pPr>
        <w:pageBreakBefore w:val="0"/>
        <w:widowControl w:val="0"/>
        <w:kinsoku/>
        <w:wordWrap/>
        <w:overflowPunct/>
        <w:topLinePunct w:val="0"/>
        <w:autoSpaceDE/>
        <w:autoSpaceDN/>
        <w:bidi w:val="0"/>
        <w:adjustRightInd/>
        <w:snapToGrid w:val="0"/>
        <w:spacing w:line="360" w:lineRule="auto"/>
        <w:ind w:firstLine="424" w:firstLineChars="202"/>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②对于报价不低于成本警示价的投标人，需要参加工程总承包实施方案、投标报价的详细评审并排序。</w:t>
      </w:r>
    </w:p>
    <w:p w14:paraId="1A46CABC">
      <w:pPr>
        <w:pageBreakBefore w:val="0"/>
        <w:widowControl w:val="0"/>
        <w:kinsoku/>
        <w:wordWrap/>
        <w:overflowPunct/>
        <w:topLinePunct w:val="0"/>
        <w:autoSpaceDE/>
        <w:autoSpaceDN/>
        <w:bidi w:val="0"/>
        <w:adjustRightInd/>
        <w:snapToGrid w:val="0"/>
        <w:spacing w:line="360" w:lineRule="auto"/>
        <w:ind w:firstLine="424" w:firstLineChars="202"/>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当通过初步评审不低于成本警示价的投标人&lt;3时，全部推荐为中标候选人。</w:t>
      </w:r>
    </w:p>
    <w:p w14:paraId="7580C137">
      <w:pPr>
        <w:pageBreakBefore w:val="0"/>
        <w:widowControl w:val="0"/>
        <w:kinsoku/>
        <w:wordWrap/>
        <w:overflowPunct/>
        <w:topLinePunct w:val="0"/>
        <w:autoSpaceDE/>
        <w:autoSpaceDN/>
        <w:bidi w:val="0"/>
        <w:adjustRightInd/>
        <w:snapToGrid w:val="0"/>
        <w:spacing w:line="360" w:lineRule="auto"/>
        <w:ind w:firstLine="424" w:firstLineChars="202"/>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当通过初步评审不低于成本警示价的投标人≥3时，评标委员会根据详细评审的得分由高到低进行排序，推荐前7名不排序的投标人为中标候选人(不足7名的，全部推荐为中标候选人)。</w:t>
      </w:r>
    </w:p>
    <w:p w14:paraId="1CC03E9D">
      <w:pPr>
        <w:pageBreakBefore w:val="0"/>
        <w:widowControl w:val="0"/>
        <w:kinsoku/>
        <w:wordWrap/>
        <w:overflowPunct/>
        <w:topLinePunct w:val="0"/>
        <w:autoSpaceDE/>
        <w:autoSpaceDN/>
        <w:bidi w:val="0"/>
        <w:adjustRightInd/>
        <w:snapToGrid w:val="0"/>
        <w:spacing w:line="360" w:lineRule="auto"/>
        <w:ind w:firstLine="424" w:firstLineChars="202"/>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评标委员会计算各有效投标文件的总得分，并按照总得分从高到低排列先后次序。总得分相同的，以工程总承包实施方案得分高优先，如工程总承包实施方案得分相同的，以投标报价低的优先，如投标报价相同的，由评标委员会按照合格中标候选人数的规定采用记名投票方式确定排序。评标委员会应按排序先后，在有效的投标人中，向招标人推荐不排序中标候选人。</w:t>
      </w:r>
    </w:p>
    <w:p w14:paraId="39D1A835">
      <w:pPr>
        <w:pageBreakBefore w:val="0"/>
        <w:widowControl w:val="0"/>
        <w:kinsoku/>
        <w:wordWrap/>
        <w:overflowPunct/>
        <w:topLinePunct w:val="0"/>
        <w:autoSpaceDE/>
        <w:autoSpaceDN/>
        <w:bidi w:val="0"/>
        <w:adjustRightInd/>
        <w:snapToGrid w:val="0"/>
        <w:spacing w:line="360" w:lineRule="auto"/>
        <w:ind w:firstLine="424" w:firstLineChars="202"/>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（2）当通过初步评审的投标人数&lt;3时，招标人应重新招标。</w:t>
      </w:r>
    </w:p>
    <w:bookmarkEnd w:id="478"/>
    <w:p w14:paraId="3F8B6919">
      <w:pPr>
        <w:pStyle w:val="14"/>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注：</w:t>
      </w:r>
      <w:r>
        <w:rPr>
          <w:rFonts w:hint="eastAsia" w:ascii="宋体" w:hAnsi="宋体" w:eastAsia="宋体" w:cs="宋体"/>
          <w:color w:val="auto"/>
          <w:szCs w:val="21"/>
          <w:highlight w:val="none"/>
          <w:u w:val="single"/>
        </w:rPr>
        <w:t>编写评标报告时，</w:t>
      </w:r>
      <w:r>
        <w:rPr>
          <w:rFonts w:hint="eastAsia" w:ascii="宋体" w:hAnsi="宋体" w:eastAsia="宋体" w:cs="宋体"/>
          <w:color w:val="auto"/>
          <w:highlight w:val="none"/>
          <w:u w:val="single"/>
        </w:rPr>
        <w:t>合格中标候选人不排序，按统一社会信用代码后4位（除校验码外）大小排位，如统一社会信用代码后4位出现字母情况的，字母以“0”进行代替大小排位，如出现后4位（除校验码外）大小一致的，则随机排位。</w:t>
      </w:r>
    </w:p>
    <w:p w14:paraId="3C003932">
      <w:pPr>
        <w:pageBreakBefore w:val="0"/>
        <w:widowControl w:val="0"/>
        <w:kinsoku/>
        <w:wordWrap/>
        <w:overflowPunct/>
        <w:topLinePunct w:val="0"/>
        <w:autoSpaceDE/>
        <w:autoSpaceDN/>
        <w:bidi w:val="0"/>
        <w:adjustRightInd/>
        <w:snapToGrid w:val="0"/>
        <w:spacing w:line="360" w:lineRule="auto"/>
        <w:ind w:firstLine="424" w:firstLineChars="201"/>
        <w:textAlignment w:val="auto"/>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3.6.3通过初步评审的投标人才参与投标人总得分汇总。</w:t>
      </w:r>
    </w:p>
    <w:p w14:paraId="5D6C4C20">
      <w:pPr>
        <w:pageBreakBefore w:val="0"/>
        <w:widowControl w:val="0"/>
        <w:kinsoku/>
        <w:wordWrap/>
        <w:overflowPunct/>
        <w:topLinePunct w:val="0"/>
        <w:autoSpaceDE/>
        <w:autoSpaceDN/>
        <w:bidi w:val="0"/>
        <w:adjustRightInd/>
        <w:spacing w:line="360" w:lineRule="auto"/>
        <w:ind w:firstLine="422" w:firstLineChars="201"/>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3.6.4评标委员会编写、签署评标报告。评标报告由评标委员会全体成员签字，对评标结论持有异议的评标委员会成员可以书面方式阐述其不同意见和理由。</w:t>
      </w:r>
    </w:p>
    <w:p w14:paraId="77DA6204">
      <w:pPr>
        <w:pageBreakBefore w:val="0"/>
        <w:widowControl w:val="0"/>
        <w:kinsoku/>
        <w:wordWrap/>
        <w:overflowPunct/>
        <w:topLinePunct w:val="0"/>
        <w:autoSpaceDE/>
        <w:autoSpaceDN/>
        <w:bidi w:val="0"/>
        <w:adjustRightInd/>
        <w:spacing w:line="360" w:lineRule="auto"/>
        <w:ind w:firstLine="422" w:firstLineChars="201"/>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3.6.5评标委员会向招标人提交书面评标报告，评标过程中使用的文件、表格以及其他资料应当即时归还招标人（招标代理机构）。</w:t>
      </w:r>
    </w:p>
    <w:p w14:paraId="66D167EA">
      <w:pPr>
        <w:pageBreakBefore w:val="0"/>
        <w:widowControl w:val="0"/>
        <w:kinsoku/>
        <w:wordWrap/>
        <w:overflowPunct/>
        <w:topLinePunct w:val="0"/>
        <w:autoSpaceDE/>
        <w:autoSpaceDN/>
        <w:bidi w:val="0"/>
        <w:adjustRightInd/>
        <w:snapToGrid w:val="0"/>
        <w:spacing w:line="360" w:lineRule="auto"/>
        <w:ind w:firstLine="422" w:firstLineChars="201"/>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3.6.6通过资格审查的投标人不足3家或经评审通过初步评审的投标人不足3家，应当依法重新招标。</w:t>
      </w:r>
    </w:p>
    <w:p w14:paraId="36C22939">
      <w:pPr>
        <w:pStyle w:val="4"/>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color w:val="auto"/>
          <w:highlight w:val="none"/>
          <w:u w:val="single"/>
          <w:lang w:val="zh-CN"/>
        </w:rPr>
      </w:pPr>
      <w:bookmarkStart w:id="479" w:name="_Toc165358839"/>
      <w:bookmarkStart w:id="480" w:name="_Toc165358704"/>
      <w:r>
        <w:rPr>
          <w:rFonts w:hint="eastAsia" w:ascii="宋体" w:hAnsi="宋体" w:eastAsia="宋体" w:cs="宋体"/>
          <w:color w:val="auto"/>
          <w:highlight w:val="none"/>
          <w:u w:val="single"/>
          <w:lang w:val="zh-CN"/>
        </w:rPr>
        <w:t>3.</w:t>
      </w:r>
      <w:r>
        <w:rPr>
          <w:rFonts w:hint="eastAsia" w:ascii="宋体" w:hAnsi="宋体" w:eastAsia="宋体" w:cs="宋体"/>
          <w:color w:val="auto"/>
          <w:highlight w:val="none"/>
          <w:u w:val="single"/>
        </w:rPr>
        <w:t>7</w:t>
      </w:r>
      <w:r>
        <w:rPr>
          <w:rFonts w:hint="eastAsia" w:ascii="宋体" w:hAnsi="宋体" w:eastAsia="宋体" w:cs="宋体"/>
          <w:color w:val="auto"/>
          <w:highlight w:val="none"/>
          <w:u w:val="single"/>
          <w:lang w:val="zh-CN"/>
        </w:rPr>
        <w:t xml:space="preserve"> 投标文件的澄清和补正</w:t>
      </w:r>
      <w:bookmarkEnd w:id="479"/>
      <w:bookmarkEnd w:id="480"/>
    </w:p>
    <w:p w14:paraId="2ED1B5D9">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3.7.1 为有助于投标文件的审查、评价和比较，评标期间，经评标委员会中超过两人（含两人）的成员以书面形式提出动议，评标委员会应当书面发出澄清通知，要求投标人对投标文件含义不明确的内容作出澄清。</w:t>
      </w:r>
    </w:p>
    <w:p w14:paraId="44E86186">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3.7.2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14:paraId="2C911FDB">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3.7.3 评标委员会成员均应当阅读投标人的澄清，但应独立参考澄清对投标文件进行评审。</w:t>
      </w:r>
    </w:p>
    <w:p w14:paraId="53EFE4A0">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3.7.4 如果投标文件实质上不响应招标文件的各项要求，评标委员会相应评审将按照有效性审查标准予以拒绝，不接受投标人通过修改或撤销其不符合要求的差异或保留，使之成为具有响应性的投标。</w:t>
      </w:r>
    </w:p>
    <w:p w14:paraId="24D79956">
      <w:pPr>
        <w:pStyle w:val="4"/>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color w:val="auto"/>
          <w:highlight w:val="none"/>
          <w:u w:val="single"/>
          <w:lang w:val="zh-CN"/>
        </w:rPr>
      </w:pPr>
      <w:bookmarkStart w:id="481" w:name="_Toc165358840"/>
      <w:bookmarkStart w:id="482" w:name="_Toc165358705"/>
      <w:r>
        <w:rPr>
          <w:rFonts w:hint="eastAsia" w:ascii="宋体" w:hAnsi="宋体" w:eastAsia="宋体" w:cs="宋体"/>
          <w:color w:val="auto"/>
          <w:highlight w:val="none"/>
          <w:u w:val="single"/>
          <w:lang w:val="zh-CN"/>
        </w:rPr>
        <w:t>3.</w:t>
      </w:r>
      <w:r>
        <w:rPr>
          <w:rFonts w:hint="eastAsia" w:ascii="宋体" w:hAnsi="宋体" w:eastAsia="宋体" w:cs="宋体"/>
          <w:color w:val="auto"/>
          <w:highlight w:val="none"/>
          <w:u w:val="single"/>
        </w:rPr>
        <w:t>8</w:t>
      </w:r>
      <w:r>
        <w:rPr>
          <w:rFonts w:hint="eastAsia" w:ascii="宋体" w:hAnsi="宋体" w:eastAsia="宋体" w:cs="宋体"/>
          <w:color w:val="auto"/>
          <w:highlight w:val="none"/>
          <w:u w:val="single"/>
          <w:lang w:val="zh-CN"/>
        </w:rPr>
        <w:t>评标结果</w:t>
      </w:r>
      <w:bookmarkEnd w:id="481"/>
      <w:bookmarkEnd w:id="482"/>
    </w:p>
    <w:p w14:paraId="1D4A5187">
      <w:pPr>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u w:val="single"/>
        </w:rPr>
        <w:t>3.8.1 评标委员会完成评标后，应当向招标人提交书面评标报告。</w:t>
      </w:r>
    </w:p>
    <w:p w14:paraId="2E146FD1">
      <w:pPr>
        <w:pStyle w:val="14"/>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rPr>
      </w:pPr>
    </w:p>
    <w:p w14:paraId="1D89EF53">
      <w:pPr>
        <w:pStyle w:val="3"/>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color w:val="auto"/>
          <w:highlight w:val="none"/>
          <w:u w:val="single"/>
          <w:lang w:val="zh-CN"/>
        </w:rPr>
      </w:pPr>
      <w:bookmarkStart w:id="483" w:name="_Toc165358841"/>
      <w:bookmarkStart w:id="484" w:name="_Toc165358706"/>
      <w:r>
        <w:rPr>
          <w:rFonts w:hint="eastAsia" w:ascii="宋体" w:hAnsi="宋体" w:eastAsia="宋体" w:cs="宋体"/>
          <w:color w:val="auto"/>
          <w:highlight w:val="none"/>
          <w:u w:val="single"/>
          <w:lang w:val="zh-CN"/>
        </w:rPr>
        <w:t>4. 其他事项</w:t>
      </w:r>
      <w:bookmarkEnd w:id="483"/>
      <w:bookmarkEnd w:id="484"/>
    </w:p>
    <w:p w14:paraId="2436BA83">
      <w:pPr>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u w:val="single"/>
        </w:rPr>
        <w:t>因投诉生效，需要重新评标的，评标信息（含业绩、奖项等）仍以投标截止时投标人的信息为准。在评标阶段，因特殊原因需要延长投标有效期，投标人拒绝延长投标有效期的，仍参与评标，但不被推荐为合格中标候选人。</w:t>
      </w:r>
    </w:p>
    <w:p w14:paraId="1F9E7B71">
      <w:pPr>
        <w:pStyle w:val="18"/>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highlight w:val="none"/>
          <w:u w:val="single"/>
        </w:rPr>
      </w:pPr>
    </w:p>
    <w:p w14:paraId="2177C708">
      <w:pPr>
        <w:pStyle w:val="3"/>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color w:val="auto"/>
          <w:highlight w:val="none"/>
          <w:u w:val="single"/>
          <w:lang w:val="zh-CN"/>
        </w:rPr>
      </w:pPr>
      <w:bookmarkStart w:id="485" w:name="_Toc165358707"/>
      <w:bookmarkStart w:id="486" w:name="_Toc480225665"/>
      <w:bookmarkStart w:id="487" w:name="_Toc165358842"/>
      <w:bookmarkStart w:id="488" w:name="_Toc505152704"/>
      <w:bookmarkStart w:id="489" w:name="_Toc20246"/>
      <w:r>
        <w:rPr>
          <w:rFonts w:hint="eastAsia" w:ascii="宋体" w:hAnsi="宋体" w:eastAsia="宋体" w:cs="宋体"/>
          <w:color w:val="auto"/>
          <w:highlight w:val="none"/>
          <w:u w:val="single"/>
          <w:lang w:val="zh-CN"/>
        </w:rPr>
        <w:t>5. 评标表格</w:t>
      </w:r>
      <w:bookmarkEnd w:id="485"/>
      <w:bookmarkEnd w:id="486"/>
      <w:bookmarkEnd w:id="487"/>
      <w:bookmarkEnd w:id="488"/>
      <w:bookmarkEnd w:id="489"/>
    </w:p>
    <w:p w14:paraId="3623CD8A">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见后附表。</w:t>
      </w:r>
    </w:p>
    <w:p w14:paraId="1A246E41">
      <w:pPr>
        <w:pStyle w:val="18"/>
        <w:spacing w:after="0" w:line="360" w:lineRule="auto"/>
        <w:rPr>
          <w:rFonts w:ascii="宋体" w:hAnsi="宋体"/>
          <w:color w:val="auto"/>
          <w:highlight w:val="none"/>
        </w:rPr>
        <w:sectPr>
          <w:headerReference r:id="rId15" w:type="first"/>
          <w:footerReference r:id="rId17" w:type="first"/>
          <w:headerReference r:id="rId14" w:type="even"/>
          <w:footerReference r:id="rId16" w:type="even"/>
          <w:pgSz w:w="11907" w:h="16840"/>
          <w:pgMar w:top="1440" w:right="1080" w:bottom="1440" w:left="1080" w:header="851" w:footer="992" w:gutter="0"/>
          <w:cols w:space="720" w:num="1"/>
          <w:docGrid w:linePitch="312" w:charSpace="0"/>
        </w:sectPr>
      </w:pPr>
    </w:p>
    <w:p w14:paraId="53828D35">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ascii="宋体" w:hAnsi="宋体" w:eastAsia="宋体"/>
          <w:color w:val="auto"/>
          <w:highlight w:val="none"/>
        </w:rPr>
      </w:pPr>
      <w:bookmarkStart w:id="490" w:name="_Toc165358708"/>
      <w:bookmarkStart w:id="491" w:name="_Toc165358843"/>
      <w:r>
        <w:rPr>
          <w:rFonts w:hint="eastAsia" w:ascii="宋体" w:hAnsi="宋体" w:eastAsia="宋体"/>
          <w:color w:val="auto"/>
          <w:highlight w:val="none"/>
        </w:rPr>
        <w:t>附表1</w:t>
      </w:r>
      <w:bookmarkEnd w:id="490"/>
      <w:bookmarkEnd w:id="491"/>
    </w:p>
    <w:p w14:paraId="1865428B">
      <w:pPr>
        <w:jc w:val="cente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工程总承包实施方案评分表</w:t>
      </w:r>
    </w:p>
    <w:tbl>
      <w:tblPr>
        <w:tblStyle w:val="45"/>
        <w:tblW w:w="14797"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651"/>
        <w:gridCol w:w="702"/>
        <w:gridCol w:w="709"/>
        <w:gridCol w:w="11395"/>
      </w:tblGrid>
      <w:tr w14:paraId="6C22D48E">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40" w:type="dxa"/>
            <w:tcBorders>
              <w:top w:val="single" w:color="auto" w:sz="8" w:space="0"/>
              <w:left w:val="single" w:color="auto" w:sz="8" w:space="0"/>
              <w:bottom w:val="single" w:color="auto" w:sz="4" w:space="0"/>
              <w:right w:val="single" w:color="auto" w:sz="4" w:space="0"/>
            </w:tcBorders>
            <w:vAlign w:val="center"/>
          </w:tcPr>
          <w:p w14:paraId="73167A14">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评分项目</w:t>
            </w:r>
          </w:p>
        </w:tc>
        <w:tc>
          <w:tcPr>
            <w:tcW w:w="1353" w:type="dxa"/>
            <w:gridSpan w:val="2"/>
            <w:tcBorders>
              <w:top w:val="single" w:color="auto" w:sz="8" w:space="0"/>
              <w:left w:val="single" w:color="auto" w:sz="4" w:space="0"/>
              <w:bottom w:val="single" w:color="auto" w:sz="4" w:space="0"/>
              <w:right w:val="single" w:color="auto" w:sz="4" w:space="0"/>
            </w:tcBorders>
            <w:vAlign w:val="center"/>
          </w:tcPr>
          <w:p w14:paraId="132786C3">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评分内容</w:t>
            </w:r>
          </w:p>
        </w:tc>
        <w:tc>
          <w:tcPr>
            <w:tcW w:w="709" w:type="dxa"/>
            <w:tcBorders>
              <w:top w:val="single" w:color="auto" w:sz="8" w:space="0"/>
              <w:left w:val="single" w:color="auto" w:sz="4" w:space="0"/>
              <w:bottom w:val="single" w:color="auto" w:sz="4" w:space="0"/>
              <w:right w:val="single" w:color="auto" w:sz="4" w:space="0"/>
            </w:tcBorders>
            <w:vAlign w:val="center"/>
          </w:tcPr>
          <w:p w14:paraId="66D63218">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分值</w:t>
            </w:r>
          </w:p>
        </w:tc>
        <w:tc>
          <w:tcPr>
            <w:tcW w:w="11395" w:type="dxa"/>
            <w:tcBorders>
              <w:top w:val="single" w:color="auto" w:sz="8" w:space="0"/>
              <w:left w:val="single" w:color="auto" w:sz="4" w:space="0"/>
              <w:bottom w:val="single" w:color="auto" w:sz="4" w:space="0"/>
              <w:right w:val="single" w:color="auto" w:sz="4" w:space="0"/>
            </w:tcBorders>
            <w:vAlign w:val="center"/>
          </w:tcPr>
          <w:p w14:paraId="6A354224">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评审标准</w:t>
            </w:r>
          </w:p>
        </w:tc>
      </w:tr>
      <w:tr w14:paraId="7D9F3BAA">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40" w:type="dxa"/>
            <w:vMerge w:val="restart"/>
            <w:tcBorders>
              <w:left w:val="single" w:color="auto" w:sz="8" w:space="0"/>
              <w:right w:val="single" w:color="auto" w:sz="4" w:space="0"/>
            </w:tcBorders>
            <w:vAlign w:val="center"/>
          </w:tcPr>
          <w:p w14:paraId="57011F9B">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一、资信部分（36分）</w:t>
            </w:r>
          </w:p>
        </w:tc>
        <w:tc>
          <w:tcPr>
            <w:tcW w:w="651" w:type="dxa"/>
            <w:vMerge w:val="restart"/>
            <w:tcBorders>
              <w:left w:val="single" w:color="auto" w:sz="4" w:space="0"/>
              <w:right w:val="single" w:color="auto" w:sz="4" w:space="0"/>
            </w:tcBorders>
            <w:vAlign w:val="center"/>
          </w:tcPr>
          <w:p w14:paraId="57B25919">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t>设计部分</w:t>
            </w:r>
          </w:p>
        </w:tc>
        <w:tc>
          <w:tcPr>
            <w:tcW w:w="702" w:type="dxa"/>
            <w:tcBorders>
              <w:left w:val="single" w:color="auto" w:sz="4" w:space="0"/>
              <w:right w:val="single" w:color="auto" w:sz="4" w:space="0"/>
            </w:tcBorders>
            <w:vAlign w:val="center"/>
          </w:tcPr>
          <w:p w14:paraId="284DA660">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设计企业类似业绩</w:t>
            </w:r>
          </w:p>
        </w:tc>
        <w:tc>
          <w:tcPr>
            <w:tcW w:w="709" w:type="dxa"/>
            <w:tcBorders>
              <w:left w:val="single" w:color="auto" w:sz="4" w:space="0"/>
              <w:right w:val="single" w:color="auto" w:sz="4" w:space="0"/>
            </w:tcBorders>
            <w:vAlign w:val="center"/>
          </w:tcPr>
          <w:p w14:paraId="21098511">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9</w:t>
            </w:r>
          </w:p>
        </w:tc>
        <w:tc>
          <w:tcPr>
            <w:tcW w:w="11395" w:type="dxa"/>
            <w:tcBorders>
              <w:top w:val="single" w:color="auto" w:sz="4" w:space="0"/>
              <w:left w:val="single" w:color="auto" w:sz="4" w:space="0"/>
              <w:right w:val="single" w:color="auto" w:sz="4" w:space="0"/>
            </w:tcBorders>
            <w:vAlign w:val="center"/>
          </w:tcPr>
          <w:p w14:paraId="779A5068">
            <w:pPr>
              <w:keepNext w:val="0"/>
              <w:keepLines w:val="0"/>
              <w:pageBreakBefore w:val="0"/>
              <w:kinsoku/>
              <w:wordWrap/>
              <w:overflowPunct/>
              <w:topLinePunct w:val="0"/>
              <w:bidi w:val="0"/>
              <w:adjustRightInd/>
              <w:snapToGrid/>
              <w:spacing w:line="240" w:lineRule="auto"/>
              <w:ind w:firstLine="420" w:firstLineChars="200"/>
              <w:contextualSpacing/>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投标人（若为联合体投标，指联合体设计方）自2020年1月1日至投标截止时间止，完成过总建筑面积</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万平方米或以上的房屋建筑工程设计业绩，每提供一个业绩得3分，本小项合计最高得9分。</w:t>
            </w:r>
          </w:p>
          <w:p w14:paraId="45BC9FC3">
            <w:pPr>
              <w:keepNext w:val="0"/>
              <w:keepLines w:val="0"/>
              <w:pageBreakBefore w:val="0"/>
              <w:kinsoku/>
              <w:wordWrap/>
              <w:overflowPunct/>
              <w:topLinePunct w:val="0"/>
              <w:bidi w:val="0"/>
              <w:adjustRightInd/>
              <w:snapToGrid/>
              <w:spacing w:line="240" w:lineRule="auto"/>
              <w:ind w:firstLine="420" w:firstLineChars="200"/>
              <w:contextualSpacing/>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须提供合同关键页及成果证明文件（初步设计批复或初步设计复函、或工程规划许可证、或施工图审查合格证明文件、或经该项目业主盖章确认的项目完成证明）等证明文件的扫描件。时间以合同文件签订时间为准。不符合上述条件或未提供相关证明材料或提供的证明材料无法体现相关业绩情况的不得分。</w:t>
            </w:r>
          </w:p>
        </w:tc>
      </w:tr>
      <w:tr w14:paraId="3EA09E97">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40" w:type="dxa"/>
            <w:vMerge w:val="continue"/>
            <w:tcBorders>
              <w:left w:val="single" w:color="auto" w:sz="8" w:space="0"/>
              <w:right w:val="single" w:color="auto" w:sz="4" w:space="0"/>
            </w:tcBorders>
            <w:vAlign w:val="center"/>
          </w:tcPr>
          <w:p w14:paraId="5450403F">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1"/>
                <w:szCs w:val="21"/>
                <w:highlight w:val="none"/>
                <w:lang w:val="zh-CN"/>
              </w:rPr>
            </w:pPr>
          </w:p>
        </w:tc>
        <w:tc>
          <w:tcPr>
            <w:tcW w:w="651" w:type="dxa"/>
            <w:vMerge w:val="continue"/>
            <w:tcBorders>
              <w:left w:val="single" w:color="auto" w:sz="4" w:space="0"/>
              <w:right w:val="single" w:color="auto" w:sz="4" w:space="0"/>
            </w:tcBorders>
            <w:vAlign w:val="center"/>
          </w:tcPr>
          <w:p w14:paraId="1D86243E">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1"/>
                <w:szCs w:val="21"/>
                <w:highlight w:val="none"/>
                <w:lang w:val="zh-CN"/>
              </w:rPr>
            </w:pPr>
          </w:p>
        </w:tc>
        <w:tc>
          <w:tcPr>
            <w:tcW w:w="702" w:type="dxa"/>
            <w:tcBorders>
              <w:left w:val="single" w:color="auto" w:sz="4" w:space="0"/>
              <w:right w:val="single" w:color="auto" w:sz="4" w:space="0"/>
            </w:tcBorders>
            <w:vAlign w:val="center"/>
          </w:tcPr>
          <w:p w14:paraId="27E9EB65">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r>
              <w:rPr>
                <w:rStyle w:val="230"/>
                <w:rFonts w:hint="eastAsia" w:ascii="宋体" w:hAnsi="宋体" w:eastAsia="宋体" w:cs="宋体"/>
                <w:b w:val="0"/>
                <w:bCs w:val="0"/>
                <w:color w:val="auto"/>
                <w:sz w:val="21"/>
                <w:szCs w:val="21"/>
                <w:highlight w:val="none"/>
              </w:rPr>
              <w:t>设计奖项</w:t>
            </w:r>
          </w:p>
        </w:tc>
        <w:tc>
          <w:tcPr>
            <w:tcW w:w="709" w:type="dxa"/>
            <w:tcBorders>
              <w:left w:val="single" w:color="auto" w:sz="4" w:space="0"/>
              <w:right w:val="single" w:color="auto" w:sz="4" w:space="0"/>
            </w:tcBorders>
            <w:vAlign w:val="center"/>
          </w:tcPr>
          <w:p w14:paraId="6073409A">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p>
        </w:tc>
        <w:tc>
          <w:tcPr>
            <w:tcW w:w="11395" w:type="dxa"/>
            <w:tcBorders>
              <w:top w:val="single" w:color="auto" w:sz="4" w:space="0"/>
              <w:left w:val="single" w:color="auto" w:sz="4" w:space="0"/>
              <w:right w:val="single" w:color="auto" w:sz="4" w:space="0"/>
            </w:tcBorders>
            <w:vAlign w:val="center"/>
          </w:tcPr>
          <w:p w14:paraId="5C0BFAEC">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若为联合体投标，指联合体设计方）自2020年1月1日至投标截止时间止，承接过的房屋建筑工程项目获得设计类奖项：获得国家级奖项的每项得4分，获得省级奖项的每项得2分，获得市级（含副省级）奖项，每项得1分，本项最高得4分。</w:t>
            </w:r>
          </w:p>
          <w:p w14:paraId="2E559AAC">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①国家级奖项包括：住建部颁发的全国优秀工程勘察设计奖、中国勘察设计协会颁发的全国优秀工程勘察设计行业奖、中国建筑业协会颁发的中国建设工程鲁班奖（国家优质工程）、中国土木工程学会颁发的中国土木工程詹天佑奖、中国施工企业管理协会颁发的国家优质工程奖等；②省级奖项包括：省级建设行政主管部门或工程勘察设计行业协会颁发的省级优秀勘察设计奖；③市级（含副省级）奖项包括：市级（含副省级）建设行政主管部门或工程勘察设计行业协会颁发的市级优秀勘察设计奖。④须提供获奖证书或获奖文件扫描件，获奖时间以获奖证书或获奖文件日期为准。同一项目获得多个奖项的，按最高级别奖项只计一次得分。不符合上述条件或未提供相关证明材料的不得分。</w:t>
            </w:r>
          </w:p>
        </w:tc>
      </w:tr>
      <w:tr w14:paraId="6FB318D4">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40" w:type="dxa"/>
            <w:vMerge w:val="continue"/>
            <w:tcBorders>
              <w:left w:val="single" w:color="auto" w:sz="8" w:space="0"/>
              <w:right w:val="single" w:color="auto" w:sz="4" w:space="0"/>
            </w:tcBorders>
            <w:vAlign w:val="center"/>
          </w:tcPr>
          <w:p w14:paraId="456399C5">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1"/>
                <w:szCs w:val="21"/>
                <w:highlight w:val="none"/>
                <w:lang w:val="zh-CN"/>
              </w:rPr>
            </w:pPr>
          </w:p>
        </w:tc>
        <w:tc>
          <w:tcPr>
            <w:tcW w:w="651" w:type="dxa"/>
            <w:vMerge w:val="continue"/>
            <w:tcBorders>
              <w:left w:val="single" w:color="auto" w:sz="4" w:space="0"/>
              <w:right w:val="single" w:color="auto" w:sz="4" w:space="0"/>
            </w:tcBorders>
            <w:vAlign w:val="center"/>
          </w:tcPr>
          <w:p w14:paraId="1CB77B79">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1"/>
                <w:szCs w:val="21"/>
                <w:highlight w:val="none"/>
                <w:lang w:val="zh-CN"/>
              </w:rPr>
            </w:pPr>
          </w:p>
        </w:tc>
        <w:tc>
          <w:tcPr>
            <w:tcW w:w="702" w:type="dxa"/>
            <w:tcBorders>
              <w:left w:val="single" w:color="auto" w:sz="4" w:space="0"/>
              <w:right w:val="single" w:color="auto" w:sz="4" w:space="0"/>
            </w:tcBorders>
            <w:vAlign w:val="center"/>
          </w:tcPr>
          <w:p w14:paraId="3F30BECF">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r>
              <w:rPr>
                <w:rStyle w:val="230"/>
                <w:rFonts w:hint="eastAsia" w:ascii="宋体" w:hAnsi="宋体" w:eastAsia="宋体" w:cs="宋体"/>
                <w:b w:val="0"/>
                <w:bCs w:val="0"/>
                <w:color w:val="auto"/>
                <w:sz w:val="21"/>
                <w:szCs w:val="21"/>
                <w:highlight w:val="none"/>
              </w:rPr>
              <w:t>第三方评价</w:t>
            </w:r>
          </w:p>
        </w:tc>
        <w:tc>
          <w:tcPr>
            <w:tcW w:w="709" w:type="dxa"/>
            <w:tcBorders>
              <w:left w:val="single" w:color="auto" w:sz="4" w:space="0"/>
              <w:right w:val="single" w:color="auto" w:sz="4" w:space="0"/>
            </w:tcBorders>
            <w:vAlign w:val="center"/>
          </w:tcPr>
          <w:p w14:paraId="5B2B8F64">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p>
        </w:tc>
        <w:tc>
          <w:tcPr>
            <w:tcW w:w="11395" w:type="dxa"/>
            <w:tcBorders>
              <w:top w:val="single" w:color="auto" w:sz="4" w:space="0"/>
              <w:left w:val="single" w:color="auto" w:sz="4" w:space="0"/>
              <w:right w:val="single" w:color="auto" w:sz="4" w:space="0"/>
            </w:tcBorders>
            <w:vAlign w:val="center"/>
          </w:tcPr>
          <w:p w14:paraId="273CFE3B">
            <w:pPr>
              <w:pStyle w:val="14"/>
              <w:keepNext w:val="0"/>
              <w:keepLines w:val="0"/>
              <w:pageBreakBefore w:val="0"/>
              <w:kinsoku/>
              <w:wordWrap/>
              <w:overflowPunct/>
              <w:topLinePunct w:val="0"/>
              <w:bidi w:val="0"/>
              <w:adjustRightInd/>
              <w:snapToGrid/>
              <w:spacing w:line="240" w:lineRule="auto"/>
              <w:ind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（1）投标人（如为联合体投标，指联合体设计方）具有有效期内的质量管理体系、环境管理体系、职业健康安全管理体系。每具备1个得1分，最高得3分。</w:t>
            </w:r>
          </w:p>
          <w:p w14:paraId="65950876">
            <w:pPr>
              <w:pStyle w:val="14"/>
              <w:keepNext w:val="0"/>
              <w:keepLines w:val="0"/>
              <w:pageBreakBefore w:val="0"/>
              <w:kinsoku/>
              <w:wordWrap/>
              <w:overflowPunct/>
              <w:topLinePunct w:val="0"/>
              <w:bidi w:val="0"/>
              <w:adjustRightInd/>
              <w:snapToGrid/>
              <w:spacing w:line="240" w:lineRule="auto"/>
              <w:ind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（2）投标人（如为联合体投标，指联合体设计方）获得税务部门评定的2023年度纳税信用等级情况：A级的得1分，B级的得0.5分，其他不得分，本项最高得1分。</w:t>
            </w:r>
          </w:p>
          <w:p w14:paraId="6C336A28">
            <w:pPr>
              <w:pStyle w:val="14"/>
              <w:keepNext w:val="0"/>
              <w:keepLines w:val="0"/>
              <w:pageBreakBefore w:val="0"/>
              <w:kinsoku/>
              <w:wordWrap/>
              <w:overflowPunct/>
              <w:topLinePunct w:val="0"/>
              <w:bidi w:val="0"/>
              <w:adjustRightInd/>
              <w:snapToGrid/>
              <w:spacing w:line="240" w:lineRule="auto"/>
              <w:ind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①体系认证需提供证书扫描件以及全国认证认可信息公共服务平台(http://cx.cnca.cn)查询结果截图；②纳税信用等级情况需提供A级纳税人证书扫描件和国家税务局或省级税务局（含在国家税务局官网单列的城市）网站纳税信用信息查询结果截图（查询结果只计算投标人自身，不计算投标人的分公司、子公司和分支机构），时间以获奖年度（评价年度）为准，否则不得分。</w:t>
            </w:r>
          </w:p>
        </w:tc>
      </w:tr>
      <w:tr w14:paraId="517A0D99">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40" w:type="dxa"/>
            <w:vMerge w:val="continue"/>
            <w:tcBorders>
              <w:left w:val="single" w:color="auto" w:sz="8" w:space="0"/>
              <w:right w:val="single" w:color="auto" w:sz="4" w:space="0"/>
            </w:tcBorders>
            <w:vAlign w:val="center"/>
          </w:tcPr>
          <w:p w14:paraId="64288FD3">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p>
        </w:tc>
        <w:tc>
          <w:tcPr>
            <w:tcW w:w="651" w:type="dxa"/>
            <w:vMerge w:val="restart"/>
            <w:tcBorders>
              <w:left w:val="single" w:color="auto" w:sz="4" w:space="0"/>
              <w:right w:val="single" w:color="auto" w:sz="4" w:space="0"/>
            </w:tcBorders>
            <w:vAlign w:val="center"/>
          </w:tcPr>
          <w:p w14:paraId="05D1B796">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lang w:val="zh-CN"/>
              </w:rPr>
              <w:t>施工部分</w:t>
            </w:r>
          </w:p>
        </w:tc>
        <w:tc>
          <w:tcPr>
            <w:tcW w:w="702" w:type="dxa"/>
            <w:tcBorders>
              <w:left w:val="single" w:color="auto" w:sz="4" w:space="0"/>
              <w:right w:val="single" w:color="auto" w:sz="4" w:space="0"/>
            </w:tcBorders>
            <w:vAlign w:val="center"/>
          </w:tcPr>
          <w:p w14:paraId="667FE328">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施工企业类似业绩</w:t>
            </w:r>
          </w:p>
        </w:tc>
        <w:tc>
          <w:tcPr>
            <w:tcW w:w="709" w:type="dxa"/>
            <w:tcBorders>
              <w:left w:val="single" w:color="auto" w:sz="4" w:space="0"/>
              <w:right w:val="single" w:color="auto" w:sz="4" w:space="0"/>
            </w:tcBorders>
            <w:vAlign w:val="center"/>
          </w:tcPr>
          <w:p w14:paraId="375573E5">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w:t>
            </w:r>
          </w:p>
        </w:tc>
        <w:tc>
          <w:tcPr>
            <w:tcW w:w="11395" w:type="dxa"/>
            <w:tcBorders>
              <w:top w:val="single" w:color="auto" w:sz="4" w:space="0"/>
              <w:left w:val="single" w:color="auto" w:sz="4" w:space="0"/>
              <w:right w:val="single" w:color="auto" w:sz="4" w:space="0"/>
            </w:tcBorders>
            <w:vAlign w:val="center"/>
          </w:tcPr>
          <w:p w14:paraId="641087EF">
            <w:pPr>
              <w:keepNext w:val="0"/>
              <w:keepLines w:val="0"/>
              <w:pageBreakBefore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投标人（若为联合体投标，</w:t>
            </w:r>
            <w:bookmarkStart w:id="492" w:name="OLE_LINK120"/>
            <w:bookmarkStart w:id="493" w:name="OLE_LINK121"/>
            <w:r>
              <w:rPr>
                <w:rFonts w:hint="eastAsia" w:ascii="宋体" w:hAnsi="宋体" w:eastAsia="宋体" w:cs="宋体"/>
                <w:b w:val="0"/>
                <w:bCs w:val="0"/>
                <w:color w:val="auto"/>
                <w:sz w:val="21"/>
                <w:szCs w:val="21"/>
                <w:highlight w:val="none"/>
              </w:rPr>
              <w:t>指联合体主办方</w:t>
            </w:r>
            <w:bookmarkEnd w:id="492"/>
            <w:bookmarkEnd w:id="493"/>
            <w:r>
              <w:rPr>
                <w:rFonts w:hint="eastAsia" w:ascii="宋体" w:hAnsi="宋体" w:eastAsia="宋体" w:cs="宋体"/>
                <w:b w:val="0"/>
                <w:bCs w:val="0"/>
                <w:color w:val="auto"/>
                <w:sz w:val="21"/>
                <w:szCs w:val="21"/>
                <w:highlight w:val="none"/>
              </w:rPr>
              <w:t>）自2020年1月1日至投标截止时间止，完成过的类似工程业绩（类似工程业绩是指总建筑面积≥</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万平方米的建筑工程类施工业绩），每项得4分。本小项合计最高得8分。</w:t>
            </w:r>
          </w:p>
          <w:p w14:paraId="20955B72">
            <w:pPr>
              <w:keepNext w:val="0"/>
              <w:keepLines w:val="0"/>
              <w:pageBreakBefore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注：①建筑工程类施工业绩是指：建筑工程总承包业绩或工程总承包（包括勘察设计施工总承包或设计施工总承包或设计采购施工总承包或勘察设计采购施工总承包等）项目中的施工部分业绩。</w:t>
            </w:r>
          </w:p>
          <w:p w14:paraId="13CF9DD5">
            <w:pPr>
              <w:keepNext w:val="0"/>
              <w:keepLines w:val="0"/>
              <w:pageBreakBefore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②投标人须同时提供合同关键页、竣工验收报告。时间以竣工验收报告上的时间为准；规模以合同为准，合同上没有规模的，以业主盖章确认的文件为准。不符合上述条件或未提供相关证明材料的不得分。</w:t>
            </w:r>
          </w:p>
        </w:tc>
      </w:tr>
      <w:tr w14:paraId="7BF3A1F3">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40" w:type="dxa"/>
            <w:vMerge w:val="continue"/>
            <w:tcBorders>
              <w:left w:val="single" w:color="auto" w:sz="8" w:space="0"/>
              <w:right w:val="single" w:color="auto" w:sz="4" w:space="0"/>
            </w:tcBorders>
            <w:vAlign w:val="center"/>
          </w:tcPr>
          <w:p w14:paraId="581C82A7">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1"/>
                <w:szCs w:val="21"/>
                <w:highlight w:val="none"/>
                <w:lang w:val="zh-CN"/>
              </w:rPr>
            </w:pPr>
          </w:p>
        </w:tc>
        <w:tc>
          <w:tcPr>
            <w:tcW w:w="651" w:type="dxa"/>
            <w:vMerge w:val="continue"/>
            <w:tcBorders>
              <w:left w:val="single" w:color="auto" w:sz="4" w:space="0"/>
              <w:right w:val="single" w:color="auto" w:sz="4" w:space="0"/>
            </w:tcBorders>
            <w:vAlign w:val="center"/>
          </w:tcPr>
          <w:p w14:paraId="78035E67">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kern w:val="0"/>
                <w:sz w:val="21"/>
                <w:szCs w:val="21"/>
                <w:highlight w:val="none"/>
              </w:rPr>
            </w:pPr>
          </w:p>
        </w:tc>
        <w:tc>
          <w:tcPr>
            <w:tcW w:w="702" w:type="dxa"/>
            <w:tcBorders>
              <w:left w:val="single" w:color="auto" w:sz="4" w:space="0"/>
              <w:right w:val="single" w:color="auto" w:sz="4" w:space="0"/>
            </w:tcBorders>
            <w:vAlign w:val="center"/>
          </w:tcPr>
          <w:p w14:paraId="74EE9235">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第三方评价</w:t>
            </w:r>
          </w:p>
        </w:tc>
        <w:tc>
          <w:tcPr>
            <w:tcW w:w="709" w:type="dxa"/>
            <w:tcBorders>
              <w:left w:val="single" w:color="auto" w:sz="4" w:space="0"/>
              <w:right w:val="single" w:color="auto" w:sz="4" w:space="0"/>
            </w:tcBorders>
            <w:vAlign w:val="center"/>
          </w:tcPr>
          <w:p w14:paraId="55DB04F4">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p>
        </w:tc>
        <w:tc>
          <w:tcPr>
            <w:tcW w:w="11395" w:type="dxa"/>
            <w:tcBorders>
              <w:top w:val="single" w:color="auto" w:sz="4" w:space="0"/>
              <w:left w:val="single" w:color="auto" w:sz="4" w:space="0"/>
              <w:right w:val="single" w:color="auto" w:sz="4" w:space="0"/>
            </w:tcBorders>
          </w:tcPr>
          <w:p w14:paraId="23DC16DD">
            <w:pPr>
              <w:keepNext w:val="0"/>
              <w:keepLines w:val="0"/>
              <w:pageBreakBefore w:val="0"/>
              <w:kinsoku/>
              <w:wordWrap/>
              <w:overflowPunct/>
              <w:topLinePunct w:val="0"/>
              <w:bidi w:val="0"/>
              <w:adjustRightInd/>
              <w:snapToGrid/>
              <w:spacing w:line="240" w:lineRule="auto"/>
              <w:contextualSpacing/>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投标人（若为联合体，指联合体主办方）：</w:t>
            </w:r>
          </w:p>
          <w:p w14:paraId="2DD574A4">
            <w:pPr>
              <w:keepNext w:val="0"/>
              <w:keepLines w:val="0"/>
              <w:pageBreakBefore w:val="0"/>
              <w:kinsoku/>
              <w:wordWrap/>
              <w:overflowPunct/>
              <w:topLinePunct w:val="0"/>
              <w:bidi w:val="0"/>
              <w:adjustRightInd/>
              <w:snapToGrid/>
              <w:spacing w:line="240" w:lineRule="auto"/>
              <w:contextualSpacing/>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获得过政府机构或行业协会颁发的“企业信用等级证书”且在有效期内的，且信用状况评价为AAA级或以上的得4分，信用状况评价为AA级的得2分，本小项最高得4分。</w:t>
            </w:r>
          </w:p>
          <w:p w14:paraId="6F613948">
            <w:pPr>
              <w:keepNext w:val="0"/>
              <w:keepLines w:val="0"/>
              <w:pageBreakBefore w:val="0"/>
              <w:kinsoku/>
              <w:wordWrap/>
              <w:overflowPunct/>
              <w:topLinePunct w:val="0"/>
              <w:bidi w:val="0"/>
              <w:adjustRightInd/>
              <w:snapToGrid/>
              <w:spacing w:line="240" w:lineRule="auto"/>
              <w:contextualSpacing/>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不符合上述条件或未提供的不得分。</w:t>
            </w:r>
          </w:p>
        </w:tc>
      </w:tr>
      <w:tr w14:paraId="5FC3C068">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40" w:type="dxa"/>
            <w:vMerge w:val="continue"/>
            <w:tcBorders>
              <w:left w:val="single" w:color="auto" w:sz="8" w:space="0"/>
              <w:right w:val="single" w:color="auto" w:sz="4" w:space="0"/>
            </w:tcBorders>
            <w:vAlign w:val="center"/>
          </w:tcPr>
          <w:p w14:paraId="384A0598">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1"/>
                <w:szCs w:val="21"/>
                <w:highlight w:val="none"/>
                <w:lang w:val="zh-CN"/>
              </w:rPr>
            </w:pPr>
          </w:p>
        </w:tc>
        <w:tc>
          <w:tcPr>
            <w:tcW w:w="651" w:type="dxa"/>
            <w:vMerge w:val="continue"/>
            <w:tcBorders>
              <w:left w:val="single" w:color="auto" w:sz="4" w:space="0"/>
              <w:right w:val="single" w:color="auto" w:sz="4" w:space="0"/>
            </w:tcBorders>
            <w:vAlign w:val="center"/>
          </w:tcPr>
          <w:p w14:paraId="277E4AE0">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kern w:val="0"/>
                <w:sz w:val="21"/>
                <w:szCs w:val="21"/>
                <w:highlight w:val="none"/>
              </w:rPr>
            </w:pPr>
          </w:p>
        </w:tc>
        <w:tc>
          <w:tcPr>
            <w:tcW w:w="702" w:type="dxa"/>
            <w:tcBorders>
              <w:left w:val="single" w:color="auto" w:sz="4" w:space="0"/>
              <w:right w:val="single" w:color="auto" w:sz="4" w:space="0"/>
            </w:tcBorders>
            <w:vAlign w:val="center"/>
          </w:tcPr>
          <w:p w14:paraId="3AC012B7">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科技创新成果</w:t>
            </w:r>
          </w:p>
        </w:tc>
        <w:tc>
          <w:tcPr>
            <w:tcW w:w="709" w:type="dxa"/>
            <w:tcBorders>
              <w:left w:val="single" w:color="auto" w:sz="4" w:space="0"/>
              <w:right w:val="single" w:color="auto" w:sz="4" w:space="0"/>
            </w:tcBorders>
            <w:vAlign w:val="center"/>
          </w:tcPr>
          <w:p w14:paraId="1D033DDC">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w:t>
            </w:r>
          </w:p>
        </w:tc>
        <w:tc>
          <w:tcPr>
            <w:tcW w:w="11395" w:type="dxa"/>
            <w:tcBorders>
              <w:top w:val="single" w:color="auto" w:sz="4" w:space="0"/>
              <w:left w:val="single" w:color="auto" w:sz="4" w:space="0"/>
              <w:right w:val="single" w:color="auto" w:sz="4" w:space="0"/>
            </w:tcBorders>
          </w:tcPr>
          <w:p w14:paraId="49D0297E">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投标人（若为联合体投标，指联合体主办方）获得过“科学技术类奖”证书的：</w:t>
            </w:r>
          </w:p>
          <w:p w14:paraId="4751A674">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（1）国家级，得7分。</w:t>
            </w:r>
          </w:p>
          <w:p w14:paraId="01EEDE44">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（2）省级，得3.5分。</w:t>
            </w:r>
          </w:p>
          <w:p w14:paraId="2333FBD6">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（3）市级，得1.5分。</w:t>
            </w:r>
          </w:p>
          <w:p w14:paraId="3CA5CD0A">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本小项合计最高得7分。</w:t>
            </w:r>
          </w:p>
          <w:p w14:paraId="20E32A07">
            <w:pPr>
              <w:keepNext w:val="0"/>
              <w:keepLines w:val="0"/>
              <w:pageBreakBefore w:val="0"/>
              <w:kinsoku/>
              <w:wordWrap/>
              <w:overflowPunct/>
              <w:topLinePunct w:val="0"/>
              <w:bidi w:val="0"/>
              <w:adjustRightInd/>
              <w:snapToGrid/>
              <w:spacing w:line="240" w:lineRule="auto"/>
              <w:contextualSpacing/>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w:t>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 1 \* GB3 \* MERGEFORMAT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①</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t>科学技术类奖：国家级证书须为中华人民共和国国务院颁发的科学技术类奖和住建部的华夏建设科学技术奖励委员会颁发的华夏建设科学技术类奖为准，省级证书须为省级人民政府颁发的为准，市级证书须为市级人民政府颁发的为准，提供多个奖项的按最高级别只计取一次得分。不得重复计算。获奖单位须与投标人单位一致，不含子公司和分公司。不符合上述条件或未提供上述资料的不得分</w:t>
            </w:r>
          </w:p>
        </w:tc>
      </w:tr>
      <w:tr w14:paraId="64FF6D15">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91" w:type="dxa"/>
            <w:gridSpan w:val="2"/>
            <w:vMerge w:val="restart"/>
            <w:tcBorders>
              <w:left w:val="single" w:color="auto" w:sz="8" w:space="0"/>
              <w:right w:val="single" w:color="auto" w:sz="4" w:space="0"/>
            </w:tcBorders>
            <w:vAlign w:val="center"/>
          </w:tcPr>
          <w:p w14:paraId="665D90E4">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二、项目实施组织方案部分（64分）</w:t>
            </w:r>
          </w:p>
        </w:tc>
        <w:tc>
          <w:tcPr>
            <w:tcW w:w="702" w:type="dxa"/>
            <w:tcBorders>
              <w:left w:val="single" w:color="auto" w:sz="4" w:space="0"/>
              <w:bottom w:val="single" w:color="auto" w:sz="4" w:space="0"/>
              <w:right w:val="single" w:color="auto" w:sz="4" w:space="0"/>
            </w:tcBorders>
            <w:vAlign w:val="center"/>
          </w:tcPr>
          <w:p w14:paraId="4F891DE3">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设计和施工的融合措施</w:t>
            </w:r>
          </w:p>
        </w:tc>
        <w:tc>
          <w:tcPr>
            <w:tcW w:w="709" w:type="dxa"/>
            <w:tcBorders>
              <w:top w:val="single" w:color="auto" w:sz="4" w:space="0"/>
              <w:left w:val="single" w:color="auto" w:sz="4" w:space="0"/>
              <w:bottom w:val="single" w:color="auto" w:sz="4" w:space="0"/>
              <w:right w:val="single" w:color="auto" w:sz="4" w:space="0"/>
            </w:tcBorders>
            <w:vAlign w:val="center"/>
          </w:tcPr>
          <w:p w14:paraId="5F282EEE">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14</w:t>
            </w:r>
          </w:p>
        </w:tc>
        <w:tc>
          <w:tcPr>
            <w:tcW w:w="11395" w:type="dxa"/>
            <w:tcBorders>
              <w:top w:val="single" w:color="auto" w:sz="4" w:space="0"/>
              <w:left w:val="single" w:color="auto" w:sz="4" w:space="0"/>
              <w:bottom w:val="single" w:color="auto" w:sz="4" w:space="0"/>
              <w:right w:val="single" w:color="auto" w:sz="4" w:space="0"/>
            </w:tcBorders>
            <w:vAlign w:val="center"/>
          </w:tcPr>
          <w:p w14:paraId="07725321">
            <w:pPr>
              <w:keepNext w:val="0"/>
              <w:keepLines w:val="0"/>
              <w:pageBreakBefore w:val="0"/>
              <w:kinsoku/>
              <w:wordWrap/>
              <w:overflowPunct/>
              <w:topLinePunct w:val="0"/>
              <w:bidi w:val="0"/>
              <w:adjustRightInd/>
              <w:snapToGrid/>
              <w:spacing w:line="240" w:lineRule="auto"/>
              <w:contextualSpacing/>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投标人（若为联合体投标，指联合体设计方）拟投入的设计团队：</w:t>
            </w:r>
          </w:p>
          <w:p w14:paraId="500F5BB7">
            <w:pPr>
              <w:keepNext w:val="0"/>
              <w:keepLines w:val="0"/>
              <w:pageBreakBefore w:val="0"/>
              <w:kinsoku/>
              <w:wordWrap/>
              <w:overflowPunct/>
              <w:topLinePunct w:val="0"/>
              <w:bidi w:val="0"/>
              <w:adjustRightInd/>
              <w:snapToGrid/>
              <w:spacing w:line="240" w:lineRule="auto"/>
              <w:contextualSpacing/>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（1）设计项目负责人</w:t>
            </w:r>
            <w:r>
              <w:rPr>
                <w:rFonts w:hint="eastAsia" w:ascii="宋体" w:hAnsi="宋体" w:eastAsia="宋体" w:cs="宋体"/>
                <w:b w:val="0"/>
                <w:bCs w:val="0"/>
                <w:color w:val="auto"/>
                <w:sz w:val="21"/>
                <w:szCs w:val="21"/>
                <w:highlight w:val="none"/>
              </w:rPr>
              <w:t>（最高得2分）</w:t>
            </w:r>
            <w:r>
              <w:rPr>
                <w:rFonts w:hint="eastAsia" w:ascii="宋体" w:hAnsi="宋体" w:eastAsia="宋体" w:cs="宋体"/>
                <w:b w:val="0"/>
                <w:bCs w:val="0"/>
                <w:color w:val="auto"/>
                <w:sz w:val="21"/>
                <w:szCs w:val="21"/>
                <w:highlight w:val="none"/>
                <w:lang w:val="zh-CN"/>
              </w:rPr>
              <w:t>：</w:t>
            </w:r>
            <w:r>
              <w:rPr>
                <w:rFonts w:hint="eastAsia" w:ascii="宋体" w:hAnsi="宋体" w:eastAsia="宋体" w:cs="宋体"/>
                <w:b w:val="0"/>
                <w:bCs w:val="0"/>
                <w:color w:val="auto"/>
                <w:sz w:val="21"/>
                <w:szCs w:val="21"/>
                <w:highlight w:val="none"/>
              </w:rPr>
              <w:t>①</w:t>
            </w:r>
            <w:r>
              <w:rPr>
                <w:rFonts w:hint="eastAsia" w:ascii="宋体" w:hAnsi="宋体" w:eastAsia="宋体" w:cs="宋体"/>
                <w:b w:val="0"/>
                <w:bCs w:val="0"/>
                <w:color w:val="auto"/>
                <w:sz w:val="21"/>
                <w:szCs w:val="21"/>
                <w:highlight w:val="none"/>
                <w:lang w:val="zh-CN"/>
              </w:rPr>
              <w:t>具备建筑相关专业正高（或教授）级技术职称得</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zh-CN"/>
              </w:rPr>
              <w:t>分，具备建筑相关专业副高级技术职称得0.</w:t>
            </w:r>
            <w:r>
              <w:rPr>
                <w:rFonts w:hint="eastAsia" w:ascii="宋体" w:hAnsi="宋体" w:eastAsia="宋体" w:cs="宋体"/>
                <w:b w:val="0"/>
                <w:bCs w:val="0"/>
                <w:color w:val="auto"/>
                <w:sz w:val="21"/>
                <w:szCs w:val="21"/>
                <w:highlight w:val="none"/>
              </w:rPr>
              <w:t>5</w:t>
            </w:r>
            <w:r>
              <w:rPr>
                <w:rFonts w:hint="eastAsia" w:ascii="宋体" w:hAnsi="宋体" w:eastAsia="宋体" w:cs="宋体"/>
                <w:b w:val="0"/>
                <w:bCs w:val="0"/>
                <w:color w:val="auto"/>
                <w:sz w:val="21"/>
                <w:szCs w:val="21"/>
                <w:highlight w:val="none"/>
                <w:lang w:val="zh-CN"/>
              </w:rPr>
              <w:t>分；本项最高得</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zh-CN"/>
              </w:rPr>
              <w:t>分。</w:t>
            </w:r>
            <w:r>
              <w:rPr>
                <w:rFonts w:hint="eastAsia" w:ascii="宋体" w:hAnsi="宋体" w:eastAsia="宋体" w:cs="宋体"/>
                <w:b w:val="0"/>
                <w:bCs w:val="0"/>
                <w:color w:val="auto"/>
                <w:sz w:val="21"/>
                <w:szCs w:val="21"/>
                <w:highlight w:val="none"/>
              </w:rPr>
              <w:t>②</w:t>
            </w:r>
            <w:r>
              <w:rPr>
                <w:rFonts w:hint="eastAsia" w:ascii="宋体" w:hAnsi="宋体" w:eastAsia="宋体" w:cs="宋体"/>
                <w:b w:val="0"/>
                <w:bCs w:val="0"/>
                <w:color w:val="auto"/>
                <w:sz w:val="21"/>
                <w:szCs w:val="21"/>
                <w:highlight w:val="none"/>
                <w:lang w:val="zh-CN"/>
              </w:rPr>
              <w:t>工作经历≥10年的，得1分；5≤工作经历＜10年的，得0.5分；</w:t>
            </w:r>
            <w:r>
              <w:rPr>
                <w:rFonts w:hint="eastAsia" w:ascii="宋体" w:hAnsi="宋体" w:eastAsia="宋体" w:cs="宋体"/>
                <w:color w:val="auto"/>
                <w:szCs w:val="21"/>
                <w:highlight w:val="none"/>
                <w:lang w:val="en-US" w:eastAsia="zh-CN"/>
              </w:rPr>
              <w:t>1</w:t>
            </w:r>
            <w:r>
              <w:rPr>
                <w:rFonts w:ascii="宋体" w:hAnsi="宋体" w:eastAsia="宋体" w:cs="宋体"/>
                <w:color w:val="auto"/>
                <w:szCs w:val="21"/>
                <w:highlight w:val="none"/>
                <w:lang w:val="zh-CN"/>
              </w:rPr>
              <w:t>≤工作经历＜</w:t>
            </w:r>
            <w:r>
              <w:rPr>
                <w:rFonts w:hint="eastAsia" w:ascii="宋体" w:hAnsi="宋体" w:eastAsia="宋体" w:cs="宋体"/>
                <w:color w:val="auto"/>
                <w:szCs w:val="21"/>
                <w:highlight w:val="none"/>
                <w:lang w:val="en-US" w:eastAsia="zh-CN"/>
              </w:rPr>
              <w:t>10</w:t>
            </w:r>
            <w:r>
              <w:rPr>
                <w:rFonts w:ascii="宋体" w:hAnsi="宋体" w:eastAsia="宋体" w:cs="宋体"/>
                <w:color w:val="auto"/>
                <w:szCs w:val="21"/>
                <w:highlight w:val="none"/>
                <w:lang w:val="zh-CN"/>
              </w:rPr>
              <w:t>年的，得</w:t>
            </w:r>
            <w:r>
              <w:rPr>
                <w:rFonts w:hint="eastAsia" w:ascii="宋体" w:hAnsi="宋体" w:eastAsia="宋体" w:cs="宋体"/>
                <w:color w:val="auto"/>
                <w:szCs w:val="21"/>
                <w:highlight w:val="none"/>
                <w:lang w:val="en-US" w:eastAsia="zh-CN"/>
              </w:rPr>
              <w:t>0.2</w:t>
            </w:r>
            <w:r>
              <w:rPr>
                <w:rFonts w:ascii="宋体" w:hAnsi="宋体" w:eastAsia="宋体" w:cs="宋体"/>
                <w:color w:val="auto"/>
                <w:szCs w:val="21"/>
                <w:highlight w:val="none"/>
                <w:lang w:val="zh-CN"/>
              </w:rPr>
              <w:t>分；</w:t>
            </w:r>
            <w:r>
              <w:rPr>
                <w:rFonts w:hint="eastAsia" w:ascii="宋体" w:hAnsi="宋体" w:eastAsia="宋体" w:cs="宋体"/>
                <w:b w:val="0"/>
                <w:bCs w:val="0"/>
                <w:color w:val="auto"/>
                <w:sz w:val="21"/>
                <w:szCs w:val="21"/>
                <w:highlight w:val="none"/>
                <w:lang w:val="zh-CN"/>
              </w:rPr>
              <w:t>不满足上述情况的，不得分；工作经历以大专或以上毕业证书颁发时间开始计算至投标截止时间止。</w:t>
            </w:r>
          </w:p>
          <w:p w14:paraId="45FC7E05">
            <w:pPr>
              <w:keepNext w:val="0"/>
              <w:keepLines w:val="0"/>
              <w:pageBreakBefore w:val="0"/>
              <w:kinsoku/>
              <w:wordWrap/>
              <w:overflowPunct/>
              <w:topLinePunct w:val="0"/>
              <w:bidi w:val="0"/>
              <w:adjustRightInd/>
              <w:snapToGrid/>
              <w:spacing w:line="240" w:lineRule="auto"/>
              <w:contextualSpacing/>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（2）建筑专业负责人</w:t>
            </w:r>
            <w:r>
              <w:rPr>
                <w:rFonts w:hint="eastAsia" w:ascii="宋体" w:hAnsi="宋体" w:eastAsia="宋体" w:cs="宋体"/>
                <w:b w:val="0"/>
                <w:bCs w:val="0"/>
                <w:color w:val="auto"/>
                <w:sz w:val="21"/>
                <w:szCs w:val="21"/>
                <w:highlight w:val="none"/>
              </w:rPr>
              <w:t>（最高得1分）</w:t>
            </w:r>
            <w:r>
              <w:rPr>
                <w:rFonts w:hint="eastAsia" w:ascii="宋体" w:hAnsi="宋体" w:eastAsia="宋体" w:cs="宋体"/>
                <w:b w:val="0"/>
                <w:bCs w:val="0"/>
                <w:color w:val="auto"/>
                <w:sz w:val="21"/>
                <w:szCs w:val="21"/>
                <w:highlight w:val="none"/>
                <w:lang w:val="zh-CN"/>
              </w:rPr>
              <w:t>：</w:t>
            </w:r>
            <w:r>
              <w:rPr>
                <w:rFonts w:hint="eastAsia" w:ascii="宋体" w:hAnsi="宋体" w:eastAsia="宋体" w:cs="宋体"/>
                <w:b w:val="0"/>
                <w:bCs w:val="0"/>
                <w:color w:val="auto"/>
                <w:sz w:val="21"/>
                <w:szCs w:val="21"/>
                <w:highlight w:val="none"/>
              </w:rPr>
              <w:t>①</w:t>
            </w:r>
            <w:r>
              <w:rPr>
                <w:rFonts w:hint="eastAsia" w:ascii="宋体" w:hAnsi="宋体" w:eastAsia="宋体" w:cs="宋体"/>
                <w:b w:val="0"/>
                <w:bCs w:val="0"/>
                <w:color w:val="auto"/>
                <w:sz w:val="21"/>
                <w:szCs w:val="21"/>
                <w:highlight w:val="none"/>
                <w:lang w:val="zh-CN"/>
              </w:rPr>
              <w:t>具备建筑相关专业正高（或教授）级技术职称得0.5分，具备建筑相关专业副高级技术职称得0.</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zh-CN"/>
              </w:rPr>
              <w:t>分；本项最高得0.5分。</w:t>
            </w:r>
            <w:r>
              <w:rPr>
                <w:rFonts w:hint="eastAsia" w:ascii="宋体" w:hAnsi="宋体" w:eastAsia="宋体" w:cs="宋体"/>
                <w:b w:val="0"/>
                <w:bCs w:val="0"/>
                <w:color w:val="auto"/>
                <w:sz w:val="21"/>
                <w:szCs w:val="21"/>
                <w:highlight w:val="none"/>
              </w:rPr>
              <w:t>②</w:t>
            </w:r>
            <w:r>
              <w:rPr>
                <w:rFonts w:hint="eastAsia" w:ascii="宋体" w:hAnsi="宋体" w:eastAsia="宋体" w:cs="宋体"/>
                <w:b w:val="0"/>
                <w:bCs w:val="0"/>
                <w:color w:val="auto"/>
                <w:sz w:val="21"/>
                <w:szCs w:val="21"/>
                <w:highlight w:val="none"/>
                <w:lang w:val="zh-CN"/>
              </w:rPr>
              <w:t>具备一级注册建筑师执业资格加0.5分；本项最高得0.5分。</w:t>
            </w:r>
          </w:p>
          <w:p w14:paraId="190CB266">
            <w:pPr>
              <w:keepNext w:val="0"/>
              <w:keepLines w:val="0"/>
              <w:pageBreakBefore w:val="0"/>
              <w:kinsoku/>
              <w:wordWrap/>
              <w:overflowPunct/>
              <w:topLinePunct w:val="0"/>
              <w:bidi w:val="0"/>
              <w:adjustRightInd/>
              <w:snapToGrid/>
              <w:spacing w:line="240" w:lineRule="auto"/>
              <w:contextualSpacing/>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（3）结构专业负责人</w:t>
            </w:r>
            <w:r>
              <w:rPr>
                <w:rFonts w:hint="eastAsia" w:ascii="宋体" w:hAnsi="宋体" w:eastAsia="宋体" w:cs="宋体"/>
                <w:b w:val="0"/>
                <w:bCs w:val="0"/>
                <w:color w:val="auto"/>
                <w:sz w:val="21"/>
                <w:szCs w:val="21"/>
                <w:highlight w:val="none"/>
              </w:rPr>
              <w:t>（最高得1分）</w:t>
            </w:r>
            <w:r>
              <w:rPr>
                <w:rFonts w:hint="eastAsia" w:ascii="宋体" w:hAnsi="宋体" w:eastAsia="宋体" w:cs="宋体"/>
                <w:b w:val="0"/>
                <w:bCs w:val="0"/>
                <w:color w:val="auto"/>
                <w:sz w:val="21"/>
                <w:szCs w:val="21"/>
                <w:highlight w:val="none"/>
                <w:lang w:val="zh-CN"/>
              </w:rPr>
              <w:t>：</w:t>
            </w:r>
            <w:r>
              <w:rPr>
                <w:rFonts w:hint="eastAsia" w:ascii="宋体" w:hAnsi="宋体" w:eastAsia="宋体" w:cs="宋体"/>
                <w:b w:val="0"/>
                <w:bCs w:val="0"/>
                <w:color w:val="auto"/>
                <w:sz w:val="21"/>
                <w:szCs w:val="21"/>
                <w:highlight w:val="none"/>
              </w:rPr>
              <w:t>①</w:t>
            </w:r>
            <w:r>
              <w:rPr>
                <w:rFonts w:hint="eastAsia" w:ascii="宋体" w:hAnsi="宋体" w:eastAsia="宋体" w:cs="宋体"/>
                <w:b w:val="0"/>
                <w:bCs w:val="0"/>
                <w:color w:val="auto"/>
                <w:sz w:val="21"/>
                <w:szCs w:val="21"/>
                <w:highlight w:val="none"/>
                <w:lang w:val="zh-CN"/>
              </w:rPr>
              <w:t>具备结构相关专业正高（或教授）级技术职称得0.5分，具备建筑相关专业副高级技术职称得0.</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zh-CN"/>
              </w:rPr>
              <w:t>分；本项最高得0.5分。</w:t>
            </w:r>
            <w:r>
              <w:rPr>
                <w:rFonts w:hint="eastAsia" w:ascii="宋体" w:hAnsi="宋体" w:eastAsia="宋体" w:cs="宋体"/>
                <w:b w:val="0"/>
                <w:bCs w:val="0"/>
                <w:color w:val="auto"/>
                <w:sz w:val="21"/>
                <w:szCs w:val="21"/>
                <w:highlight w:val="none"/>
              </w:rPr>
              <w:t>②</w:t>
            </w:r>
            <w:r>
              <w:rPr>
                <w:rFonts w:hint="eastAsia" w:ascii="宋体" w:hAnsi="宋体" w:eastAsia="宋体" w:cs="宋体"/>
                <w:b w:val="0"/>
                <w:bCs w:val="0"/>
                <w:color w:val="auto"/>
                <w:sz w:val="21"/>
                <w:szCs w:val="21"/>
                <w:highlight w:val="none"/>
                <w:lang w:val="zh-CN"/>
              </w:rPr>
              <w:t>具备一级注册结构工程师执业资格加0.5分；本项最高得0.5分。</w:t>
            </w:r>
          </w:p>
          <w:p w14:paraId="4EBB03D0">
            <w:pPr>
              <w:keepNext w:val="0"/>
              <w:keepLines w:val="0"/>
              <w:pageBreakBefore w:val="0"/>
              <w:kinsoku/>
              <w:wordWrap/>
              <w:overflowPunct/>
              <w:topLinePunct w:val="0"/>
              <w:bidi w:val="0"/>
              <w:adjustRightInd/>
              <w:snapToGrid/>
              <w:spacing w:line="240" w:lineRule="auto"/>
              <w:contextualSpacing/>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（4）给排水专业负责人</w:t>
            </w:r>
            <w:r>
              <w:rPr>
                <w:rFonts w:hint="eastAsia" w:ascii="宋体" w:hAnsi="宋体" w:eastAsia="宋体" w:cs="宋体"/>
                <w:b w:val="0"/>
                <w:bCs w:val="0"/>
                <w:color w:val="auto"/>
                <w:sz w:val="21"/>
                <w:szCs w:val="21"/>
                <w:highlight w:val="none"/>
              </w:rPr>
              <w:t>（最高得1分）</w:t>
            </w:r>
            <w:r>
              <w:rPr>
                <w:rFonts w:hint="eastAsia" w:ascii="宋体" w:hAnsi="宋体" w:eastAsia="宋体" w:cs="宋体"/>
                <w:b w:val="0"/>
                <w:bCs w:val="0"/>
                <w:color w:val="auto"/>
                <w:sz w:val="21"/>
                <w:szCs w:val="21"/>
                <w:highlight w:val="none"/>
                <w:lang w:val="zh-CN"/>
              </w:rPr>
              <w:t>：具备给排水相关专业副高级（或以上）技术职称得0.5分，具备给排水相关专业中级技术职称得0.2分，本项最高得0.5分。具备注册公用设备工程师（给水排水）执业资格加0.5分，本项最高得0.5分。</w:t>
            </w:r>
          </w:p>
          <w:p w14:paraId="0E45B63D">
            <w:pPr>
              <w:keepNext w:val="0"/>
              <w:keepLines w:val="0"/>
              <w:pageBreakBefore w:val="0"/>
              <w:kinsoku/>
              <w:wordWrap/>
              <w:overflowPunct/>
              <w:topLinePunct w:val="0"/>
              <w:bidi w:val="0"/>
              <w:adjustRightInd/>
              <w:snapToGrid/>
              <w:spacing w:line="240" w:lineRule="auto"/>
              <w:contextualSpacing/>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（5）暖通专业负责人</w:t>
            </w:r>
            <w:r>
              <w:rPr>
                <w:rFonts w:hint="eastAsia" w:ascii="宋体" w:hAnsi="宋体" w:eastAsia="宋体" w:cs="宋体"/>
                <w:b w:val="0"/>
                <w:bCs w:val="0"/>
                <w:color w:val="auto"/>
                <w:sz w:val="21"/>
                <w:szCs w:val="21"/>
                <w:highlight w:val="none"/>
              </w:rPr>
              <w:t>（最高得1分）</w:t>
            </w:r>
            <w:r>
              <w:rPr>
                <w:rFonts w:hint="eastAsia" w:ascii="宋体" w:hAnsi="宋体" w:eastAsia="宋体" w:cs="宋体"/>
                <w:b w:val="0"/>
                <w:bCs w:val="0"/>
                <w:color w:val="auto"/>
                <w:sz w:val="21"/>
                <w:szCs w:val="21"/>
                <w:highlight w:val="none"/>
                <w:lang w:val="zh-CN"/>
              </w:rPr>
              <w:t>：具备暖通相关专业副高级（或以上）技术职称得0.5分，具备暖通相关专业中级技术职称得0.2分，本项最高得0.5分。具备注册公用设备工程师（暖通空调）执业资格加0.5分，本项最高得0.5分。</w:t>
            </w:r>
          </w:p>
          <w:p w14:paraId="44A7F417">
            <w:pPr>
              <w:keepNext w:val="0"/>
              <w:keepLines w:val="0"/>
              <w:pageBreakBefore w:val="0"/>
              <w:kinsoku/>
              <w:wordWrap/>
              <w:overflowPunct/>
              <w:topLinePunct w:val="0"/>
              <w:bidi w:val="0"/>
              <w:adjustRightInd/>
              <w:snapToGrid/>
              <w:spacing w:line="240" w:lineRule="auto"/>
              <w:contextualSpacing/>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（6）电气专业负责人</w:t>
            </w:r>
            <w:r>
              <w:rPr>
                <w:rFonts w:hint="eastAsia" w:ascii="宋体" w:hAnsi="宋体" w:eastAsia="宋体" w:cs="宋体"/>
                <w:b w:val="0"/>
                <w:bCs w:val="0"/>
                <w:color w:val="auto"/>
                <w:sz w:val="21"/>
                <w:szCs w:val="21"/>
                <w:highlight w:val="none"/>
              </w:rPr>
              <w:t>（最高得1分）</w:t>
            </w:r>
            <w:r>
              <w:rPr>
                <w:rFonts w:hint="eastAsia" w:ascii="宋体" w:hAnsi="宋体" w:eastAsia="宋体" w:cs="宋体"/>
                <w:b w:val="0"/>
                <w:bCs w:val="0"/>
                <w:color w:val="auto"/>
                <w:sz w:val="21"/>
                <w:szCs w:val="21"/>
                <w:highlight w:val="none"/>
                <w:lang w:val="zh-CN"/>
              </w:rPr>
              <w:t>：具备电气相关专业副高级（或以上）技术职称得0.5分，具备电气相关专业中级技术职称得0.2分，本项最高得0.5分。具备注册电气工程师（供配电）执业资格加0.5分，本项最高得0.5分。</w:t>
            </w:r>
          </w:p>
          <w:p w14:paraId="2F443893">
            <w:pPr>
              <w:keepNext w:val="0"/>
              <w:keepLines w:val="0"/>
              <w:pageBreakBefore w:val="0"/>
              <w:kinsoku/>
              <w:wordWrap/>
              <w:overflowPunct/>
              <w:topLinePunct w:val="0"/>
              <w:bidi w:val="0"/>
              <w:adjustRightInd/>
              <w:snapToGrid/>
              <w:spacing w:line="240" w:lineRule="auto"/>
              <w:contextualSpacing/>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注：①提供相应证书扫描件，否则不得分；②</w:t>
            </w:r>
            <w:r>
              <w:rPr>
                <w:rFonts w:hint="eastAsia" w:ascii="宋体" w:hAnsi="宋体" w:eastAsia="宋体" w:cs="宋体"/>
                <w:b w:val="0"/>
                <w:bCs w:val="0"/>
                <w:color w:val="auto"/>
                <w:sz w:val="21"/>
                <w:szCs w:val="21"/>
                <w:highlight w:val="none"/>
              </w:rPr>
              <w:t>各岗位人员不得相互兼任，须提供投标截止时间近1个月（2025年4月）在本单位（不含投标人的子公司，含分公司或分支机构）购买社保的缴费记录；因改制或重组的企业或事业单位人员社保由上级主管部门缴纳的，除提供上级主管部门缴纳社保证明扫描件外，需由上级主管部门出具证明说明</w:t>
            </w:r>
            <w:r>
              <w:rPr>
                <w:rFonts w:hint="eastAsia" w:ascii="宋体" w:hAnsi="宋体" w:eastAsia="宋体" w:cs="宋体"/>
                <w:b w:val="0"/>
                <w:bCs w:val="0"/>
                <w:color w:val="auto"/>
                <w:sz w:val="21"/>
                <w:szCs w:val="21"/>
                <w:highlight w:val="none"/>
                <w:lang w:val="zh-CN"/>
              </w:rPr>
              <w:t>。（上述人员为香港专业人士的，需提供资格备案的业务范围符合本招标项目对上述人员要求的香港专业人士的证明材料扫描件）。不符合上述条件或未提供相关证明材料的不得分。</w:t>
            </w:r>
          </w:p>
          <w:p w14:paraId="4DBBDFD5">
            <w:pPr>
              <w:keepNext w:val="0"/>
              <w:keepLines w:val="0"/>
              <w:pageBreakBefore w:val="0"/>
              <w:kinsoku/>
              <w:wordWrap/>
              <w:overflowPunct/>
              <w:topLinePunct w:val="0"/>
              <w:bidi w:val="0"/>
              <w:adjustRightInd/>
              <w:snapToGrid/>
              <w:spacing w:line="240" w:lineRule="auto"/>
              <w:contextualSpacing/>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投标人（若为联合体，指联合体主办方）拟投入的施工管理团队：</w:t>
            </w:r>
          </w:p>
          <w:p w14:paraId="531D1C07">
            <w:pPr>
              <w:keepNext w:val="0"/>
              <w:keepLines w:val="0"/>
              <w:pageBreakBefore w:val="0"/>
              <w:kinsoku/>
              <w:wordWrap/>
              <w:overflowPunct/>
              <w:topLinePunct w:val="0"/>
              <w:bidi w:val="0"/>
              <w:adjustRightInd/>
              <w:snapToGrid/>
              <w:spacing w:line="240" w:lineRule="auto"/>
              <w:contextualSpacing/>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1、项目负责人（兼任施工负责人）（最高得4分）</w:t>
            </w:r>
          </w:p>
          <w:p w14:paraId="0CE2FDBC">
            <w:pPr>
              <w:pStyle w:val="18"/>
              <w:keepNext w:val="0"/>
              <w:keepLines w:val="0"/>
              <w:pageBreakBefore w:val="0"/>
              <w:kinsoku/>
              <w:wordWrap/>
              <w:overflowPunct/>
              <w:topLinePunct w:val="0"/>
              <w:bidi w:val="0"/>
              <w:adjustRightInd/>
              <w:snapToGrid/>
              <w:spacing w:after="0" w:line="240" w:lineRule="auto"/>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（1）具有建筑工程相关专业</w:t>
            </w:r>
            <w:r>
              <w:rPr>
                <w:rFonts w:hint="eastAsia" w:ascii="宋体" w:hAnsi="宋体" w:cs="宋体"/>
                <w:b w:val="0"/>
                <w:bCs w:val="0"/>
                <w:color w:val="auto"/>
                <w:sz w:val="21"/>
                <w:szCs w:val="21"/>
                <w:highlight w:val="none"/>
                <w:lang w:val="en-US" w:eastAsia="zh-CN"/>
              </w:rPr>
              <w:t>高级</w:t>
            </w:r>
            <w:r>
              <w:rPr>
                <w:rFonts w:hint="eastAsia" w:ascii="宋体" w:hAnsi="宋体" w:eastAsia="宋体" w:cs="宋体"/>
                <w:b w:val="0"/>
                <w:bCs w:val="0"/>
                <w:color w:val="auto"/>
                <w:sz w:val="21"/>
                <w:szCs w:val="21"/>
                <w:highlight w:val="none"/>
                <w:lang w:val="zh-CN"/>
              </w:rPr>
              <w:t>工程师或以上技术职称的，得2分；未提供不得分。</w:t>
            </w:r>
          </w:p>
          <w:p w14:paraId="07B35A66">
            <w:pPr>
              <w:pStyle w:val="18"/>
              <w:keepNext w:val="0"/>
              <w:keepLines w:val="0"/>
              <w:pageBreakBefore w:val="0"/>
              <w:kinsoku/>
              <w:wordWrap/>
              <w:overflowPunct/>
              <w:topLinePunct w:val="0"/>
              <w:bidi w:val="0"/>
              <w:adjustRightInd/>
              <w:snapToGrid/>
              <w:spacing w:after="0" w:line="240" w:lineRule="auto"/>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（2）工作经历≥10年的，得2分；5≤工作经历＜10年的，得1分；</w:t>
            </w:r>
            <w:r>
              <w:rPr>
                <w:rFonts w:hint="eastAsia" w:ascii="宋体" w:hAnsi="宋体" w:eastAsia="宋体" w:cs="宋体"/>
                <w:color w:val="auto"/>
                <w:szCs w:val="21"/>
                <w:highlight w:val="none"/>
                <w:lang w:val="en-US" w:eastAsia="zh-CN"/>
              </w:rPr>
              <w:t>1</w:t>
            </w:r>
            <w:r>
              <w:rPr>
                <w:rFonts w:ascii="宋体" w:hAnsi="宋体" w:eastAsia="宋体" w:cs="宋体"/>
                <w:color w:val="auto"/>
                <w:szCs w:val="21"/>
                <w:highlight w:val="none"/>
                <w:lang w:val="zh-CN"/>
              </w:rPr>
              <w:t>≤工作经历＜</w:t>
            </w:r>
            <w:r>
              <w:rPr>
                <w:rFonts w:hint="eastAsia" w:ascii="宋体" w:hAnsi="宋体" w:eastAsia="宋体" w:cs="宋体"/>
                <w:color w:val="auto"/>
                <w:szCs w:val="21"/>
                <w:highlight w:val="none"/>
                <w:lang w:val="en-US" w:eastAsia="zh-CN"/>
              </w:rPr>
              <w:t>10</w:t>
            </w:r>
            <w:r>
              <w:rPr>
                <w:rFonts w:ascii="宋体" w:hAnsi="宋体" w:eastAsia="宋体" w:cs="宋体"/>
                <w:color w:val="auto"/>
                <w:szCs w:val="21"/>
                <w:highlight w:val="none"/>
                <w:lang w:val="zh-CN"/>
              </w:rPr>
              <w:t>年的，得</w:t>
            </w:r>
            <w:r>
              <w:rPr>
                <w:rFonts w:hint="eastAsia" w:ascii="宋体" w:hAnsi="宋体" w:eastAsia="宋体" w:cs="宋体"/>
                <w:color w:val="auto"/>
                <w:szCs w:val="21"/>
                <w:highlight w:val="none"/>
                <w:lang w:val="en-US" w:eastAsia="zh-CN"/>
              </w:rPr>
              <w:t>0.5</w:t>
            </w:r>
            <w:r>
              <w:rPr>
                <w:rFonts w:ascii="宋体" w:hAnsi="宋体" w:eastAsia="宋体" w:cs="宋体"/>
                <w:color w:val="auto"/>
                <w:szCs w:val="21"/>
                <w:highlight w:val="none"/>
                <w:lang w:val="zh-CN"/>
              </w:rPr>
              <w:t>分；</w:t>
            </w:r>
            <w:r>
              <w:rPr>
                <w:rFonts w:hint="eastAsia" w:ascii="宋体" w:hAnsi="宋体" w:eastAsia="宋体" w:cs="宋体"/>
                <w:b w:val="0"/>
                <w:bCs w:val="0"/>
                <w:color w:val="auto"/>
                <w:sz w:val="21"/>
                <w:szCs w:val="21"/>
                <w:highlight w:val="none"/>
                <w:lang w:val="zh-CN"/>
              </w:rPr>
              <w:t>不满足上述情况的，不得分；工作经历以大专或以上毕业证书颁发时间开始计算至投标截止时间止。</w:t>
            </w:r>
          </w:p>
          <w:p w14:paraId="283EBA93">
            <w:pPr>
              <w:pStyle w:val="18"/>
              <w:keepNext w:val="0"/>
              <w:keepLines w:val="0"/>
              <w:pageBreakBefore w:val="0"/>
              <w:kinsoku/>
              <w:wordWrap/>
              <w:overflowPunct/>
              <w:topLinePunct w:val="0"/>
              <w:bidi w:val="0"/>
              <w:adjustRightInd/>
              <w:snapToGrid/>
              <w:spacing w:after="0" w:line="240" w:lineRule="auto"/>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2、造价负责人（最高得1分）：具有有效期内的一级注册造价工程师证书，得1分；具有有效期内的二级注册造价工程师证书，得0.5分；未提供不得分。</w:t>
            </w:r>
          </w:p>
          <w:p w14:paraId="52D13776">
            <w:pPr>
              <w:pStyle w:val="18"/>
              <w:keepNext w:val="0"/>
              <w:keepLines w:val="0"/>
              <w:pageBreakBefore w:val="0"/>
              <w:kinsoku/>
              <w:wordWrap/>
              <w:overflowPunct/>
              <w:topLinePunct w:val="0"/>
              <w:bidi w:val="0"/>
              <w:adjustRightInd/>
              <w:snapToGrid/>
              <w:spacing w:after="0" w:line="240" w:lineRule="auto"/>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3、质量负责人（最高得1分）：具有建筑工程相关专业高级工程师或以上技术职称的，得1分；具有建筑工程相关专业中级工程师技术职称的，得0.5分；未提供不得分。</w:t>
            </w:r>
          </w:p>
          <w:p w14:paraId="6A6E90D6">
            <w:pPr>
              <w:pStyle w:val="18"/>
              <w:keepNext w:val="0"/>
              <w:keepLines w:val="0"/>
              <w:pageBreakBefore w:val="0"/>
              <w:kinsoku/>
              <w:wordWrap/>
              <w:overflowPunct/>
              <w:topLinePunct w:val="0"/>
              <w:bidi w:val="0"/>
              <w:adjustRightInd/>
              <w:snapToGrid/>
              <w:spacing w:after="0" w:line="240" w:lineRule="auto"/>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4、安全负责人（最高得1分）：具有在有效期内“建筑施工安全”类别注册安全工程师证书的，得1分；未提供不得分。</w:t>
            </w:r>
          </w:p>
          <w:p w14:paraId="3F6F56F1">
            <w:pPr>
              <w:pStyle w:val="18"/>
              <w:keepNext w:val="0"/>
              <w:keepLines w:val="0"/>
              <w:pageBreakBefore w:val="0"/>
              <w:kinsoku/>
              <w:wordWrap/>
              <w:overflowPunct/>
              <w:topLinePunct w:val="0"/>
              <w:bidi w:val="0"/>
              <w:adjustRightInd/>
              <w:snapToGrid/>
              <w:spacing w:after="0" w:line="240" w:lineRule="auto"/>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注：上述4项评审项合计最多得7分。各岗位人员不得相互兼任，上述人员除须提供相应证明材料外，</w:t>
            </w:r>
            <w:bookmarkStart w:id="494" w:name="OLE_LINK139"/>
            <w:bookmarkStart w:id="495" w:name="OLE_LINK140"/>
            <w:r>
              <w:rPr>
                <w:rFonts w:hint="eastAsia" w:ascii="宋体" w:hAnsi="宋体" w:eastAsia="宋体" w:cs="宋体"/>
                <w:b w:val="0"/>
                <w:bCs w:val="0"/>
                <w:color w:val="auto"/>
                <w:sz w:val="21"/>
                <w:szCs w:val="21"/>
                <w:highlight w:val="none"/>
                <w:lang w:val="zh-CN"/>
              </w:rPr>
              <w:t>须提供投标截止时间近1个月（2025年4月）在本单位（不含投标人的子公司，含分公司或分支机构）购买社保的缴费记录；因改制或重组的企业或事业单位人员社保由上级主管部门缴纳的，除提供上级主管部门缴纳社保证明扫描件外，需由上级主管部门出具证明说明</w:t>
            </w:r>
            <w:bookmarkEnd w:id="494"/>
            <w:bookmarkEnd w:id="495"/>
            <w:r>
              <w:rPr>
                <w:rFonts w:hint="eastAsia" w:ascii="宋体" w:hAnsi="宋体" w:eastAsia="宋体" w:cs="宋体"/>
                <w:b w:val="0"/>
                <w:bCs w:val="0"/>
                <w:color w:val="auto"/>
                <w:sz w:val="21"/>
                <w:szCs w:val="21"/>
                <w:highlight w:val="none"/>
                <w:lang w:val="zh-CN"/>
              </w:rPr>
              <w:t>（上述人员为香港专业人士的，需提供资格备案的业务范围符合本招标项目对上述人员要求的香港专业人士的证明材料扫描件）。未提供或提供资料不全的不得分。</w:t>
            </w:r>
          </w:p>
        </w:tc>
      </w:tr>
      <w:tr w14:paraId="6CD39DE8">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91" w:type="dxa"/>
            <w:gridSpan w:val="2"/>
            <w:vMerge w:val="continue"/>
            <w:tcBorders>
              <w:left w:val="single" w:color="auto" w:sz="8" w:space="0"/>
              <w:right w:val="single" w:color="auto" w:sz="4" w:space="0"/>
            </w:tcBorders>
            <w:vAlign w:val="center"/>
          </w:tcPr>
          <w:p w14:paraId="4DB86B54">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p>
        </w:tc>
        <w:tc>
          <w:tcPr>
            <w:tcW w:w="702" w:type="dxa"/>
            <w:tcBorders>
              <w:left w:val="single" w:color="auto" w:sz="4" w:space="0"/>
              <w:bottom w:val="single" w:color="auto" w:sz="4" w:space="0"/>
              <w:right w:val="single" w:color="auto" w:sz="4" w:space="0"/>
            </w:tcBorders>
            <w:vAlign w:val="center"/>
          </w:tcPr>
          <w:p w14:paraId="494312E1">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进度控制措施</w:t>
            </w:r>
          </w:p>
        </w:tc>
        <w:tc>
          <w:tcPr>
            <w:tcW w:w="709" w:type="dxa"/>
            <w:tcBorders>
              <w:top w:val="single" w:color="auto" w:sz="4" w:space="0"/>
              <w:left w:val="single" w:color="auto" w:sz="4" w:space="0"/>
              <w:bottom w:val="single" w:color="auto" w:sz="4" w:space="0"/>
              <w:right w:val="single" w:color="auto" w:sz="4" w:space="0"/>
            </w:tcBorders>
            <w:vAlign w:val="center"/>
          </w:tcPr>
          <w:p w14:paraId="629344EE">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p>
        </w:tc>
        <w:tc>
          <w:tcPr>
            <w:tcW w:w="11395" w:type="dxa"/>
            <w:tcBorders>
              <w:top w:val="single" w:color="auto" w:sz="4" w:space="0"/>
              <w:left w:val="single" w:color="auto" w:sz="4" w:space="0"/>
              <w:bottom w:val="single" w:color="auto" w:sz="4" w:space="0"/>
              <w:right w:val="single" w:color="auto" w:sz="4" w:space="0"/>
            </w:tcBorders>
            <w:vAlign w:val="center"/>
          </w:tcPr>
          <w:p w14:paraId="1469562A">
            <w:pPr>
              <w:keepNext w:val="0"/>
              <w:keepLines w:val="0"/>
              <w:pageBreakBefore w:val="0"/>
              <w:kinsoku/>
              <w:wordWrap/>
              <w:overflowPunct/>
              <w:topLinePunct w:val="0"/>
              <w:bidi w:val="0"/>
              <w:adjustRightInd/>
              <w:snapToGrid/>
              <w:spacing w:line="240" w:lineRule="auto"/>
              <w:contextualSpacing/>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针对本项目编制工期管理目标、施工总进度计划横道图、进度计划保障措施，根据各投标单位提供的施工部署横向对比：</w:t>
            </w:r>
          </w:p>
          <w:p w14:paraId="2F458F2B">
            <w:pPr>
              <w:keepNext w:val="0"/>
              <w:keepLines w:val="0"/>
              <w:pageBreakBefore w:val="0"/>
              <w:kinsoku/>
              <w:wordWrap/>
              <w:overflowPunct/>
              <w:topLinePunct w:val="0"/>
              <w:bidi w:val="0"/>
              <w:adjustRightInd/>
              <w:snapToGrid/>
              <w:spacing w:line="240" w:lineRule="auto"/>
              <w:contextualSpacing/>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优：工期管理目标、施工进度计划结合实际施工情况、能有效实施，制定的进度保证措施现场实操性相对较强，能有效保证施工进度得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p w14:paraId="39BADFC0">
            <w:pPr>
              <w:keepNext w:val="0"/>
              <w:keepLines w:val="0"/>
              <w:pageBreakBefore w:val="0"/>
              <w:kinsoku/>
              <w:wordWrap/>
              <w:overflowPunct/>
              <w:topLinePunct w:val="0"/>
              <w:bidi w:val="0"/>
              <w:adjustRightInd/>
              <w:snapToGrid/>
              <w:spacing w:line="240" w:lineRule="auto"/>
              <w:contextualSpacing/>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良：工期管理目标、施工进度计划与实际施工情况结合度良好，制定的进度保证措施现场实操性良好，能保证施工进度，得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p w14:paraId="79CBE444">
            <w:pPr>
              <w:keepNext w:val="0"/>
              <w:keepLines w:val="0"/>
              <w:pageBreakBefore w:val="0"/>
              <w:kinsoku/>
              <w:wordWrap/>
              <w:overflowPunct/>
              <w:topLinePunct w:val="0"/>
              <w:bidi w:val="0"/>
              <w:adjustRightInd/>
              <w:snapToGrid/>
              <w:spacing w:line="240" w:lineRule="auto"/>
              <w:contextualSpacing/>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中：工期管理目标、施工进度计划与实际施工情况结合度相对一般，制定的进度保证措施现场实操性相对一般，基本能保证施工进度，得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p>
          <w:p w14:paraId="02D9888C">
            <w:pPr>
              <w:keepNext w:val="0"/>
              <w:keepLines w:val="0"/>
              <w:pageBreakBefore w:val="0"/>
              <w:kinsoku/>
              <w:wordWrap/>
              <w:overflowPunct/>
              <w:topLinePunct w:val="0"/>
              <w:bidi w:val="0"/>
              <w:adjustRightInd/>
              <w:snapToGrid/>
              <w:spacing w:line="240" w:lineRule="auto"/>
              <w:contextualSpacing/>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差：工期管理目标、施工进度计划与实际施工情况结合度相对较低，制定的进度保证措施现场实操性相对不高，得1分。</w:t>
            </w:r>
          </w:p>
          <w:p w14:paraId="31B3B938">
            <w:pPr>
              <w:keepNext w:val="0"/>
              <w:keepLines w:val="0"/>
              <w:pageBreakBefore w:val="0"/>
              <w:kinsoku/>
              <w:wordWrap/>
              <w:overflowPunct/>
              <w:topLinePunct w:val="0"/>
              <w:bidi w:val="0"/>
              <w:adjustRightInd/>
              <w:snapToGrid/>
              <w:spacing w:line="240" w:lineRule="auto"/>
              <w:contextualSpacing/>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未提供或评审内容不全的不得分。</w:t>
            </w:r>
          </w:p>
        </w:tc>
      </w:tr>
      <w:tr w14:paraId="2D2929F6">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91" w:type="dxa"/>
            <w:gridSpan w:val="2"/>
            <w:vMerge w:val="continue"/>
            <w:tcBorders>
              <w:left w:val="single" w:color="auto" w:sz="8" w:space="0"/>
              <w:right w:val="single" w:color="auto" w:sz="4" w:space="0"/>
            </w:tcBorders>
            <w:vAlign w:val="center"/>
          </w:tcPr>
          <w:p w14:paraId="668B8C35">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p>
        </w:tc>
        <w:tc>
          <w:tcPr>
            <w:tcW w:w="702" w:type="dxa"/>
            <w:tcBorders>
              <w:left w:val="single" w:color="auto" w:sz="4" w:space="0"/>
              <w:bottom w:val="single" w:color="auto" w:sz="4" w:space="0"/>
              <w:right w:val="single" w:color="auto" w:sz="4" w:space="0"/>
            </w:tcBorders>
            <w:vAlign w:val="center"/>
          </w:tcPr>
          <w:p w14:paraId="00EAAF40">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质量控制措施</w:t>
            </w:r>
          </w:p>
        </w:tc>
        <w:tc>
          <w:tcPr>
            <w:tcW w:w="709" w:type="dxa"/>
            <w:tcBorders>
              <w:top w:val="single" w:color="auto" w:sz="4" w:space="0"/>
              <w:left w:val="single" w:color="auto" w:sz="4" w:space="0"/>
              <w:bottom w:val="single" w:color="auto" w:sz="4" w:space="0"/>
              <w:right w:val="single" w:color="auto" w:sz="4" w:space="0"/>
            </w:tcBorders>
            <w:vAlign w:val="center"/>
          </w:tcPr>
          <w:p w14:paraId="2921BA2B">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p>
        </w:tc>
        <w:tc>
          <w:tcPr>
            <w:tcW w:w="11395" w:type="dxa"/>
            <w:tcBorders>
              <w:top w:val="single" w:color="auto" w:sz="4" w:space="0"/>
              <w:left w:val="single" w:color="auto" w:sz="4" w:space="0"/>
              <w:bottom w:val="single" w:color="auto" w:sz="4" w:space="0"/>
              <w:right w:val="single" w:color="auto" w:sz="4" w:space="0"/>
            </w:tcBorders>
            <w:vAlign w:val="center"/>
          </w:tcPr>
          <w:p w14:paraId="706BB3AC">
            <w:pPr>
              <w:keepNext w:val="0"/>
              <w:keepLines w:val="0"/>
              <w:pageBreakBefore w:val="0"/>
              <w:widowControl/>
              <w:kinsoku/>
              <w:wordWrap/>
              <w:overflowPunct/>
              <w:topLinePunct w:val="0"/>
              <w:bidi w:val="0"/>
              <w:adjustRightInd/>
              <w:snapToGrid/>
              <w:spacing w:line="240" w:lineRule="auto"/>
              <w:contextualSpacing/>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针对本项目编制质量管理目标、质量管理体系、质量保证措施的，根据各投标单位提供的措施横向对比：</w:t>
            </w:r>
          </w:p>
          <w:p w14:paraId="52C64E09">
            <w:pPr>
              <w:keepNext w:val="0"/>
              <w:keepLines w:val="0"/>
              <w:pageBreakBefore w:val="0"/>
              <w:widowControl/>
              <w:kinsoku/>
              <w:wordWrap/>
              <w:overflowPunct/>
              <w:topLinePunct w:val="0"/>
              <w:bidi w:val="0"/>
              <w:adjustRightInd/>
              <w:snapToGrid/>
              <w:spacing w:line="240" w:lineRule="auto"/>
              <w:contextualSpacing/>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优：目标、体系结合措施效果显著、合理性相对较强、可操作性相对较强，得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p w14:paraId="52002931">
            <w:pPr>
              <w:keepNext w:val="0"/>
              <w:keepLines w:val="0"/>
              <w:pageBreakBefore w:val="0"/>
              <w:widowControl/>
              <w:kinsoku/>
              <w:wordWrap/>
              <w:overflowPunct/>
              <w:topLinePunct w:val="0"/>
              <w:bidi w:val="0"/>
              <w:adjustRightInd/>
              <w:snapToGrid/>
              <w:spacing w:line="240" w:lineRule="auto"/>
              <w:contextualSpacing/>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良：目标、体系结合措施相对有效、合理、可操作性相对良好，得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p w14:paraId="44CCF08A">
            <w:pPr>
              <w:keepNext w:val="0"/>
              <w:keepLines w:val="0"/>
              <w:pageBreakBefore w:val="0"/>
              <w:widowControl/>
              <w:kinsoku/>
              <w:wordWrap/>
              <w:overflowPunct/>
              <w:topLinePunct w:val="0"/>
              <w:bidi w:val="0"/>
              <w:adjustRightInd/>
              <w:snapToGrid/>
              <w:spacing w:line="240" w:lineRule="auto"/>
              <w:contextualSpacing/>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中：目标、体系结合措施相对效果一般，现场可操作性相对一般，得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p>
          <w:p w14:paraId="384449C0">
            <w:pPr>
              <w:keepNext w:val="0"/>
              <w:keepLines w:val="0"/>
              <w:pageBreakBefore w:val="0"/>
              <w:widowControl/>
              <w:kinsoku/>
              <w:wordWrap/>
              <w:overflowPunct/>
              <w:topLinePunct w:val="0"/>
              <w:bidi w:val="0"/>
              <w:adjustRightInd/>
              <w:snapToGrid/>
              <w:spacing w:line="240" w:lineRule="auto"/>
              <w:contextualSpacing/>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差：目标、体系结合措施相对效果较差，现场可操作性相对不高，得1分。</w:t>
            </w:r>
          </w:p>
          <w:p w14:paraId="0EF22439">
            <w:pPr>
              <w:keepNext w:val="0"/>
              <w:keepLines w:val="0"/>
              <w:pageBreakBefore w:val="0"/>
              <w:widowControl/>
              <w:kinsoku/>
              <w:wordWrap/>
              <w:overflowPunct/>
              <w:topLinePunct w:val="0"/>
              <w:bidi w:val="0"/>
              <w:adjustRightInd/>
              <w:snapToGrid/>
              <w:spacing w:line="240" w:lineRule="auto"/>
              <w:contextualSpacing/>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未提供或评审内容不全的不得分。</w:t>
            </w:r>
          </w:p>
        </w:tc>
      </w:tr>
      <w:tr w14:paraId="4B0FE212">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91" w:type="dxa"/>
            <w:gridSpan w:val="2"/>
            <w:vMerge w:val="continue"/>
            <w:tcBorders>
              <w:left w:val="single" w:color="auto" w:sz="8" w:space="0"/>
              <w:right w:val="single" w:color="auto" w:sz="4" w:space="0"/>
            </w:tcBorders>
            <w:vAlign w:val="center"/>
          </w:tcPr>
          <w:p w14:paraId="6BC566B5">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p>
        </w:tc>
        <w:tc>
          <w:tcPr>
            <w:tcW w:w="702" w:type="dxa"/>
            <w:tcBorders>
              <w:left w:val="single" w:color="auto" w:sz="4" w:space="0"/>
              <w:bottom w:val="single" w:color="auto" w:sz="4" w:space="0"/>
              <w:right w:val="single" w:color="auto" w:sz="4" w:space="0"/>
            </w:tcBorders>
            <w:vAlign w:val="center"/>
          </w:tcPr>
          <w:p w14:paraId="1E7038F0">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安全控制措施</w:t>
            </w:r>
          </w:p>
        </w:tc>
        <w:tc>
          <w:tcPr>
            <w:tcW w:w="709" w:type="dxa"/>
            <w:tcBorders>
              <w:top w:val="single" w:color="auto" w:sz="4" w:space="0"/>
              <w:left w:val="single" w:color="auto" w:sz="4" w:space="0"/>
              <w:bottom w:val="single" w:color="auto" w:sz="4" w:space="0"/>
              <w:right w:val="single" w:color="auto" w:sz="4" w:space="0"/>
            </w:tcBorders>
            <w:vAlign w:val="center"/>
          </w:tcPr>
          <w:p w14:paraId="1D8039C7">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p>
        </w:tc>
        <w:tc>
          <w:tcPr>
            <w:tcW w:w="11395" w:type="dxa"/>
            <w:tcBorders>
              <w:top w:val="single" w:color="auto" w:sz="4" w:space="0"/>
              <w:left w:val="single" w:color="auto" w:sz="4" w:space="0"/>
              <w:bottom w:val="single" w:color="auto" w:sz="4" w:space="0"/>
              <w:right w:val="single" w:color="auto" w:sz="4" w:space="0"/>
            </w:tcBorders>
            <w:vAlign w:val="center"/>
          </w:tcPr>
          <w:p w14:paraId="5DD44F8F">
            <w:pPr>
              <w:keepNext w:val="0"/>
              <w:keepLines w:val="0"/>
              <w:pageBreakBefore w:val="0"/>
              <w:kinsoku/>
              <w:wordWrap/>
              <w:overflowPunct/>
              <w:topLinePunct w:val="0"/>
              <w:bidi w:val="0"/>
              <w:adjustRightInd/>
              <w:snapToGrid/>
              <w:spacing w:line="240" w:lineRule="auto"/>
              <w:contextualSpacing/>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针对本项目编制安全文明施工目标、安全文明施工管理体系、安全文明施工保证措施的，根据各投标单位提供的措施横向对比：</w:t>
            </w:r>
          </w:p>
          <w:p w14:paraId="0722DBE2">
            <w:pPr>
              <w:keepNext w:val="0"/>
              <w:keepLines w:val="0"/>
              <w:pageBreakBefore w:val="0"/>
              <w:kinsoku/>
              <w:wordWrap/>
              <w:overflowPunct/>
              <w:topLinePunct w:val="0"/>
              <w:bidi w:val="0"/>
              <w:adjustRightInd/>
              <w:snapToGrid/>
              <w:spacing w:line="240" w:lineRule="auto"/>
              <w:contextualSpacing/>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优：目标、体系结合措施效果显著、合理性相对较强、可操作性相对较强，得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p w14:paraId="361FD5F7">
            <w:pPr>
              <w:keepNext w:val="0"/>
              <w:keepLines w:val="0"/>
              <w:pageBreakBefore w:val="0"/>
              <w:kinsoku/>
              <w:wordWrap/>
              <w:overflowPunct/>
              <w:topLinePunct w:val="0"/>
              <w:bidi w:val="0"/>
              <w:adjustRightInd/>
              <w:snapToGrid/>
              <w:spacing w:line="240" w:lineRule="auto"/>
              <w:contextualSpacing/>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良：目标、体系结合措施相对有效、合理、可操作性相对良好，得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p w14:paraId="37C8BFAC">
            <w:pPr>
              <w:keepNext w:val="0"/>
              <w:keepLines w:val="0"/>
              <w:pageBreakBefore w:val="0"/>
              <w:kinsoku/>
              <w:wordWrap/>
              <w:overflowPunct/>
              <w:topLinePunct w:val="0"/>
              <w:bidi w:val="0"/>
              <w:adjustRightInd/>
              <w:snapToGrid/>
              <w:spacing w:line="240" w:lineRule="auto"/>
              <w:contextualSpacing/>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中：目标、体系结合措施相对效果一般，现场可操作性相对一般，得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p>
          <w:p w14:paraId="379BBE63">
            <w:pPr>
              <w:keepNext w:val="0"/>
              <w:keepLines w:val="0"/>
              <w:pageBreakBefore w:val="0"/>
              <w:kinsoku/>
              <w:wordWrap/>
              <w:overflowPunct/>
              <w:topLinePunct w:val="0"/>
              <w:bidi w:val="0"/>
              <w:adjustRightInd/>
              <w:snapToGrid/>
              <w:spacing w:line="240" w:lineRule="auto"/>
              <w:contextualSpacing/>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差：目标、体系结合措施相对效果较差，现场可操作性相对不高，得1分。</w:t>
            </w:r>
          </w:p>
          <w:p w14:paraId="3DAD6651">
            <w:pPr>
              <w:keepNext w:val="0"/>
              <w:keepLines w:val="0"/>
              <w:pageBreakBefore w:val="0"/>
              <w:kinsoku/>
              <w:wordWrap/>
              <w:overflowPunct/>
              <w:topLinePunct w:val="0"/>
              <w:bidi w:val="0"/>
              <w:adjustRightInd/>
              <w:snapToGrid/>
              <w:spacing w:line="240" w:lineRule="auto"/>
              <w:contextualSpacing/>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未提供或评审内容不全的不得分。</w:t>
            </w:r>
          </w:p>
        </w:tc>
      </w:tr>
      <w:tr w14:paraId="7C665E6D">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91" w:type="dxa"/>
            <w:gridSpan w:val="2"/>
            <w:vMerge w:val="continue"/>
            <w:tcBorders>
              <w:left w:val="single" w:color="auto" w:sz="8" w:space="0"/>
              <w:right w:val="single" w:color="auto" w:sz="4" w:space="0"/>
            </w:tcBorders>
            <w:vAlign w:val="center"/>
          </w:tcPr>
          <w:p w14:paraId="17CF953E">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p>
        </w:tc>
        <w:tc>
          <w:tcPr>
            <w:tcW w:w="702" w:type="dxa"/>
            <w:tcBorders>
              <w:left w:val="single" w:color="auto" w:sz="4" w:space="0"/>
              <w:right w:val="single" w:color="auto" w:sz="4" w:space="0"/>
            </w:tcBorders>
            <w:vAlign w:val="center"/>
          </w:tcPr>
          <w:p w14:paraId="100C588E">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绿色节能控制措施</w:t>
            </w:r>
          </w:p>
        </w:tc>
        <w:tc>
          <w:tcPr>
            <w:tcW w:w="709" w:type="dxa"/>
            <w:tcBorders>
              <w:top w:val="single" w:color="auto" w:sz="4" w:space="0"/>
              <w:left w:val="single" w:color="auto" w:sz="4" w:space="0"/>
              <w:right w:val="single" w:color="auto" w:sz="4" w:space="0"/>
            </w:tcBorders>
            <w:vAlign w:val="center"/>
          </w:tcPr>
          <w:p w14:paraId="5611A722">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p>
        </w:tc>
        <w:tc>
          <w:tcPr>
            <w:tcW w:w="11395" w:type="dxa"/>
            <w:tcBorders>
              <w:top w:val="single" w:color="auto" w:sz="4" w:space="0"/>
              <w:left w:val="single" w:color="auto" w:sz="4" w:space="0"/>
              <w:right w:val="single" w:color="auto" w:sz="4" w:space="0"/>
            </w:tcBorders>
            <w:vAlign w:val="center"/>
          </w:tcPr>
          <w:p w14:paraId="23E929B5">
            <w:pPr>
              <w:keepNext w:val="0"/>
              <w:keepLines w:val="0"/>
              <w:pageBreakBefore w:val="0"/>
              <w:kinsoku/>
              <w:wordWrap/>
              <w:overflowPunct/>
              <w:topLinePunct w:val="0"/>
              <w:bidi w:val="0"/>
              <w:adjustRightInd/>
              <w:snapToGrid/>
              <w:spacing w:line="240" w:lineRule="auto"/>
              <w:contextualSpacing/>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针对本项目编制绿色节能控制措施，以及材料消耗、环境保护、建筑废弃物的循序使用控制措施，根据各投标单位提供的措施横向对比：</w:t>
            </w:r>
          </w:p>
          <w:p w14:paraId="6A193BA7">
            <w:pPr>
              <w:keepNext w:val="0"/>
              <w:keepLines w:val="0"/>
              <w:pageBreakBefore w:val="0"/>
              <w:kinsoku/>
              <w:wordWrap/>
              <w:overflowPunct/>
              <w:topLinePunct w:val="0"/>
              <w:bidi w:val="0"/>
              <w:adjustRightInd/>
              <w:snapToGrid/>
              <w:spacing w:line="240" w:lineRule="auto"/>
              <w:contextualSpacing/>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优：措施效果显著、合理性相对较强、可操作性相对较强，得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p w14:paraId="2AA7398A">
            <w:pPr>
              <w:keepNext w:val="0"/>
              <w:keepLines w:val="0"/>
              <w:pageBreakBefore w:val="0"/>
              <w:kinsoku/>
              <w:wordWrap/>
              <w:overflowPunct/>
              <w:topLinePunct w:val="0"/>
              <w:bidi w:val="0"/>
              <w:adjustRightInd/>
              <w:snapToGrid/>
              <w:spacing w:line="240" w:lineRule="auto"/>
              <w:contextualSpacing/>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良：措施相对有效、合理、可操作性相对良好，得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p w14:paraId="16E62E57">
            <w:pPr>
              <w:keepNext w:val="0"/>
              <w:keepLines w:val="0"/>
              <w:pageBreakBefore w:val="0"/>
              <w:kinsoku/>
              <w:wordWrap/>
              <w:overflowPunct/>
              <w:topLinePunct w:val="0"/>
              <w:bidi w:val="0"/>
              <w:adjustRightInd/>
              <w:snapToGrid/>
              <w:spacing w:line="240" w:lineRule="auto"/>
              <w:contextualSpacing/>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中：措施相对效果一般，现场可操作性相对一般，得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p>
          <w:p w14:paraId="38E606DF">
            <w:pPr>
              <w:keepNext w:val="0"/>
              <w:keepLines w:val="0"/>
              <w:pageBreakBefore w:val="0"/>
              <w:kinsoku/>
              <w:wordWrap/>
              <w:overflowPunct/>
              <w:topLinePunct w:val="0"/>
              <w:bidi w:val="0"/>
              <w:adjustRightInd/>
              <w:snapToGrid/>
              <w:spacing w:line="240" w:lineRule="auto"/>
              <w:contextualSpacing/>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差：措施相对效果较差，现场可操作性相对不高，得1分。</w:t>
            </w:r>
          </w:p>
          <w:p w14:paraId="25E95963">
            <w:pPr>
              <w:keepNext w:val="0"/>
              <w:keepLines w:val="0"/>
              <w:pageBreakBefore w:val="0"/>
              <w:kinsoku/>
              <w:wordWrap/>
              <w:overflowPunct/>
              <w:topLinePunct w:val="0"/>
              <w:bidi w:val="0"/>
              <w:adjustRightInd/>
              <w:snapToGrid/>
              <w:spacing w:line="240" w:lineRule="auto"/>
              <w:contextualSpacing/>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未提供或评审内容不全的不得分。</w:t>
            </w:r>
          </w:p>
        </w:tc>
      </w:tr>
      <w:tr w14:paraId="58A98D70">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91" w:type="dxa"/>
            <w:gridSpan w:val="2"/>
            <w:vMerge w:val="continue"/>
            <w:tcBorders>
              <w:left w:val="single" w:color="auto" w:sz="8" w:space="0"/>
              <w:right w:val="single" w:color="auto" w:sz="4" w:space="0"/>
            </w:tcBorders>
            <w:vAlign w:val="center"/>
          </w:tcPr>
          <w:p w14:paraId="7B9603A6">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p>
        </w:tc>
        <w:tc>
          <w:tcPr>
            <w:tcW w:w="702" w:type="dxa"/>
            <w:tcBorders>
              <w:left w:val="single" w:color="auto" w:sz="4" w:space="0"/>
              <w:right w:val="single" w:color="auto" w:sz="4" w:space="0"/>
            </w:tcBorders>
            <w:vAlign w:val="center"/>
          </w:tcPr>
          <w:p w14:paraId="501E1808">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资源投入计划及保证措施</w:t>
            </w:r>
          </w:p>
        </w:tc>
        <w:tc>
          <w:tcPr>
            <w:tcW w:w="709" w:type="dxa"/>
            <w:tcBorders>
              <w:top w:val="single" w:color="auto" w:sz="4" w:space="0"/>
              <w:left w:val="single" w:color="auto" w:sz="4" w:space="0"/>
              <w:right w:val="single" w:color="auto" w:sz="4" w:space="0"/>
            </w:tcBorders>
            <w:vAlign w:val="center"/>
          </w:tcPr>
          <w:p w14:paraId="06F01319">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p>
        </w:tc>
        <w:tc>
          <w:tcPr>
            <w:tcW w:w="11395" w:type="dxa"/>
            <w:tcBorders>
              <w:top w:val="single" w:color="auto" w:sz="4" w:space="0"/>
              <w:left w:val="single" w:color="auto" w:sz="4" w:space="0"/>
              <w:right w:val="single" w:color="auto" w:sz="4" w:space="0"/>
            </w:tcBorders>
            <w:vAlign w:val="center"/>
          </w:tcPr>
          <w:p w14:paraId="3DB062F1">
            <w:pPr>
              <w:keepNext w:val="0"/>
              <w:keepLines w:val="0"/>
              <w:pageBreakBefore w:val="0"/>
              <w:kinsoku/>
              <w:wordWrap/>
              <w:overflowPunct/>
              <w:topLinePunct w:val="0"/>
              <w:bidi w:val="0"/>
              <w:adjustRightInd/>
              <w:snapToGrid/>
              <w:spacing w:line="240" w:lineRule="auto"/>
              <w:contextualSpacing/>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1、针对本项目特点，制定了相应的以下措施的，每个措施得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分，最高得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p>
          <w:p w14:paraId="2083B004">
            <w:pPr>
              <w:keepNext w:val="0"/>
              <w:keepLines w:val="0"/>
              <w:pageBreakBefore w:val="0"/>
              <w:kinsoku/>
              <w:wordWrap/>
              <w:overflowPunct/>
              <w:topLinePunct w:val="0"/>
              <w:bidi w:val="0"/>
              <w:adjustRightInd/>
              <w:snapToGrid/>
              <w:spacing w:line="240" w:lineRule="auto"/>
              <w:contextualSpacing/>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（1）编制了相应的劳动力投入计划和保证措施；</w:t>
            </w:r>
          </w:p>
          <w:p w14:paraId="588EE6CB">
            <w:pPr>
              <w:keepNext w:val="0"/>
              <w:keepLines w:val="0"/>
              <w:pageBreakBefore w:val="0"/>
              <w:kinsoku/>
              <w:wordWrap/>
              <w:overflowPunct/>
              <w:topLinePunct w:val="0"/>
              <w:bidi w:val="0"/>
              <w:adjustRightInd/>
              <w:snapToGrid/>
              <w:spacing w:line="240" w:lineRule="auto"/>
              <w:contextualSpacing/>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（2）编制了相应的机械设备投入计划和保证措施。</w:t>
            </w:r>
          </w:p>
          <w:p w14:paraId="667E2859">
            <w:pPr>
              <w:keepNext w:val="0"/>
              <w:keepLines w:val="0"/>
              <w:pageBreakBefore w:val="0"/>
              <w:kinsoku/>
              <w:wordWrap/>
              <w:overflowPunct/>
              <w:topLinePunct w:val="0"/>
              <w:bidi w:val="0"/>
              <w:adjustRightInd/>
              <w:snapToGrid/>
              <w:spacing w:line="240" w:lineRule="auto"/>
              <w:contextualSpacing/>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2、在包含上述2项措施基础上，根据方案的合理性和可行性进行加分：</w:t>
            </w:r>
          </w:p>
          <w:p w14:paraId="54CA8084">
            <w:pPr>
              <w:keepNext w:val="0"/>
              <w:keepLines w:val="0"/>
              <w:pageBreakBefore w:val="0"/>
              <w:kinsoku/>
              <w:wordWrap/>
              <w:overflowPunct/>
              <w:topLinePunct w:val="0"/>
              <w:bidi w:val="0"/>
              <w:adjustRightInd/>
              <w:snapToGrid/>
              <w:spacing w:line="240" w:lineRule="auto"/>
              <w:contextualSpacing/>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（1）措施全面、具体、合理，具有可操作性，完全能够回应招标文件和项目需求的加3分；</w:t>
            </w:r>
          </w:p>
          <w:p w14:paraId="7970D58B">
            <w:pPr>
              <w:keepNext w:val="0"/>
              <w:keepLines w:val="0"/>
              <w:pageBreakBefore w:val="0"/>
              <w:kinsoku/>
              <w:wordWrap/>
              <w:overflowPunct/>
              <w:topLinePunct w:val="0"/>
              <w:bidi w:val="0"/>
              <w:adjustRightInd/>
              <w:snapToGrid/>
              <w:spacing w:line="240" w:lineRule="auto"/>
              <w:contextualSpacing/>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（2）措施基本合理但不全面，具有一定可操作性，基本能够回应招标文件和项目需求的加2分；</w:t>
            </w:r>
          </w:p>
          <w:p w14:paraId="6B687CDA">
            <w:pPr>
              <w:keepNext w:val="0"/>
              <w:keepLines w:val="0"/>
              <w:pageBreakBefore w:val="0"/>
              <w:kinsoku/>
              <w:wordWrap/>
              <w:overflowPunct/>
              <w:topLinePunct w:val="0"/>
              <w:bidi w:val="0"/>
              <w:adjustRightInd/>
              <w:snapToGrid/>
              <w:spacing w:line="240" w:lineRule="auto"/>
              <w:contextualSpacing/>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（3）措施不够合理，操作性不强，回应招标文件和项目需求一般的加1分；</w:t>
            </w:r>
          </w:p>
          <w:p w14:paraId="36648E95">
            <w:pPr>
              <w:keepNext w:val="0"/>
              <w:keepLines w:val="0"/>
              <w:pageBreakBefore w:val="0"/>
              <w:kinsoku/>
              <w:wordWrap/>
              <w:overflowPunct/>
              <w:topLinePunct w:val="0"/>
              <w:bidi w:val="0"/>
              <w:adjustRightInd/>
              <w:snapToGrid/>
              <w:spacing w:line="240" w:lineRule="auto"/>
              <w:contextualSpacing/>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（4）其他或无响应的不得分。</w:t>
            </w:r>
          </w:p>
          <w:p w14:paraId="66391848">
            <w:pPr>
              <w:keepNext w:val="0"/>
              <w:keepLines w:val="0"/>
              <w:pageBreakBefore w:val="0"/>
              <w:kinsoku/>
              <w:wordWrap/>
              <w:overflowPunct/>
              <w:topLinePunct w:val="0"/>
              <w:bidi w:val="0"/>
              <w:adjustRightInd/>
              <w:snapToGrid/>
              <w:spacing w:line="240" w:lineRule="auto"/>
              <w:contextualSpacing/>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本项合计最高</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tc>
      </w:tr>
      <w:tr w14:paraId="42CC3113">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91" w:type="dxa"/>
            <w:gridSpan w:val="2"/>
            <w:vMerge w:val="continue"/>
            <w:tcBorders>
              <w:left w:val="single" w:color="auto" w:sz="8" w:space="0"/>
              <w:right w:val="single" w:color="auto" w:sz="4" w:space="0"/>
            </w:tcBorders>
            <w:vAlign w:val="center"/>
          </w:tcPr>
          <w:p w14:paraId="1E701B84">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p>
        </w:tc>
        <w:tc>
          <w:tcPr>
            <w:tcW w:w="702" w:type="dxa"/>
            <w:tcBorders>
              <w:left w:val="single" w:color="auto" w:sz="4" w:space="0"/>
              <w:right w:val="single" w:color="auto" w:sz="4" w:space="0"/>
            </w:tcBorders>
            <w:vAlign w:val="center"/>
          </w:tcPr>
          <w:p w14:paraId="4DE0A1AC">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管理团队</w:t>
            </w:r>
            <w:r>
              <w:rPr>
                <w:rFonts w:hint="eastAsia" w:ascii="宋体" w:hAnsi="宋体" w:eastAsia="宋体" w:cs="宋体"/>
                <w:b w:val="0"/>
                <w:bCs w:val="0"/>
                <w:color w:val="auto"/>
                <w:sz w:val="21"/>
                <w:szCs w:val="21"/>
                <w:highlight w:val="none"/>
                <w:lang w:eastAsia="zh-CN"/>
              </w:rPr>
              <w:t>述标</w:t>
            </w:r>
          </w:p>
        </w:tc>
        <w:tc>
          <w:tcPr>
            <w:tcW w:w="709" w:type="dxa"/>
            <w:tcBorders>
              <w:top w:val="single" w:color="auto" w:sz="4" w:space="0"/>
              <w:left w:val="single" w:color="auto" w:sz="4" w:space="0"/>
              <w:right w:val="single" w:color="auto" w:sz="4" w:space="0"/>
            </w:tcBorders>
            <w:vAlign w:val="center"/>
          </w:tcPr>
          <w:p w14:paraId="38EEAC5F">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25</w:t>
            </w:r>
          </w:p>
        </w:tc>
        <w:tc>
          <w:tcPr>
            <w:tcW w:w="11395" w:type="dxa"/>
            <w:tcBorders>
              <w:top w:val="single" w:color="auto" w:sz="4" w:space="0"/>
              <w:left w:val="single" w:color="auto" w:sz="4" w:space="0"/>
              <w:right w:val="single" w:color="auto" w:sz="4" w:space="0"/>
            </w:tcBorders>
            <w:vAlign w:val="center"/>
          </w:tcPr>
          <w:p w14:paraId="5799955D">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投标人派本项目拟投入项目负责人和拟投入技术负责人组成述标小组进行现场述标：</w:t>
            </w:r>
          </w:p>
          <w:p w14:paraId="005DB729">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（1）述标小组对本项目履约能力和履约水平的介绍，介绍时间不超过</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分钟；介绍内容包括但不限于：项目管理人员配备、施工安全、工期及质量管理，对本项目施工重点和难点的分析和应对措施。</w:t>
            </w:r>
          </w:p>
          <w:p w14:paraId="3BEDFEC7">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优秀：对项目情况认识清晰，项目管理人员配备专业，对项目的重点、难点理解到位，应对措施合理健全，对工程质量和工期、安全的保证措施合理可行，述标内容与标书内容一致性高，得</w:t>
            </w:r>
            <w:r>
              <w:rPr>
                <w:rFonts w:hint="eastAsia" w:ascii="宋体" w:hAnsi="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分；</w:t>
            </w:r>
          </w:p>
          <w:p w14:paraId="1F520222">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良好：对项目情况认识比较清晰，项目管理人员配备较为专业，对项目的重点、难点理解比较到位，应对措施较比较合理，对工程质量和工期、安全的保证措施比较合理可行，述标内容与标书内容一致性较高，得</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p>
          <w:p w14:paraId="23B4755B">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一般：对项目情况认识一般，项目管理人员配备满足基本要求，但重点、难点把握不准，应对措施欠合理，工程质量和工期、安全的保证措施欠合理，述标内容与标书内容一致性一般，得5分；</w:t>
            </w:r>
          </w:p>
          <w:p w14:paraId="7A63AC52">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差：对项目不了解，或述标内容与标书内容不一致，得0分。</w:t>
            </w:r>
          </w:p>
          <w:p w14:paraId="1D2F750A">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本小项最高得</w:t>
            </w:r>
            <w:r>
              <w:rPr>
                <w:rFonts w:hint="eastAsia" w:ascii="宋体" w:hAnsi="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分。</w:t>
            </w:r>
          </w:p>
          <w:p w14:paraId="6749E28D">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（2）投标人未按要求组成述标小组参加现场述标为0分。</w:t>
            </w:r>
          </w:p>
          <w:p w14:paraId="47BCA522">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注：（1）</w:t>
            </w:r>
            <w:r>
              <w:rPr>
                <w:rFonts w:hint="eastAsia" w:ascii="宋体" w:hAnsi="宋体" w:eastAsia="宋体" w:cs="宋体"/>
                <w:b w:val="0"/>
                <w:bCs w:val="0"/>
                <w:color w:val="auto"/>
                <w:sz w:val="21"/>
                <w:szCs w:val="21"/>
                <w:highlight w:val="none"/>
                <w:u w:val="none"/>
                <w:lang w:eastAsia="zh-CN"/>
              </w:rPr>
              <w:t>述标</w:t>
            </w:r>
            <w:r>
              <w:rPr>
                <w:rFonts w:hint="eastAsia" w:ascii="宋体" w:hAnsi="宋体" w:eastAsia="宋体" w:cs="宋体"/>
                <w:b w:val="0"/>
                <w:bCs w:val="0"/>
                <w:color w:val="auto"/>
                <w:sz w:val="21"/>
                <w:szCs w:val="21"/>
                <w:highlight w:val="none"/>
                <w:u w:val="none"/>
              </w:rPr>
              <w:t>顺序：顺序为“开标记录表”由上往下的顺序（即从序号1开始）。</w:t>
            </w:r>
          </w:p>
          <w:p w14:paraId="59BAEFBF">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w:t>
            </w:r>
            <w:r>
              <w:rPr>
                <w:rFonts w:hint="eastAsia" w:ascii="宋体" w:hAnsi="宋体" w:eastAsia="宋体" w:cs="宋体"/>
                <w:b w:val="0"/>
                <w:bCs w:val="0"/>
                <w:color w:val="auto"/>
                <w:sz w:val="21"/>
                <w:szCs w:val="21"/>
                <w:highlight w:val="none"/>
                <w:u w:val="none"/>
                <w:lang w:eastAsia="zh-CN"/>
              </w:rPr>
              <w:t>述标</w:t>
            </w:r>
            <w:r>
              <w:rPr>
                <w:rFonts w:hint="eastAsia" w:ascii="宋体" w:hAnsi="宋体" w:eastAsia="宋体" w:cs="宋体"/>
                <w:b w:val="0"/>
                <w:bCs w:val="0"/>
                <w:color w:val="auto"/>
                <w:sz w:val="21"/>
                <w:szCs w:val="21"/>
                <w:highlight w:val="none"/>
                <w:u w:val="none"/>
              </w:rPr>
              <w:t>人员的要求：投标人在参加</w:t>
            </w:r>
            <w:r>
              <w:rPr>
                <w:rFonts w:hint="eastAsia" w:ascii="宋体" w:hAnsi="宋体" w:eastAsia="宋体" w:cs="宋体"/>
                <w:b w:val="0"/>
                <w:bCs w:val="0"/>
                <w:color w:val="auto"/>
                <w:sz w:val="21"/>
                <w:szCs w:val="21"/>
                <w:highlight w:val="none"/>
                <w:u w:val="none"/>
                <w:lang w:eastAsia="zh-CN"/>
              </w:rPr>
              <w:t>述标</w:t>
            </w:r>
            <w:r>
              <w:rPr>
                <w:rFonts w:hint="eastAsia" w:ascii="宋体" w:hAnsi="宋体" w:eastAsia="宋体" w:cs="宋体"/>
                <w:b w:val="0"/>
                <w:bCs w:val="0"/>
                <w:color w:val="auto"/>
                <w:sz w:val="21"/>
                <w:szCs w:val="21"/>
                <w:highlight w:val="none"/>
                <w:u w:val="none"/>
              </w:rPr>
              <w:t>时，应向招标人（招标代理）提供一份加盖公章的法定代表人证明书及授权委托书，并展示讲解人员在本单位2025年</w:t>
            </w:r>
            <w:r>
              <w:rPr>
                <w:rFonts w:hint="eastAsia" w:ascii="宋体" w:hAnsi="宋体" w:eastAsia="宋体" w:cs="宋体"/>
                <w:b w:val="0"/>
                <w:bCs w:val="0"/>
                <w:color w:val="auto"/>
                <w:sz w:val="21"/>
                <w:szCs w:val="21"/>
                <w:highlight w:val="none"/>
                <w:u w:val="none"/>
                <w:lang w:eastAsia="zh-CN"/>
              </w:rPr>
              <w:t>4</w:t>
            </w:r>
            <w:r>
              <w:rPr>
                <w:rFonts w:hint="eastAsia" w:ascii="宋体" w:hAnsi="宋体" w:eastAsia="宋体" w:cs="宋体"/>
                <w:b w:val="0"/>
                <w:bCs w:val="0"/>
                <w:color w:val="auto"/>
                <w:sz w:val="21"/>
                <w:szCs w:val="21"/>
                <w:highlight w:val="none"/>
                <w:u w:val="none"/>
              </w:rPr>
              <w:t>月的有效社保证明复印件并加盖单位公章)、身份证原件，招标人（招标代理）核对确认身份后再进行</w:t>
            </w:r>
            <w:r>
              <w:rPr>
                <w:rFonts w:hint="eastAsia" w:ascii="宋体" w:hAnsi="宋体" w:eastAsia="宋体" w:cs="宋体"/>
                <w:b w:val="0"/>
                <w:bCs w:val="0"/>
                <w:color w:val="auto"/>
                <w:sz w:val="21"/>
                <w:szCs w:val="21"/>
                <w:highlight w:val="none"/>
                <w:u w:val="none"/>
                <w:lang w:eastAsia="zh-CN"/>
              </w:rPr>
              <w:t>述标</w:t>
            </w:r>
            <w:r>
              <w:rPr>
                <w:rFonts w:hint="eastAsia" w:ascii="宋体" w:hAnsi="宋体" w:eastAsia="宋体" w:cs="宋体"/>
                <w:b w:val="0"/>
                <w:bCs w:val="0"/>
                <w:color w:val="auto"/>
                <w:sz w:val="21"/>
                <w:szCs w:val="21"/>
                <w:highlight w:val="none"/>
                <w:u w:val="none"/>
              </w:rPr>
              <w:t>。未能出示前述证明文件的单位不予参加</w:t>
            </w:r>
            <w:r>
              <w:rPr>
                <w:rFonts w:hint="eastAsia" w:ascii="宋体" w:hAnsi="宋体" w:eastAsia="宋体" w:cs="宋体"/>
                <w:b w:val="0"/>
                <w:bCs w:val="0"/>
                <w:color w:val="auto"/>
                <w:sz w:val="21"/>
                <w:szCs w:val="21"/>
                <w:highlight w:val="none"/>
                <w:u w:val="none"/>
                <w:lang w:eastAsia="zh-CN"/>
              </w:rPr>
              <w:t>述标</w:t>
            </w:r>
            <w:r>
              <w:rPr>
                <w:rFonts w:hint="eastAsia" w:ascii="宋体" w:hAnsi="宋体" w:eastAsia="宋体" w:cs="宋体"/>
                <w:b w:val="0"/>
                <w:bCs w:val="0"/>
                <w:color w:val="auto"/>
                <w:sz w:val="21"/>
                <w:szCs w:val="21"/>
                <w:highlight w:val="none"/>
                <w:u w:val="none"/>
              </w:rPr>
              <w:t>环节。</w:t>
            </w:r>
          </w:p>
          <w:p w14:paraId="450D1367">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（3）</w:t>
            </w:r>
            <w:r>
              <w:rPr>
                <w:rFonts w:hint="eastAsia" w:ascii="宋体" w:hAnsi="宋体" w:eastAsia="宋体" w:cs="宋体"/>
                <w:b w:val="0"/>
                <w:bCs w:val="0"/>
                <w:color w:val="auto"/>
                <w:sz w:val="21"/>
                <w:szCs w:val="21"/>
                <w:highlight w:val="none"/>
                <w:u w:val="none"/>
                <w:lang w:eastAsia="zh-CN"/>
              </w:rPr>
              <w:t>述标</w:t>
            </w:r>
            <w:r>
              <w:rPr>
                <w:rFonts w:hint="eastAsia" w:ascii="宋体" w:hAnsi="宋体" w:eastAsia="宋体" w:cs="宋体"/>
                <w:b w:val="0"/>
                <w:bCs w:val="0"/>
                <w:color w:val="auto"/>
                <w:sz w:val="21"/>
                <w:szCs w:val="21"/>
                <w:highlight w:val="none"/>
                <w:u w:val="none"/>
              </w:rPr>
              <w:t>形式与要求：</w:t>
            </w:r>
            <w:r>
              <w:rPr>
                <w:rFonts w:hint="eastAsia" w:ascii="宋体" w:hAnsi="宋体" w:eastAsia="宋体" w:cs="宋体"/>
                <w:b w:val="0"/>
                <w:bCs w:val="0"/>
                <w:color w:val="auto"/>
                <w:sz w:val="21"/>
                <w:szCs w:val="21"/>
                <w:highlight w:val="none"/>
                <w:u w:val="none"/>
                <w:lang w:eastAsia="zh-CN"/>
              </w:rPr>
              <w:t>述标</w:t>
            </w:r>
            <w:r>
              <w:rPr>
                <w:rFonts w:hint="eastAsia" w:ascii="宋体" w:hAnsi="宋体" w:eastAsia="宋体" w:cs="宋体"/>
                <w:b w:val="0"/>
                <w:bCs w:val="0"/>
                <w:color w:val="auto"/>
                <w:sz w:val="21"/>
                <w:szCs w:val="21"/>
                <w:highlight w:val="none"/>
                <w:u w:val="none"/>
              </w:rPr>
              <w:t>环节在评标时进行，具体时间根据评标委员会评审进度而定；招标人（招标代理）在</w:t>
            </w:r>
            <w:r>
              <w:rPr>
                <w:rFonts w:hint="eastAsia" w:ascii="宋体" w:hAnsi="宋体" w:eastAsia="宋体" w:cs="宋体"/>
                <w:b w:val="0"/>
                <w:bCs w:val="0"/>
                <w:color w:val="auto"/>
                <w:sz w:val="21"/>
                <w:szCs w:val="21"/>
                <w:highlight w:val="none"/>
                <w:u w:val="none"/>
                <w:lang w:eastAsia="zh-CN"/>
              </w:rPr>
              <w:t>述标</w:t>
            </w:r>
            <w:r>
              <w:rPr>
                <w:rFonts w:hint="eastAsia" w:ascii="宋体" w:hAnsi="宋体" w:eastAsia="宋体" w:cs="宋体"/>
                <w:b w:val="0"/>
                <w:bCs w:val="0"/>
                <w:color w:val="auto"/>
                <w:sz w:val="21"/>
                <w:szCs w:val="21"/>
                <w:highlight w:val="none"/>
                <w:u w:val="none"/>
              </w:rPr>
              <w:t>开始前通知通过</w:t>
            </w:r>
            <w:r>
              <w:rPr>
                <w:rFonts w:hint="eastAsia" w:ascii="宋体" w:hAnsi="宋体" w:cs="宋体"/>
                <w:b w:val="0"/>
                <w:bCs w:val="0"/>
                <w:color w:val="auto"/>
                <w:sz w:val="21"/>
                <w:szCs w:val="21"/>
                <w:highlight w:val="none"/>
                <w:u w:val="none"/>
                <w:lang w:val="en-US" w:eastAsia="zh-CN"/>
              </w:rPr>
              <w:t>初步评审</w:t>
            </w:r>
            <w:r>
              <w:rPr>
                <w:rFonts w:hint="eastAsia" w:ascii="宋体" w:hAnsi="宋体" w:eastAsia="宋体" w:cs="宋体"/>
                <w:b w:val="0"/>
                <w:bCs w:val="0"/>
                <w:color w:val="auto"/>
                <w:sz w:val="21"/>
                <w:szCs w:val="21"/>
                <w:highlight w:val="none"/>
                <w:u w:val="none"/>
              </w:rPr>
              <w:t>的投标人到达</w:t>
            </w:r>
            <w:r>
              <w:rPr>
                <w:rFonts w:hint="eastAsia" w:ascii="宋体" w:hAnsi="宋体" w:eastAsia="宋体" w:cs="宋体"/>
                <w:b w:val="0"/>
                <w:bCs w:val="0"/>
                <w:color w:val="auto"/>
                <w:sz w:val="21"/>
                <w:szCs w:val="21"/>
                <w:highlight w:val="none"/>
                <w:u w:val="none"/>
                <w:lang w:eastAsia="zh-CN"/>
              </w:rPr>
              <w:t>述标</w:t>
            </w:r>
            <w:r>
              <w:rPr>
                <w:rFonts w:hint="eastAsia" w:ascii="宋体" w:hAnsi="宋体" w:eastAsia="宋体" w:cs="宋体"/>
                <w:b w:val="0"/>
                <w:bCs w:val="0"/>
                <w:color w:val="auto"/>
                <w:sz w:val="21"/>
                <w:szCs w:val="21"/>
                <w:highlight w:val="none"/>
                <w:u w:val="none"/>
              </w:rPr>
              <w:t>地点（</w:t>
            </w:r>
            <w:r>
              <w:rPr>
                <w:rFonts w:hint="eastAsia" w:ascii="宋体" w:hAnsi="宋体" w:eastAsia="宋体" w:cs="宋体"/>
                <w:b w:val="0"/>
                <w:bCs w:val="0"/>
                <w:color w:val="auto"/>
                <w:sz w:val="21"/>
                <w:szCs w:val="21"/>
                <w:highlight w:val="none"/>
                <w:u w:val="none"/>
                <w:lang w:eastAsia="zh-CN"/>
              </w:rPr>
              <w:t>述标</w:t>
            </w:r>
            <w:r>
              <w:rPr>
                <w:rFonts w:hint="eastAsia" w:ascii="宋体" w:hAnsi="宋体" w:eastAsia="宋体" w:cs="宋体"/>
                <w:b w:val="0"/>
                <w:bCs w:val="0"/>
                <w:color w:val="auto"/>
                <w:sz w:val="21"/>
                <w:szCs w:val="21"/>
                <w:highlight w:val="none"/>
                <w:u w:val="none"/>
              </w:rPr>
              <w:t>人员应预留出足够的时间，并保持通讯畅通）。</w:t>
            </w:r>
          </w:p>
          <w:p w14:paraId="34C40624">
            <w:pPr>
              <w:keepNext w:val="0"/>
              <w:keepLines w:val="0"/>
              <w:pageBreakBefore w:val="0"/>
              <w:kinsoku/>
              <w:wordWrap/>
              <w:overflowPunct/>
              <w:topLinePunct w:val="0"/>
              <w:bidi w:val="0"/>
              <w:adjustRightInd/>
              <w:snapToGrid/>
              <w:spacing w:line="240" w:lineRule="auto"/>
              <w:ind w:firstLine="420" w:firstLineChars="200"/>
              <w:contextualSpacing/>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u w:val="none"/>
              </w:rPr>
              <w:t>（4）</w:t>
            </w:r>
            <w:r>
              <w:rPr>
                <w:rFonts w:hint="eastAsia" w:ascii="宋体" w:hAnsi="宋体" w:eastAsia="宋体" w:cs="宋体"/>
                <w:b w:val="0"/>
                <w:bCs w:val="0"/>
                <w:color w:val="auto"/>
                <w:sz w:val="21"/>
                <w:szCs w:val="21"/>
                <w:highlight w:val="none"/>
                <w:u w:val="none"/>
                <w:lang w:eastAsia="zh-CN"/>
              </w:rPr>
              <w:t>述标</w:t>
            </w:r>
            <w:r>
              <w:rPr>
                <w:rFonts w:hint="eastAsia" w:ascii="宋体" w:hAnsi="宋体" w:eastAsia="宋体" w:cs="宋体"/>
                <w:b w:val="0"/>
                <w:bCs w:val="0"/>
                <w:color w:val="auto"/>
                <w:sz w:val="21"/>
                <w:szCs w:val="21"/>
                <w:highlight w:val="none"/>
                <w:u w:val="none"/>
              </w:rPr>
              <w:t>时长控制：每家投标人陈述时长不超过</w:t>
            </w:r>
            <w:r>
              <w:rPr>
                <w:rFonts w:hint="eastAsia" w:ascii="宋体" w:hAnsi="宋体" w:cs="宋体"/>
                <w:b w:val="0"/>
                <w:bCs w:val="0"/>
                <w:color w:val="auto"/>
                <w:sz w:val="21"/>
                <w:szCs w:val="21"/>
                <w:highlight w:val="none"/>
                <w:u w:val="none"/>
                <w:lang w:val="en-US" w:eastAsia="zh-CN"/>
              </w:rPr>
              <w:t>10</w:t>
            </w:r>
            <w:r>
              <w:rPr>
                <w:rFonts w:hint="eastAsia" w:ascii="宋体" w:hAnsi="宋体" w:eastAsia="宋体" w:cs="宋体"/>
                <w:b w:val="0"/>
                <w:bCs w:val="0"/>
                <w:color w:val="auto"/>
                <w:sz w:val="21"/>
                <w:szCs w:val="21"/>
                <w:highlight w:val="none"/>
                <w:u w:val="none"/>
              </w:rPr>
              <w:t>分钟。</w:t>
            </w:r>
          </w:p>
        </w:tc>
      </w:tr>
      <w:tr w14:paraId="173693E6">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93" w:type="dxa"/>
            <w:gridSpan w:val="3"/>
            <w:tcBorders>
              <w:top w:val="single" w:color="auto" w:sz="4" w:space="0"/>
              <w:left w:val="single" w:color="auto" w:sz="8" w:space="0"/>
              <w:bottom w:val="single" w:color="auto" w:sz="4" w:space="0"/>
              <w:right w:val="single" w:color="auto" w:sz="4" w:space="0"/>
            </w:tcBorders>
            <w:vAlign w:val="center"/>
          </w:tcPr>
          <w:p w14:paraId="4B290589">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合计（一+二）</w:t>
            </w:r>
          </w:p>
        </w:tc>
        <w:tc>
          <w:tcPr>
            <w:tcW w:w="709" w:type="dxa"/>
            <w:tcBorders>
              <w:top w:val="single" w:color="auto" w:sz="4" w:space="0"/>
              <w:left w:val="single" w:color="auto" w:sz="4" w:space="0"/>
              <w:bottom w:val="single" w:color="auto" w:sz="4" w:space="0"/>
              <w:right w:val="single" w:color="auto" w:sz="4" w:space="0"/>
            </w:tcBorders>
            <w:vAlign w:val="center"/>
          </w:tcPr>
          <w:p w14:paraId="10556664">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100</w:t>
            </w:r>
          </w:p>
        </w:tc>
        <w:tc>
          <w:tcPr>
            <w:tcW w:w="11395" w:type="dxa"/>
            <w:tcBorders>
              <w:top w:val="single" w:color="auto" w:sz="4" w:space="0"/>
              <w:left w:val="single" w:color="auto" w:sz="4" w:space="0"/>
              <w:bottom w:val="single" w:color="auto" w:sz="4" w:space="0"/>
              <w:right w:val="single" w:color="auto" w:sz="4" w:space="0"/>
            </w:tcBorders>
            <w:vAlign w:val="center"/>
          </w:tcPr>
          <w:p w14:paraId="0C0ADDF2">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p>
        </w:tc>
      </w:tr>
    </w:tbl>
    <w:p w14:paraId="270A8B75">
      <w:pPr>
        <w:pStyle w:val="39"/>
        <w:snapToGrid w:val="0"/>
        <w:spacing w:before="0" w:beforeAutospacing="0" w:after="0" w:afterAutospacing="0" w:line="360" w:lineRule="auto"/>
        <w:ind w:firstLine="420" w:firstLineChars="200"/>
        <w:jc w:val="both"/>
        <w:rPr>
          <w:rFonts w:hint="eastAsia" w:asciiTheme="minorEastAsia" w:hAnsiTheme="minorEastAsia" w:eastAsiaTheme="minorEastAsia" w:cstheme="minorEastAsia"/>
          <w:bCs/>
          <w:color w:val="auto"/>
          <w:kern w:val="2"/>
          <w:sz w:val="21"/>
          <w:szCs w:val="21"/>
          <w:highlight w:val="none"/>
          <w:u w:val="none"/>
        </w:rPr>
      </w:pPr>
      <w:r>
        <w:rPr>
          <w:rFonts w:hint="eastAsia" w:asciiTheme="minorEastAsia" w:hAnsiTheme="minorEastAsia" w:eastAsiaTheme="minorEastAsia" w:cstheme="minorEastAsia"/>
          <w:bCs/>
          <w:color w:val="auto"/>
          <w:kern w:val="2"/>
          <w:sz w:val="21"/>
          <w:szCs w:val="21"/>
          <w:highlight w:val="none"/>
          <w:u w:val="none"/>
        </w:rPr>
        <w:t>注：1</w:t>
      </w:r>
      <w:r>
        <w:rPr>
          <w:rFonts w:hint="eastAsia" w:asciiTheme="minorEastAsia" w:hAnsiTheme="minorEastAsia" w:eastAsiaTheme="minorEastAsia" w:cstheme="minorEastAsia"/>
          <w:bCs/>
          <w:color w:val="auto"/>
          <w:kern w:val="2"/>
          <w:szCs w:val="21"/>
          <w:highlight w:val="none"/>
          <w:u w:val="none"/>
        </w:rPr>
        <w:t>、评标委员会各成员评分汇总后的算术平均值作为</w:t>
      </w:r>
      <w:r>
        <w:rPr>
          <w:rFonts w:hint="eastAsia" w:asciiTheme="minorEastAsia" w:hAnsiTheme="minorEastAsia" w:eastAsiaTheme="minorEastAsia" w:cstheme="minorEastAsia"/>
          <w:bCs/>
          <w:color w:val="auto"/>
          <w:kern w:val="2"/>
          <w:szCs w:val="21"/>
          <w:highlight w:val="none"/>
          <w:u w:val="none"/>
          <w:lang w:eastAsia="zh-CN"/>
        </w:rPr>
        <w:t>工程总承包实施方案</w:t>
      </w:r>
      <w:r>
        <w:rPr>
          <w:rFonts w:hint="eastAsia" w:asciiTheme="minorEastAsia" w:hAnsiTheme="minorEastAsia" w:eastAsiaTheme="minorEastAsia" w:cstheme="minorEastAsia"/>
          <w:bCs/>
          <w:color w:val="auto"/>
          <w:kern w:val="2"/>
          <w:szCs w:val="21"/>
          <w:highlight w:val="none"/>
          <w:u w:val="none"/>
        </w:rPr>
        <w:t>得分。分数出现小数点，保留小数点后二位，第三位小数四舍五入。</w:t>
      </w:r>
    </w:p>
    <w:p w14:paraId="1479E7F4">
      <w:pPr>
        <w:pStyle w:val="39"/>
        <w:snapToGrid w:val="0"/>
        <w:spacing w:before="0" w:beforeAutospacing="0" w:after="0" w:afterAutospacing="0" w:line="360" w:lineRule="auto"/>
        <w:ind w:firstLine="420" w:firstLineChars="200"/>
        <w:jc w:val="both"/>
        <w:rPr>
          <w:rFonts w:ascii="宋体" w:hAnsi="宋体"/>
          <w:color w:val="auto"/>
          <w:kern w:val="2"/>
          <w:highlight w:val="none"/>
        </w:rPr>
      </w:pPr>
      <w:r>
        <w:rPr>
          <w:rFonts w:hint="eastAsia" w:asciiTheme="minorEastAsia" w:hAnsiTheme="minorEastAsia" w:eastAsiaTheme="minorEastAsia" w:cstheme="minorEastAsia"/>
          <w:bCs/>
          <w:color w:val="auto"/>
          <w:kern w:val="2"/>
          <w:sz w:val="21"/>
          <w:szCs w:val="21"/>
          <w:highlight w:val="none"/>
          <w:u w:val="none"/>
        </w:rPr>
        <w:t>2、在同一主观因素打分中，当</w:t>
      </w:r>
      <w:bookmarkStart w:id="496" w:name="OLE_LINK124"/>
      <w:r>
        <w:rPr>
          <w:rFonts w:hint="eastAsia" w:asciiTheme="minorEastAsia" w:hAnsiTheme="minorEastAsia" w:eastAsiaTheme="minorEastAsia" w:cstheme="minorEastAsia"/>
          <w:bCs/>
          <w:color w:val="auto"/>
          <w:kern w:val="2"/>
          <w:sz w:val="21"/>
          <w:szCs w:val="21"/>
          <w:highlight w:val="none"/>
          <w:u w:val="none"/>
        </w:rPr>
        <w:t>评标委员会各成员</w:t>
      </w:r>
      <w:bookmarkEnd w:id="496"/>
      <w:r>
        <w:rPr>
          <w:rFonts w:hint="eastAsia" w:asciiTheme="minorEastAsia" w:hAnsiTheme="minorEastAsia" w:eastAsiaTheme="minorEastAsia" w:cstheme="minorEastAsia"/>
          <w:bCs/>
          <w:color w:val="auto"/>
          <w:kern w:val="2"/>
          <w:sz w:val="21"/>
          <w:szCs w:val="21"/>
          <w:highlight w:val="none"/>
          <w:u w:val="none"/>
        </w:rPr>
        <w:t>对同一投标文件同时给出最高档、最低档评分时，评标委员会负责人组织评标委员会各成员集体会商，如会商后有关评标委员会成员仍坚持同时给出最高档、最低档评分的，应各自以书面方式阐述其意见和理由并记录在评标报告。</w:t>
      </w:r>
    </w:p>
    <w:p w14:paraId="33080335">
      <w:pPr>
        <w:adjustRightInd w:val="0"/>
        <w:snapToGrid w:val="0"/>
        <w:spacing w:line="360" w:lineRule="auto"/>
        <w:ind w:firstLine="482" w:firstLineChars="200"/>
        <w:rPr>
          <w:rFonts w:ascii="宋体" w:hAnsi="宋体"/>
          <w:color w:val="auto"/>
          <w:highlight w:val="none"/>
        </w:rPr>
      </w:pPr>
      <w:r>
        <w:rPr>
          <w:rFonts w:ascii="宋体" w:hAnsi="宋体"/>
          <w:b/>
          <w:color w:val="auto"/>
          <w:sz w:val="24"/>
          <w:highlight w:val="none"/>
        </w:rPr>
        <w:br w:type="page"/>
      </w:r>
    </w:p>
    <w:p w14:paraId="58CB1563">
      <w:pPr>
        <w:ind w:firstLine="482"/>
        <w:jc w:val="left"/>
        <w:rPr>
          <w:rFonts w:ascii="宋体" w:hAnsi="宋体"/>
          <w:b/>
          <w:color w:val="auto"/>
          <w:sz w:val="24"/>
          <w:highlight w:val="none"/>
        </w:rPr>
        <w:sectPr>
          <w:pgSz w:w="16838" w:h="11906" w:orient="landscape"/>
          <w:pgMar w:top="1440" w:right="1080" w:bottom="1440" w:left="1080" w:header="850" w:footer="992" w:gutter="0"/>
          <w:cols w:space="720" w:num="1"/>
          <w:docGrid w:type="lines" w:linePitch="426" w:charSpace="0"/>
        </w:sectPr>
      </w:pPr>
    </w:p>
    <w:p w14:paraId="3A0C899A">
      <w:pPr>
        <w:pStyle w:val="3"/>
        <w:keepNext/>
        <w:keepLines/>
        <w:pageBreakBefore w:val="0"/>
        <w:widowControl w:val="0"/>
        <w:kinsoku/>
        <w:wordWrap/>
        <w:overflowPunct/>
        <w:topLinePunct w:val="0"/>
        <w:autoSpaceDE/>
        <w:autoSpaceDN/>
        <w:bidi w:val="0"/>
        <w:adjustRightInd/>
        <w:snapToGrid/>
        <w:spacing w:before="0" w:after="0" w:line="296" w:lineRule="auto"/>
        <w:jc w:val="center"/>
        <w:textAlignment w:val="auto"/>
        <w:rPr>
          <w:rFonts w:ascii="宋体" w:hAnsi="宋体" w:eastAsia="宋体"/>
          <w:color w:val="auto"/>
          <w:highlight w:val="none"/>
        </w:rPr>
      </w:pPr>
      <w:bookmarkStart w:id="497" w:name="_Toc165358845"/>
      <w:r>
        <w:rPr>
          <w:rFonts w:hint="eastAsia" w:ascii="宋体" w:hAnsi="宋体" w:eastAsia="宋体"/>
          <w:color w:val="auto"/>
          <w:highlight w:val="none"/>
          <w:u w:val="single"/>
        </w:rPr>
        <w:t>定标办法</w:t>
      </w:r>
      <w:bookmarkEnd w:id="497"/>
    </w:p>
    <w:p w14:paraId="580D1188">
      <w:pPr>
        <w:spacing w:before="0" w:after="0"/>
        <w:ind w:firstLineChars="20"/>
        <w:outlineLvl w:val="1"/>
        <w:rPr>
          <w:rFonts w:hint="eastAsia" w:ascii="宋体" w:hAnsi="宋体" w:eastAsia="宋体" w:cs="宋体"/>
          <w:b/>
          <w:bCs/>
          <w:color w:val="auto"/>
          <w:kern w:val="0"/>
          <w:sz w:val="32"/>
          <w:szCs w:val="32"/>
          <w:highlight w:val="none"/>
        </w:rPr>
      </w:pPr>
      <w:bookmarkStart w:id="498" w:name="_Toc165358846"/>
      <w:bookmarkStart w:id="499" w:name="_Toc2504"/>
      <w:bookmarkStart w:id="500" w:name="_Toc5544"/>
      <w:bookmarkStart w:id="501" w:name="_Toc28700"/>
      <w:bookmarkStart w:id="502" w:name="_Toc1140"/>
      <w:bookmarkStart w:id="503" w:name="_Toc27351"/>
      <w:bookmarkStart w:id="504" w:name="_Toc10171"/>
      <w:bookmarkStart w:id="505" w:name="_Toc4464"/>
      <w:bookmarkStart w:id="506" w:name="_Toc12040"/>
      <w:bookmarkStart w:id="507" w:name="_Toc7530"/>
      <w:r>
        <w:rPr>
          <w:rFonts w:hint="eastAsia" w:ascii="宋体" w:hAnsi="宋体" w:eastAsia="宋体" w:cs="宋体"/>
          <w:b/>
          <w:bCs/>
          <w:color w:val="auto"/>
          <w:kern w:val="0"/>
          <w:sz w:val="32"/>
          <w:szCs w:val="32"/>
          <w:highlight w:val="none"/>
        </w:rPr>
        <w:t>1.定标办法、程序和细则</w:t>
      </w:r>
      <w:bookmarkEnd w:id="498"/>
    </w:p>
    <w:p w14:paraId="359219D5">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1.1 评标结束后，招标人须公示合格的中标候选人，公示期为三天。定标由招标人依法依规组建的定标委员会负责，成员数量为5人或以上单数。在评标委员会推荐的合格中标候选人中推荐中标人。</w:t>
      </w:r>
    </w:p>
    <w:p w14:paraId="5DF44DEB">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1.2 定标时间和地点：</w:t>
      </w:r>
    </w:p>
    <w:p w14:paraId="6C39A8D3">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招标人在评标结束后5个工作日内在广州交易集团有限公司（广州公共资源交易中心）举行定标会议，招标人按规定程序在投标人须知的时间和地点完成定标工作。</w:t>
      </w:r>
    </w:p>
    <w:p w14:paraId="0E623409">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1.3定标规则及程序</w:t>
      </w:r>
    </w:p>
    <w:p w14:paraId="59D4EA24">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1.3.1 本项目采用“</w:t>
      </w:r>
      <w:r>
        <w:rPr>
          <w:rFonts w:hint="eastAsia" w:ascii="宋体" w:hAnsi="宋体" w:cs="宋体"/>
          <w:color w:val="auto"/>
          <w:highlight w:val="none"/>
          <w:u w:val="single"/>
          <w:lang w:val="en-US" w:eastAsia="zh-CN"/>
        </w:rPr>
        <w:t>评分法</w:t>
      </w:r>
      <w:r>
        <w:rPr>
          <w:rFonts w:hint="eastAsia" w:ascii="宋体" w:hAnsi="宋体" w:cs="宋体"/>
          <w:color w:val="auto"/>
          <w:szCs w:val="21"/>
          <w:highlight w:val="none"/>
          <w:u w:val="single"/>
        </w:rPr>
        <w:t>”定标，</w:t>
      </w:r>
      <w:r>
        <w:rPr>
          <w:rFonts w:hint="eastAsia" w:ascii="宋体" w:hAnsi="宋体" w:cs="宋体"/>
          <w:color w:val="auto"/>
          <w:highlight w:val="none"/>
          <w:u w:val="single"/>
        </w:rPr>
        <w:t>决出中标人，并推荐得分最高的为中标人。定标结束后，定标委员会向招标人递交定标报告，定标方法如下：</w:t>
      </w:r>
    </w:p>
    <w:p w14:paraId="7CD3D8A7">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1.3.2 定标工作开始后，定标委员会负责人</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组长</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主持当次定标会议。</w:t>
      </w:r>
    </w:p>
    <w:p w14:paraId="396A02AE">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1.3.3 定标辅助资料为评标阶段的评标报告、投标人提交的投标文件与定标文件。</w:t>
      </w:r>
    </w:p>
    <w:p w14:paraId="2FA86878">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1.3.4 定标委员会根据定标辅助资料，在同等条件下，定标因素具体评价标准详见附表：《定标因素评审表》</w:t>
      </w:r>
    </w:p>
    <w:p w14:paraId="51C96BED">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1.3.5 将所有定标委员会成员对同一投标人的评分进行相加，总分最高的为中标人。</w:t>
      </w:r>
    </w:p>
    <w:p w14:paraId="3C7411D8">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1.3.6定标委员会根据评分情况确定第一名为中标人。</w:t>
      </w:r>
    </w:p>
    <w:p w14:paraId="42078632">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1.3.7 编写定标报告，定标委员会全体确认后签署定标报告。</w:t>
      </w:r>
      <w:r>
        <w:rPr>
          <w:rFonts w:hint="eastAsia" w:ascii="宋体" w:hAnsi="宋体" w:cs="宋体"/>
          <w:color w:val="auto"/>
          <w:highlight w:val="none"/>
          <w:u w:val="single"/>
        </w:rPr>
        <w:t>定标报告由定标委员会全体成员签字，对定标结论持有异议的成员应以书面方式阐述其不同意见和理由。</w:t>
      </w:r>
    </w:p>
    <w:p w14:paraId="36B69A5B">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1.4因质疑或投诉生效，需要重新评标或定标的，评标、定标信息仍以投标截止时投标人的信息为准。因特殊原因需要延长投标有效期，投标人拒绝延长投标有效期的，仍参与</w:t>
      </w:r>
      <w:bookmarkStart w:id="508" w:name="_Hlk186402684"/>
      <w:r>
        <w:rPr>
          <w:rFonts w:hint="eastAsia" w:ascii="宋体" w:hAnsi="宋体" w:cs="宋体"/>
          <w:color w:val="auto"/>
          <w:highlight w:val="none"/>
          <w:u w:val="single"/>
        </w:rPr>
        <w:t>重新</w:t>
      </w:r>
      <w:bookmarkEnd w:id="508"/>
      <w:r>
        <w:rPr>
          <w:rFonts w:hint="eastAsia" w:ascii="宋体" w:hAnsi="宋体" w:cs="宋体"/>
          <w:color w:val="auto"/>
          <w:szCs w:val="21"/>
          <w:highlight w:val="none"/>
          <w:u w:val="single"/>
        </w:rPr>
        <w:t>评标、定标，但不被推荐为中标候选人</w:t>
      </w:r>
      <w:r>
        <w:rPr>
          <w:rFonts w:hint="eastAsia" w:ascii="宋体" w:hAnsi="宋体" w:cs="宋体"/>
          <w:color w:val="auto"/>
          <w:highlight w:val="none"/>
          <w:u w:val="single"/>
        </w:rPr>
        <w:t>或中标人</w:t>
      </w:r>
      <w:r>
        <w:rPr>
          <w:rFonts w:hint="eastAsia" w:ascii="宋体" w:hAnsi="宋体" w:cs="宋体"/>
          <w:color w:val="auto"/>
          <w:szCs w:val="21"/>
          <w:highlight w:val="none"/>
          <w:u w:val="single"/>
        </w:rPr>
        <w:t>。</w:t>
      </w:r>
    </w:p>
    <w:p w14:paraId="46F39E3B">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1.5定标委员会向招标人提交书面定标报告后即解散，定标过程中使用的文件、表格以及其他资料不得私自带离。</w:t>
      </w:r>
    </w:p>
    <w:p w14:paraId="1A66AFB7">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1.6招标人应当在定标工作完成后的3日内公示中标结果。</w:t>
      </w:r>
      <w:r>
        <w:rPr>
          <w:rFonts w:hint="eastAsia" w:ascii="宋体" w:hAnsi="宋体" w:cs="宋体"/>
          <w:color w:val="auto"/>
          <w:highlight w:val="none"/>
          <w:u w:val="single"/>
        </w:rPr>
        <w:t>公示内容包括：定标时间、所有合格的中标候选人的评分结果、中标人等内容。</w:t>
      </w:r>
    </w:p>
    <w:p w14:paraId="5869AE1D">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1.7定标后出现中标人不符合法定情形的，招标人可从其他合格的中标候选人中采用原定标办法，由原定标委员会确定中标人，也可以重新招标。</w:t>
      </w:r>
    </w:p>
    <w:p w14:paraId="09632B11">
      <w:pPr>
        <w:spacing w:line="360" w:lineRule="auto"/>
        <w:ind w:firstLine="420" w:firstLineChars="200"/>
        <w:rPr>
          <w:rFonts w:ascii="宋体" w:hAnsi="宋体" w:cs="宋体"/>
          <w:color w:val="auto"/>
          <w:highlight w:val="none"/>
          <w:u w:val="single"/>
        </w:rPr>
      </w:pPr>
      <w:r>
        <w:rPr>
          <w:rFonts w:hint="eastAsia" w:ascii="宋体" w:hAnsi="宋体" w:cs="宋体"/>
          <w:color w:val="auto"/>
          <w:szCs w:val="21"/>
          <w:highlight w:val="none"/>
          <w:u w:val="single"/>
        </w:rPr>
        <w:t>1.8</w:t>
      </w:r>
      <w:r>
        <w:rPr>
          <w:rFonts w:hint="eastAsia" w:ascii="宋体" w:hAnsi="宋体" w:cs="宋体"/>
          <w:color w:val="auto"/>
          <w:highlight w:val="none"/>
          <w:u w:val="single"/>
        </w:rPr>
        <w:t>中标人放弃中标、因不可抗力不能履行合同，或者被查实存在影响中标结果的违法行为等不符合法定情形，不符合中标条件的，招标人可以从其他合格的中标候选人中采用原定标办法，由原定标委员会确定中标人，也可以重新招标。</w:t>
      </w:r>
    </w:p>
    <w:p w14:paraId="260F04BC">
      <w:pPr>
        <w:keepNext/>
        <w:keepLines/>
        <w:spacing w:line="360" w:lineRule="auto"/>
        <w:outlineLvl w:val="1"/>
        <w:rPr>
          <w:rFonts w:ascii="宋体" w:hAnsi="宋体" w:cs="宋体"/>
          <w:b/>
          <w:bCs/>
          <w:color w:val="auto"/>
          <w:kern w:val="0"/>
          <w:sz w:val="32"/>
          <w:szCs w:val="32"/>
          <w:highlight w:val="none"/>
        </w:rPr>
      </w:pPr>
      <w:bookmarkStart w:id="509" w:name="_Toc26117"/>
      <w:bookmarkStart w:id="510" w:name="_Toc375931100"/>
      <w:bookmarkStart w:id="511" w:name="_Toc14911"/>
      <w:bookmarkStart w:id="512" w:name="_Toc7183"/>
      <w:bookmarkStart w:id="513" w:name="_Toc930"/>
      <w:bookmarkStart w:id="514" w:name="_Toc165358847"/>
      <w:bookmarkStart w:id="515" w:name="_Toc20085"/>
      <w:bookmarkStart w:id="516" w:name="_Toc29753"/>
      <w:bookmarkStart w:id="517" w:name="_Toc485211106"/>
      <w:bookmarkStart w:id="518" w:name="_Toc86413342"/>
      <w:bookmarkStart w:id="519" w:name="_Toc12943"/>
      <w:bookmarkStart w:id="520" w:name="_Toc26712"/>
      <w:bookmarkStart w:id="521" w:name="_Toc30003"/>
      <w:r>
        <w:rPr>
          <w:rFonts w:hint="eastAsia" w:ascii="宋体" w:hAnsi="宋体" w:cs="宋体"/>
          <w:b/>
          <w:bCs/>
          <w:color w:val="auto"/>
          <w:kern w:val="0"/>
          <w:sz w:val="32"/>
          <w:szCs w:val="32"/>
          <w:highlight w:val="none"/>
        </w:rPr>
        <w:t>2. 定标表格</w:t>
      </w:r>
      <w:bookmarkEnd w:id="509"/>
      <w:bookmarkEnd w:id="510"/>
      <w:bookmarkEnd w:id="511"/>
      <w:bookmarkEnd w:id="512"/>
      <w:bookmarkEnd w:id="513"/>
      <w:bookmarkEnd w:id="514"/>
      <w:bookmarkEnd w:id="515"/>
      <w:bookmarkEnd w:id="516"/>
      <w:bookmarkEnd w:id="517"/>
      <w:bookmarkEnd w:id="518"/>
      <w:bookmarkEnd w:id="519"/>
      <w:bookmarkEnd w:id="520"/>
      <w:bookmarkEnd w:id="521"/>
    </w:p>
    <w:p w14:paraId="4C7055A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见后附。</w:t>
      </w:r>
    </w:p>
    <w:p w14:paraId="65A55E02">
      <w:pPr>
        <w:rPr>
          <w:rFonts w:ascii="宋体" w:hAnsi="宋体"/>
          <w:color w:val="auto"/>
          <w:highlight w:val="none"/>
        </w:rPr>
      </w:pPr>
    </w:p>
    <w:p w14:paraId="67AE6B6B">
      <w:pPr>
        <w:rPr>
          <w:rFonts w:ascii="宋体" w:hAnsi="宋体"/>
          <w:color w:val="auto"/>
          <w:highlight w:val="none"/>
        </w:rPr>
        <w:sectPr>
          <w:pgSz w:w="11905" w:h="16838"/>
          <w:pgMar w:top="1134" w:right="1417" w:bottom="1134" w:left="1417" w:header="567" w:footer="850" w:gutter="0"/>
          <w:cols w:space="720" w:num="1"/>
          <w:docGrid w:linePitch="312" w:charSpace="0"/>
        </w:sectPr>
      </w:pPr>
    </w:p>
    <w:p w14:paraId="665E97CC">
      <w:pPr>
        <w:pStyle w:val="4"/>
        <w:spacing w:before="0" w:after="0" w:line="360" w:lineRule="auto"/>
        <w:ind w:firstLine="0" w:firstLineChars="0"/>
        <w:rPr>
          <w:rFonts w:ascii="宋体" w:eastAsia="宋体"/>
          <w:b/>
          <w:color w:val="auto"/>
          <w:highlight w:val="none"/>
        </w:rPr>
      </w:pPr>
      <w:bookmarkStart w:id="522" w:name="_Toc183701653"/>
      <w:r>
        <w:rPr>
          <w:rFonts w:hint="eastAsia" w:ascii="宋体" w:eastAsia="宋体"/>
          <w:b/>
          <w:color w:val="auto"/>
          <w:highlight w:val="none"/>
        </w:rPr>
        <w:t>定标附表</w:t>
      </w:r>
      <w:r>
        <w:rPr>
          <w:rFonts w:ascii="宋体" w:eastAsia="宋体"/>
          <w:b/>
          <w:color w:val="auto"/>
          <w:highlight w:val="none"/>
        </w:rPr>
        <w:t>1</w:t>
      </w:r>
      <w:bookmarkStart w:id="523" w:name="_Hlk181818401"/>
      <w:r>
        <w:rPr>
          <w:rFonts w:hint="eastAsia" w:ascii="宋体" w:eastAsia="宋体"/>
          <w:b/>
          <w:color w:val="auto"/>
          <w:highlight w:val="none"/>
        </w:rPr>
        <w:t>定标</w:t>
      </w:r>
      <w:bookmarkEnd w:id="523"/>
      <w:r>
        <w:rPr>
          <w:rFonts w:hint="eastAsia" w:ascii="宋体" w:eastAsia="宋体"/>
          <w:b/>
          <w:color w:val="auto"/>
          <w:highlight w:val="none"/>
        </w:rPr>
        <w:t>因素评审表</w:t>
      </w:r>
      <w:bookmarkEnd w:id="522"/>
    </w:p>
    <w:p w14:paraId="7C87EB18">
      <w:pPr>
        <w:adjustRightInd w:val="0"/>
        <w:spacing w:line="360" w:lineRule="auto"/>
        <w:jc w:val="center"/>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定标因素评审表</w:t>
      </w:r>
    </w:p>
    <w:p w14:paraId="3ADCF573">
      <w:pPr>
        <w:jc w:val="center"/>
        <w:rPr>
          <w:rFonts w:ascii="宋体" w:hAnsi="宋体" w:cs="宋体"/>
          <w:b/>
          <w:color w:val="auto"/>
          <w:sz w:val="28"/>
          <w:szCs w:val="28"/>
          <w:highlight w:val="none"/>
        </w:rPr>
      </w:pPr>
      <w:r>
        <w:rPr>
          <w:rFonts w:hint="eastAsia" w:ascii="宋体" w:hAnsi="宋体" w:cs="宋体"/>
          <w:b/>
          <w:color w:val="auto"/>
          <w:sz w:val="28"/>
          <w:szCs w:val="28"/>
          <w:highlight w:val="none"/>
        </w:rPr>
        <w:t>定标因素表（定标阶段用表）</w:t>
      </w:r>
    </w:p>
    <w:p w14:paraId="7B9DB76A">
      <w:pPr>
        <w:jc w:val="left"/>
        <w:rPr>
          <w:rFonts w:ascii="宋体" w:hAnsi="宋体" w:cs="宋体"/>
          <w:color w:val="auto"/>
          <w:szCs w:val="21"/>
          <w:highlight w:val="none"/>
        </w:rPr>
      </w:pPr>
    </w:p>
    <w:p w14:paraId="69774F71">
      <w:pPr>
        <w:jc w:val="left"/>
        <w:rPr>
          <w:rFonts w:ascii="宋体" w:hAnsi="宋体" w:cs="宋体"/>
          <w:color w:val="auto"/>
          <w:szCs w:val="21"/>
          <w:highlight w:val="none"/>
        </w:rPr>
      </w:pPr>
      <w:r>
        <w:rPr>
          <w:rFonts w:hint="eastAsia" w:ascii="宋体" w:hAnsi="宋体" w:cs="宋体"/>
          <w:color w:val="auto"/>
          <w:szCs w:val="21"/>
          <w:highlight w:val="none"/>
        </w:rPr>
        <w:t>工程名称：</w:t>
      </w:r>
    </w:p>
    <w:tbl>
      <w:tblPr>
        <w:tblStyle w:val="45"/>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749"/>
        <w:gridCol w:w="7099"/>
      </w:tblGrid>
      <w:tr w14:paraId="06EF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blHeader/>
          <w:jc w:val="center"/>
        </w:trPr>
        <w:tc>
          <w:tcPr>
            <w:tcW w:w="992" w:type="dxa"/>
            <w:tcBorders>
              <w:top w:val="single" w:color="auto" w:sz="4" w:space="0"/>
              <w:left w:val="single" w:color="auto" w:sz="4" w:space="0"/>
              <w:bottom w:val="single" w:color="auto" w:sz="4" w:space="0"/>
              <w:right w:val="single" w:color="auto" w:sz="4" w:space="0"/>
            </w:tcBorders>
            <w:vAlign w:val="center"/>
          </w:tcPr>
          <w:p w14:paraId="545606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749" w:type="dxa"/>
            <w:tcBorders>
              <w:top w:val="single" w:color="auto" w:sz="4" w:space="0"/>
              <w:left w:val="single" w:color="auto" w:sz="4" w:space="0"/>
              <w:bottom w:val="single" w:color="auto" w:sz="4" w:space="0"/>
              <w:right w:val="single" w:color="auto" w:sz="4" w:space="0"/>
            </w:tcBorders>
            <w:vAlign w:val="center"/>
          </w:tcPr>
          <w:p w14:paraId="52E5E6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评价项目</w:t>
            </w:r>
          </w:p>
        </w:tc>
        <w:tc>
          <w:tcPr>
            <w:tcW w:w="7099" w:type="dxa"/>
            <w:tcBorders>
              <w:top w:val="single" w:color="auto" w:sz="4" w:space="0"/>
              <w:left w:val="single" w:color="auto" w:sz="4" w:space="0"/>
              <w:bottom w:val="single" w:color="auto" w:sz="4" w:space="0"/>
              <w:right w:val="single" w:color="auto" w:sz="4" w:space="0"/>
            </w:tcBorders>
            <w:vAlign w:val="center"/>
          </w:tcPr>
          <w:p w14:paraId="350D8F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定标评价的内容</w:t>
            </w:r>
          </w:p>
        </w:tc>
      </w:tr>
      <w:tr w14:paraId="72B70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92" w:type="dxa"/>
            <w:vMerge w:val="restart"/>
            <w:tcBorders>
              <w:top w:val="single" w:color="auto" w:sz="4" w:space="0"/>
              <w:left w:val="single" w:color="auto" w:sz="4" w:space="0"/>
              <w:right w:val="single" w:color="auto" w:sz="4" w:space="0"/>
            </w:tcBorders>
            <w:vAlign w:val="center"/>
          </w:tcPr>
          <w:p w14:paraId="2A53D4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749" w:type="dxa"/>
            <w:vMerge w:val="restart"/>
            <w:tcBorders>
              <w:top w:val="single" w:color="auto" w:sz="4" w:space="0"/>
              <w:left w:val="single" w:color="auto" w:sz="4" w:space="0"/>
              <w:right w:val="single" w:color="auto" w:sz="4" w:space="0"/>
            </w:tcBorders>
            <w:vAlign w:val="center"/>
          </w:tcPr>
          <w:p w14:paraId="6ABE53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方案因素</w:t>
            </w:r>
          </w:p>
          <w:p w14:paraId="7C4306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100分）</w:t>
            </w:r>
          </w:p>
        </w:tc>
        <w:tc>
          <w:tcPr>
            <w:tcW w:w="7099" w:type="dxa"/>
            <w:tcBorders>
              <w:top w:val="single" w:color="auto" w:sz="4" w:space="0"/>
              <w:left w:val="single" w:color="auto" w:sz="4" w:space="0"/>
              <w:bottom w:val="single" w:color="auto" w:sz="4" w:space="0"/>
              <w:right w:val="single" w:color="auto" w:sz="4" w:space="0"/>
            </w:tcBorders>
            <w:vAlign w:val="center"/>
          </w:tcPr>
          <w:p w14:paraId="407C1AB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定标委员会对合格的中标候选人的项目实施组织方案综合横向比较评审：</w:t>
            </w:r>
          </w:p>
          <w:p w14:paraId="42C55DE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优得</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30</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20）分；</w:t>
            </w:r>
          </w:p>
          <w:p w14:paraId="322BA44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良得</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20</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10）分；</w:t>
            </w:r>
          </w:p>
          <w:p w14:paraId="19268BB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一般得</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10</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0）分；</w:t>
            </w:r>
          </w:p>
          <w:p w14:paraId="55494D7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4）</w:t>
            </w:r>
            <w:r>
              <w:rPr>
                <w:rFonts w:hint="eastAsia" w:ascii="宋体" w:hAnsi="宋体" w:eastAsia="宋体" w:cs="宋体"/>
                <w:color w:val="auto"/>
                <w:sz w:val="21"/>
                <w:szCs w:val="21"/>
                <w:highlight w:val="none"/>
              </w:rPr>
              <w:t>无方案的得</w:t>
            </w:r>
            <w:r>
              <w:rPr>
                <w:rFonts w:ascii="宋体" w:hAnsi="宋体" w:eastAsia="宋体" w:cs="宋体"/>
                <w:color w:val="auto"/>
                <w:sz w:val="21"/>
                <w:szCs w:val="21"/>
                <w:highlight w:val="none"/>
              </w:rPr>
              <w:t>0</w:t>
            </w:r>
            <w:r>
              <w:rPr>
                <w:rFonts w:hint="eastAsia" w:ascii="宋体" w:hAnsi="宋体" w:eastAsia="宋体" w:cs="宋体"/>
                <w:color w:val="auto"/>
                <w:sz w:val="21"/>
                <w:szCs w:val="21"/>
                <w:highlight w:val="none"/>
              </w:rPr>
              <w:t>分</w:t>
            </w:r>
          </w:p>
        </w:tc>
      </w:tr>
      <w:tr w14:paraId="36B3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92" w:type="dxa"/>
            <w:vMerge w:val="continue"/>
            <w:tcBorders>
              <w:top w:val="single" w:color="auto" w:sz="4" w:space="0"/>
              <w:left w:val="single" w:color="auto" w:sz="4" w:space="0"/>
              <w:right w:val="single" w:color="auto" w:sz="4" w:space="0"/>
            </w:tcBorders>
            <w:vAlign w:val="center"/>
          </w:tcPr>
          <w:p w14:paraId="570FFA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color w:val="auto"/>
                <w:sz w:val="21"/>
                <w:szCs w:val="21"/>
                <w:highlight w:val="none"/>
              </w:rPr>
            </w:pPr>
          </w:p>
        </w:tc>
        <w:tc>
          <w:tcPr>
            <w:tcW w:w="1749" w:type="dxa"/>
            <w:vMerge w:val="continue"/>
            <w:tcBorders>
              <w:top w:val="single" w:color="auto" w:sz="4" w:space="0"/>
              <w:left w:val="single" w:color="auto" w:sz="4" w:space="0"/>
              <w:right w:val="single" w:color="auto" w:sz="4" w:space="0"/>
            </w:tcBorders>
            <w:vAlign w:val="center"/>
          </w:tcPr>
          <w:p w14:paraId="371FFD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color w:val="auto"/>
                <w:sz w:val="21"/>
                <w:szCs w:val="21"/>
                <w:highlight w:val="none"/>
              </w:rPr>
            </w:pPr>
          </w:p>
        </w:tc>
        <w:tc>
          <w:tcPr>
            <w:tcW w:w="7099" w:type="dxa"/>
            <w:tcBorders>
              <w:top w:val="single" w:color="auto" w:sz="4" w:space="0"/>
              <w:left w:val="single" w:color="auto" w:sz="4" w:space="0"/>
              <w:bottom w:val="single" w:color="auto" w:sz="4" w:space="0"/>
              <w:right w:val="single" w:color="auto" w:sz="4" w:space="0"/>
            </w:tcBorders>
            <w:vAlign w:val="center"/>
          </w:tcPr>
          <w:p w14:paraId="0F91252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定标委员会对合格的中标候选人的项目成本控制措施进行评审：</w:t>
            </w:r>
          </w:p>
          <w:p w14:paraId="000631F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针对本项目制定成本控制目标、相应的保障措施及成本控制风险防范措施，从成本控制管理等方面提出详细的建议，措施建议完善、可行</w:t>
            </w:r>
            <w:r>
              <w:rPr>
                <w:rFonts w:hint="eastAsia" w:ascii="宋体" w:hAnsi="宋体" w:cs="宋体"/>
                <w:color w:val="auto"/>
                <w:sz w:val="21"/>
                <w:szCs w:val="21"/>
                <w:highlight w:val="none"/>
                <w:lang w:val="en-US" w:eastAsia="zh-CN"/>
              </w:rPr>
              <w:t>性</w:t>
            </w:r>
            <w:r>
              <w:rPr>
                <w:rFonts w:hint="eastAsia" w:ascii="宋体" w:hAnsi="宋体" w:eastAsia="宋体" w:cs="宋体"/>
                <w:color w:val="auto"/>
                <w:sz w:val="21"/>
                <w:szCs w:val="21"/>
                <w:highlight w:val="none"/>
              </w:rPr>
              <w:t>强的，得</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30</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20）分；</w:t>
            </w:r>
          </w:p>
          <w:p w14:paraId="696CFE4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针对本项目制定成本控制目标、相应的保障措施及成本控制风险防范措施，从成本控制管理等方面提出详细的建议，措施建议较好的，得</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20</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10）；</w:t>
            </w:r>
          </w:p>
          <w:p w14:paraId="3C0A2F7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针对本项目制定成本控制目标、相应的保障措施及成本控制风险防范措施，从成本控制管理等方面提出详细的建议，措施建议一般的，得</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10</w:t>
            </w:r>
            <w:r>
              <w:rPr>
                <w:rFonts w:ascii="宋体" w:hAnsi="宋体" w:eastAsia="宋体" w:cs="宋体"/>
                <w:color w:val="auto"/>
                <w:sz w:val="21"/>
                <w:szCs w:val="21"/>
                <w:highlight w:val="none"/>
              </w:rPr>
              <w:t>-3）分；</w:t>
            </w:r>
          </w:p>
          <w:p w14:paraId="77EE918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4</w:t>
            </w:r>
            <w:r>
              <w:rPr>
                <w:rFonts w:hint="eastAsia" w:ascii="宋体" w:hAnsi="宋体" w:eastAsia="宋体" w:cs="宋体"/>
                <w:color w:val="auto"/>
                <w:sz w:val="21"/>
                <w:szCs w:val="21"/>
                <w:highlight w:val="none"/>
              </w:rPr>
              <w:t>）不满足前述要求者或不提供的内容的，得</w:t>
            </w:r>
            <w:r>
              <w:rPr>
                <w:rFonts w:ascii="宋体" w:hAnsi="宋体" w:eastAsia="宋体" w:cs="宋体"/>
                <w:color w:val="auto"/>
                <w:sz w:val="21"/>
                <w:szCs w:val="21"/>
                <w:highlight w:val="none"/>
              </w:rPr>
              <w:t>[3-0]分。</w:t>
            </w:r>
          </w:p>
        </w:tc>
      </w:tr>
      <w:tr w14:paraId="36E0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92" w:type="dxa"/>
            <w:vMerge w:val="continue"/>
            <w:tcBorders>
              <w:left w:val="single" w:color="auto" w:sz="4" w:space="0"/>
              <w:right w:val="single" w:color="auto" w:sz="4" w:space="0"/>
            </w:tcBorders>
            <w:vAlign w:val="center"/>
          </w:tcPr>
          <w:p w14:paraId="513824C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cs="宋体"/>
                <w:color w:val="auto"/>
                <w:sz w:val="21"/>
                <w:szCs w:val="21"/>
                <w:highlight w:val="none"/>
              </w:rPr>
            </w:pPr>
          </w:p>
        </w:tc>
        <w:tc>
          <w:tcPr>
            <w:tcW w:w="1749" w:type="dxa"/>
            <w:vMerge w:val="continue"/>
            <w:tcBorders>
              <w:left w:val="single" w:color="auto" w:sz="4" w:space="0"/>
              <w:right w:val="single" w:color="auto" w:sz="4" w:space="0"/>
            </w:tcBorders>
            <w:vAlign w:val="center"/>
          </w:tcPr>
          <w:p w14:paraId="4914B44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cs="宋体"/>
                <w:color w:val="auto"/>
                <w:sz w:val="21"/>
                <w:szCs w:val="21"/>
                <w:highlight w:val="none"/>
              </w:rPr>
            </w:pPr>
          </w:p>
        </w:tc>
        <w:tc>
          <w:tcPr>
            <w:tcW w:w="7099" w:type="dxa"/>
            <w:tcBorders>
              <w:top w:val="single" w:color="auto" w:sz="4" w:space="0"/>
              <w:left w:val="single" w:color="auto" w:sz="4" w:space="0"/>
              <w:bottom w:val="single" w:color="auto" w:sz="4" w:space="0"/>
              <w:right w:val="single" w:color="auto" w:sz="4" w:space="0"/>
            </w:tcBorders>
            <w:vAlign w:val="center"/>
          </w:tcPr>
          <w:p w14:paraId="2287923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定标委员会对合格的中标候选人的农民工工资保障措施进行评审：</w:t>
            </w:r>
          </w:p>
          <w:p w14:paraId="114A7A1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针对本项目制定应急周转资金制度、工程款支付担保制度，从农民工工资保障等方面提出详细的保证措施，措施完善、可行</w:t>
            </w:r>
            <w:r>
              <w:rPr>
                <w:rFonts w:hint="eastAsia" w:ascii="宋体" w:hAnsi="宋体" w:cs="宋体"/>
                <w:color w:val="auto"/>
                <w:sz w:val="21"/>
                <w:szCs w:val="21"/>
                <w:highlight w:val="none"/>
                <w:lang w:val="en-US" w:eastAsia="zh-CN"/>
              </w:rPr>
              <w:t>性</w:t>
            </w:r>
            <w:r>
              <w:rPr>
                <w:rFonts w:hint="eastAsia" w:ascii="宋体" w:hAnsi="宋体" w:eastAsia="宋体" w:cs="宋体"/>
                <w:color w:val="auto"/>
                <w:sz w:val="21"/>
                <w:szCs w:val="21"/>
                <w:highlight w:val="none"/>
              </w:rPr>
              <w:t>强的，得</w:t>
            </w:r>
            <w:r>
              <w:rPr>
                <w:rFonts w:ascii="宋体" w:hAnsi="宋体" w:eastAsia="宋体" w:cs="宋体"/>
                <w:color w:val="auto"/>
                <w:sz w:val="21"/>
                <w:szCs w:val="21"/>
                <w:highlight w:val="none"/>
              </w:rPr>
              <w:t>[20-15</w:t>
            </w:r>
            <w:r>
              <w:rPr>
                <w:rFonts w:hint="eastAsia" w:ascii="宋体" w:hAnsi="宋体" w:eastAsia="宋体" w:cs="宋体"/>
                <w:color w:val="auto"/>
                <w:sz w:val="21"/>
                <w:szCs w:val="21"/>
                <w:highlight w:val="none"/>
              </w:rPr>
              <w:t>）分；</w:t>
            </w:r>
          </w:p>
          <w:p w14:paraId="6FC6A91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针对本项目制定应急周转资金制度、工程款支付担保制度，从农民工工资保障等方面提出详细的保证措施，措施较好的，得</w:t>
            </w:r>
            <w:r>
              <w:rPr>
                <w:rFonts w:ascii="宋体" w:hAnsi="宋体" w:eastAsia="宋体" w:cs="宋体"/>
                <w:color w:val="auto"/>
                <w:sz w:val="21"/>
                <w:szCs w:val="21"/>
                <w:highlight w:val="none"/>
              </w:rPr>
              <w:t>[15-</w:t>
            </w:r>
            <w:r>
              <w:rPr>
                <w:rFonts w:hint="eastAsia" w:ascii="宋体" w:hAnsi="宋体" w:eastAsia="宋体" w:cs="宋体"/>
                <w:color w:val="auto"/>
                <w:sz w:val="21"/>
                <w:szCs w:val="21"/>
                <w:highlight w:val="none"/>
              </w:rPr>
              <w:t>10）；</w:t>
            </w:r>
          </w:p>
          <w:p w14:paraId="6D9685E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针对本项目制定应急周转资金制度、工程款支付担保制度，从农民工工资保障等方面提出详细的保证措施，措施一般的，得</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10</w:t>
            </w:r>
            <w:r>
              <w:rPr>
                <w:rFonts w:ascii="宋体" w:hAnsi="宋体" w:eastAsia="宋体" w:cs="宋体"/>
                <w:color w:val="auto"/>
                <w:sz w:val="21"/>
                <w:szCs w:val="21"/>
                <w:highlight w:val="none"/>
              </w:rPr>
              <w:t>-3）分；</w:t>
            </w:r>
          </w:p>
          <w:p w14:paraId="69155C0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4</w:t>
            </w:r>
            <w:r>
              <w:rPr>
                <w:rFonts w:hint="eastAsia" w:ascii="宋体" w:hAnsi="宋体" w:eastAsia="宋体" w:cs="宋体"/>
                <w:color w:val="auto"/>
                <w:sz w:val="21"/>
                <w:szCs w:val="21"/>
                <w:highlight w:val="none"/>
              </w:rPr>
              <w:t>）不满足前述要求者或不提供的内容的，得</w:t>
            </w:r>
            <w:r>
              <w:rPr>
                <w:rFonts w:ascii="宋体" w:hAnsi="宋体" w:eastAsia="宋体" w:cs="宋体"/>
                <w:color w:val="auto"/>
                <w:sz w:val="21"/>
                <w:szCs w:val="21"/>
                <w:highlight w:val="none"/>
              </w:rPr>
              <w:t>[3-0]分。</w:t>
            </w:r>
          </w:p>
        </w:tc>
      </w:tr>
      <w:tr w14:paraId="62609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 w:type="dxa"/>
            <w:vMerge w:val="continue"/>
            <w:tcBorders>
              <w:left w:val="single" w:color="auto" w:sz="4" w:space="0"/>
              <w:right w:val="single" w:color="auto" w:sz="4" w:space="0"/>
            </w:tcBorders>
            <w:vAlign w:val="center"/>
          </w:tcPr>
          <w:p w14:paraId="25AD480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cs="宋体"/>
                <w:color w:val="auto"/>
                <w:sz w:val="21"/>
                <w:szCs w:val="21"/>
                <w:highlight w:val="none"/>
              </w:rPr>
            </w:pPr>
          </w:p>
        </w:tc>
        <w:tc>
          <w:tcPr>
            <w:tcW w:w="1749" w:type="dxa"/>
            <w:vMerge w:val="continue"/>
            <w:tcBorders>
              <w:left w:val="single" w:color="auto" w:sz="4" w:space="0"/>
              <w:right w:val="single" w:color="auto" w:sz="4" w:space="0"/>
            </w:tcBorders>
            <w:vAlign w:val="center"/>
          </w:tcPr>
          <w:p w14:paraId="0425F48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cs="宋体"/>
                <w:color w:val="auto"/>
                <w:sz w:val="21"/>
                <w:szCs w:val="21"/>
                <w:highlight w:val="none"/>
              </w:rPr>
            </w:pPr>
          </w:p>
        </w:tc>
        <w:tc>
          <w:tcPr>
            <w:tcW w:w="7099" w:type="dxa"/>
            <w:tcBorders>
              <w:top w:val="single" w:color="auto" w:sz="4" w:space="0"/>
              <w:left w:val="single" w:color="auto" w:sz="4" w:space="0"/>
              <w:bottom w:val="single" w:color="auto" w:sz="4" w:space="0"/>
              <w:right w:val="single" w:color="auto" w:sz="4" w:space="0"/>
            </w:tcBorders>
            <w:vAlign w:val="center"/>
          </w:tcPr>
          <w:p w14:paraId="09E3AB2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鼓励合格的中标候选人将建筑业科技创新应用在项目中：</w:t>
            </w:r>
          </w:p>
          <w:p w14:paraId="40F90D2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）将本项目运用</w:t>
            </w:r>
            <w:r>
              <w:rPr>
                <w:rFonts w:ascii="宋体" w:hAnsi="宋体" w:eastAsia="宋体" w:cs="宋体"/>
                <w:color w:val="auto"/>
                <w:sz w:val="21"/>
                <w:szCs w:val="21"/>
                <w:highlight w:val="none"/>
              </w:rPr>
              <w:t xml:space="preserve"> BIM 技术及装配式建筑的要求提出新技术应用方案的合理性、可行性</w:t>
            </w:r>
            <w:r>
              <w:rPr>
                <w:rFonts w:hint="eastAsia" w:ascii="宋体" w:hAnsi="宋体" w:cs="宋体"/>
                <w:color w:val="auto"/>
                <w:sz w:val="21"/>
                <w:szCs w:val="21"/>
                <w:highlight w:val="none"/>
                <w:lang w:val="en-US" w:eastAsia="zh-CN"/>
              </w:rPr>
              <w:t>强的</w:t>
            </w:r>
            <w:r>
              <w:rPr>
                <w:rFonts w:hint="eastAsia" w:ascii="宋体" w:hAnsi="宋体" w:eastAsia="宋体" w:cs="宋体"/>
                <w:color w:val="auto"/>
                <w:sz w:val="21"/>
                <w:szCs w:val="21"/>
                <w:highlight w:val="none"/>
              </w:rPr>
              <w:t>，得</w:t>
            </w:r>
            <w:r>
              <w:rPr>
                <w:rFonts w:ascii="宋体" w:hAnsi="宋体" w:eastAsia="宋体" w:cs="宋体"/>
                <w:color w:val="auto"/>
                <w:sz w:val="21"/>
                <w:szCs w:val="21"/>
                <w:highlight w:val="none"/>
              </w:rPr>
              <w:t>[20-15）分；</w:t>
            </w:r>
          </w:p>
          <w:p w14:paraId="71BD40E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将本项目运用</w:t>
            </w:r>
            <w:r>
              <w:rPr>
                <w:rFonts w:ascii="宋体" w:hAnsi="宋体" w:eastAsia="宋体" w:cs="宋体"/>
                <w:color w:val="auto"/>
                <w:sz w:val="21"/>
                <w:szCs w:val="21"/>
                <w:highlight w:val="none"/>
              </w:rPr>
              <w:t xml:space="preserve"> BIM </w:t>
            </w:r>
            <w:r>
              <w:rPr>
                <w:rFonts w:hint="eastAsia" w:ascii="宋体" w:hAnsi="宋体" w:eastAsia="宋体" w:cs="宋体"/>
                <w:color w:val="auto"/>
                <w:sz w:val="21"/>
                <w:szCs w:val="21"/>
                <w:highlight w:val="none"/>
              </w:rPr>
              <w:t>技术及装配式建筑的要求提出新技术应用方案的合理性、可行性</w:t>
            </w:r>
            <w:r>
              <w:rPr>
                <w:rFonts w:hint="eastAsia" w:ascii="宋体" w:hAnsi="宋体" w:cs="宋体"/>
                <w:color w:val="auto"/>
                <w:sz w:val="21"/>
                <w:szCs w:val="21"/>
                <w:highlight w:val="none"/>
                <w:lang w:val="en-US" w:eastAsia="zh-CN"/>
              </w:rPr>
              <w:t>较好的</w:t>
            </w:r>
            <w:r>
              <w:rPr>
                <w:rFonts w:hint="eastAsia" w:ascii="宋体" w:hAnsi="宋体" w:eastAsia="宋体" w:cs="宋体"/>
                <w:color w:val="auto"/>
                <w:sz w:val="21"/>
                <w:szCs w:val="21"/>
                <w:highlight w:val="none"/>
              </w:rPr>
              <w:t>，得</w:t>
            </w:r>
            <w:r>
              <w:rPr>
                <w:rFonts w:ascii="宋体" w:hAnsi="宋体" w:eastAsia="宋体" w:cs="宋体"/>
                <w:color w:val="auto"/>
                <w:sz w:val="21"/>
                <w:szCs w:val="21"/>
                <w:highlight w:val="none"/>
              </w:rPr>
              <w:t>[15-10）分；</w:t>
            </w:r>
          </w:p>
          <w:p w14:paraId="2D5EE9B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将本项目运用</w:t>
            </w:r>
            <w:r>
              <w:rPr>
                <w:rFonts w:ascii="宋体" w:hAnsi="宋体" w:eastAsia="宋体" w:cs="宋体"/>
                <w:color w:val="auto"/>
                <w:sz w:val="21"/>
                <w:szCs w:val="21"/>
                <w:highlight w:val="none"/>
              </w:rPr>
              <w:t xml:space="preserve"> BIM </w:t>
            </w:r>
            <w:r>
              <w:rPr>
                <w:rFonts w:hint="eastAsia" w:ascii="宋体" w:hAnsi="宋体" w:eastAsia="宋体" w:cs="宋体"/>
                <w:color w:val="auto"/>
                <w:sz w:val="21"/>
                <w:szCs w:val="21"/>
                <w:highlight w:val="none"/>
              </w:rPr>
              <w:t>技术及装配式建筑的要求提出新技术应用方案的合理性、可行性一般</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ascii="宋体" w:hAnsi="宋体" w:eastAsia="宋体" w:cs="宋体"/>
                <w:color w:val="auto"/>
                <w:sz w:val="21"/>
                <w:szCs w:val="21"/>
                <w:highlight w:val="none"/>
              </w:rPr>
              <w:t>[10-3）分</w:t>
            </w:r>
            <w:r>
              <w:rPr>
                <w:rFonts w:hint="eastAsia" w:ascii="宋体" w:hAnsi="宋体" w:eastAsia="宋体" w:cs="宋体"/>
                <w:color w:val="auto"/>
                <w:sz w:val="21"/>
                <w:szCs w:val="21"/>
                <w:highlight w:val="none"/>
              </w:rPr>
              <w:t>；</w:t>
            </w:r>
          </w:p>
          <w:p w14:paraId="76E4AB8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4</w:t>
            </w:r>
            <w:r>
              <w:rPr>
                <w:rFonts w:hint="eastAsia" w:ascii="宋体" w:hAnsi="宋体" w:eastAsia="宋体" w:cs="宋体"/>
                <w:color w:val="auto"/>
                <w:sz w:val="21"/>
                <w:szCs w:val="21"/>
                <w:highlight w:val="none"/>
              </w:rPr>
              <w:t>）不满足前述要求者或不提供内容的，得</w:t>
            </w:r>
            <w:r>
              <w:rPr>
                <w:rFonts w:ascii="宋体" w:hAnsi="宋体" w:eastAsia="宋体" w:cs="宋体"/>
                <w:color w:val="auto"/>
                <w:sz w:val="21"/>
                <w:szCs w:val="21"/>
                <w:highlight w:val="none"/>
              </w:rPr>
              <w:t>[3-0]分。</w:t>
            </w:r>
          </w:p>
        </w:tc>
      </w:tr>
    </w:tbl>
    <w:p w14:paraId="18A8EADE">
      <w:pPr>
        <w:pStyle w:val="14"/>
        <w:rPr>
          <w:color w:val="auto"/>
          <w:highlight w:val="none"/>
        </w:rPr>
      </w:pPr>
    </w:p>
    <w:bookmarkEnd w:id="499"/>
    <w:bookmarkEnd w:id="500"/>
    <w:bookmarkEnd w:id="501"/>
    <w:bookmarkEnd w:id="502"/>
    <w:bookmarkEnd w:id="503"/>
    <w:bookmarkEnd w:id="504"/>
    <w:bookmarkEnd w:id="505"/>
    <w:bookmarkEnd w:id="506"/>
    <w:bookmarkEnd w:id="507"/>
    <w:p w14:paraId="20824BC6">
      <w:pPr>
        <w:rPr>
          <w:rFonts w:ascii="宋体" w:hAnsi="宋体"/>
          <w:color w:val="auto"/>
          <w:highlight w:val="none"/>
        </w:rPr>
      </w:pPr>
      <w:r>
        <w:rPr>
          <w:rFonts w:ascii="宋体" w:hAnsi="宋体" w:cs="宋体"/>
          <w:b/>
          <w:color w:val="auto"/>
          <w:sz w:val="28"/>
          <w:szCs w:val="28"/>
          <w:highlight w:val="none"/>
        </w:rPr>
        <w:br w:type="page"/>
      </w:r>
    </w:p>
    <w:p w14:paraId="0951DB27">
      <w:pPr>
        <w:pStyle w:val="2"/>
        <w:jc w:val="center"/>
        <w:rPr>
          <w:rFonts w:ascii="宋体" w:hAnsi="宋体"/>
          <w:color w:val="auto"/>
          <w:highlight w:val="none"/>
        </w:rPr>
      </w:pPr>
      <w:bookmarkStart w:id="524" w:name="_Toc165358849"/>
      <w:r>
        <w:rPr>
          <w:rFonts w:hint="eastAsia" w:ascii="宋体" w:hAnsi="宋体"/>
          <w:color w:val="auto"/>
          <w:highlight w:val="none"/>
        </w:rPr>
        <w:t>第四章 合同条款及格式</w:t>
      </w:r>
      <w:bookmarkEnd w:id="329"/>
      <w:bookmarkEnd w:id="330"/>
      <w:bookmarkEnd w:id="331"/>
      <w:bookmarkEnd w:id="332"/>
      <w:bookmarkEnd w:id="333"/>
      <w:bookmarkEnd w:id="334"/>
      <w:bookmarkEnd w:id="335"/>
      <w:bookmarkEnd w:id="336"/>
      <w:r>
        <w:rPr>
          <w:rFonts w:hint="eastAsia" w:ascii="宋体" w:hAnsi="宋体"/>
          <w:color w:val="auto"/>
          <w:highlight w:val="none"/>
        </w:rPr>
        <w:t>（另册）</w:t>
      </w:r>
      <w:bookmarkEnd w:id="524"/>
    </w:p>
    <w:p w14:paraId="299355D7">
      <w:pPr>
        <w:pStyle w:val="18"/>
        <w:rPr>
          <w:rFonts w:ascii="宋体" w:hAnsi="宋体"/>
          <w:color w:val="auto"/>
          <w:highlight w:val="none"/>
        </w:rPr>
      </w:pPr>
      <w:bookmarkStart w:id="525" w:name="_Toc31278"/>
      <w:bookmarkStart w:id="526" w:name="_Toc16503"/>
      <w:bookmarkStart w:id="527" w:name="_Toc20279"/>
      <w:bookmarkStart w:id="528" w:name="_Toc13085"/>
      <w:bookmarkStart w:id="529" w:name="_Toc23508"/>
      <w:bookmarkStart w:id="530" w:name="_Toc485211108"/>
      <w:bookmarkStart w:id="531" w:name="_Toc8354"/>
    </w:p>
    <w:p w14:paraId="1500B42B">
      <w:pPr>
        <w:pStyle w:val="2"/>
        <w:tabs>
          <w:tab w:val="center" w:pos="4814"/>
          <w:tab w:val="left" w:pos="7279"/>
        </w:tabs>
        <w:jc w:val="center"/>
        <w:rPr>
          <w:rFonts w:ascii="宋体" w:hAnsi="宋体"/>
          <w:color w:val="auto"/>
          <w:highlight w:val="none"/>
        </w:rPr>
      </w:pPr>
      <w:bookmarkStart w:id="532" w:name="_Toc165358850"/>
      <w:r>
        <w:rPr>
          <w:rFonts w:hint="eastAsia" w:ascii="宋体" w:hAnsi="宋体"/>
          <w:color w:val="auto"/>
          <w:highlight w:val="none"/>
        </w:rPr>
        <w:br w:type="page"/>
      </w:r>
      <w:r>
        <w:rPr>
          <w:rFonts w:hint="eastAsia" w:ascii="宋体" w:hAnsi="宋体"/>
          <w:color w:val="auto"/>
          <w:highlight w:val="none"/>
        </w:rPr>
        <w:t>第五章 发包人要求</w:t>
      </w:r>
      <w:bookmarkEnd w:id="525"/>
      <w:bookmarkEnd w:id="526"/>
      <w:bookmarkEnd w:id="527"/>
      <w:bookmarkEnd w:id="528"/>
      <w:bookmarkEnd w:id="529"/>
      <w:bookmarkEnd w:id="530"/>
      <w:bookmarkEnd w:id="531"/>
      <w:bookmarkEnd w:id="532"/>
    </w:p>
    <w:p w14:paraId="37BF9A5C">
      <w:pPr>
        <w:autoSpaceDE w:val="0"/>
        <w:autoSpaceDN w:val="0"/>
        <w:adjustRightInd w:val="0"/>
        <w:spacing w:line="360" w:lineRule="auto"/>
        <w:jc w:val="center"/>
        <w:rPr>
          <w:rFonts w:hint="eastAsia" w:ascii="宋体" w:hAnsi="宋体"/>
          <w:b w:val="0"/>
          <w:bCs w:val="0"/>
          <w:color w:val="auto"/>
          <w:sz w:val="44"/>
          <w:szCs w:val="44"/>
          <w:highlight w:val="none"/>
          <w:lang w:val="en-US" w:eastAsia="zh-CN"/>
        </w:rPr>
      </w:pPr>
      <w:bookmarkStart w:id="533" w:name="_Toc20047"/>
      <w:bookmarkStart w:id="534" w:name="_Toc485211110"/>
      <w:bookmarkStart w:id="535" w:name="_Toc3793"/>
      <w:bookmarkStart w:id="536" w:name="_Toc300835206"/>
      <w:bookmarkStart w:id="537" w:name="_Toc32638"/>
      <w:bookmarkStart w:id="538" w:name="_Toc22440"/>
      <w:bookmarkStart w:id="539" w:name="_Toc165358851"/>
      <w:bookmarkStart w:id="540" w:name="_Toc4263"/>
      <w:bookmarkStart w:id="541" w:name="_Toc32652"/>
      <w:r>
        <w:rPr>
          <w:rFonts w:hint="eastAsia" w:ascii="宋体" w:hAnsi="宋体"/>
          <w:b w:val="0"/>
          <w:bCs w:val="0"/>
          <w:color w:val="auto"/>
          <w:sz w:val="44"/>
          <w:szCs w:val="44"/>
          <w:highlight w:val="none"/>
          <w:lang w:eastAsia="zh-CN"/>
        </w:rPr>
        <w:t>（</w:t>
      </w:r>
      <w:r>
        <w:rPr>
          <w:rFonts w:hint="eastAsia" w:ascii="宋体" w:hAnsi="宋体"/>
          <w:b w:val="0"/>
          <w:bCs w:val="0"/>
          <w:color w:val="auto"/>
          <w:sz w:val="44"/>
          <w:szCs w:val="44"/>
          <w:highlight w:val="none"/>
          <w:lang w:val="en-US" w:eastAsia="zh-CN"/>
        </w:rPr>
        <w:t>一</w:t>
      </w:r>
      <w:r>
        <w:rPr>
          <w:rFonts w:hint="eastAsia" w:ascii="宋体" w:hAnsi="宋体"/>
          <w:b w:val="0"/>
          <w:bCs w:val="0"/>
          <w:color w:val="auto"/>
          <w:sz w:val="44"/>
          <w:szCs w:val="44"/>
          <w:highlight w:val="none"/>
          <w:lang w:eastAsia="zh-CN"/>
        </w:rPr>
        <w:t>）</w:t>
      </w:r>
      <w:r>
        <w:rPr>
          <w:rFonts w:hint="eastAsia" w:ascii="宋体" w:hAnsi="宋体"/>
          <w:b w:val="0"/>
          <w:bCs w:val="0"/>
          <w:color w:val="auto"/>
          <w:sz w:val="44"/>
          <w:szCs w:val="44"/>
          <w:highlight w:val="none"/>
          <w:lang w:val="en-US" w:eastAsia="zh-CN"/>
        </w:rPr>
        <w:t>设计任务书</w:t>
      </w:r>
    </w:p>
    <w:p w14:paraId="47179D28">
      <w:pPr>
        <w:numPr>
          <w:ilvl w:val="-1"/>
          <w:numId w:val="0"/>
        </w:numPr>
        <w:jc w:val="center"/>
        <w:rPr>
          <w:rFonts w:hint="default" w:ascii="宋体" w:hAnsi="宋体"/>
          <w:b w:val="0"/>
          <w:bCs w:val="0"/>
          <w:color w:val="auto"/>
          <w:sz w:val="32"/>
          <w:szCs w:val="32"/>
          <w:highlight w:val="none"/>
          <w:u w:val="single"/>
          <w:lang w:val="en-US" w:eastAsia="zh-CN"/>
        </w:rPr>
      </w:pPr>
      <w:r>
        <w:rPr>
          <w:rFonts w:hint="eastAsia" w:ascii="宋体" w:hAnsi="宋体"/>
          <w:b w:val="0"/>
          <w:bCs w:val="0"/>
          <w:color w:val="auto"/>
          <w:sz w:val="32"/>
          <w:szCs w:val="32"/>
          <w:highlight w:val="none"/>
          <w:u w:val="single"/>
          <w:lang w:val="en-US" w:eastAsia="zh-CN"/>
        </w:rPr>
        <w:t>另册</w:t>
      </w:r>
    </w:p>
    <w:p w14:paraId="7BEE3C5E">
      <w:pPr>
        <w:autoSpaceDE w:val="0"/>
        <w:autoSpaceDN w:val="0"/>
        <w:adjustRightInd w:val="0"/>
        <w:spacing w:line="360" w:lineRule="auto"/>
        <w:jc w:val="center"/>
        <w:rPr>
          <w:rFonts w:ascii="宋体" w:hAnsi="宋体" w:cs="Arial"/>
          <w:color w:val="auto"/>
          <w:sz w:val="44"/>
          <w:szCs w:val="44"/>
          <w:highlight w:val="none"/>
        </w:rPr>
      </w:pPr>
      <w:r>
        <w:rPr>
          <w:rFonts w:hint="eastAsia" w:ascii="宋体" w:hAnsi="宋体"/>
          <w:b w:val="0"/>
          <w:bCs w:val="0"/>
          <w:color w:val="auto"/>
          <w:highlight w:val="none"/>
        </w:rPr>
        <w:br w:type="page"/>
      </w:r>
      <w:r>
        <w:rPr>
          <w:rFonts w:hint="eastAsia" w:ascii="宋体" w:hAnsi="宋体"/>
          <w:b w:val="0"/>
          <w:bCs w:val="0"/>
          <w:color w:val="auto"/>
          <w:sz w:val="44"/>
          <w:szCs w:val="44"/>
          <w:highlight w:val="none"/>
          <w:lang w:eastAsia="zh-CN"/>
        </w:rPr>
        <w:t>（</w:t>
      </w:r>
      <w:r>
        <w:rPr>
          <w:rFonts w:hint="eastAsia" w:ascii="宋体" w:hAnsi="宋体"/>
          <w:b w:val="0"/>
          <w:bCs w:val="0"/>
          <w:color w:val="auto"/>
          <w:sz w:val="44"/>
          <w:szCs w:val="44"/>
          <w:highlight w:val="none"/>
          <w:lang w:val="en-US" w:eastAsia="zh-CN"/>
        </w:rPr>
        <w:t>二</w:t>
      </w:r>
      <w:r>
        <w:rPr>
          <w:rFonts w:hint="eastAsia" w:ascii="宋体" w:hAnsi="宋体"/>
          <w:b w:val="0"/>
          <w:bCs w:val="0"/>
          <w:color w:val="auto"/>
          <w:sz w:val="44"/>
          <w:szCs w:val="44"/>
          <w:highlight w:val="none"/>
          <w:lang w:eastAsia="zh-CN"/>
        </w:rPr>
        <w:t>）</w:t>
      </w:r>
      <w:r>
        <w:rPr>
          <w:rFonts w:hint="eastAsia" w:ascii="宋体" w:hAnsi="宋体" w:cs="Arial"/>
          <w:color w:val="auto"/>
          <w:sz w:val="44"/>
          <w:szCs w:val="44"/>
          <w:highlight w:val="none"/>
        </w:rPr>
        <w:t>施工现场建筑垃圾源头减量的具体要求</w:t>
      </w:r>
    </w:p>
    <w:p w14:paraId="3C6C63C7">
      <w:pPr>
        <w:rPr>
          <w:rFonts w:ascii="宋体" w:hAnsi="宋体" w:cs="Arial"/>
          <w:b/>
          <w:bCs/>
          <w:color w:val="auto"/>
          <w:kern w:val="0"/>
          <w:szCs w:val="21"/>
          <w:highlight w:val="none"/>
        </w:rPr>
      </w:pPr>
    </w:p>
    <w:p w14:paraId="439CCCB3">
      <w:pPr>
        <w:rPr>
          <w:rFonts w:ascii="宋体" w:hAnsi="宋体" w:cs="宋体"/>
          <w:color w:val="auto"/>
          <w:highlight w:val="none"/>
          <w:u w:val="single"/>
        </w:rPr>
      </w:pPr>
    </w:p>
    <w:p w14:paraId="6ACF9B25">
      <w:pPr>
        <w:spacing w:line="360" w:lineRule="auto"/>
        <w:ind w:firstLine="560" w:firstLineChars="200"/>
        <w:jc w:val="left"/>
        <w:rPr>
          <w:rFonts w:hint="eastAsia" w:ascii="宋体" w:hAnsi="宋体" w:cs="宋体"/>
          <w:color w:val="auto"/>
          <w:sz w:val="28"/>
          <w:szCs w:val="36"/>
          <w:highlight w:val="none"/>
          <w:u w:val="single"/>
          <w:lang w:val="en-US" w:eastAsia="zh-CN"/>
        </w:rPr>
      </w:pPr>
      <w:r>
        <w:rPr>
          <w:rFonts w:hint="eastAsia" w:ascii="宋体" w:hAnsi="宋体" w:cs="宋体"/>
          <w:color w:val="auto"/>
          <w:sz w:val="28"/>
          <w:szCs w:val="36"/>
          <w:highlight w:val="none"/>
          <w:u w:val="single"/>
          <w:lang w:val="en-US" w:eastAsia="zh-CN"/>
        </w:rPr>
        <w:t>1、具体按施工图纸、中华人民共和国现行技术和验收规范、图纸中规定的其它技术和验收标准、遵照招标人相关规定要求为准。</w:t>
      </w:r>
    </w:p>
    <w:p w14:paraId="686056A8">
      <w:pPr>
        <w:spacing w:line="360" w:lineRule="auto"/>
        <w:ind w:firstLine="560" w:firstLineChars="200"/>
        <w:jc w:val="left"/>
        <w:rPr>
          <w:rFonts w:hint="eastAsia" w:ascii="宋体" w:hAnsi="宋体" w:cs="宋体"/>
          <w:color w:val="auto"/>
          <w:sz w:val="28"/>
          <w:szCs w:val="36"/>
          <w:highlight w:val="none"/>
          <w:u w:val="single"/>
          <w:lang w:val="en-US" w:eastAsia="zh-CN"/>
        </w:rPr>
      </w:pPr>
      <w:r>
        <w:rPr>
          <w:rFonts w:hint="eastAsia" w:ascii="宋体" w:hAnsi="宋体" w:cs="宋体"/>
          <w:color w:val="auto"/>
          <w:sz w:val="28"/>
          <w:szCs w:val="36"/>
          <w:highlight w:val="none"/>
          <w:u w:val="single"/>
          <w:lang w:val="en-US" w:eastAsia="zh-CN"/>
        </w:rPr>
        <w:t>2、依据设计文件的要求，本招标工程项目的材料、设备、施工须达到中华人民共和国以及省、市或行业的工程建设标准、规范的要求。</w:t>
      </w:r>
    </w:p>
    <w:p w14:paraId="1C03A31C">
      <w:pPr>
        <w:spacing w:line="360" w:lineRule="auto"/>
        <w:ind w:firstLine="560" w:firstLineChars="200"/>
        <w:jc w:val="left"/>
        <w:rPr>
          <w:rFonts w:hint="eastAsia" w:ascii="宋体" w:hAnsi="宋体" w:cs="宋体"/>
          <w:color w:val="auto"/>
          <w:sz w:val="28"/>
          <w:szCs w:val="36"/>
          <w:highlight w:val="none"/>
          <w:u w:val="single"/>
          <w:lang w:val="en-US" w:eastAsia="zh-CN"/>
        </w:rPr>
      </w:pPr>
      <w:r>
        <w:rPr>
          <w:rFonts w:hint="eastAsia" w:ascii="宋体" w:hAnsi="宋体" w:cs="宋体"/>
          <w:color w:val="auto"/>
          <w:sz w:val="28"/>
          <w:szCs w:val="36"/>
          <w:highlight w:val="none"/>
          <w:u w:val="single"/>
          <w:lang w:val="en-US" w:eastAsia="zh-CN"/>
        </w:rPr>
        <w:t>3、施工现场建筑垃圾源头减量的具体要求和建筑垃圾综合利用产品的使用要求：</w:t>
      </w:r>
    </w:p>
    <w:p w14:paraId="4A1C160A">
      <w:pPr>
        <w:spacing w:line="360" w:lineRule="auto"/>
        <w:ind w:firstLine="560" w:firstLineChars="200"/>
        <w:jc w:val="left"/>
        <w:rPr>
          <w:rFonts w:hint="eastAsia" w:ascii="宋体" w:hAnsi="宋体" w:cs="宋体"/>
          <w:color w:val="auto"/>
          <w:sz w:val="28"/>
          <w:szCs w:val="36"/>
          <w:highlight w:val="none"/>
          <w:u w:val="single"/>
          <w:lang w:val="en-US" w:eastAsia="zh-CN"/>
        </w:rPr>
      </w:pPr>
      <w:r>
        <w:rPr>
          <w:rFonts w:hint="eastAsia" w:ascii="宋体" w:hAnsi="宋体" w:cs="宋体"/>
          <w:color w:val="auto"/>
          <w:sz w:val="28"/>
          <w:szCs w:val="36"/>
          <w:highlight w:val="none"/>
          <w:u w:val="single"/>
          <w:lang w:val="en-US" w:eastAsia="zh-CN"/>
        </w:rPr>
        <w:t>（1）施工单位应当建立建筑垃圾管理台账，分类收集、贮存和及时清运施工过程中产生的建筑垃圾，采取有效措施防止混合已分类的建筑垃圾；</w:t>
      </w:r>
    </w:p>
    <w:p w14:paraId="0FDD1DF3">
      <w:pPr>
        <w:spacing w:line="360" w:lineRule="auto"/>
        <w:ind w:firstLine="560" w:firstLineChars="200"/>
        <w:jc w:val="left"/>
        <w:rPr>
          <w:rFonts w:hint="eastAsia" w:ascii="宋体" w:hAnsi="宋体" w:cs="宋体"/>
          <w:color w:val="auto"/>
          <w:sz w:val="28"/>
          <w:szCs w:val="36"/>
          <w:highlight w:val="none"/>
          <w:u w:val="single"/>
          <w:lang w:val="en-US" w:eastAsia="zh-CN"/>
        </w:rPr>
      </w:pPr>
      <w:r>
        <w:rPr>
          <w:rFonts w:hint="eastAsia" w:ascii="宋体" w:hAnsi="宋体" w:cs="宋体"/>
          <w:color w:val="auto"/>
          <w:sz w:val="28"/>
          <w:szCs w:val="36"/>
          <w:highlight w:val="none"/>
          <w:u w:val="single"/>
          <w:lang w:val="en-US" w:eastAsia="zh-CN"/>
        </w:rPr>
        <w:t>（2）施工单位应优化施工组织设计，实现精准下料、精细管理，降低建筑材料损耗率；</w:t>
      </w:r>
    </w:p>
    <w:p w14:paraId="7EE694FD">
      <w:pPr>
        <w:spacing w:line="360" w:lineRule="auto"/>
        <w:ind w:firstLine="560" w:firstLineChars="200"/>
        <w:jc w:val="left"/>
        <w:rPr>
          <w:rFonts w:hint="eastAsia" w:ascii="宋体" w:hAnsi="宋体" w:cs="宋体"/>
          <w:color w:val="auto"/>
          <w:sz w:val="28"/>
          <w:szCs w:val="36"/>
          <w:highlight w:val="none"/>
          <w:u w:val="single"/>
          <w:lang w:val="en-US" w:eastAsia="zh-CN"/>
        </w:rPr>
      </w:pPr>
      <w:r>
        <w:rPr>
          <w:rFonts w:hint="eastAsia" w:ascii="宋体" w:hAnsi="宋体" w:cs="宋体"/>
          <w:color w:val="auto"/>
          <w:sz w:val="28"/>
          <w:szCs w:val="36"/>
          <w:highlight w:val="none"/>
          <w:u w:val="single"/>
          <w:lang w:val="en-US" w:eastAsia="zh-CN"/>
        </w:rPr>
        <w:t>（3）施工单位应严格按要求控制进场材料和设备的质量，减少因质量问题导致的返工或修补。加强对已完工工程的成品保护，避免二次损坏；</w:t>
      </w:r>
    </w:p>
    <w:p w14:paraId="1C1B0210">
      <w:pPr>
        <w:spacing w:line="360" w:lineRule="auto"/>
        <w:ind w:firstLine="560" w:firstLineChars="200"/>
        <w:jc w:val="left"/>
        <w:rPr>
          <w:rFonts w:hint="eastAsia" w:ascii="宋体" w:hAnsi="宋体" w:cs="宋体"/>
          <w:color w:val="auto"/>
          <w:sz w:val="28"/>
          <w:szCs w:val="36"/>
          <w:highlight w:val="none"/>
          <w:u w:val="single"/>
          <w:lang w:val="en-US" w:eastAsia="zh-CN"/>
        </w:rPr>
      </w:pPr>
      <w:r>
        <w:rPr>
          <w:rFonts w:hint="eastAsia" w:ascii="宋体" w:hAnsi="宋体" w:cs="宋体"/>
          <w:color w:val="auto"/>
          <w:sz w:val="28"/>
          <w:szCs w:val="36"/>
          <w:highlight w:val="none"/>
          <w:u w:val="single"/>
          <w:lang w:val="en-US" w:eastAsia="zh-CN"/>
        </w:rPr>
        <w:t>（4）施工单位应实时统计并监控建筑垃圾产生量，及时采取针对性措施降低建筑垃圾排放量；</w:t>
      </w:r>
    </w:p>
    <w:p w14:paraId="2E8DC617">
      <w:pPr>
        <w:spacing w:line="360" w:lineRule="auto"/>
        <w:ind w:firstLine="560" w:firstLineChars="200"/>
        <w:jc w:val="left"/>
        <w:rPr>
          <w:rFonts w:hint="eastAsia" w:ascii="宋体" w:hAnsi="宋体" w:cs="宋体"/>
          <w:color w:val="auto"/>
          <w:sz w:val="28"/>
          <w:szCs w:val="36"/>
          <w:highlight w:val="none"/>
          <w:u w:val="single"/>
          <w:lang w:val="en-US" w:eastAsia="zh-CN"/>
        </w:rPr>
      </w:pPr>
      <w:r>
        <w:rPr>
          <w:rFonts w:hint="eastAsia" w:ascii="宋体" w:hAnsi="宋体" w:cs="宋体"/>
          <w:color w:val="auto"/>
          <w:sz w:val="28"/>
          <w:szCs w:val="36"/>
          <w:highlight w:val="none"/>
          <w:u w:val="single"/>
          <w:lang w:val="en-US" w:eastAsia="zh-CN"/>
        </w:rPr>
        <w:t>（5）鼓励中标人选择技术指标符合设计要求及满足使用功能的建筑垃圾综合利用产品；</w:t>
      </w:r>
    </w:p>
    <w:p w14:paraId="33151257">
      <w:pPr>
        <w:numPr>
          <w:ilvl w:val="-1"/>
          <w:numId w:val="0"/>
        </w:numPr>
        <w:spacing w:line="360" w:lineRule="auto"/>
        <w:ind w:firstLine="560" w:firstLineChars="200"/>
        <w:jc w:val="left"/>
        <w:rPr>
          <w:rFonts w:hint="eastAsia" w:ascii="宋体" w:hAnsi="宋体" w:cs="宋体"/>
          <w:color w:val="auto"/>
          <w:sz w:val="28"/>
          <w:szCs w:val="36"/>
          <w:highlight w:val="none"/>
          <w:u w:val="single"/>
          <w:lang w:val="en-US" w:eastAsia="zh-CN"/>
        </w:rPr>
      </w:pPr>
      <w:r>
        <w:rPr>
          <w:rFonts w:hint="eastAsia" w:ascii="宋体" w:hAnsi="宋体" w:cs="宋体"/>
          <w:color w:val="auto"/>
          <w:sz w:val="28"/>
          <w:szCs w:val="36"/>
          <w:highlight w:val="none"/>
          <w:u w:val="single"/>
          <w:lang w:val="en-US" w:eastAsia="zh-CN"/>
        </w:rPr>
        <w:t>（6）其他要求详见《广东省建筑垃圾管理条例》相关规定及合同有关约定等。</w:t>
      </w:r>
    </w:p>
    <w:p w14:paraId="0276F3EA">
      <w:pPr>
        <w:numPr>
          <w:ilvl w:val="-1"/>
          <w:numId w:val="0"/>
        </w:numPr>
        <w:jc w:val="left"/>
        <w:rPr>
          <w:rFonts w:hint="eastAsia" w:ascii="宋体" w:hAnsi="宋体" w:cs="宋体"/>
          <w:color w:val="auto"/>
          <w:sz w:val="28"/>
          <w:szCs w:val="36"/>
          <w:highlight w:val="none"/>
          <w:u w:val="single"/>
          <w:lang w:val="en-US" w:eastAsia="zh-CN"/>
        </w:rPr>
      </w:pPr>
      <w:r>
        <w:rPr>
          <w:rFonts w:hint="eastAsia" w:ascii="宋体" w:hAnsi="宋体" w:cs="宋体"/>
          <w:color w:val="auto"/>
          <w:sz w:val="28"/>
          <w:szCs w:val="36"/>
          <w:highlight w:val="none"/>
          <w:u w:val="single"/>
          <w:lang w:val="en-US" w:eastAsia="zh-CN"/>
        </w:rPr>
        <w:br w:type="page"/>
      </w:r>
    </w:p>
    <w:p w14:paraId="47CF2979">
      <w:pPr>
        <w:pStyle w:val="14"/>
        <w:rPr>
          <w:rFonts w:hint="default"/>
          <w:color w:val="auto"/>
          <w:highlight w:val="none"/>
          <w:lang w:val="en-US" w:eastAsia="zh-CN"/>
        </w:rPr>
      </w:pPr>
    </w:p>
    <w:p w14:paraId="675F087C">
      <w:pPr>
        <w:jc w:val="center"/>
        <w:rPr>
          <w:rFonts w:hint="eastAsia" w:ascii="宋体" w:hAnsi="宋体"/>
          <w:b w:val="0"/>
          <w:bCs w:val="0"/>
          <w:color w:val="auto"/>
          <w:highlight w:val="none"/>
        </w:rPr>
      </w:pPr>
    </w:p>
    <w:p w14:paraId="3B921A04">
      <w:pPr>
        <w:jc w:val="center"/>
        <w:rPr>
          <w:rFonts w:hint="eastAsia" w:ascii="宋体" w:hAnsi="宋体"/>
          <w:b w:val="0"/>
          <w:bCs w:val="0"/>
          <w:color w:val="auto"/>
          <w:highlight w:val="none"/>
        </w:rPr>
      </w:pPr>
    </w:p>
    <w:p w14:paraId="2867C4E5">
      <w:pPr>
        <w:pStyle w:val="2"/>
        <w:tabs>
          <w:tab w:val="center" w:pos="4814"/>
          <w:tab w:val="left" w:pos="7279"/>
        </w:tabs>
        <w:jc w:val="center"/>
        <w:rPr>
          <w:rFonts w:ascii="宋体" w:hAnsi="宋体"/>
          <w:color w:val="auto"/>
          <w:highlight w:val="none"/>
        </w:rPr>
      </w:pPr>
      <w:r>
        <w:rPr>
          <w:rFonts w:hint="eastAsia" w:ascii="宋体" w:hAnsi="宋体"/>
          <w:color w:val="auto"/>
          <w:highlight w:val="none"/>
        </w:rPr>
        <w:t>第六章  发包人提供的资料</w:t>
      </w:r>
      <w:bookmarkEnd w:id="533"/>
      <w:bookmarkEnd w:id="534"/>
      <w:bookmarkEnd w:id="535"/>
      <w:bookmarkEnd w:id="536"/>
      <w:bookmarkEnd w:id="537"/>
      <w:bookmarkEnd w:id="538"/>
      <w:bookmarkEnd w:id="539"/>
      <w:bookmarkEnd w:id="540"/>
      <w:bookmarkEnd w:id="541"/>
    </w:p>
    <w:p w14:paraId="2E833838">
      <w:pPr>
        <w:widowControl/>
        <w:jc w:val="center"/>
        <w:rPr>
          <w:rFonts w:ascii="宋体" w:hAnsi="宋体"/>
          <w:b/>
          <w:bCs/>
          <w:color w:val="auto"/>
          <w:kern w:val="44"/>
          <w:sz w:val="44"/>
          <w:szCs w:val="44"/>
          <w:highlight w:val="none"/>
        </w:rPr>
      </w:pPr>
    </w:p>
    <w:p w14:paraId="1F031C72">
      <w:pPr>
        <w:jc w:val="center"/>
        <w:rPr>
          <w:rFonts w:ascii="宋体" w:hAnsi="宋体"/>
          <w:color w:val="auto"/>
          <w:sz w:val="15"/>
          <w:highlight w:val="none"/>
        </w:rPr>
      </w:pPr>
      <w:r>
        <w:rPr>
          <w:rFonts w:hint="eastAsia" w:ascii="宋体" w:hAnsi="宋体" w:cs="宋体"/>
          <w:b/>
          <w:color w:val="auto"/>
          <w:spacing w:val="4"/>
          <w:kern w:val="0"/>
          <w:sz w:val="36"/>
          <w:szCs w:val="36"/>
          <w:highlight w:val="none"/>
          <w:u w:val="single"/>
        </w:rPr>
        <w:t>另册</w:t>
      </w:r>
    </w:p>
    <w:p w14:paraId="0B7AEC89">
      <w:pPr>
        <w:spacing w:line="420" w:lineRule="exact"/>
        <w:jc w:val="center"/>
        <w:rPr>
          <w:rFonts w:ascii="宋体" w:hAnsi="宋体" w:cs="宋体"/>
          <w:b/>
          <w:color w:val="auto"/>
          <w:sz w:val="24"/>
          <w:highlight w:val="none"/>
        </w:rPr>
      </w:pPr>
    </w:p>
    <w:p w14:paraId="324E1B96">
      <w:pPr>
        <w:pStyle w:val="2"/>
        <w:tabs>
          <w:tab w:val="center" w:pos="4814"/>
          <w:tab w:val="left" w:pos="7279"/>
        </w:tabs>
        <w:jc w:val="center"/>
        <w:rPr>
          <w:rFonts w:ascii="宋体" w:hAnsi="宋体"/>
          <w:color w:val="auto"/>
          <w:highlight w:val="none"/>
        </w:rPr>
      </w:pPr>
      <w:r>
        <w:rPr>
          <w:rFonts w:hint="eastAsia" w:ascii="宋体" w:hAnsi="宋体"/>
          <w:color w:val="auto"/>
          <w:highlight w:val="none"/>
        </w:rPr>
        <w:br w:type="page"/>
      </w:r>
      <w:bookmarkStart w:id="542" w:name="RANGE_A1_G14"/>
      <w:bookmarkEnd w:id="542"/>
      <w:bookmarkStart w:id="543" w:name="_Toc28106"/>
      <w:bookmarkStart w:id="544" w:name="_Toc144974855"/>
      <w:bookmarkStart w:id="545" w:name="_Toc485211111"/>
      <w:bookmarkStart w:id="546" w:name="_Toc1869"/>
      <w:bookmarkStart w:id="547" w:name="_Toc152045786"/>
      <w:bookmarkStart w:id="548" w:name="_Toc16057"/>
      <w:bookmarkStart w:id="549" w:name="_Toc247527826"/>
      <w:bookmarkStart w:id="550" w:name="_Toc165358852"/>
      <w:bookmarkStart w:id="551" w:name="_Toc247514245"/>
      <w:bookmarkStart w:id="552" w:name="_Toc24744"/>
      <w:bookmarkStart w:id="553" w:name="_Toc27623"/>
      <w:bookmarkStart w:id="554" w:name="_Toc14218"/>
      <w:bookmarkStart w:id="555" w:name="_Toc152042575"/>
      <w:r>
        <w:rPr>
          <w:rFonts w:hint="eastAsia" w:ascii="宋体" w:hAnsi="宋体"/>
          <w:color w:val="auto"/>
          <w:highlight w:val="none"/>
        </w:rPr>
        <w:t>第七章  投标文件格式</w:t>
      </w:r>
      <w:bookmarkEnd w:id="543"/>
      <w:bookmarkEnd w:id="544"/>
      <w:bookmarkEnd w:id="545"/>
      <w:bookmarkEnd w:id="546"/>
      <w:bookmarkEnd w:id="547"/>
      <w:bookmarkEnd w:id="548"/>
      <w:bookmarkEnd w:id="549"/>
      <w:bookmarkEnd w:id="550"/>
      <w:bookmarkEnd w:id="551"/>
      <w:bookmarkEnd w:id="552"/>
      <w:bookmarkEnd w:id="553"/>
      <w:bookmarkEnd w:id="554"/>
      <w:bookmarkEnd w:id="555"/>
    </w:p>
    <w:p w14:paraId="62067DFC">
      <w:pPr>
        <w:pStyle w:val="129"/>
        <w:spacing w:beforeLines="0" w:afterLines="0" w:line="360" w:lineRule="auto"/>
        <w:jc w:val="both"/>
        <w:outlineLvl w:val="0"/>
        <w:rPr>
          <w:rFonts w:ascii="宋体" w:hAnsi="宋体" w:eastAsia="宋体" w:cs="宋体"/>
          <w:b w:val="0"/>
          <w:color w:val="auto"/>
          <w:highlight w:val="none"/>
        </w:rPr>
        <w:sectPr>
          <w:headerReference r:id="rId18" w:type="default"/>
          <w:footerReference r:id="rId19" w:type="default"/>
          <w:pgSz w:w="11905" w:h="16838"/>
          <w:pgMar w:top="1134" w:right="1417" w:bottom="1134" w:left="1417" w:header="567" w:footer="850" w:gutter="0"/>
          <w:cols w:space="720" w:num="1"/>
          <w:docGrid w:linePitch="312" w:charSpace="0"/>
        </w:sectPr>
      </w:pPr>
      <w:bookmarkStart w:id="556" w:name="_Toc212523902"/>
      <w:bookmarkEnd w:id="556"/>
      <w:bookmarkStart w:id="557" w:name="_Toc212523897"/>
      <w:bookmarkEnd w:id="557"/>
      <w:bookmarkStart w:id="558" w:name="_Toc212523901"/>
      <w:bookmarkEnd w:id="558"/>
      <w:bookmarkStart w:id="559" w:name="_Toc212523900"/>
      <w:bookmarkEnd w:id="559"/>
      <w:bookmarkStart w:id="560" w:name="_Toc212525152"/>
      <w:bookmarkEnd w:id="560"/>
      <w:bookmarkStart w:id="561" w:name="_Toc212523895"/>
      <w:bookmarkEnd w:id="561"/>
      <w:bookmarkStart w:id="562" w:name="_Toc212523922"/>
      <w:bookmarkEnd w:id="562"/>
      <w:bookmarkStart w:id="563" w:name="_Toc212523921"/>
      <w:bookmarkEnd w:id="563"/>
    </w:p>
    <w:p w14:paraId="7174A61C">
      <w:pPr>
        <w:pStyle w:val="87"/>
        <w:ind w:firstLine="496"/>
        <w:rPr>
          <w:rFonts w:ascii="宋体" w:hAnsi="宋体" w:eastAsia="宋体" w:cs="宋体"/>
          <w:color w:val="auto"/>
          <w:highlight w:val="none"/>
        </w:rPr>
      </w:pPr>
      <w:bookmarkStart w:id="564" w:name="_Toc235615834"/>
      <w:bookmarkStart w:id="565" w:name="_Toc235616116"/>
      <w:bookmarkStart w:id="566" w:name="_Toc236215897"/>
    </w:p>
    <w:p w14:paraId="1FE58E9A">
      <w:pPr>
        <w:pStyle w:val="87"/>
        <w:ind w:firstLine="496"/>
        <w:rPr>
          <w:rFonts w:ascii="宋体" w:hAnsi="宋体" w:eastAsia="宋体" w:cs="宋体"/>
          <w:color w:val="auto"/>
          <w:highlight w:val="none"/>
        </w:rPr>
      </w:pPr>
    </w:p>
    <w:p w14:paraId="15E254BC">
      <w:pPr>
        <w:pStyle w:val="87"/>
        <w:ind w:firstLine="496"/>
        <w:rPr>
          <w:rFonts w:ascii="宋体" w:hAnsi="宋体" w:eastAsia="宋体" w:cs="宋体"/>
          <w:color w:val="auto"/>
          <w:highlight w:val="none"/>
        </w:rPr>
      </w:pPr>
    </w:p>
    <w:p w14:paraId="594A7822">
      <w:pPr>
        <w:pStyle w:val="175"/>
        <w:rPr>
          <w:rFonts w:ascii="宋体" w:hAnsi="宋体" w:eastAsia="宋体" w:cs="宋体"/>
          <w:b w:val="0"/>
          <w:color w:val="auto"/>
          <w:highlight w:val="none"/>
          <w:u w:val="single"/>
        </w:rPr>
      </w:pPr>
      <w:r>
        <w:rPr>
          <w:rFonts w:hint="eastAsia" w:ascii="宋体" w:hAnsi="宋体" w:eastAsia="宋体" w:cs="宋体"/>
          <w:b w:val="0"/>
          <w:color w:val="auto"/>
          <w:highlight w:val="none"/>
          <w:u w:val="single"/>
        </w:rPr>
        <w:t xml:space="preserve">[项目名称] </w:t>
      </w:r>
    </w:p>
    <w:p w14:paraId="2EA49819">
      <w:pPr>
        <w:pStyle w:val="87"/>
        <w:ind w:firstLine="496"/>
        <w:rPr>
          <w:rFonts w:ascii="宋体" w:hAnsi="宋体" w:eastAsia="宋体" w:cs="宋体"/>
          <w:color w:val="auto"/>
          <w:highlight w:val="none"/>
        </w:rPr>
      </w:pPr>
    </w:p>
    <w:p w14:paraId="46F3A69E">
      <w:pPr>
        <w:pStyle w:val="87"/>
        <w:ind w:firstLine="496"/>
        <w:rPr>
          <w:rFonts w:ascii="宋体" w:hAnsi="宋体" w:eastAsia="宋体" w:cs="宋体"/>
          <w:color w:val="auto"/>
          <w:highlight w:val="none"/>
        </w:rPr>
      </w:pPr>
    </w:p>
    <w:p w14:paraId="12C8B958">
      <w:pPr>
        <w:pStyle w:val="87"/>
        <w:ind w:firstLine="496"/>
        <w:rPr>
          <w:rFonts w:ascii="宋体" w:hAnsi="宋体" w:eastAsia="宋体" w:cs="宋体"/>
          <w:color w:val="auto"/>
          <w:highlight w:val="none"/>
        </w:rPr>
      </w:pPr>
    </w:p>
    <w:p w14:paraId="296F6B52">
      <w:pPr>
        <w:pStyle w:val="87"/>
        <w:ind w:firstLine="496"/>
        <w:rPr>
          <w:rFonts w:ascii="宋体" w:hAnsi="宋体" w:eastAsia="宋体" w:cs="宋体"/>
          <w:color w:val="auto"/>
          <w:highlight w:val="none"/>
        </w:rPr>
      </w:pPr>
    </w:p>
    <w:p w14:paraId="25BE9CA9">
      <w:pPr>
        <w:pStyle w:val="127"/>
        <w:rPr>
          <w:rFonts w:ascii="宋体" w:hAnsi="宋体" w:eastAsia="宋体" w:cs="宋体"/>
          <w:b w:val="0"/>
          <w:color w:val="auto"/>
          <w:highlight w:val="none"/>
        </w:rPr>
      </w:pPr>
      <w:r>
        <w:rPr>
          <w:rFonts w:hint="eastAsia" w:ascii="宋体" w:hAnsi="宋体" w:eastAsia="宋体" w:cs="宋体"/>
          <w:b w:val="0"/>
          <w:color w:val="auto"/>
          <w:highlight w:val="none"/>
        </w:rPr>
        <w:t>投标文件</w:t>
      </w:r>
    </w:p>
    <w:p w14:paraId="56EAF906">
      <w:pPr>
        <w:pStyle w:val="23"/>
        <w:jc w:val="center"/>
        <w:rPr>
          <w:rFonts w:hAnsi="宋体" w:cs="宋体"/>
          <w:color w:val="auto"/>
          <w:highlight w:val="none"/>
        </w:rPr>
      </w:pPr>
      <w:r>
        <w:rPr>
          <w:rFonts w:hint="eastAsia" w:hAnsi="宋体" w:cs="宋体"/>
          <w:color w:val="auto"/>
          <w:sz w:val="44"/>
          <w:szCs w:val="44"/>
          <w:highlight w:val="none"/>
        </w:rPr>
        <w:t>（资格审查文件部分）</w:t>
      </w:r>
    </w:p>
    <w:p w14:paraId="181DE677">
      <w:pPr>
        <w:pStyle w:val="87"/>
        <w:ind w:firstLine="496"/>
        <w:rPr>
          <w:rFonts w:ascii="宋体" w:hAnsi="宋体" w:eastAsia="宋体" w:cs="宋体"/>
          <w:color w:val="auto"/>
          <w:highlight w:val="none"/>
        </w:rPr>
      </w:pPr>
    </w:p>
    <w:p w14:paraId="2814F2FB">
      <w:pPr>
        <w:pStyle w:val="87"/>
        <w:ind w:firstLine="496"/>
        <w:rPr>
          <w:rFonts w:ascii="宋体" w:hAnsi="宋体" w:eastAsia="宋体" w:cs="宋体"/>
          <w:color w:val="auto"/>
          <w:highlight w:val="none"/>
        </w:rPr>
      </w:pPr>
    </w:p>
    <w:p w14:paraId="20FC17D6">
      <w:pPr>
        <w:pStyle w:val="87"/>
        <w:ind w:firstLine="496"/>
        <w:rPr>
          <w:rFonts w:ascii="宋体" w:hAnsi="宋体" w:eastAsia="宋体" w:cs="宋体"/>
          <w:color w:val="auto"/>
          <w:highlight w:val="none"/>
        </w:rPr>
      </w:pPr>
    </w:p>
    <w:p w14:paraId="55A6AAFF">
      <w:pPr>
        <w:pStyle w:val="171"/>
        <w:ind w:firstLine="616"/>
        <w:rPr>
          <w:rFonts w:hint="eastAsia" w:ascii="宋体" w:hAnsi="宋体" w:eastAsia="宋体" w:cs="宋体"/>
          <w:color w:val="auto"/>
          <w:highlight w:val="none"/>
        </w:rPr>
      </w:pPr>
    </w:p>
    <w:p w14:paraId="2D53BBC4">
      <w:pPr>
        <w:pStyle w:val="171"/>
        <w:ind w:firstLine="616"/>
        <w:rPr>
          <w:rFonts w:hint="eastAsia" w:ascii="宋体" w:hAnsi="宋体" w:eastAsia="宋体" w:cs="宋体"/>
          <w:color w:val="auto"/>
          <w:highlight w:val="none"/>
        </w:rPr>
      </w:pPr>
    </w:p>
    <w:p w14:paraId="17ED89E8">
      <w:pPr>
        <w:pStyle w:val="171"/>
        <w:ind w:firstLine="616"/>
        <w:rPr>
          <w:rFonts w:hint="eastAsia" w:ascii="宋体" w:hAnsi="宋体" w:eastAsia="宋体" w:cs="宋体"/>
          <w:color w:val="auto"/>
          <w:highlight w:val="none"/>
        </w:rPr>
      </w:pPr>
    </w:p>
    <w:p w14:paraId="0FE8D370">
      <w:pPr>
        <w:pStyle w:val="171"/>
        <w:ind w:firstLine="616"/>
        <w:rPr>
          <w:rFonts w:hint="eastAsia" w:ascii="宋体" w:hAnsi="宋体" w:eastAsia="宋体" w:cs="宋体"/>
          <w:color w:val="auto"/>
          <w:highlight w:val="none"/>
        </w:rPr>
      </w:pPr>
    </w:p>
    <w:p w14:paraId="6FCC75B3">
      <w:pPr>
        <w:pStyle w:val="171"/>
        <w:ind w:firstLine="616"/>
        <w:rPr>
          <w:rFonts w:hint="eastAsia" w:ascii="宋体" w:hAnsi="宋体" w:eastAsia="宋体" w:cs="宋体"/>
          <w:color w:val="auto"/>
          <w:highlight w:val="none"/>
        </w:rPr>
      </w:pPr>
    </w:p>
    <w:p w14:paraId="1793BB4B">
      <w:pPr>
        <w:pStyle w:val="171"/>
        <w:ind w:firstLine="616"/>
        <w:rPr>
          <w:rFonts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 xml:space="preserve">                       （盖章）</w:t>
      </w:r>
    </w:p>
    <w:p w14:paraId="2CC0599C">
      <w:pPr>
        <w:pStyle w:val="171"/>
        <w:ind w:firstLine="616"/>
        <w:rPr>
          <w:rFonts w:ascii="宋体" w:hAnsi="宋体" w:eastAsia="宋体" w:cs="宋体"/>
          <w:color w:val="auto"/>
          <w:highlight w:val="none"/>
        </w:rPr>
      </w:pPr>
    </w:p>
    <w:p w14:paraId="22C87FB4">
      <w:pPr>
        <w:jc w:val="center"/>
        <w:rPr>
          <w:rFonts w:ascii="宋体" w:hAnsi="宋体" w:cs="宋体"/>
          <w:color w:val="auto"/>
          <w:sz w:val="28"/>
          <w:szCs w:val="28"/>
          <w:highlight w:val="none"/>
        </w:rPr>
      </w:pPr>
      <w:r>
        <w:rPr>
          <w:rFonts w:hint="eastAsia" w:ascii="宋体" w:hAnsi="宋体" w:cs="宋体"/>
          <w:color w:val="auto"/>
          <w:sz w:val="28"/>
          <w:szCs w:val="28"/>
          <w:highlight w:val="none"/>
        </w:rPr>
        <w:t>年月日</w:t>
      </w:r>
    </w:p>
    <w:p w14:paraId="77B15768">
      <w:pPr>
        <w:pStyle w:val="171"/>
        <w:ind w:firstLine="496"/>
        <w:rPr>
          <w:rFonts w:ascii="宋体" w:hAnsi="宋体" w:eastAsia="宋体" w:cs="宋体"/>
          <w:color w:val="auto"/>
          <w:sz w:val="24"/>
          <w:szCs w:val="24"/>
          <w:highlight w:val="none"/>
        </w:rPr>
      </w:pPr>
    </w:p>
    <w:p w14:paraId="5AB97D6D">
      <w:pPr>
        <w:pStyle w:val="87"/>
        <w:ind w:firstLine="496"/>
        <w:rPr>
          <w:rFonts w:ascii="宋体" w:hAnsi="宋体" w:eastAsia="宋体" w:cs="宋体"/>
          <w:color w:val="auto"/>
          <w:highlight w:val="none"/>
        </w:rPr>
      </w:pPr>
    </w:p>
    <w:p w14:paraId="4CB5AE52">
      <w:pPr>
        <w:ind w:left="0" w:leftChars="0" w:firstLineChars="0"/>
        <w:outlineLvl w:val="1"/>
        <w:rPr>
          <w:rFonts w:ascii="宋体" w:hAnsi="宋体" w:cs="宋体"/>
          <w:b/>
          <w:bCs/>
          <w:color w:val="auto"/>
          <w:sz w:val="24"/>
          <w:highlight w:val="none"/>
        </w:rPr>
      </w:pPr>
      <w:r>
        <w:rPr>
          <w:rFonts w:hint="eastAsia" w:ascii="宋体" w:hAnsi="宋体" w:cs="宋体"/>
          <w:color w:val="auto"/>
          <w:highlight w:val="none"/>
        </w:rPr>
        <w:br w:type="page"/>
      </w:r>
      <w:bookmarkStart w:id="567" w:name="_Toc152045791"/>
      <w:bookmarkStart w:id="568" w:name="_Toc86413390"/>
      <w:bookmarkStart w:id="569" w:name="_Toc152042580"/>
      <w:bookmarkStart w:id="570" w:name="_Toc144974860"/>
      <w:bookmarkStart w:id="571" w:name="_Toc247527831"/>
      <w:bookmarkStart w:id="572" w:name="_Toc247514283"/>
      <w:bookmarkStart w:id="573" w:name="_Toc300835213"/>
      <w:bookmarkStart w:id="574" w:name="_Toc19683"/>
      <w:bookmarkStart w:id="575" w:name="_Toc23424913"/>
      <w:r>
        <w:rPr>
          <w:rFonts w:hint="eastAsia" w:ascii="宋体" w:hAnsi="宋体" w:eastAsia="宋体" w:cs="宋体"/>
          <w:b/>
          <w:snapToGrid/>
          <w:color w:val="auto"/>
          <w:spacing w:val="0"/>
          <w:kern w:val="1"/>
          <w:sz w:val="21"/>
          <w:szCs w:val="21"/>
          <w:highlight w:val="none"/>
          <w:lang w:val="zh-CN"/>
        </w:rPr>
        <w:t>格式1：</w:t>
      </w:r>
      <w:bookmarkEnd w:id="567"/>
      <w:bookmarkEnd w:id="568"/>
      <w:bookmarkEnd w:id="569"/>
      <w:bookmarkEnd w:id="570"/>
      <w:bookmarkEnd w:id="571"/>
      <w:bookmarkEnd w:id="572"/>
      <w:bookmarkEnd w:id="573"/>
      <w:r>
        <w:rPr>
          <w:rFonts w:hint="eastAsia" w:ascii="宋体" w:hAnsi="宋体" w:eastAsia="宋体" w:cs="宋体"/>
          <w:b/>
          <w:color w:val="auto"/>
          <w:kern w:val="1"/>
          <w:sz w:val="21"/>
          <w:szCs w:val="21"/>
          <w:highlight w:val="none"/>
          <w:lang w:val="zh-CN"/>
        </w:rPr>
        <w:t>法定代表人证明书、法定代表人授权委托书</w:t>
      </w:r>
    </w:p>
    <w:p w14:paraId="5852C350">
      <w:pPr>
        <w:autoSpaceDE w:val="0"/>
        <w:autoSpaceDN w:val="0"/>
        <w:adjustRightInd w:val="0"/>
        <w:spacing w:line="360" w:lineRule="auto"/>
        <w:jc w:val="center"/>
        <w:rPr>
          <w:rFonts w:ascii="宋体" w:hAnsi="宋体" w:cs="宋体"/>
          <w:b/>
          <w:bCs/>
          <w:color w:val="auto"/>
          <w:sz w:val="28"/>
          <w:szCs w:val="36"/>
          <w:highlight w:val="none"/>
          <w:lang w:val="zh-CN"/>
        </w:rPr>
      </w:pPr>
    </w:p>
    <w:p w14:paraId="13DF349C">
      <w:pPr>
        <w:autoSpaceDE w:val="0"/>
        <w:autoSpaceDN w:val="0"/>
        <w:adjustRightIn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法定代表人证明书</w:t>
      </w:r>
    </w:p>
    <w:p w14:paraId="60EF09D9">
      <w:pPr>
        <w:spacing w:line="360" w:lineRule="auto"/>
        <w:jc w:val="right"/>
        <w:rPr>
          <w:rFonts w:ascii="宋体" w:hAnsi="宋体" w:cs="宋体"/>
          <w:color w:val="auto"/>
          <w:highlight w:val="none"/>
        </w:rPr>
      </w:pPr>
      <w:r>
        <w:rPr>
          <w:rFonts w:hint="eastAsia" w:ascii="宋体" w:hAnsi="宋体" w:cs="宋体"/>
          <w:color w:val="auto"/>
          <w:highlight w:val="none"/>
        </w:rPr>
        <w:t>（   ）第   号</w:t>
      </w:r>
    </w:p>
    <w:tbl>
      <w:tblPr>
        <w:tblStyle w:val="45"/>
        <w:tblW w:w="5000" w:type="pct"/>
        <w:jc w:val="center"/>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Layout w:type="autofit"/>
        <w:tblCellMar>
          <w:top w:w="0" w:type="dxa"/>
          <w:left w:w="108" w:type="dxa"/>
          <w:bottom w:w="0" w:type="dxa"/>
          <w:right w:w="108" w:type="dxa"/>
        </w:tblCellMar>
      </w:tblPr>
      <w:tblGrid>
        <w:gridCol w:w="9288"/>
      </w:tblGrid>
      <w:tr w14:paraId="7B40E4FC">
        <w:tblPrEx>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CellMar>
            <w:top w:w="0" w:type="dxa"/>
            <w:left w:w="108" w:type="dxa"/>
            <w:bottom w:w="0" w:type="dxa"/>
            <w:right w:w="108" w:type="dxa"/>
          </w:tblCellMar>
        </w:tblPrEx>
        <w:trPr>
          <w:trHeight w:val="3899" w:hRule="atLeast"/>
          <w:jc w:val="center"/>
        </w:trPr>
        <w:tc>
          <w:tcPr>
            <w:tcW w:w="5000" w:type="pct"/>
          </w:tcPr>
          <w:p w14:paraId="179951AA">
            <w:pPr>
              <w:spacing w:line="360" w:lineRule="auto"/>
              <w:rPr>
                <w:rFonts w:ascii="宋体" w:hAnsi="宋体" w:cs="宋体"/>
                <w:color w:val="auto"/>
                <w:sz w:val="24"/>
                <w:highlight w:val="none"/>
                <w:u w:val="single"/>
              </w:rPr>
            </w:pPr>
          </w:p>
          <w:p w14:paraId="38637C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现任我公司      职务，为法定代表人（负责人），特此证明。</w:t>
            </w:r>
          </w:p>
          <w:p w14:paraId="6D48D832">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 xml:space="preserve">有效期限：                </w:t>
            </w:r>
          </w:p>
          <w:p w14:paraId="30BDD2A4">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附：法定代表人（负责人）</w:t>
            </w:r>
            <w:r>
              <w:rPr>
                <w:rFonts w:hint="eastAsia" w:ascii="宋体" w:hAnsi="宋体" w:cs="宋体"/>
                <w:b/>
                <w:bCs/>
                <w:color w:val="auto"/>
                <w:sz w:val="24"/>
                <w:highlight w:val="none"/>
              </w:rPr>
              <w:t>（后附身份证正反面扫描件）</w:t>
            </w:r>
            <w:r>
              <w:rPr>
                <w:rFonts w:hint="eastAsia" w:ascii="宋体" w:hAnsi="宋体" w:cs="宋体"/>
                <w:color w:val="auto"/>
                <w:sz w:val="24"/>
                <w:highlight w:val="none"/>
              </w:rPr>
              <w:t xml:space="preserve">   性别：      年龄：       身份证号码：     </w:t>
            </w:r>
          </w:p>
          <w:p w14:paraId="1E1C94D3">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 xml:space="preserve">统一社会信用代码：               企业类型：              </w:t>
            </w:r>
          </w:p>
          <w:p w14:paraId="6014A1D8">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经营范围：</w:t>
            </w:r>
          </w:p>
          <w:p w14:paraId="19D3D2B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单位：（盖章）</w:t>
            </w:r>
          </w:p>
          <w:p w14:paraId="67BAAF9E">
            <w:pPr>
              <w:snapToGrid w:val="0"/>
              <w:spacing w:line="360" w:lineRule="auto"/>
              <w:rPr>
                <w:rFonts w:ascii="宋体" w:hAnsi="宋体" w:cs="宋体"/>
                <w:color w:val="auto"/>
                <w:highlight w:val="none"/>
              </w:rPr>
            </w:pPr>
            <w:r>
              <w:rPr>
                <w:rFonts w:hint="eastAsia" w:ascii="宋体" w:hAnsi="宋体" w:cs="宋体"/>
                <w:color w:val="auto"/>
                <w:sz w:val="24"/>
                <w:highlight w:val="none"/>
              </w:rPr>
              <w:t xml:space="preserve">                                       年  月  日</w:t>
            </w:r>
          </w:p>
        </w:tc>
      </w:tr>
    </w:tbl>
    <w:p w14:paraId="1E1B4427">
      <w:pPr>
        <w:rPr>
          <w:rFonts w:ascii="宋体" w:hAnsi="宋体" w:cs="宋体"/>
          <w:color w:val="auto"/>
          <w:szCs w:val="21"/>
          <w:highlight w:val="none"/>
        </w:rPr>
      </w:pPr>
      <w:r>
        <w:rPr>
          <w:rFonts w:hint="eastAsia" w:ascii="宋体" w:hAnsi="宋体" w:cs="宋体"/>
          <w:color w:val="auto"/>
          <w:szCs w:val="21"/>
          <w:highlight w:val="none"/>
        </w:rPr>
        <w:t>注：1.法定代表人证明书也可以采用工商行政管理局统一印制的格式。</w:t>
      </w:r>
    </w:p>
    <w:p w14:paraId="7BAE6823">
      <w:pPr>
        <w:rPr>
          <w:rFonts w:ascii="宋体" w:hAnsi="宋体" w:cs="宋体"/>
          <w:color w:val="auto"/>
          <w:szCs w:val="21"/>
          <w:highlight w:val="none"/>
        </w:rPr>
      </w:pPr>
      <w:r>
        <w:rPr>
          <w:rFonts w:hint="eastAsia" w:ascii="宋体" w:hAnsi="宋体" w:cs="宋体"/>
          <w:color w:val="auto"/>
          <w:szCs w:val="21"/>
          <w:highlight w:val="none"/>
        </w:rPr>
        <w:t xml:space="preserve">    2.联合体投标的，本证明书由主办方出具，仅填写主办方单位名称并由主办方盖章即可。</w:t>
      </w:r>
    </w:p>
    <w:p w14:paraId="64A4E97C">
      <w:pPr>
        <w:autoSpaceDE w:val="0"/>
        <w:autoSpaceDN w:val="0"/>
        <w:adjustRightIn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法定代表人授权委托书</w:t>
      </w:r>
    </w:p>
    <w:p w14:paraId="26A21D5D">
      <w:pPr>
        <w:spacing w:line="360" w:lineRule="auto"/>
        <w:jc w:val="right"/>
        <w:rPr>
          <w:rFonts w:ascii="宋体" w:hAnsi="宋体" w:cs="宋体"/>
          <w:color w:val="auto"/>
          <w:highlight w:val="none"/>
        </w:rPr>
      </w:pPr>
      <w:r>
        <w:rPr>
          <w:rFonts w:hint="eastAsia" w:ascii="宋体" w:hAnsi="宋体" w:cs="宋体"/>
          <w:color w:val="auto"/>
          <w:highlight w:val="none"/>
        </w:rPr>
        <w:t>（   ）第   号</w:t>
      </w:r>
    </w:p>
    <w:tbl>
      <w:tblPr>
        <w:tblStyle w:val="45"/>
        <w:tblW w:w="5000" w:type="pct"/>
        <w:jc w:val="center"/>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Layout w:type="autofit"/>
        <w:tblCellMar>
          <w:top w:w="0" w:type="dxa"/>
          <w:left w:w="108" w:type="dxa"/>
          <w:bottom w:w="0" w:type="dxa"/>
          <w:right w:w="108" w:type="dxa"/>
        </w:tblCellMar>
      </w:tblPr>
      <w:tblGrid>
        <w:gridCol w:w="9288"/>
      </w:tblGrid>
      <w:tr w14:paraId="2D9C4916">
        <w:tblPrEx>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CellMar>
            <w:top w:w="0" w:type="dxa"/>
            <w:left w:w="108" w:type="dxa"/>
            <w:bottom w:w="0" w:type="dxa"/>
            <w:right w:w="108" w:type="dxa"/>
          </w:tblCellMar>
        </w:tblPrEx>
        <w:trPr>
          <w:trHeight w:val="3985" w:hRule="atLeast"/>
          <w:jc w:val="center"/>
        </w:trPr>
        <w:tc>
          <w:tcPr>
            <w:tcW w:w="5000" w:type="pct"/>
          </w:tcPr>
          <w:p w14:paraId="47BFF4FF">
            <w:pPr>
              <w:spacing w:line="360" w:lineRule="auto"/>
              <w:rPr>
                <w:rFonts w:ascii="宋体" w:hAnsi="宋体" w:cs="宋体"/>
                <w:color w:val="auto"/>
                <w:sz w:val="24"/>
                <w:highlight w:val="none"/>
              </w:rPr>
            </w:pPr>
          </w:p>
          <w:p w14:paraId="09B44E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兹授权为我方委托代理人，其权限是：</w:t>
            </w:r>
            <w:r>
              <w:rPr>
                <w:rFonts w:hint="eastAsia" w:ascii="宋体" w:hAnsi="宋体" w:cs="宋体"/>
                <w:color w:val="auto"/>
                <w:sz w:val="24"/>
                <w:highlight w:val="none"/>
                <w:u w:val="single"/>
              </w:rPr>
              <w:t>负责办理        投标相关事宜</w:t>
            </w:r>
            <w:r>
              <w:rPr>
                <w:rFonts w:hint="eastAsia" w:ascii="宋体" w:hAnsi="宋体" w:cs="宋体"/>
                <w:color w:val="auto"/>
                <w:sz w:val="24"/>
                <w:highlight w:val="none"/>
              </w:rPr>
              <w:t>。</w:t>
            </w:r>
          </w:p>
          <w:p w14:paraId="1727FA85">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 xml:space="preserve">有效期限：          </w:t>
            </w:r>
          </w:p>
          <w:p w14:paraId="0B1EE09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附：代理人</w:t>
            </w:r>
            <w:r>
              <w:rPr>
                <w:rFonts w:hint="eastAsia" w:ascii="宋体" w:hAnsi="宋体" w:cs="宋体"/>
                <w:b/>
                <w:bCs/>
                <w:color w:val="auto"/>
                <w:sz w:val="24"/>
                <w:highlight w:val="none"/>
              </w:rPr>
              <w:t>（后附身份证正反面扫描件）</w:t>
            </w:r>
            <w:r>
              <w:rPr>
                <w:rFonts w:hint="eastAsia" w:ascii="宋体" w:hAnsi="宋体" w:cs="宋体"/>
                <w:color w:val="auto"/>
                <w:sz w:val="24"/>
                <w:highlight w:val="none"/>
              </w:rPr>
              <w:t xml:space="preserve">    性别：          年龄：         身份证号码：               </w:t>
            </w:r>
          </w:p>
          <w:p w14:paraId="3F976AFD">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 xml:space="preserve">统一社会信用代码：                  企业类型：               </w:t>
            </w:r>
          </w:p>
          <w:p w14:paraId="0E0F918F">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 xml:space="preserve">经营范围：              </w:t>
            </w:r>
          </w:p>
          <w:p w14:paraId="7C37811A">
            <w:pPr>
              <w:snapToGrid w:val="0"/>
              <w:spacing w:line="360" w:lineRule="auto"/>
              <w:rPr>
                <w:rFonts w:ascii="宋体" w:hAnsi="宋体" w:cs="宋体"/>
                <w:color w:val="auto"/>
                <w:sz w:val="24"/>
                <w:highlight w:val="none"/>
                <w:u w:val="single"/>
              </w:rPr>
            </w:pPr>
          </w:p>
          <w:p w14:paraId="1C2359E9">
            <w:pPr>
              <w:spacing w:line="360" w:lineRule="auto"/>
              <w:rPr>
                <w:rFonts w:ascii="宋体" w:hAnsi="宋体" w:cs="宋体"/>
                <w:color w:val="auto"/>
                <w:sz w:val="24"/>
                <w:highlight w:val="none"/>
              </w:rPr>
            </w:pPr>
            <w:r>
              <w:rPr>
                <w:rFonts w:hint="eastAsia" w:ascii="宋体" w:hAnsi="宋体" w:cs="宋体"/>
                <w:color w:val="auto"/>
                <w:sz w:val="24"/>
                <w:highlight w:val="none"/>
              </w:rPr>
              <w:t>法定代表人（负责人）：（签字或盖章）</w:t>
            </w:r>
          </w:p>
          <w:p w14:paraId="344B99A4">
            <w:pPr>
              <w:spacing w:line="360" w:lineRule="auto"/>
              <w:rPr>
                <w:rFonts w:ascii="宋体" w:hAnsi="宋体" w:cs="宋体"/>
                <w:color w:val="auto"/>
                <w:sz w:val="24"/>
                <w:highlight w:val="none"/>
              </w:rPr>
            </w:pPr>
            <w:r>
              <w:rPr>
                <w:rFonts w:hint="eastAsia" w:ascii="宋体" w:hAnsi="宋体" w:cs="宋体"/>
                <w:color w:val="auto"/>
                <w:sz w:val="24"/>
                <w:highlight w:val="none"/>
              </w:rPr>
              <w:t>授权单位：（盖章）</w:t>
            </w:r>
          </w:p>
          <w:p w14:paraId="68630F3D">
            <w:pPr>
              <w:snapToGrid w:val="0"/>
              <w:spacing w:line="360" w:lineRule="auto"/>
              <w:rPr>
                <w:rFonts w:ascii="宋体" w:hAnsi="宋体" w:cs="宋体"/>
                <w:color w:val="auto"/>
                <w:highlight w:val="none"/>
              </w:rPr>
            </w:pPr>
            <w:r>
              <w:rPr>
                <w:rFonts w:hint="eastAsia" w:ascii="宋体" w:hAnsi="宋体" w:cs="宋体"/>
                <w:color w:val="auto"/>
                <w:sz w:val="24"/>
                <w:highlight w:val="none"/>
              </w:rPr>
              <w:t xml:space="preserve">                      年  月  日</w:t>
            </w:r>
          </w:p>
        </w:tc>
      </w:tr>
    </w:tbl>
    <w:p w14:paraId="04E27777">
      <w:pPr>
        <w:rPr>
          <w:rFonts w:ascii="宋体" w:hAnsi="宋体" w:cs="宋体"/>
          <w:color w:val="auto"/>
          <w:szCs w:val="21"/>
          <w:highlight w:val="none"/>
        </w:rPr>
      </w:pPr>
      <w:r>
        <w:rPr>
          <w:rFonts w:hint="eastAsia" w:ascii="宋体" w:hAnsi="宋体" w:cs="宋体"/>
          <w:color w:val="auto"/>
          <w:szCs w:val="21"/>
          <w:highlight w:val="none"/>
        </w:rPr>
        <w:t>注：1.法定代表人授权委托书也可以采用工商行政管理局统一印制的格式。</w:t>
      </w:r>
    </w:p>
    <w:p w14:paraId="19AD7E86">
      <w:pPr>
        <w:pStyle w:val="14"/>
        <w:rPr>
          <w:rFonts w:ascii="宋体" w:hAnsi="宋体"/>
          <w:color w:val="auto"/>
          <w:highlight w:val="none"/>
        </w:rPr>
      </w:pPr>
      <w:r>
        <w:rPr>
          <w:rFonts w:hint="eastAsia" w:ascii="宋体" w:hAnsi="宋体" w:cs="宋体"/>
          <w:color w:val="auto"/>
          <w:szCs w:val="21"/>
          <w:highlight w:val="none"/>
        </w:rPr>
        <w:t>2.联合体投标的，本授权书由主办方出具，仅填写主办方单位名称并由主办方签字或盖章即可。</w:t>
      </w:r>
    </w:p>
    <w:p w14:paraId="659CDAE1">
      <w:pPr>
        <w:pStyle w:val="44"/>
        <w:rPr>
          <w:rFonts w:ascii="宋体" w:hAnsi="宋体"/>
          <w:color w:val="auto"/>
          <w:highlight w:val="none"/>
        </w:rPr>
      </w:pPr>
    </w:p>
    <w:p w14:paraId="63F934E0">
      <w:pPr>
        <w:adjustRightInd w:val="0"/>
        <w:spacing w:line="360" w:lineRule="auto"/>
        <w:rPr>
          <w:rFonts w:ascii="宋体" w:hAnsi="宋体" w:cs="宋体"/>
          <w:color w:val="auto"/>
          <w:highlight w:val="none"/>
        </w:rPr>
      </w:pPr>
      <w:r>
        <w:rPr>
          <w:rFonts w:ascii="宋体" w:hAnsi="宋体"/>
          <w:color w:val="auto"/>
          <w:sz w:val="20"/>
          <w:szCs w:val="20"/>
          <w:highlight w:val="none"/>
          <w:u w:val="single"/>
        </w:rPr>
        <w:br w:type="page"/>
      </w:r>
      <w:bookmarkEnd w:id="564"/>
      <w:bookmarkEnd w:id="565"/>
      <w:bookmarkEnd w:id="566"/>
      <w:bookmarkEnd w:id="574"/>
      <w:bookmarkEnd w:id="575"/>
      <w:bookmarkStart w:id="576" w:name="_Toc86413394"/>
      <w:bookmarkEnd w:id="576"/>
      <w:bookmarkStart w:id="577" w:name="_Toc13324"/>
      <w:bookmarkEnd w:id="577"/>
    </w:p>
    <w:p w14:paraId="607770D2">
      <w:pPr>
        <w:adjustRightInd w:val="0"/>
        <w:spacing w:line="360" w:lineRule="auto"/>
        <w:rPr>
          <w:rFonts w:ascii="宋体" w:hAnsi="宋体" w:cs="宋体"/>
          <w:color w:val="auto"/>
          <w:highlight w:val="none"/>
        </w:rPr>
      </w:pPr>
    </w:p>
    <w:p w14:paraId="5A477839">
      <w:pPr>
        <w:adjustRightInd w:val="0"/>
        <w:spacing w:line="360" w:lineRule="auto"/>
        <w:rPr>
          <w:rFonts w:ascii="宋体" w:hAnsi="宋体" w:cs="宋体"/>
          <w:color w:val="auto"/>
          <w:highlight w:val="none"/>
        </w:rPr>
      </w:pPr>
    </w:p>
    <w:p w14:paraId="2898EFFE">
      <w:pPr>
        <w:adjustRightInd w:val="0"/>
        <w:spacing w:line="360" w:lineRule="auto"/>
        <w:rPr>
          <w:rFonts w:ascii="宋体" w:hAnsi="宋体" w:cs="宋体"/>
          <w:color w:val="auto"/>
          <w:highlight w:val="none"/>
        </w:rPr>
      </w:pPr>
    </w:p>
    <w:p w14:paraId="5870093C">
      <w:pPr>
        <w:adjustRightInd w:val="0"/>
        <w:spacing w:line="360" w:lineRule="auto"/>
        <w:rPr>
          <w:rFonts w:ascii="宋体" w:hAnsi="宋体" w:cs="宋体"/>
          <w:color w:val="auto"/>
          <w:highlight w:val="none"/>
        </w:rPr>
      </w:pPr>
    </w:p>
    <w:p w14:paraId="028E33F5">
      <w:pPr>
        <w:jc w:val="center"/>
        <w:rPr>
          <w:rFonts w:ascii="宋体" w:hAnsi="宋体" w:cs="宋体"/>
          <w:color w:val="auto"/>
          <w:sz w:val="40"/>
          <w:szCs w:val="40"/>
          <w:highlight w:val="none"/>
        </w:rPr>
      </w:pPr>
      <w:r>
        <w:rPr>
          <w:rFonts w:hint="eastAsia" w:ascii="宋体" w:hAnsi="宋体" w:cs="宋体"/>
          <w:color w:val="auto"/>
          <w:sz w:val="40"/>
          <w:szCs w:val="40"/>
          <w:highlight w:val="none"/>
          <w:u w:val="single"/>
        </w:rPr>
        <w:t xml:space="preserve">    （项目名称）    </w:t>
      </w:r>
    </w:p>
    <w:p w14:paraId="4A2B9975">
      <w:pPr>
        <w:adjustRightInd w:val="0"/>
        <w:spacing w:line="360" w:lineRule="auto"/>
        <w:rPr>
          <w:rFonts w:ascii="宋体" w:hAnsi="宋体" w:cs="宋体"/>
          <w:color w:val="auto"/>
          <w:highlight w:val="none"/>
        </w:rPr>
      </w:pPr>
    </w:p>
    <w:p w14:paraId="3E374ACE">
      <w:pPr>
        <w:adjustRightInd w:val="0"/>
        <w:spacing w:line="360" w:lineRule="auto"/>
        <w:rPr>
          <w:rFonts w:ascii="宋体" w:hAnsi="宋体" w:cs="宋体"/>
          <w:color w:val="auto"/>
          <w:highlight w:val="none"/>
        </w:rPr>
      </w:pPr>
    </w:p>
    <w:p w14:paraId="5FD80D0C">
      <w:pPr>
        <w:jc w:val="center"/>
        <w:rPr>
          <w:rFonts w:ascii="宋体" w:hAnsi="宋体" w:cs="宋体"/>
          <w:color w:val="auto"/>
          <w:sz w:val="44"/>
          <w:szCs w:val="44"/>
          <w:highlight w:val="none"/>
        </w:rPr>
      </w:pPr>
      <w:r>
        <w:rPr>
          <w:rFonts w:hint="eastAsia" w:ascii="宋体" w:hAnsi="宋体" w:cs="宋体"/>
          <w:color w:val="auto"/>
          <w:sz w:val="44"/>
          <w:szCs w:val="44"/>
          <w:highlight w:val="none"/>
        </w:rPr>
        <w:t>投  标  文  件</w:t>
      </w:r>
    </w:p>
    <w:p w14:paraId="7AAC648B">
      <w:pPr>
        <w:pStyle w:val="23"/>
        <w:jc w:val="center"/>
        <w:rPr>
          <w:rFonts w:hAnsi="宋体" w:cs="宋体"/>
          <w:color w:val="auto"/>
          <w:highlight w:val="none"/>
        </w:rPr>
      </w:pPr>
      <w:r>
        <w:rPr>
          <w:rFonts w:hint="eastAsia" w:hAnsi="宋体" w:cs="宋体"/>
          <w:color w:val="auto"/>
          <w:sz w:val="44"/>
          <w:szCs w:val="44"/>
          <w:highlight w:val="none"/>
        </w:rPr>
        <w:t>（工程总承包实施方案部分）</w:t>
      </w:r>
    </w:p>
    <w:p w14:paraId="21DDF199">
      <w:pPr>
        <w:adjustRightInd w:val="0"/>
        <w:spacing w:line="360" w:lineRule="auto"/>
        <w:rPr>
          <w:rFonts w:ascii="宋体" w:hAnsi="宋体" w:cs="宋体"/>
          <w:color w:val="auto"/>
          <w:highlight w:val="none"/>
        </w:rPr>
      </w:pPr>
    </w:p>
    <w:p w14:paraId="25A1C822">
      <w:pPr>
        <w:adjustRightInd w:val="0"/>
        <w:spacing w:line="360" w:lineRule="auto"/>
        <w:rPr>
          <w:rFonts w:ascii="宋体" w:hAnsi="宋体" w:cs="宋体"/>
          <w:color w:val="auto"/>
          <w:highlight w:val="none"/>
        </w:rPr>
      </w:pPr>
    </w:p>
    <w:p w14:paraId="180E30ED">
      <w:pPr>
        <w:adjustRightInd w:val="0"/>
        <w:spacing w:line="360" w:lineRule="auto"/>
        <w:rPr>
          <w:rFonts w:ascii="宋体" w:hAnsi="宋体" w:cs="宋体"/>
          <w:color w:val="auto"/>
          <w:highlight w:val="none"/>
        </w:rPr>
      </w:pPr>
    </w:p>
    <w:p w14:paraId="1C24447A">
      <w:pPr>
        <w:adjustRightInd w:val="0"/>
        <w:spacing w:line="360" w:lineRule="auto"/>
        <w:rPr>
          <w:rFonts w:ascii="宋体" w:hAnsi="宋体" w:cs="宋体"/>
          <w:color w:val="auto"/>
          <w:highlight w:val="none"/>
        </w:rPr>
      </w:pPr>
    </w:p>
    <w:p w14:paraId="5F519A52">
      <w:pPr>
        <w:adjustRightInd w:val="0"/>
        <w:spacing w:line="360" w:lineRule="auto"/>
        <w:rPr>
          <w:rFonts w:ascii="宋体" w:hAnsi="宋体" w:cs="宋体"/>
          <w:color w:val="auto"/>
          <w:highlight w:val="none"/>
        </w:rPr>
      </w:pPr>
    </w:p>
    <w:p w14:paraId="7BB4993E">
      <w:pPr>
        <w:adjustRightInd w:val="0"/>
        <w:spacing w:line="360" w:lineRule="auto"/>
        <w:rPr>
          <w:rFonts w:ascii="宋体" w:hAnsi="宋体" w:cs="宋体"/>
          <w:color w:val="auto"/>
          <w:highlight w:val="none"/>
        </w:rPr>
      </w:pPr>
    </w:p>
    <w:p w14:paraId="7E0AB9E1">
      <w:pPr>
        <w:adjustRightInd w:val="0"/>
        <w:spacing w:line="360" w:lineRule="auto"/>
        <w:rPr>
          <w:rFonts w:ascii="宋体" w:hAnsi="宋体" w:cs="宋体"/>
          <w:color w:val="auto"/>
          <w:highlight w:val="none"/>
        </w:rPr>
      </w:pPr>
    </w:p>
    <w:p w14:paraId="67800487">
      <w:pPr>
        <w:adjustRightInd w:val="0"/>
        <w:spacing w:line="360" w:lineRule="auto"/>
        <w:rPr>
          <w:rFonts w:ascii="宋体" w:hAnsi="宋体" w:cs="宋体"/>
          <w:color w:val="auto"/>
          <w:highlight w:val="none"/>
        </w:rPr>
      </w:pPr>
    </w:p>
    <w:p w14:paraId="2AE8989D">
      <w:pPr>
        <w:adjustRightInd w:val="0"/>
        <w:spacing w:line="360" w:lineRule="auto"/>
        <w:rPr>
          <w:rFonts w:ascii="宋体" w:hAnsi="宋体" w:cs="宋体"/>
          <w:color w:val="auto"/>
          <w:highlight w:val="none"/>
        </w:rPr>
      </w:pPr>
    </w:p>
    <w:p w14:paraId="6DDF445B">
      <w:pPr>
        <w:adjustRightInd w:val="0"/>
        <w:spacing w:line="360" w:lineRule="auto"/>
        <w:rPr>
          <w:rFonts w:ascii="宋体" w:hAnsi="宋体" w:cs="宋体"/>
          <w:color w:val="auto"/>
          <w:highlight w:val="none"/>
        </w:rPr>
      </w:pPr>
    </w:p>
    <w:p w14:paraId="45B7C62F">
      <w:pPr>
        <w:adjustRightInd w:val="0"/>
        <w:spacing w:line="360" w:lineRule="auto"/>
        <w:rPr>
          <w:rFonts w:ascii="宋体" w:hAnsi="宋体" w:cs="宋体"/>
          <w:color w:val="auto"/>
          <w:highlight w:val="none"/>
        </w:rPr>
      </w:pPr>
    </w:p>
    <w:p w14:paraId="5C607004">
      <w:pPr>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投标人：</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（盖章）</w:t>
      </w:r>
    </w:p>
    <w:p w14:paraId="2EE1E0FD">
      <w:pPr>
        <w:jc w:val="center"/>
        <w:rPr>
          <w:rFonts w:ascii="宋体" w:hAnsi="宋体" w:cs="宋体"/>
          <w:color w:val="auto"/>
          <w:sz w:val="28"/>
          <w:szCs w:val="28"/>
          <w:highlight w:val="none"/>
        </w:rPr>
      </w:pPr>
      <w:r>
        <w:rPr>
          <w:rFonts w:hint="eastAsia" w:ascii="宋体" w:hAnsi="宋体" w:cs="宋体"/>
          <w:color w:val="auto"/>
          <w:sz w:val="28"/>
          <w:szCs w:val="28"/>
          <w:highlight w:val="none"/>
        </w:rPr>
        <w:t>年月日</w:t>
      </w:r>
    </w:p>
    <w:p w14:paraId="275850D0">
      <w:pPr>
        <w:adjustRightInd w:val="0"/>
        <w:spacing w:line="360" w:lineRule="auto"/>
        <w:rPr>
          <w:rFonts w:ascii="宋体" w:hAnsi="宋体" w:cs="宋体"/>
          <w:color w:val="auto"/>
          <w:highlight w:val="none"/>
        </w:rPr>
      </w:pPr>
    </w:p>
    <w:p w14:paraId="64C79082">
      <w:pPr>
        <w:adjustRightInd w:val="0"/>
        <w:spacing w:line="360" w:lineRule="auto"/>
        <w:rPr>
          <w:rFonts w:ascii="宋体" w:hAnsi="宋体" w:cs="宋体"/>
          <w:color w:val="auto"/>
          <w:highlight w:val="none"/>
        </w:rPr>
      </w:pPr>
    </w:p>
    <w:p w14:paraId="27048C46">
      <w:pPr>
        <w:outlineLvl w:val="1"/>
        <w:rPr>
          <w:rFonts w:ascii="宋体" w:hAnsi="宋体" w:cs="宋体"/>
          <w:b/>
          <w:color w:val="auto"/>
          <w:kern w:val="1"/>
          <w:szCs w:val="21"/>
          <w:highlight w:val="none"/>
          <w:lang w:val="zh-CN"/>
        </w:rPr>
      </w:pPr>
      <w:r>
        <w:rPr>
          <w:rFonts w:ascii="宋体" w:hAnsi="宋体" w:cs="宋体"/>
          <w:color w:val="auto"/>
          <w:sz w:val="28"/>
          <w:szCs w:val="28"/>
          <w:highlight w:val="none"/>
        </w:rPr>
        <w:br w:type="page"/>
      </w:r>
      <w:bookmarkStart w:id="578" w:name="_Toc116461796"/>
      <w:bookmarkStart w:id="579" w:name="_Toc123901761"/>
      <w:r>
        <w:rPr>
          <w:rFonts w:hint="eastAsia" w:ascii="宋体" w:hAnsi="宋体" w:cs="宋体"/>
          <w:b/>
          <w:color w:val="auto"/>
          <w:kern w:val="1"/>
          <w:szCs w:val="21"/>
          <w:highlight w:val="none"/>
          <w:lang w:val="zh-CN"/>
        </w:rPr>
        <w:t>格式2：投标书</w:t>
      </w:r>
      <w:bookmarkEnd w:id="578"/>
      <w:bookmarkEnd w:id="579"/>
    </w:p>
    <w:p w14:paraId="69E8EC22">
      <w:pPr>
        <w:autoSpaceDE w:val="0"/>
        <w:autoSpaceDN w:val="0"/>
        <w:adjustRightIn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投标书</w:t>
      </w:r>
    </w:p>
    <w:tbl>
      <w:tblPr>
        <w:tblStyle w:val="45"/>
        <w:tblW w:w="53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
        <w:gridCol w:w="2878"/>
        <w:gridCol w:w="1640"/>
        <w:gridCol w:w="4979"/>
      </w:tblGrid>
      <w:tr w14:paraId="1AA7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653" w:type="pct"/>
            <w:gridSpan w:val="2"/>
            <w:tcBorders>
              <w:top w:val="single" w:color="auto" w:sz="4" w:space="0"/>
              <w:left w:val="single" w:color="auto" w:sz="4" w:space="0"/>
              <w:bottom w:val="single" w:color="auto" w:sz="4" w:space="0"/>
              <w:right w:val="single" w:color="auto" w:sz="4" w:space="0"/>
            </w:tcBorders>
            <w:vAlign w:val="center"/>
          </w:tcPr>
          <w:p w14:paraId="4FD4F5CA">
            <w:pPr>
              <w:adjustRightIn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lang w:val="zh-CN"/>
              </w:rPr>
              <w:t>项目名称</w:t>
            </w:r>
          </w:p>
        </w:tc>
        <w:tc>
          <w:tcPr>
            <w:tcW w:w="3346" w:type="pct"/>
            <w:gridSpan w:val="2"/>
            <w:tcBorders>
              <w:top w:val="single" w:color="auto" w:sz="4" w:space="0"/>
              <w:left w:val="single" w:color="auto" w:sz="4" w:space="0"/>
              <w:bottom w:val="single" w:color="auto" w:sz="4" w:space="0"/>
              <w:right w:val="single" w:color="auto" w:sz="4" w:space="0"/>
            </w:tcBorders>
            <w:vAlign w:val="center"/>
          </w:tcPr>
          <w:p w14:paraId="7D29F194">
            <w:pPr>
              <w:adjustRightInd w:val="0"/>
              <w:spacing w:line="360" w:lineRule="auto"/>
              <w:jc w:val="center"/>
              <w:rPr>
                <w:rFonts w:ascii="宋体" w:hAnsi="宋体" w:cs="宋体"/>
                <w:b/>
                <w:color w:val="auto"/>
                <w:szCs w:val="21"/>
                <w:highlight w:val="none"/>
                <w:lang w:val="zh-CN"/>
              </w:rPr>
            </w:pPr>
          </w:p>
        </w:tc>
      </w:tr>
      <w:tr w14:paraId="1FFB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653" w:type="pct"/>
            <w:gridSpan w:val="2"/>
            <w:tcBorders>
              <w:top w:val="single" w:color="auto" w:sz="4" w:space="0"/>
              <w:left w:val="single" w:color="auto" w:sz="4" w:space="0"/>
              <w:bottom w:val="single" w:color="auto" w:sz="4" w:space="0"/>
              <w:right w:val="single" w:color="auto" w:sz="4" w:space="0"/>
            </w:tcBorders>
            <w:vAlign w:val="center"/>
          </w:tcPr>
          <w:p w14:paraId="673B4C23">
            <w:pPr>
              <w:adjustRightInd w:val="0"/>
              <w:spacing w:line="400" w:lineRule="exact"/>
              <w:jc w:val="center"/>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投标总报价</w:t>
            </w:r>
          </w:p>
          <w:p w14:paraId="415B0887">
            <w:pPr>
              <w:adjustRightIn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lang w:val="zh-CN"/>
              </w:rPr>
              <w:t>（</w:t>
            </w:r>
            <w:r>
              <w:rPr>
                <w:rFonts w:hint="eastAsia" w:ascii="宋体" w:hAnsi="宋体" w:cs="宋体"/>
                <w:b/>
                <w:color w:val="auto"/>
                <w:szCs w:val="21"/>
                <w:highlight w:val="none"/>
                <w:lang w:val="en-US" w:eastAsia="zh-CN"/>
              </w:rPr>
              <w:t>含税</w:t>
            </w:r>
            <w:r>
              <w:rPr>
                <w:rFonts w:hint="eastAsia" w:ascii="宋体" w:hAnsi="宋体" w:cs="宋体"/>
                <w:b/>
                <w:color w:val="auto"/>
                <w:szCs w:val="21"/>
                <w:highlight w:val="none"/>
                <w:lang w:val="zh-CN"/>
              </w:rPr>
              <w:t>）</w:t>
            </w:r>
          </w:p>
        </w:tc>
        <w:tc>
          <w:tcPr>
            <w:tcW w:w="3346" w:type="pct"/>
            <w:gridSpan w:val="2"/>
            <w:tcBorders>
              <w:top w:val="single" w:color="auto" w:sz="4" w:space="0"/>
              <w:left w:val="single" w:color="auto" w:sz="4" w:space="0"/>
              <w:bottom w:val="single" w:color="auto" w:sz="4" w:space="0"/>
              <w:right w:val="single" w:color="auto" w:sz="4" w:space="0"/>
            </w:tcBorders>
            <w:vAlign w:val="center"/>
          </w:tcPr>
          <w:p w14:paraId="460C38EE">
            <w:pPr>
              <w:adjustRightIn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大写：</w:t>
            </w:r>
          </w:p>
          <w:p w14:paraId="66151F59">
            <w:pPr>
              <w:adjustRightIn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小写：         元</w:t>
            </w:r>
          </w:p>
        </w:tc>
      </w:tr>
      <w:tr w14:paraId="1D780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98" w:type="pct"/>
            <w:vMerge w:val="restart"/>
            <w:tcBorders>
              <w:top w:val="single" w:color="auto" w:sz="4" w:space="0"/>
              <w:left w:val="single" w:color="auto" w:sz="4" w:space="0"/>
              <w:right w:val="single" w:color="auto" w:sz="4" w:space="0"/>
            </w:tcBorders>
            <w:vAlign w:val="center"/>
          </w:tcPr>
          <w:p w14:paraId="4B176889">
            <w:pPr>
              <w:adjustRightInd w:val="0"/>
              <w:spacing w:line="400" w:lineRule="exact"/>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其</w:t>
            </w:r>
          </w:p>
          <w:p w14:paraId="2027B8A4">
            <w:pPr>
              <w:adjustRightInd w:val="0"/>
              <w:spacing w:line="400" w:lineRule="exact"/>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中</w:t>
            </w:r>
          </w:p>
        </w:tc>
        <w:tc>
          <w:tcPr>
            <w:tcW w:w="1455" w:type="pct"/>
            <w:tcBorders>
              <w:top w:val="single" w:color="auto" w:sz="4" w:space="0"/>
              <w:left w:val="single" w:color="auto" w:sz="4" w:space="0"/>
              <w:right w:val="single" w:color="auto" w:sz="4" w:space="0"/>
            </w:tcBorders>
            <w:vAlign w:val="center"/>
          </w:tcPr>
          <w:p w14:paraId="7645A636">
            <w:pPr>
              <w:adjustRightInd w:val="0"/>
              <w:spacing w:line="500" w:lineRule="exact"/>
              <w:jc w:val="center"/>
              <w:rPr>
                <w:rFonts w:hint="eastAsia" w:ascii="宋体" w:hAnsi="宋体" w:cs="宋体"/>
                <w:b/>
                <w:color w:val="auto"/>
                <w:szCs w:val="21"/>
                <w:highlight w:val="none"/>
                <w:lang w:eastAsia="zh-CN"/>
              </w:rPr>
            </w:pPr>
            <w:r>
              <w:rPr>
                <w:rFonts w:hint="eastAsia" w:ascii="宋体" w:hAnsi="宋体" w:cs="宋体"/>
                <w:b/>
                <w:color w:val="auto"/>
                <w:szCs w:val="21"/>
                <w:highlight w:val="none"/>
                <w:lang w:val="zh-CN"/>
              </w:rPr>
              <w:t>设计</w:t>
            </w:r>
            <w:r>
              <w:rPr>
                <w:rFonts w:hint="eastAsia" w:ascii="宋体" w:hAnsi="宋体" w:cs="宋体"/>
                <w:b/>
                <w:color w:val="auto"/>
                <w:szCs w:val="21"/>
                <w:highlight w:val="none"/>
              </w:rPr>
              <w:t>费</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含BIM设计费</w:t>
            </w:r>
            <w:r>
              <w:rPr>
                <w:rFonts w:hint="eastAsia" w:ascii="宋体" w:hAnsi="宋体" w:cs="宋体"/>
                <w:b/>
                <w:color w:val="auto"/>
                <w:szCs w:val="21"/>
                <w:highlight w:val="none"/>
                <w:lang w:eastAsia="zh-CN"/>
              </w:rPr>
              <w:t>）</w:t>
            </w:r>
          </w:p>
          <w:p w14:paraId="215A545F">
            <w:pPr>
              <w:adjustRightInd w:val="0"/>
              <w:spacing w:line="500" w:lineRule="exact"/>
              <w:jc w:val="center"/>
              <w:rPr>
                <w:rFonts w:hint="eastAsia" w:ascii="宋体" w:hAnsi="宋体" w:eastAsia="宋体" w:cs="宋体"/>
                <w:b/>
                <w:color w:val="auto"/>
                <w:szCs w:val="21"/>
                <w:highlight w:val="none"/>
                <w:lang w:val="zh-CN" w:eastAsia="zh-CN"/>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含税</w:t>
            </w:r>
            <w:r>
              <w:rPr>
                <w:rFonts w:hint="eastAsia" w:ascii="宋体" w:hAnsi="宋体" w:cs="宋体"/>
                <w:b/>
                <w:color w:val="auto"/>
                <w:szCs w:val="21"/>
                <w:highlight w:val="none"/>
                <w:lang w:eastAsia="zh-CN"/>
              </w:rPr>
              <w:t>）</w:t>
            </w:r>
          </w:p>
        </w:tc>
        <w:tc>
          <w:tcPr>
            <w:tcW w:w="3346" w:type="pct"/>
            <w:gridSpan w:val="2"/>
            <w:tcBorders>
              <w:top w:val="single" w:color="auto" w:sz="4" w:space="0"/>
              <w:left w:val="single" w:color="auto" w:sz="4" w:space="0"/>
              <w:right w:val="single" w:color="auto" w:sz="4" w:space="0"/>
            </w:tcBorders>
            <w:vAlign w:val="center"/>
          </w:tcPr>
          <w:p w14:paraId="27543862">
            <w:pPr>
              <w:adjustRightInd w:val="0"/>
              <w:spacing w:line="50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小写：         元</w:t>
            </w:r>
          </w:p>
          <w:p w14:paraId="761AC62B">
            <w:pPr>
              <w:adjustRightInd w:val="0"/>
              <w:spacing w:line="500" w:lineRule="exact"/>
              <w:jc w:val="left"/>
              <w:rPr>
                <w:rFonts w:ascii="宋体" w:hAnsi="宋体" w:cs="宋体"/>
                <w:b/>
                <w:color w:val="auto"/>
                <w:szCs w:val="21"/>
                <w:highlight w:val="none"/>
              </w:rPr>
            </w:pPr>
            <w:r>
              <w:rPr>
                <w:rFonts w:hint="eastAsia" w:ascii="宋体" w:hAnsi="宋体" w:cs="宋体"/>
                <w:b/>
                <w:color w:val="auto"/>
                <w:szCs w:val="21"/>
                <w:highlight w:val="none"/>
              </w:rPr>
              <w:t>设计费</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含BIM设计费</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＝设计费</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含BIM设计费</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最高投标限价*（1-下浮率）</w:t>
            </w:r>
          </w:p>
        </w:tc>
      </w:tr>
      <w:tr w14:paraId="4F5D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98" w:type="pct"/>
            <w:vMerge w:val="continue"/>
            <w:tcBorders>
              <w:left w:val="single" w:color="auto" w:sz="4" w:space="0"/>
              <w:right w:val="single" w:color="auto" w:sz="4" w:space="0"/>
            </w:tcBorders>
            <w:vAlign w:val="center"/>
          </w:tcPr>
          <w:p w14:paraId="0CBF67EC">
            <w:pPr>
              <w:adjustRightInd w:val="0"/>
              <w:spacing w:line="400" w:lineRule="exact"/>
              <w:jc w:val="center"/>
              <w:rPr>
                <w:rFonts w:ascii="宋体" w:hAnsi="宋体" w:cs="宋体"/>
                <w:b/>
                <w:color w:val="auto"/>
                <w:szCs w:val="21"/>
                <w:highlight w:val="none"/>
                <w:lang w:val="zh-CN"/>
              </w:rPr>
            </w:pPr>
          </w:p>
        </w:tc>
        <w:tc>
          <w:tcPr>
            <w:tcW w:w="1455" w:type="pct"/>
            <w:tcBorders>
              <w:left w:val="single" w:color="auto" w:sz="4" w:space="0"/>
              <w:right w:val="single" w:color="auto" w:sz="4" w:space="0"/>
            </w:tcBorders>
            <w:vAlign w:val="center"/>
          </w:tcPr>
          <w:p w14:paraId="7F3A3EC5">
            <w:pPr>
              <w:adjustRightInd w:val="0"/>
              <w:spacing w:line="500" w:lineRule="exact"/>
              <w:jc w:val="center"/>
              <w:rPr>
                <w:rFonts w:ascii="宋体" w:hAnsi="宋体" w:cs="宋体"/>
                <w:b/>
                <w:color w:val="auto"/>
                <w:szCs w:val="21"/>
                <w:highlight w:val="none"/>
              </w:rPr>
            </w:pPr>
            <w:r>
              <w:rPr>
                <w:rFonts w:hint="eastAsia" w:ascii="宋体" w:hAnsi="宋体" w:cs="宋体"/>
                <w:b/>
                <w:color w:val="auto"/>
                <w:szCs w:val="21"/>
                <w:highlight w:val="none"/>
                <w:lang w:val="en-US" w:eastAsia="zh-CN"/>
              </w:rPr>
              <w:t>工程费</w:t>
            </w:r>
            <w:r>
              <w:rPr>
                <w:rFonts w:hint="eastAsia" w:ascii="宋体" w:hAnsi="宋体" w:cs="宋体"/>
                <w:b/>
                <w:color w:val="auto"/>
                <w:szCs w:val="21"/>
                <w:highlight w:val="none"/>
                <w:lang w:val="zh-CN"/>
              </w:rPr>
              <w:t>（</w:t>
            </w:r>
            <w:r>
              <w:rPr>
                <w:rFonts w:hint="eastAsia" w:ascii="宋体" w:hAnsi="宋体" w:cs="宋体"/>
                <w:b/>
                <w:color w:val="auto"/>
                <w:szCs w:val="21"/>
                <w:highlight w:val="none"/>
                <w:lang w:val="en-US" w:eastAsia="zh-CN"/>
              </w:rPr>
              <w:t>含税</w:t>
            </w:r>
            <w:r>
              <w:rPr>
                <w:rFonts w:hint="eastAsia" w:ascii="宋体" w:hAnsi="宋体" w:cs="宋体"/>
                <w:b/>
                <w:color w:val="auto"/>
                <w:szCs w:val="21"/>
                <w:highlight w:val="none"/>
                <w:lang w:val="zh-CN"/>
              </w:rPr>
              <w:t>）</w:t>
            </w:r>
          </w:p>
        </w:tc>
        <w:tc>
          <w:tcPr>
            <w:tcW w:w="3346" w:type="pct"/>
            <w:gridSpan w:val="2"/>
            <w:tcBorders>
              <w:top w:val="single" w:color="auto" w:sz="4" w:space="0"/>
              <w:left w:val="single" w:color="auto" w:sz="4" w:space="0"/>
              <w:right w:val="single" w:color="auto" w:sz="4" w:space="0"/>
            </w:tcBorders>
            <w:vAlign w:val="center"/>
          </w:tcPr>
          <w:p w14:paraId="65E0DE02">
            <w:pPr>
              <w:pStyle w:val="44"/>
              <w:autoSpaceDE w:val="0"/>
              <w:autoSpaceDN w:val="0"/>
              <w:adjustRightInd w:val="0"/>
              <w:ind w:left="0" w:leftChars="0" w:firstLine="0" w:firstLineChars="0"/>
              <w:jc w:val="left"/>
              <w:rPr>
                <w:rFonts w:hint="eastAsia" w:ascii="宋体" w:hAnsi="宋体" w:cs="宋体"/>
                <w:b/>
                <w:color w:val="auto"/>
                <w:szCs w:val="21"/>
                <w:highlight w:val="none"/>
              </w:rPr>
            </w:pPr>
            <w:r>
              <w:rPr>
                <w:rFonts w:hint="eastAsia" w:ascii="宋体" w:hAnsi="宋体" w:cs="宋体"/>
                <w:b/>
                <w:color w:val="auto"/>
                <w:szCs w:val="21"/>
                <w:highlight w:val="none"/>
              </w:rPr>
              <w:t>小写：         元</w:t>
            </w:r>
          </w:p>
          <w:p w14:paraId="2C6208B5">
            <w:pPr>
              <w:pStyle w:val="14"/>
              <w:ind w:firstLine="0"/>
              <w:rPr>
                <w:rFonts w:hint="eastAsia"/>
                <w:lang w:val="en-US" w:eastAsia="zh-CN"/>
              </w:rPr>
            </w:pPr>
            <w:bookmarkStart w:id="580" w:name="OLE_LINK138"/>
            <w:r>
              <w:rPr>
                <w:rFonts w:hint="eastAsia" w:ascii="宋体" w:hAnsi="宋体" w:eastAsia="宋体" w:cs="宋体"/>
                <w:b/>
                <w:szCs w:val="21"/>
              </w:rPr>
              <w:t>工程费＝工程费最</w:t>
            </w:r>
            <w:bookmarkStart w:id="581" w:name="OLE_LINK14"/>
            <w:bookmarkStart w:id="582" w:name="OLE_LINK13"/>
            <w:r>
              <w:rPr>
                <w:rFonts w:hint="eastAsia" w:ascii="宋体" w:hAnsi="宋体" w:eastAsia="宋体" w:cs="宋体"/>
                <w:b/>
                <w:szCs w:val="21"/>
              </w:rPr>
              <w:t>高投标限价</w:t>
            </w:r>
            <w:bookmarkEnd w:id="581"/>
            <w:bookmarkEnd w:id="582"/>
            <w:r>
              <w:rPr>
                <w:rFonts w:hint="eastAsia" w:ascii="宋体" w:hAnsi="宋体" w:eastAsia="宋体" w:cs="宋体"/>
                <w:b/>
                <w:szCs w:val="21"/>
              </w:rPr>
              <w:t>*（1-下浮率）</w:t>
            </w:r>
            <w:bookmarkEnd w:id="580"/>
          </w:p>
        </w:tc>
      </w:tr>
      <w:tr w14:paraId="2AF2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98" w:type="pct"/>
            <w:vMerge w:val="continue"/>
            <w:tcBorders>
              <w:left w:val="single" w:color="auto" w:sz="4" w:space="0"/>
              <w:right w:val="single" w:color="auto" w:sz="4" w:space="0"/>
            </w:tcBorders>
            <w:vAlign w:val="center"/>
          </w:tcPr>
          <w:p w14:paraId="2CF0F449">
            <w:pPr>
              <w:adjustRightInd w:val="0"/>
              <w:spacing w:line="400" w:lineRule="exact"/>
              <w:jc w:val="center"/>
              <w:rPr>
                <w:rFonts w:ascii="宋体" w:hAnsi="宋体" w:cs="宋体"/>
                <w:b/>
                <w:color w:val="auto"/>
                <w:szCs w:val="21"/>
                <w:highlight w:val="none"/>
                <w:lang w:val="zh-CN"/>
              </w:rPr>
            </w:pPr>
          </w:p>
        </w:tc>
        <w:tc>
          <w:tcPr>
            <w:tcW w:w="1455" w:type="pct"/>
            <w:tcBorders>
              <w:left w:val="single" w:color="auto" w:sz="4" w:space="0"/>
              <w:right w:val="single" w:color="auto" w:sz="4" w:space="0"/>
            </w:tcBorders>
            <w:vAlign w:val="center"/>
          </w:tcPr>
          <w:p w14:paraId="4B1E6AF1">
            <w:pPr>
              <w:adjustRightInd w:val="0"/>
              <w:spacing w:line="500" w:lineRule="exact"/>
              <w:jc w:val="center"/>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暂列金额（含税）</w:t>
            </w:r>
          </w:p>
        </w:tc>
        <w:tc>
          <w:tcPr>
            <w:tcW w:w="3346" w:type="pct"/>
            <w:gridSpan w:val="2"/>
            <w:tcBorders>
              <w:top w:val="single" w:color="auto" w:sz="4" w:space="0"/>
              <w:left w:val="single" w:color="auto" w:sz="4" w:space="0"/>
              <w:right w:val="single" w:color="auto" w:sz="4" w:space="0"/>
            </w:tcBorders>
            <w:vAlign w:val="center"/>
          </w:tcPr>
          <w:p w14:paraId="03640102">
            <w:pPr>
              <w:autoSpaceDE w:val="0"/>
              <w:autoSpaceDN w:val="0"/>
              <w:adjustRightInd w:val="0"/>
              <w:spacing w:line="500" w:lineRule="exact"/>
              <w:jc w:val="left"/>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小写：</w:t>
            </w:r>
            <w:r>
              <w:rPr>
                <w:rFonts w:hint="eastAsia" w:ascii="宋体" w:hAnsi="宋体" w:cs="宋体"/>
                <w:b/>
                <w:color w:val="auto"/>
                <w:szCs w:val="21"/>
                <w:highlight w:val="none"/>
                <w:lang w:val="en-US" w:eastAsia="zh-CN"/>
              </w:rPr>
              <w:t>18,857,900.68</w:t>
            </w:r>
            <w:r>
              <w:rPr>
                <w:rFonts w:hint="eastAsia" w:ascii="宋体" w:hAnsi="宋体" w:eastAsia="宋体" w:cs="宋体"/>
                <w:b/>
                <w:color w:val="auto"/>
                <w:szCs w:val="21"/>
                <w:highlight w:val="none"/>
              </w:rPr>
              <w:t>元</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不参与竞争）。</w:t>
            </w:r>
          </w:p>
        </w:tc>
      </w:tr>
      <w:tr w14:paraId="5316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53" w:type="pct"/>
            <w:gridSpan w:val="2"/>
            <w:tcBorders>
              <w:top w:val="single" w:color="auto" w:sz="4" w:space="0"/>
              <w:left w:val="single" w:color="auto" w:sz="4" w:space="0"/>
              <w:bottom w:val="single" w:color="auto" w:sz="4" w:space="0"/>
              <w:right w:val="single" w:color="auto" w:sz="4" w:space="0"/>
            </w:tcBorders>
            <w:vAlign w:val="center"/>
          </w:tcPr>
          <w:p w14:paraId="0E82EC7C">
            <w:pPr>
              <w:adjustRightInd w:val="0"/>
              <w:spacing w:line="400" w:lineRule="exact"/>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投标总工期</w:t>
            </w:r>
          </w:p>
        </w:tc>
        <w:tc>
          <w:tcPr>
            <w:tcW w:w="3346" w:type="pct"/>
            <w:gridSpan w:val="2"/>
            <w:tcBorders>
              <w:top w:val="single" w:color="auto" w:sz="4" w:space="0"/>
              <w:left w:val="single" w:color="auto" w:sz="4" w:space="0"/>
              <w:bottom w:val="single" w:color="auto" w:sz="4" w:space="0"/>
              <w:right w:val="single" w:color="auto" w:sz="4" w:space="0"/>
            </w:tcBorders>
            <w:vAlign w:val="center"/>
          </w:tcPr>
          <w:p w14:paraId="46866687">
            <w:pPr>
              <w:adjustRightInd w:val="0"/>
              <w:spacing w:line="400" w:lineRule="exact"/>
              <w:rPr>
                <w:rFonts w:ascii="宋体" w:hAnsi="宋体" w:cs="宋体"/>
                <w:b/>
                <w:color w:val="auto"/>
                <w:szCs w:val="21"/>
                <w:highlight w:val="none"/>
              </w:rPr>
            </w:pPr>
            <w:r>
              <w:rPr>
                <w:rFonts w:hint="eastAsia" w:ascii="宋体" w:hAnsi="宋体" w:cs="宋体"/>
                <w:b/>
                <w:color w:val="auto"/>
                <w:szCs w:val="21"/>
                <w:highlight w:val="none"/>
              </w:rPr>
              <w:t>设计工期：按招标文件要求</w:t>
            </w:r>
          </w:p>
          <w:p w14:paraId="7811E5F0">
            <w:pPr>
              <w:pStyle w:val="163"/>
              <w:adjustRightInd w:val="0"/>
              <w:spacing w:line="400" w:lineRule="exact"/>
              <w:ind w:firstLine="0" w:firstLineChars="0"/>
              <w:rPr>
                <w:rFonts w:ascii="宋体" w:hAnsi="宋体" w:cs="宋体"/>
                <w:b/>
                <w:color w:val="auto"/>
                <w:szCs w:val="21"/>
                <w:highlight w:val="none"/>
              </w:rPr>
            </w:pPr>
            <w:r>
              <w:rPr>
                <w:rFonts w:hint="eastAsia" w:ascii="宋体" w:hAnsi="宋体" w:eastAsia="宋体" w:cs="宋体"/>
                <w:b/>
                <w:color w:val="auto"/>
                <w:kern w:val="2"/>
                <w:sz w:val="21"/>
                <w:szCs w:val="21"/>
                <w:highlight w:val="none"/>
              </w:rPr>
              <w:t>施工工期：</w:t>
            </w:r>
            <w:r>
              <w:rPr>
                <w:rFonts w:hint="eastAsia" w:ascii="宋体" w:hAnsi="宋体" w:eastAsia="宋体" w:cs="宋体"/>
                <w:b/>
                <w:color w:val="auto"/>
                <w:sz w:val="21"/>
                <w:szCs w:val="21"/>
                <w:highlight w:val="none"/>
              </w:rPr>
              <w:t>按招标文件要求</w:t>
            </w:r>
          </w:p>
        </w:tc>
      </w:tr>
      <w:tr w14:paraId="6F24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53" w:type="pct"/>
            <w:gridSpan w:val="2"/>
            <w:tcBorders>
              <w:top w:val="single" w:color="auto" w:sz="4" w:space="0"/>
              <w:left w:val="single" w:color="auto" w:sz="4" w:space="0"/>
              <w:bottom w:val="single" w:color="auto" w:sz="4" w:space="0"/>
              <w:right w:val="single" w:color="auto" w:sz="4" w:space="0"/>
            </w:tcBorders>
            <w:vAlign w:val="center"/>
          </w:tcPr>
          <w:p w14:paraId="6C4C0C1B">
            <w:pPr>
              <w:adjustRightIn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lang w:val="zh-CN"/>
              </w:rPr>
              <w:t>质量标准</w:t>
            </w:r>
          </w:p>
        </w:tc>
        <w:tc>
          <w:tcPr>
            <w:tcW w:w="3346" w:type="pct"/>
            <w:gridSpan w:val="2"/>
            <w:tcBorders>
              <w:top w:val="single" w:color="auto" w:sz="4" w:space="0"/>
              <w:left w:val="single" w:color="auto" w:sz="4" w:space="0"/>
              <w:bottom w:val="single" w:color="auto" w:sz="4" w:space="0"/>
              <w:right w:val="single" w:color="auto" w:sz="4" w:space="0"/>
            </w:tcBorders>
            <w:vAlign w:val="center"/>
          </w:tcPr>
          <w:p w14:paraId="490D0EDE">
            <w:pPr>
              <w:adjustRightInd w:val="0"/>
              <w:spacing w:line="400" w:lineRule="exact"/>
              <w:rPr>
                <w:rFonts w:ascii="宋体" w:hAnsi="宋体" w:cs="宋体"/>
                <w:b/>
                <w:color w:val="auto"/>
                <w:szCs w:val="21"/>
                <w:highlight w:val="none"/>
              </w:rPr>
            </w:pPr>
            <w:r>
              <w:rPr>
                <w:rFonts w:hint="eastAsia" w:ascii="宋体" w:hAnsi="宋体" w:cs="宋体"/>
                <w:b/>
                <w:color w:val="auto"/>
                <w:szCs w:val="21"/>
                <w:highlight w:val="none"/>
                <w:lang w:val="zh-CN"/>
              </w:rPr>
              <w:t>按招标文件要求</w:t>
            </w:r>
          </w:p>
        </w:tc>
      </w:tr>
      <w:tr w14:paraId="7F3FE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53" w:type="pct"/>
            <w:gridSpan w:val="2"/>
            <w:tcBorders>
              <w:top w:val="single" w:color="auto" w:sz="4" w:space="0"/>
              <w:left w:val="single" w:color="auto" w:sz="4" w:space="0"/>
              <w:bottom w:val="single" w:color="auto" w:sz="4" w:space="0"/>
              <w:right w:val="single" w:color="auto" w:sz="4" w:space="0"/>
            </w:tcBorders>
            <w:vAlign w:val="center"/>
          </w:tcPr>
          <w:p w14:paraId="7504F590">
            <w:pPr>
              <w:adjustRightInd w:val="0"/>
              <w:spacing w:line="400" w:lineRule="exact"/>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保修期限</w:t>
            </w:r>
          </w:p>
        </w:tc>
        <w:tc>
          <w:tcPr>
            <w:tcW w:w="3346" w:type="pct"/>
            <w:gridSpan w:val="2"/>
            <w:tcBorders>
              <w:top w:val="single" w:color="auto" w:sz="4" w:space="0"/>
              <w:left w:val="single" w:color="auto" w:sz="4" w:space="0"/>
              <w:bottom w:val="single" w:color="auto" w:sz="4" w:space="0"/>
              <w:right w:val="single" w:color="auto" w:sz="4" w:space="0"/>
            </w:tcBorders>
            <w:vAlign w:val="center"/>
          </w:tcPr>
          <w:p w14:paraId="7FFF5730">
            <w:pPr>
              <w:adjustRightInd w:val="0"/>
              <w:spacing w:line="400" w:lineRule="exact"/>
              <w:rPr>
                <w:rFonts w:ascii="宋体" w:hAnsi="宋体" w:cs="宋体"/>
                <w:b/>
                <w:color w:val="auto"/>
                <w:szCs w:val="21"/>
                <w:highlight w:val="none"/>
              </w:rPr>
            </w:pPr>
            <w:r>
              <w:rPr>
                <w:rFonts w:hint="eastAsia" w:ascii="宋体" w:hAnsi="宋体" w:cs="宋体"/>
                <w:b/>
                <w:color w:val="auto"/>
                <w:szCs w:val="21"/>
                <w:highlight w:val="none"/>
                <w:lang w:val="zh-CN"/>
              </w:rPr>
              <w:t>按招标文件要求</w:t>
            </w:r>
          </w:p>
        </w:tc>
      </w:tr>
      <w:tr w14:paraId="2C73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653" w:type="pct"/>
            <w:gridSpan w:val="2"/>
            <w:tcBorders>
              <w:top w:val="single" w:color="auto" w:sz="4" w:space="0"/>
              <w:left w:val="single" w:color="auto" w:sz="4" w:space="0"/>
              <w:bottom w:val="single" w:color="auto" w:sz="4" w:space="0"/>
              <w:right w:val="single" w:color="auto" w:sz="4" w:space="0"/>
            </w:tcBorders>
            <w:vAlign w:val="center"/>
          </w:tcPr>
          <w:p w14:paraId="55D62870">
            <w:pPr>
              <w:adjustRightInd w:val="0"/>
              <w:spacing w:line="400" w:lineRule="exact"/>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委派的项目负责人</w:t>
            </w:r>
          </w:p>
          <w:p w14:paraId="6BF85CA3">
            <w:pPr>
              <w:pStyle w:val="14"/>
              <w:spacing w:line="400" w:lineRule="exact"/>
              <w:ind w:firstLine="430"/>
              <w:rPr>
                <w:rFonts w:ascii="宋体" w:hAnsi="宋体"/>
                <w:b/>
                <w:bCs/>
                <w:color w:val="auto"/>
                <w:highlight w:val="none"/>
                <w:lang w:val="zh-CN"/>
              </w:rPr>
            </w:pPr>
            <w:r>
              <w:rPr>
                <w:rFonts w:hint="eastAsia" w:ascii="宋体" w:hAnsi="宋体"/>
                <w:b/>
                <w:bCs/>
                <w:color w:val="auto"/>
                <w:highlight w:val="none"/>
                <w:lang w:val="zh-CN"/>
              </w:rPr>
              <w:t>（兼任施工负责人）</w:t>
            </w:r>
          </w:p>
        </w:tc>
        <w:tc>
          <w:tcPr>
            <w:tcW w:w="829" w:type="pct"/>
            <w:tcBorders>
              <w:top w:val="single" w:color="auto" w:sz="4" w:space="0"/>
              <w:left w:val="single" w:color="auto" w:sz="4" w:space="0"/>
              <w:bottom w:val="single" w:color="auto" w:sz="4" w:space="0"/>
              <w:right w:val="single" w:color="auto" w:sz="4" w:space="0"/>
            </w:tcBorders>
            <w:vAlign w:val="center"/>
          </w:tcPr>
          <w:p w14:paraId="124ABD11">
            <w:pPr>
              <w:adjustRightInd w:val="0"/>
              <w:spacing w:line="400" w:lineRule="exact"/>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姓    名</w:t>
            </w:r>
          </w:p>
        </w:tc>
        <w:tc>
          <w:tcPr>
            <w:tcW w:w="2517" w:type="pct"/>
            <w:tcBorders>
              <w:top w:val="single" w:color="auto" w:sz="4" w:space="0"/>
              <w:left w:val="single" w:color="auto" w:sz="4" w:space="0"/>
              <w:bottom w:val="single" w:color="auto" w:sz="4" w:space="0"/>
              <w:right w:val="single" w:color="auto" w:sz="4" w:space="0"/>
            </w:tcBorders>
            <w:vAlign w:val="center"/>
          </w:tcPr>
          <w:p w14:paraId="63D18216">
            <w:pPr>
              <w:adjustRightInd w:val="0"/>
              <w:spacing w:line="400" w:lineRule="exact"/>
              <w:rPr>
                <w:rFonts w:ascii="宋体" w:hAnsi="宋体" w:cs="宋体"/>
                <w:b/>
                <w:color w:val="auto"/>
                <w:szCs w:val="21"/>
                <w:highlight w:val="none"/>
              </w:rPr>
            </w:pPr>
          </w:p>
        </w:tc>
      </w:tr>
      <w:tr w14:paraId="62A0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653" w:type="pct"/>
            <w:gridSpan w:val="2"/>
            <w:tcBorders>
              <w:top w:val="single" w:color="auto" w:sz="4" w:space="0"/>
              <w:left w:val="single" w:color="auto" w:sz="4" w:space="0"/>
              <w:bottom w:val="single" w:color="auto" w:sz="4" w:space="0"/>
              <w:right w:val="single" w:color="auto" w:sz="4" w:space="0"/>
            </w:tcBorders>
            <w:vAlign w:val="center"/>
          </w:tcPr>
          <w:p w14:paraId="68D14C05">
            <w:pPr>
              <w:adjustRightInd w:val="0"/>
              <w:spacing w:line="400" w:lineRule="exact"/>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委派的</w:t>
            </w:r>
            <w:r>
              <w:rPr>
                <w:rFonts w:hint="eastAsia" w:ascii="宋体" w:hAnsi="宋体" w:cs="宋体"/>
                <w:b/>
                <w:color w:val="auto"/>
                <w:szCs w:val="21"/>
                <w:highlight w:val="none"/>
              </w:rPr>
              <w:t>专职</w:t>
            </w:r>
            <w:r>
              <w:rPr>
                <w:rFonts w:hint="eastAsia" w:ascii="宋体" w:hAnsi="宋体" w:cs="宋体"/>
                <w:b/>
                <w:color w:val="auto"/>
                <w:szCs w:val="21"/>
                <w:highlight w:val="none"/>
                <w:lang w:val="zh-CN"/>
              </w:rPr>
              <w:t>安全员</w:t>
            </w:r>
          </w:p>
        </w:tc>
        <w:tc>
          <w:tcPr>
            <w:tcW w:w="829" w:type="pct"/>
            <w:tcBorders>
              <w:top w:val="single" w:color="auto" w:sz="4" w:space="0"/>
              <w:left w:val="single" w:color="auto" w:sz="4" w:space="0"/>
              <w:bottom w:val="single" w:color="auto" w:sz="4" w:space="0"/>
              <w:right w:val="single" w:color="auto" w:sz="4" w:space="0"/>
            </w:tcBorders>
            <w:vAlign w:val="center"/>
          </w:tcPr>
          <w:p w14:paraId="3DA8DD96">
            <w:pPr>
              <w:adjustRightInd w:val="0"/>
              <w:spacing w:line="400" w:lineRule="exact"/>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姓    名</w:t>
            </w:r>
          </w:p>
        </w:tc>
        <w:tc>
          <w:tcPr>
            <w:tcW w:w="2517" w:type="pct"/>
            <w:tcBorders>
              <w:top w:val="single" w:color="auto" w:sz="4" w:space="0"/>
              <w:left w:val="single" w:color="auto" w:sz="4" w:space="0"/>
              <w:bottom w:val="single" w:color="auto" w:sz="4" w:space="0"/>
              <w:right w:val="single" w:color="auto" w:sz="4" w:space="0"/>
            </w:tcBorders>
            <w:vAlign w:val="center"/>
          </w:tcPr>
          <w:p w14:paraId="7E322B6E">
            <w:pPr>
              <w:adjustRightInd w:val="0"/>
              <w:spacing w:line="400" w:lineRule="exact"/>
              <w:rPr>
                <w:rFonts w:ascii="宋体" w:hAnsi="宋体" w:cs="宋体"/>
                <w:b/>
                <w:color w:val="auto"/>
                <w:szCs w:val="21"/>
                <w:highlight w:val="none"/>
              </w:rPr>
            </w:pPr>
          </w:p>
        </w:tc>
      </w:tr>
      <w:tr w14:paraId="7FF8D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653" w:type="pct"/>
            <w:gridSpan w:val="2"/>
            <w:tcBorders>
              <w:top w:val="single" w:color="auto" w:sz="4" w:space="0"/>
              <w:left w:val="single" w:color="auto" w:sz="4" w:space="0"/>
              <w:bottom w:val="single" w:color="auto" w:sz="4" w:space="0"/>
              <w:right w:val="single" w:color="auto" w:sz="4" w:space="0"/>
            </w:tcBorders>
            <w:vAlign w:val="center"/>
          </w:tcPr>
          <w:p w14:paraId="427DDDF6">
            <w:pPr>
              <w:adjustRightInd w:val="0"/>
              <w:spacing w:line="400" w:lineRule="exact"/>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委派的设计负责人</w:t>
            </w:r>
          </w:p>
        </w:tc>
        <w:tc>
          <w:tcPr>
            <w:tcW w:w="829" w:type="pct"/>
            <w:tcBorders>
              <w:top w:val="single" w:color="auto" w:sz="4" w:space="0"/>
              <w:left w:val="single" w:color="auto" w:sz="4" w:space="0"/>
              <w:bottom w:val="single" w:color="auto" w:sz="4" w:space="0"/>
              <w:right w:val="single" w:color="auto" w:sz="4" w:space="0"/>
            </w:tcBorders>
            <w:vAlign w:val="center"/>
          </w:tcPr>
          <w:p w14:paraId="4F59D1A2">
            <w:pPr>
              <w:adjustRightInd w:val="0"/>
              <w:spacing w:line="400" w:lineRule="exact"/>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姓    名</w:t>
            </w:r>
          </w:p>
        </w:tc>
        <w:tc>
          <w:tcPr>
            <w:tcW w:w="2517" w:type="pct"/>
            <w:tcBorders>
              <w:top w:val="single" w:color="auto" w:sz="4" w:space="0"/>
              <w:left w:val="single" w:color="auto" w:sz="4" w:space="0"/>
              <w:bottom w:val="single" w:color="auto" w:sz="4" w:space="0"/>
              <w:right w:val="single" w:color="auto" w:sz="4" w:space="0"/>
            </w:tcBorders>
            <w:vAlign w:val="center"/>
          </w:tcPr>
          <w:p w14:paraId="4E5FDB26">
            <w:pPr>
              <w:adjustRightInd w:val="0"/>
              <w:spacing w:line="400" w:lineRule="exact"/>
              <w:rPr>
                <w:rFonts w:ascii="宋体" w:hAnsi="宋体" w:cs="宋体"/>
                <w:b/>
                <w:color w:val="auto"/>
                <w:szCs w:val="21"/>
                <w:highlight w:val="none"/>
              </w:rPr>
            </w:pPr>
          </w:p>
        </w:tc>
      </w:tr>
      <w:tr w14:paraId="5D20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653" w:type="pct"/>
            <w:gridSpan w:val="2"/>
            <w:tcBorders>
              <w:top w:val="single" w:color="auto" w:sz="4" w:space="0"/>
              <w:left w:val="single" w:color="auto" w:sz="4" w:space="0"/>
              <w:bottom w:val="single" w:color="auto" w:sz="4" w:space="0"/>
              <w:right w:val="single" w:color="auto" w:sz="4" w:space="0"/>
            </w:tcBorders>
            <w:vAlign w:val="center"/>
          </w:tcPr>
          <w:p w14:paraId="4AAD6974">
            <w:pPr>
              <w:adjustRightInd w:val="0"/>
              <w:spacing w:line="400" w:lineRule="exact"/>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投标有效期</w:t>
            </w:r>
          </w:p>
        </w:tc>
        <w:tc>
          <w:tcPr>
            <w:tcW w:w="3346" w:type="pct"/>
            <w:gridSpan w:val="2"/>
            <w:tcBorders>
              <w:top w:val="single" w:color="auto" w:sz="4" w:space="0"/>
              <w:left w:val="single" w:color="auto" w:sz="4" w:space="0"/>
              <w:bottom w:val="single" w:color="auto" w:sz="4" w:space="0"/>
              <w:right w:val="single" w:color="auto" w:sz="4" w:space="0"/>
            </w:tcBorders>
            <w:vAlign w:val="center"/>
          </w:tcPr>
          <w:p w14:paraId="61AF14DB">
            <w:pPr>
              <w:adjustRightInd w:val="0"/>
              <w:spacing w:line="400" w:lineRule="exact"/>
              <w:rPr>
                <w:rFonts w:ascii="宋体" w:hAnsi="宋体" w:cs="宋体"/>
                <w:b/>
                <w:color w:val="auto"/>
                <w:szCs w:val="21"/>
                <w:highlight w:val="none"/>
              </w:rPr>
            </w:pPr>
            <w:r>
              <w:rPr>
                <w:rFonts w:hint="eastAsia" w:ascii="宋体" w:hAnsi="宋体" w:cs="宋体"/>
                <w:b/>
                <w:color w:val="auto"/>
                <w:szCs w:val="21"/>
                <w:highlight w:val="none"/>
                <w:lang w:val="zh-CN"/>
              </w:rPr>
              <w:t>按招标文件要求</w:t>
            </w:r>
          </w:p>
        </w:tc>
      </w:tr>
      <w:tr w14:paraId="37CC5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53" w:type="pct"/>
            <w:gridSpan w:val="2"/>
            <w:tcBorders>
              <w:top w:val="single" w:color="auto" w:sz="4" w:space="0"/>
              <w:left w:val="single" w:color="auto" w:sz="4" w:space="0"/>
              <w:bottom w:val="single" w:color="auto" w:sz="4" w:space="0"/>
              <w:right w:val="single" w:color="auto" w:sz="4" w:space="0"/>
            </w:tcBorders>
            <w:vAlign w:val="center"/>
          </w:tcPr>
          <w:p w14:paraId="0EFC0807">
            <w:pPr>
              <w:adjustRightInd w:val="0"/>
              <w:spacing w:line="400" w:lineRule="exact"/>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投标单位（盖章）</w:t>
            </w:r>
          </w:p>
        </w:tc>
        <w:tc>
          <w:tcPr>
            <w:tcW w:w="3346" w:type="pct"/>
            <w:gridSpan w:val="2"/>
            <w:tcBorders>
              <w:top w:val="single" w:color="auto" w:sz="4" w:space="0"/>
              <w:left w:val="single" w:color="auto" w:sz="4" w:space="0"/>
              <w:bottom w:val="single" w:color="auto" w:sz="4" w:space="0"/>
              <w:right w:val="single" w:color="auto" w:sz="4" w:space="0"/>
            </w:tcBorders>
            <w:vAlign w:val="center"/>
          </w:tcPr>
          <w:p w14:paraId="3CC12FE3">
            <w:pPr>
              <w:adjustRightInd w:val="0"/>
              <w:spacing w:line="400" w:lineRule="exact"/>
              <w:rPr>
                <w:rFonts w:ascii="宋体" w:hAnsi="宋体" w:cs="宋体"/>
                <w:b/>
                <w:color w:val="auto"/>
                <w:szCs w:val="21"/>
                <w:highlight w:val="none"/>
              </w:rPr>
            </w:pPr>
          </w:p>
        </w:tc>
      </w:tr>
    </w:tbl>
    <w:p w14:paraId="1C27116F">
      <w:pPr>
        <w:pStyle w:val="14"/>
        <w:ind w:firstLine="0"/>
        <w:rPr>
          <w:rFonts w:ascii="宋体" w:hAnsi="宋体" w:cs="宋体"/>
          <w:color w:val="auto"/>
          <w:szCs w:val="21"/>
          <w:highlight w:val="none"/>
        </w:rPr>
      </w:pPr>
      <w:r>
        <w:rPr>
          <w:rFonts w:hint="eastAsia" w:ascii="宋体" w:hAnsi="宋体" w:cs="宋体"/>
          <w:color w:val="auto"/>
          <w:szCs w:val="21"/>
          <w:highlight w:val="none"/>
        </w:rPr>
        <w:t>注：1.联合体投标的，“投标单位”一栏需书写所有联合体成员的单位全称，并由联合体主办方按要求签字或盖章，联合体其他成员可不签字或盖章。</w:t>
      </w:r>
    </w:p>
    <w:p w14:paraId="1D4E506C">
      <w:pPr>
        <w:pStyle w:val="14"/>
        <w:ind w:firstLine="428"/>
        <w:rPr>
          <w:rFonts w:ascii="宋体" w:hAnsi="宋体" w:cs="宋体"/>
          <w:color w:val="auto"/>
          <w:szCs w:val="21"/>
          <w:highlight w:val="none"/>
        </w:rPr>
      </w:pPr>
      <w:r>
        <w:rPr>
          <w:rFonts w:hint="eastAsia" w:ascii="宋体" w:hAnsi="宋体" w:cs="宋体"/>
          <w:color w:val="auto"/>
          <w:szCs w:val="21"/>
          <w:highlight w:val="none"/>
        </w:rPr>
        <w:t>2.投标报价为人民币报价，以元为单位，小数点后保留二位小数，第三位小数四舍五入。投标总报价的大写金额和小写金额不一致的，以大写金额为准。下浮率的填报，小数点后保留二位小数，第三位小数四舍五入。</w:t>
      </w:r>
    </w:p>
    <w:p w14:paraId="26A57B7A">
      <w:pPr>
        <w:pStyle w:val="14"/>
        <w:ind w:firstLine="428"/>
        <w:rPr>
          <w:rFonts w:ascii="宋体" w:hAnsi="宋体" w:cs="宋体"/>
          <w:color w:val="auto"/>
          <w:szCs w:val="21"/>
          <w:highlight w:val="none"/>
        </w:rPr>
      </w:pPr>
      <w:r>
        <w:rPr>
          <w:rFonts w:hint="eastAsia" w:ascii="宋体" w:hAnsi="宋体" w:cs="宋体"/>
          <w:color w:val="auto"/>
          <w:szCs w:val="21"/>
          <w:highlight w:val="none"/>
        </w:rPr>
        <w:t>3.“工期”、“质量标准”、“保修期限”可以填写“按招标文件要求”或按招标文件内容填写。</w:t>
      </w:r>
    </w:p>
    <w:p w14:paraId="4FE2ACF6">
      <w:pPr>
        <w:outlineLvl w:val="1"/>
        <w:rPr>
          <w:rFonts w:ascii="宋体" w:hAnsi="宋体" w:cs="宋体"/>
          <w:b/>
          <w:color w:val="auto"/>
          <w:kern w:val="1"/>
          <w:szCs w:val="21"/>
          <w:highlight w:val="none"/>
          <w:lang w:val="zh-CN"/>
        </w:rPr>
      </w:pPr>
      <w:r>
        <w:rPr>
          <w:rFonts w:hint="eastAsia" w:ascii="宋体" w:hAnsi="宋体" w:cs="宋体"/>
          <w:color w:val="auto"/>
          <w:highlight w:val="none"/>
        </w:rPr>
        <w:br w:type="page"/>
      </w:r>
      <w:bookmarkStart w:id="583" w:name="_Toc123901762"/>
      <w:bookmarkStart w:id="584" w:name="_Toc116461797"/>
      <w:r>
        <w:rPr>
          <w:rFonts w:hint="eastAsia" w:ascii="宋体" w:hAnsi="宋体" w:cs="宋体"/>
          <w:b/>
          <w:color w:val="auto"/>
          <w:kern w:val="1"/>
          <w:szCs w:val="21"/>
          <w:highlight w:val="none"/>
          <w:lang w:val="zh-CN"/>
        </w:rPr>
        <w:t>格式3：投标报价表</w:t>
      </w:r>
      <w:bookmarkEnd w:id="583"/>
      <w:bookmarkEnd w:id="584"/>
    </w:p>
    <w:p w14:paraId="1BA083C4">
      <w:pPr>
        <w:autoSpaceDE w:val="0"/>
        <w:autoSpaceDN w:val="0"/>
        <w:adjustRightInd w:val="0"/>
        <w:spacing w:line="360" w:lineRule="auto"/>
        <w:jc w:val="center"/>
        <w:rPr>
          <w:rFonts w:ascii="宋体" w:hAnsi="宋体" w:cs="宋体"/>
          <w:b/>
          <w:bCs/>
          <w:color w:val="auto"/>
          <w:sz w:val="32"/>
          <w:szCs w:val="32"/>
          <w:highlight w:val="none"/>
          <w:lang w:val="zh-CN"/>
        </w:rPr>
      </w:pPr>
    </w:p>
    <w:p w14:paraId="20E84595">
      <w:pPr>
        <w:autoSpaceDE w:val="0"/>
        <w:autoSpaceDN w:val="0"/>
        <w:adjustRightIn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投标报价表</w:t>
      </w:r>
    </w:p>
    <w:tbl>
      <w:tblPr>
        <w:tblStyle w:val="45"/>
        <w:tblW w:w="47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2343"/>
        <w:gridCol w:w="2603"/>
        <w:gridCol w:w="1617"/>
        <w:gridCol w:w="1336"/>
      </w:tblGrid>
      <w:tr w14:paraId="6BD8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tcPr>
          <w:p w14:paraId="6C309200">
            <w:pPr>
              <w:adjustRightInd w:val="0"/>
              <w:spacing w:line="360" w:lineRule="auto"/>
              <w:jc w:val="center"/>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序号</w:t>
            </w:r>
          </w:p>
        </w:tc>
        <w:tc>
          <w:tcPr>
            <w:tcW w:w="1333" w:type="pct"/>
          </w:tcPr>
          <w:p w14:paraId="2D148175">
            <w:pPr>
              <w:adjustRightInd w:val="0"/>
              <w:spacing w:line="360" w:lineRule="auto"/>
              <w:jc w:val="center"/>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项目名称</w:t>
            </w:r>
          </w:p>
        </w:tc>
        <w:tc>
          <w:tcPr>
            <w:tcW w:w="1481" w:type="pct"/>
          </w:tcPr>
          <w:p w14:paraId="076705AB">
            <w:pPr>
              <w:adjustRightInd w:val="0"/>
              <w:spacing w:line="360" w:lineRule="auto"/>
              <w:jc w:val="center"/>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报价项目</w:t>
            </w:r>
          </w:p>
        </w:tc>
        <w:tc>
          <w:tcPr>
            <w:tcW w:w="920" w:type="pct"/>
          </w:tcPr>
          <w:p w14:paraId="31E8679E">
            <w:pPr>
              <w:adjustRightInd w:val="0"/>
              <w:spacing w:line="360" w:lineRule="auto"/>
              <w:jc w:val="center"/>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金额（元）</w:t>
            </w:r>
          </w:p>
        </w:tc>
        <w:tc>
          <w:tcPr>
            <w:tcW w:w="760" w:type="pct"/>
          </w:tcPr>
          <w:p w14:paraId="1F2DD63F">
            <w:pPr>
              <w:adjustRightInd w:val="0"/>
              <w:spacing w:line="360" w:lineRule="auto"/>
              <w:jc w:val="center"/>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备注</w:t>
            </w:r>
          </w:p>
        </w:tc>
      </w:tr>
      <w:tr w14:paraId="1401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504" w:type="pct"/>
            <w:vMerge w:val="restart"/>
            <w:vAlign w:val="center"/>
          </w:tcPr>
          <w:p w14:paraId="6BDEDF45">
            <w:pPr>
              <w:adjustRightInd w:val="0"/>
              <w:spacing w:line="360" w:lineRule="auto"/>
              <w:jc w:val="center"/>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一</w:t>
            </w:r>
          </w:p>
        </w:tc>
        <w:tc>
          <w:tcPr>
            <w:tcW w:w="1333" w:type="pct"/>
            <w:vMerge w:val="restart"/>
            <w:vAlign w:val="center"/>
          </w:tcPr>
          <w:p w14:paraId="7F4B0490">
            <w:pPr>
              <w:adjustRightInd w:val="0"/>
              <w:spacing w:line="360" w:lineRule="auto"/>
              <w:jc w:val="center"/>
              <w:rPr>
                <w:rFonts w:ascii="宋体" w:hAnsi="宋体" w:cs="宋体"/>
                <w:color w:val="auto"/>
                <w:kern w:val="1"/>
                <w:szCs w:val="21"/>
                <w:highlight w:val="none"/>
                <w:lang w:val="zh-CN"/>
              </w:rPr>
            </w:pPr>
          </w:p>
        </w:tc>
        <w:tc>
          <w:tcPr>
            <w:tcW w:w="1481" w:type="pct"/>
            <w:vAlign w:val="center"/>
          </w:tcPr>
          <w:p w14:paraId="272A9596">
            <w:pPr>
              <w:adjustRightInd w:val="0"/>
              <w:spacing w:line="360" w:lineRule="auto"/>
              <w:jc w:val="center"/>
              <w:rPr>
                <w:rFonts w:hint="eastAsia" w:ascii="宋体" w:hAnsi="宋体" w:cs="宋体"/>
                <w:color w:val="auto"/>
                <w:kern w:val="1"/>
                <w:szCs w:val="21"/>
                <w:highlight w:val="none"/>
                <w:lang w:eastAsia="zh-CN"/>
              </w:rPr>
            </w:pPr>
            <w:r>
              <w:rPr>
                <w:rFonts w:hint="eastAsia" w:ascii="宋体" w:hAnsi="宋体" w:cs="宋体"/>
                <w:color w:val="auto"/>
                <w:kern w:val="1"/>
                <w:szCs w:val="21"/>
                <w:highlight w:val="none"/>
              </w:rPr>
              <w:t>设计费</w:t>
            </w:r>
            <w:r>
              <w:rPr>
                <w:rFonts w:hint="eastAsia" w:ascii="宋体" w:hAnsi="宋体" w:cs="宋体"/>
                <w:color w:val="auto"/>
                <w:kern w:val="1"/>
                <w:szCs w:val="21"/>
                <w:highlight w:val="none"/>
                <w:lang w:eastAsia="zh-CN"/>
              </w:rPr>
              <w:t>（</w:t>
            </w:r>
            <w:r>
              <w:rPr>
                <w:rFonts w:hint="eastAsia" w:ascii="宋体" w:hAnsi="宋体" w:cs="宋体"/>
                <w:color w:val="auto"/>
                <w:kern w:val="1"/>
                <w:szCs w:val="21"/>
                <w:highlight w:val="none"/>
                <w:lang w:val="en-US" w:eastAsia="zh-CN"/>
              </w:rPr>
              <w:t>含BIM设计费</w:t>
            </w:r>
            <w:r>
              <w:rPr>
                <w:rFonts w:hint="eastAsia" w:ascii="宋体" w:hAnsi="宋体" w:cs="宋体"/>
                <w:color w:val="auto"/>
                <w:kern w:val="1"/>
                <w:szCs w:val="21"/>
                <w:highlight w:val="none"/>
                <w:lang w:eastAsia="zh-CN"/>
              </w:rPr>
              <w:t>）</w:t>
            </w:r>
          </w:p>
          <w:p w14:paraId="054CD557">
            <w:pPr>
              <w:adjustRightInd w:val="0"/>
              <w:spacing w:line="360" w:lineRule="auto"/>
              <w:jc w:val="center"/>
              <w:rPr>
                <w:rFonts w:hint="eastAsia" w:ascii="宋体" w:hAnsi="宋体" w:cs="宋体"/>
                <w:color w:val="auto"/>
                <w:kern w:val="1"/>
                <w:szCs w:val="21"/>
                <w:highlight w:val="none"/>
                <w:lang w:val="zh-CN" w:eastAsia="zh-CN"/>
              </w:rPr>
            </w:pPr>
            <w:r>
              <w:rPr>
                <w:rFonts w:hint="eastAsia" w:ascii="宋体" w:hAnsi="宋体" w:cs="宋体"/>
                <w:color w:val="auto"/>
                <w:kern w:val="1"/>
                <w:szCs w:val="21"/>
                <w:highlight w:val="none"/>
                <w:lang w:val="zh-CN" w:eastAsia="zh-CN"/>
              </w:rPr>
              <w:t>（</w:t>
            </w:r>
            <w:r>
              <w:rPr>
                <w:rFonts w:hint="eastAsia" w:ascii="宋体" w:hAnsi="宋体" w:cs="宋体"/>
                <w:color w:val="auto"/>
                <w:kern w:val="1"/>
                <w:szCs w:val="21"/>
                <w:highlight w:val="none"/>
                <w:lang w:val="en-US" w:eastAsia="zh-CN"/>
              </w:rPr>
              <w:t>含税</w:t>
            </w:r>
            <w:r>
              <w:rPr>
                <w:rFonts w:hint="eastAsia" w:ascii="宋体" w:hAnsi="宋体" w:cs="宋体"/>
                <w:color w:val="auto"/>
                <w:kern w:val="1"/>
                <w:szCs w:val="21"/>
                <w:highlight w:val="none"/>
                <w:lang w:val="zh-CN" w:eastAsia="zh-CN"/>
              </w:rPr>
              <w:t>）</w:t>
            </w:r>
          </w:p>
        </w:tc>
        <w:tc>
          <w:tcPr>
            <w:tcW w:w="920" w:type="pct"/>
            <w:vAlign w:val="center"/>
          </w:tcPr>
          <w:p w14:paraId="49A07A47">
            <w:pPr>
              <w:adjustRightInd w:val="0"/>
              <w:spacing w:line="360" w:lineRule="auto"/>
              <w:jc w:val="center"/>
              <w:rPr>
                <w:rFonts w:ascii="宋体" w:hAnsi="宋体" w:cs="宋体"/>
                <w:color w:val="auto"/>
                <w:kern w:val="1"/>
                <w:szCs w:val="21"/>
                <w:highlight w:val="none"/>
                <w:lang w:val="zh-CN"/>
              </w:rPr>
            </w:pPr>
          </w:p>
        </w:tc>
        <w:tc>
          <w:tcPr>
            <w:tcW w:w="760" w:type="pct"/>
            <w:vAlign w:val="center"/>
          </w:tcPr>
          <w:p w14:paraId="338EB1A0">
            <w:pPr>
              <w:adjustRightInd w:val="0"/>
              <w:spacing w:line="360" w:lineRule="auto"/>
              <w:jc w:val="center"/>
              <w:rPr>
                <w:rFonts w:ascii="宋体" w:hAnsi="宋体" w:cs="宋体"/>
                <w:color w:val="auto"/>
                <w:kern w:val="1"/>
                <w:szCs w:val="21"/>
                <w:highlight w:val="none"/>
                <w:lang w:val="zh-CN"/>
              </w:rPr>
            </w:pPr>
            <w:r>
              <w:rPr>
                <w:rFonts w:hint="eastAsia" w:ascii="宋体" w:hAnsi="宋体" w:cs="宋体"/>
                <w:color w:val="auto"/>
                <w:kern w:val="1"/>
                <w:szCs w:val="21"/>
                <w:highlight w:val="none"/>
                <w:lang w:val="en-US" w:eastAsia="zh-CN"/>
              </w:rPr>
              <w:t>1</w:t>
            </w:r>
          </w:p>
        </w:tc>
      </w:tr>
      <w:tr w14:paraId="522E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504" w:type="pct"/>
            <w:vMerge w:val="continue"/>
            <w:vAlign w:val="center"/>
          </w:tcPr>
          <w:p w14:paraId="20E551C6">
            <w:pPr>
              <w:adjustRightInd w:val="0"/>
              <w:spacing w:line="360" w:lineRule="auto"/>
              <w:jc w:val="center"/>
              <w:rPr>
                <w:rFonts w:ascii="宋体" w:hAnsi="宋体" w:cs="宋体"/>
                <w:color w:val="auto"/>
                <w:kern w:val="1"/>
                <w:szCs w:val="21"/>
                <w:highlight w:val="none"/>
                <w:lang w:val="zh-CN"/>
              </w:rPr>
            </w:pPr>
          </w:p>
        </w:tc>
        <w:tc>
          <w:tcPr>
            <w:tcW w:w="1333" w:type="pct"/>
            <w:vMerge w:val="continue"/>
            <w:vAlign w:val="center"/>
          </w:tcPr>
          <w:p w14:paraId="2627E43D">
            <w:pPr>
              <w:adjustRightInd w:val="0"/>
              <w:spacing w:line="360" w:lineRule="auto"/>
              <w:jc w:val="center"/>
              <w:rPr>
                <w:rFonts w:ascii="宋体" w:hAnsi="宋体" w:cs="宋体"/>
                <w:color w:val="auto"/>
                <w:kern w:val="1"/>
                <w:szCs w:val="21"/>
                <w:highlight w:val="none"/>
                <w:lang w:val="zh-CN"/>
              </w:rPr>
            </w:pPr>
          </w:p>
        </w:tc>
        <w:tc>
          <w:tcPr>
            <w:tcW w:w="1481" w:type="pct"/>
            <w:vAlign w:val="center"/>
          </w:tcPr>
          <w:p w14:paraId="2F28D854">
            <w:pPr>
              <w:adjustRightInd w:val="0"/>
              <w:spacing w:line="360" w:lineRule="auto"/>
              <w:jc w:val="center"/>
              <w:rPr>
                <w:rFonts w:hint="eastAsia" w:ascii="宋体" w:hAnsi="宋体" w:eastAsia="宋体" w:cs="宋体"/>
                <w:color w:val="auto"/>
                <w:kern w:val="1"/>
                <w:szCs w:val="21"/>
                <w:highlight w:val="none"/>
                <w:lang w:eastAsia="zh-CN"/>
              </w:rPr>
            </w:pPr>
            <w:r>
              <w:rPr>
                <w:rFonts w:hint="eastAsia" w:ascii="宋体" w:hAnsi="宋体" w:cs="宋体"/>
                <w:color w:val="auto"/>
                <w:kern w:val="1"/>
                <w:szCs w:val="21"/>
                <w:highlight w:val="none"/>
                <w:lang w:val="en-US" w:eastAsia="zh-CN"/>
              </w:rPr>
              <w:t>工程费</w:t>
            </w:r>
            <w:r>
              <w:rPr>
                <w:rFonts w:hint="eastAsia" w:ascii="宋体" w:hAnsi="宋体" w:cs="宋体"/>
                <w:color w:val="auto"/>
                <w:kern w:val="1"/>
                <w:szCs w:val="21"/>
                <w:highlight w:val="none"/>
                <w:lang w:eastAsia="zh-CN"/>
              </w:rPr>
              <w:t>（</w:t>
            </w:r>
            <w:r>
              <w:rPr>
                <w:rFonts w:hint="eastAsia" w:ascii="宋体" w:hAnsi="宋体" w:cs="宋体"/>
                <w:color w:val="auto"/>
                <w:kern w:val="1"/>
                <w:szCs w:val="21"/>
                <w:highlight w:val="none"/>
                <w:lang w:val="en-US" w:eastAsia="zh-CN"/>
              </w:rPr>
              <w:t>含税</w:t>
            </w:r>
            <w:r>
              <w:rPr>
                <w:rFonts w:hint="eastAsia" w:ascii="宋体" w:hAnsi="宋体" w:cs="宋体"/>
                <w:color w:val="auto"/>
                <w:kern w:val="1"/>
                <w:szCs w:val="21"/>
                <w:highlight w:val="none"/>
                <w:lang w:eastAsia="zh-CN"/>
              </w:rPr>
              <w:t>）</w:t>
            </w:r>
          </w:p>
        </w:tc>
        <w:tc>
          <w:tcPr>
            <w:tcW w:w="920" w:type="pct"/>
            <w:vAlign w:val="center"/>
          </w:tcPr>
          <w:p w14:paraId="07E908CE">
            <w:pPr>
              <w:adjustRightInd w:val="0"/>
              <w:spacing w:line="360" w:lineRule="auto"/>
              <w:jc w:val="center"/>
              <w:rPr>
                <w:rFonts w:ascii="宋体" w:hAnsi="宋体" w:cs="宋体"/>
                <w:color w:val="auto"/>
                <w:kern w:val="1"/>
                <w:szCs w:val="21"/>
                <w:highlight w:val="none"/>
                <w:lang w:val="zh-CN"/>
              </w:rPr>
            </w:pPr>
          </w:p>
        </w:tc>
        <w:tc>
          <w:tcPr>
            <w:tcW w:w="760" w:type="pct"/>
            <w:vAlign w:val="center"/>
          </w:tcPr>
          <w:p w14:paraId="54D6FEB1">
            <w:pPr>
              <w:adjustRightInd w:val="0"/>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en-US" w:eastAsia="zh-CN"/>
              </w:rPr>
              <w:t>2</w:t>
            </w:r>
          </w:p>
        </w:tc>
      </w:tr>
      <w:tr w14:paraId="6111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504" w:type="pct"/>
            <w:vMerge w:val="continue"/>
            <w:vAlign w:val="center"/>
          </w:tcPr>
          <w:p w14:paraId="42E2B329">
            <w:pPr>
              <w:adjustRightInd w:val="0"/>
              <w:spacing w:line="360" w:lineRule="auto"/>
              <w:jc w:val="center"/>
              <w:rPr>
                <w:rFonts w:ascii="宋体" w:hAnsi="宋体" w:cs="宋体"/>
                <w:color w:val="auto"/>
                <w:kern w:val="1"/>
                <w:szCs w:val="21"/>
                <w:highlight w:val="none"/>
                <w:lang w:val="zh-CN"/>
              </w:rPr>
            </w:pPr>
          </w:p>
        </w:tc>
        <w:tc>
          <w:tcPr>
            <w:tcW w:w="1333" w:type="pct"/>
            <w:vMerge w:val="continue"/>
            <w:vAlign w:val="center"/>
          </w:tcPr>
          <w:p w14:paraId="7EB3C62A">
            <w:pPr>
              <w:adjustRightInd w:val="0"/>
              <w:spacing w:line="360" w:lineRule="auto"/>
              <w:jc w:val="center"/>
              <w:rPr>
                <w:rFonts w:ascii="宋体" w:hAnsi="宋体" w:cs="宋体"/>
                <w:color w:val="auto"/>
                <w:kern w:val="1"/>
                <w:szCs w:val="21"/>
                <w:highlight w:val="none"/>
                <w:lang w:val="zh-CN"/>
              </w:rPr>
            </w:pPr>
          </w:p>
        </w:tc>
        <w:tc>
          <w:tcPr>
            <w:tcW w:w="1481" w:type="pct"/>
            <w:vAlign w:val="center"/>
          </w:tcPr>
          <w:p w14:paraId="0293CB24">
            <w:pPr>
              <w:adjustRightInd w:val="0"/>
              <w:spacing w:line="360" w:lineRule="auto"/>
              <w:jc w:val="center"/>
              <w:rPr>
                <w:rFonts w:hint="eastAsia" w:ascii="宋体" w:hAnsi="宋体" w:cs="宋体"/>
                <w:color w:val="auto"/>
                <w:kern w:val="1"/>
                <w:szCs w:val="21"/>
                <w:highlight w:val="none"/>
                <w:lang w:val="en-US" w:eastAsia="zh-CN"/>
              </w:rPr>
            </w:pPr>
            <w:r>
              <w:rPr>
                <w:rFonts w:hint="eastAsia" w:ascii="宋体" w:hAnsi="宋体" w:eastAsia="宋体" w:cs="宋体"/>
                <w:color w:val="auto"/>
                <w:kern w:val="1"/>
                <w:szCs w:val="21"/>
                <w:highlight w:val="none"/>
                <w:lang w:val="en-US" w:eastAsia="zh-CN"/>
              </w:rPr>
              <w:t>暂列金额（含税）</w:t>
            </w:r>
          </w:p>
        </w:tc>
        <w:tc>
          <w:tcPr>
            <w:tcW w:w="920" w:type="pct"/>
            <w:vAlign w:val="center"/>
          </w:tcPr>
          <w:p w14:paraId="5F9FC385">
            <w:pPr>
              <w:adjustRightInd w:val="0"/>
              <w:spacing w:line="360" w:lineRule="auto"/>
              <w:jc w:val="center"/>
              <w:rPr>
                <w:rFonts w:ascii="宋体" w:hAnsi="宋体" w:cs="宋体"/>
                <w:color w:val="auto"/>
                <w:kern w:val="1"/>
                <w:szCs w:val="21"/>
                <w:highlight w:val="none"/>
                <w:lang w:val="zh-CN"/>
              </w:rPr>
            </w:pPr>
            <w:r>
              <w:rPr>
                <w:rFonts w:hint="eastAsia" w:ascii="宋体" w:hAnsi="宋体" w:cs="宋体"/>
                <w:b/>
                <w:color w:val="auto"/>
                <w:szCs w:val="21"/>
                <w:highlight w:val="none"/>
                <w:lang w:val="en-US" w:eastAsia="zh-CN"/>
              </w:rPr>
              <w:t>18,857,900.68</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不参与竞争）</w:t>
            </w:r>
          </w:p>
        </w:tc>
        <w:tc>
          <w:tcPr>
            <w:tcW w:w="760" w:type="pct"/>
            <w:vAlign w:val="center"/>
          </w:tcPr>
          <w:p w14:paraId="79BDF9FA">
            <w:pPr>
              <w:adjustRightInd w:val="0"/>
              <w:spacing w:line="360" w:lineRule="auto"/>
              <w:jc w:val="center"/>
              <w:rPr>
                <w:rFonts w:hint="eastAsia" w:ascii="宋体" w:hAnsi="宋体" w:eastAsia="宋体" w:cs="宋体"/>
                <w:color w:val="auto"/>
                <w:kern w:val="1"/>
                <w:szCs w:val="21"/>
                <w:highlight w:val="none"/>
                <w:lang w:val="en-US" w:eastAsia="zh-CN"/>
              </w:rPr>
            </w:pPr>
            <w:r>
              <w:rPr>
                <w:rFonts w:hint="eastAsia" w:ascii="宋体" w:hAnsi="宋体" w:cs="宋体"/>
                <w:color w:val="auto"/>
                <w:kern w:val="1"/>
                <w:szCs w:val="21"/>
                <w:highlight w:val="none"/>
                <w:lang w:val="en-US" w:eastAsia="zh-CN"/>
              </w:rPr>
              <w:t>3</w:t>
            </w:r>
          </w:p>
        </w:tc>
      </w:tr>
      <w:tr w14:paraId="35565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504" w:type="pct"/>
            <w:vAlign w:val="center"/>
          </w:tcPr>
          <w:p w14:paraId="257337ED">
            <w:pPr>
              <w:adjustRightInd w:val="0"/>
              <w:spacing w:line="360" w:lineRule="auto"/>
              <w:jc w:val="center"/>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二</w:t>
            </w:r>
          </w:p>
        </w:tc>
        <w:tc>
          <w:tcPr>
            <w:tcW w:w="1333" w:type="pct"/>
            <w:vAlign w:val="center"/>
          </w:tcPr>
          <w:p w14:paraId="48816C7F">
            <w:pPr>
              <w:adjustRightInd w:val="0"/>
              <w:spacing w:line="360" w:lineRule="auto"/>
              <w:jc w:val="center"/>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合计</w:t>
            </w:r>
          </w:p>
        </w:tc>
        <w:tc>
          <w:tcPr>
            <w:tcW w:w="1481" w:type="pct"/>
            <w:vAlign w:val="center"/>
          </w:tcPr>
          <w:p w14:paraId="693EEC44">
            <w:pPr>
              <w:adjustRightInd w:val="0"/>
              <w:spacing w:line="360" w:lineRule="auto"/>
              <w:jc w:val="center"/>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投标总报价（</w:t>
            </w:r>
            <w:r>
              <w:rPr>
                <w:rFonts w:hint="eastAsia" w:ascii="宋体" w:hAnsi="宋体" w:cs="宋体"/>
                <w:color w:val="auto"/>
                <w:kern w:val="1"/>
                <w:szCs w:val="21"/>
                <w:highlight w:val="none"/>
                <w:lang w:val="en-US" w:eastAsia="zh-CN"/>
              </w:rPr>
              <w:t>含税</w:t>
            </w:r>
            <w:r>
              <w:rPr>
                <w:rFonts w:hint="eastAsia" w:ascii="宋体" w:hAnsi="宋体" w:cs="宋体"/>
                <w:color w:val="auto"/>
                <w:kern w:val="1"/>
                <w:szCs w:val="21"/>
                <w:highlight w:val="none"/>
                <w:lang w:val="zh-CN"/>
              </w:rPr>
              <w:t>）</w:t>
            </w:r>
          </w:p>
        </w:tc>
        <w:tc>
          <w:tcPr>
            <w:tcW w:w="920" w:type="pct"/>
            <w:vAlign w:val="center"/>
          </w:tcPr>
          <w:p w14:paraId="0FA10420">
            <w:pPr>
              <w:adjustRightInd w:val="0"/>
              <w:spacing w:line="360" w:lineRule="auto"/>
              <w:jc w:val="center"/>
              <w:rPr>
                <w:rFonts w:ascii="宋体" w:hAnsi="宋体" w:cs="宋体"/>
                <w:color w:val="auto"/>
                <w:kern w:val="1"/>
                <w:szCs w:val="21"/>
                <w:highlight w:val="none"/>
                <w:lang w:val="zh-CN"/>
              </w:rPr>
            </w:pPr>
          </w:p>
        </w:tc>
        <w:tc>
          <w:tcPr>
            <w:tcW w:w="760" w:type="pct"/>
            <w:vAlign w:val="center"/>
          </w:tcPr>
          <w:p w14:paraId="09951A08">
            <w:pPr>
              <w:pStyle w:val="14"/>
              <w:adjustRightInd w:val="0"/>
              <w:spacing w:line="360" w:lineRule="auto"/>
              <w:ind w:firstLine="0"/>
              <w:jc w:val="center"/>
              <w:rPr>
                <w:rFonts w:ascii="宋体" w:hAnsi="宋体" w:cs="宋体"/>
                <w:color w:val="auto"/>
                <w:szCs w:val="21"/>
                <w:highlight w:val="none"/>
              </w:rPr>
            </w:pPr>
            <w:r>
              <w:rPr>
                <w:rFonts w:hint="eastAsia" w:ascii="宋体" w:hAnsi="宋体" w:cs="宋体"/>
                <w:color w:val="auto"/>
                <w:kern w:val="1"/>
                <w:szCs w:val="21"/>
                <w:highlight w:val="none"/>
                <w:lang w:val="en-US" w:eastAsia="zh-CN"/>
              </w:rPr>
              <w:t>1+2+3</w:t>
            </w:r>
          </w:p>
        </w:tc>
      </w:tr>
    </w:tbl>
    <w:p w14:paraId="72FD0B1B">
      <w:pPr>
        <w:tabs>
          <w:tab w:val="left" w:pos="7655"/>
        </w:tabs>
        <w:spacing w:line="360" w:lineRule="auto"/>
        <w:ind w:firstLine="1656" w:firstLineChars="600"/>
        <w:jc w:val="left"/>
        <w:rPr>
          <w:rFonts w:ascii="宋体" w:hAnsi="宋体" w:cs="宋体"/>
          <w:color w:val="auto"/>
          <w:spacing w:val="18"/>
          <w:kern w:val="1"/>
          <w:sz w:val="24"/>
          <w:highlight w:val="none"/>
          <w:lang w:val="zh-CN"/>
        </w:rPr>
      </w:pPr>
    </w:p>
    <w:p w14:paraId="3B685F91">
      <w:pPr>
        <w:tabs>
          <w:tab w:val="left" w:pos="7655"/>
        </w:tabs>
        <w:spacing w:line="360" w:lineRule="auto"/>
        <w:ind w:firstLine="1656" w:firstLineChars="600"/>
        <w:jc w:val="left"/>
        <w:rPr>
          <w:rFonts w:ascii="宋体" w:hAnsi="宋体" w:cs="宋体"/>
          <w:color w:val="auto"/>
          <w:spacing w:val="18"/>
          <w:kern w:val="1"/>
          <w:sz w:val="24"/>
          <w:highlight w:val="none"/>
        </w:rPr>
      </w:pPr>
      <w:r>
        <w:rPr>
          <w:rFonts w:hint="eastAsia" w:ascii="宋体" w:hAnsi="宋体" w:cs="宋体"/>
          <w:color w:val="auto"/>
          <w:spacing w:val="18"/>
          <w:kern w:val="1"/>
          <w:sz w:val="24"/>
          <w:highlight w:val="none"/>
          <w:lang w:val="zh-CN"/>
        </w:rPr>
        <w:t>投标人：(盖章)</w:t>
      </w:r>
    </w:p>
    <w:p w14:paraId="1821208C">
      <w:pPr>
        <w:tabs>
          <w:tab w:val="left" w:pos="7655"/>
        </w:tabs>
        <w:spacing w:line="360" w:lineRule="auto"/>
        <w:ind w:firstLine="1656" w:firstLineChars="600"/>
        <w:jc w:val="left"/>
        <w:rPr>
          <w:rFonts w:ascii="宋体" w:hAnsi="宋体" w:cs="宋体"/>
          <w:color w:val="auto"/>
          <w:spacing w:val="18"/>
          <w:kern w:val="1"/>
          <w:sz w:val="24"/>
          <w:highlight w:val="none"/>
          <w:lang w:val="zh-CN"/>
        </w:rPr>
      </w:pPr>
      <w:r>
        <w:rPr>
          <w:rFonts w:hint="eastAsia" w:ascii="宋体" w:hAnsi="宋体" w:cs="宋体"/>
          <w:color w:val="auto"/>
          <w:spacing w:val="18"/>
          <w:kern w:val="1"/>
          <w:sz w:val="24"/>
          <w:highlight w:val="none"/>
          <w:lang w:val="zh-CN"/>
        </w:rPr>
        <w:t>日期：年月日</w:t>
      </w:r>
    </w:p>
    <w:p w14:paraId="0CB79ED3">
      <w:pPr>
        <w:pStyle w:val="14"/>
        <w:ind w:firstLine="0"/>
        <w:rPr>
          <w:rFonts w:ascii="宋体" w:hAnsi="宋体" w:cs="宋体"/>
          <w:color w:val="auto"/>
          <w:szCs w:val="21"/>
          <w:highlight w:val="none"/>
        </w:rPr>
      </w:pPr>
    </w:p>
    <w:p w14:paraId="35E91F9C">
      <w:pPr>
        <w:pStyle w:val="14"/>
        <w:ind w:firstLine="0"/>
        <w:rPr>
          <w:rFonts w:ascii="宋体" w:hAnsi="宋体" w:cs="宋体"/>
          <w:color w:val="auto"/>
          <w:szCs w:val="21"/>
          <w:highlight w:val="none"/>
        </w:rPr>
      </w:pPr>
    </w:p>
    <w:p w14:paraId="4B0B090D">
      <w:pPr>
        <w:autoSpaceDE w:val="0"/>
        <w:autoSpaceDN w:val="0"/>
        <w:adjustRightInd w:val="0"/>
        <w:spacing w:line="360" w:lineRule="auto"/>
        <w:rPr>
          <w:rFonts w:ascii="宋体" w:hAnsi="宋体" w:cs="宋体"/>
          <w:b/>
          <w:color w:val="auto"/>
          <w:kern w:val="1"/>
          <w:sz w:val="28"/>
          <w:szCs w:val="28"/>
          <w:highlight w:val="none"/>
          <w:lang w:val="zh-CN"/>
        </w:rPr>
      </w:pPr>
      <w:r>
        <w:rPr>
          <w:rFonts w:hint="eastAsia" w:ascii="宋体" w:hAnsi="宋体" w:cs="宋体"/>
          <w:b/>
          <w:color w:val="auto"/>
          <w:kern w:val="1"/>
          <w:sz w:val="28"/>
          <w:szCs w:val="28"/>
          <w:highlight w:val="none"/>
          <w:lang w:val="zh-CN"/>
        </w:rPr>
        <w:br w:type="page"/>
      </w:r>
      <w:r>
        <w:rPr>
          <w:rFonts w:hint="eastAsia" w:ascii="宋体" w:hAnsi="宋体" w:cs="宋体"/>
          <w:b/>
          <w:color w:val="auto"/>
          <w:kern w:val="1"/>
          <w:szCs w:val="21"/>
          <w:highlight w:val="none"/>
          <w:lang w:val="zh-CN"/>
        </w:rPr>
        <w:t>格式3</w:t>
      </w:r>
      <w:r>
        <w:rPr>
          <w:rFonts w:hint="eastAsia" w:ascii="宋体" w:hAnsi="宋体" w:cs="宋体"/>
          <w:b/>
          <w:color w:val="auto"/>
          <w:kern w:val="1"/>
          <w:szCs w:val="21"/>
          <w:highlight w:val="none"/>
        </w:rPr>
        <w:t>-1</w:t>
      </w:r>
      <w:r>
        <w:rPr>
          <w:rFonts w:hint="eastAsia" w:ascii="宋体" w:hAnsi="宋体" w:cs="宋体"/>
          <w:b/>
          <w:color w:val="auto"/>
          <w:kern w:val="1"/>
          <w:szCs w:val="21"/>
          <w:highlight w:val="none"/>
          <w:lang w:val="zh-CN"/>
        </w:rPr>
        <w:t>：</w:t>
      </w:r>
    </w:p>
    <w:p w14:paraId="5BA329F5">
      <w:pPr>
        <w:autoSpaceDE w:val="0"/>
        <w:autoSpaceDN w:val="0"/>
        <w:adjustRightInd w:val="0"/>
        <w:spacing w:line="360" w:lineRule="auto"/>
        <w:jc w:val="center"/>
        <w:rPr>
          <w:rFonts w:ascii="宋体" w:hAnsi="宋体" w:cs="宋体"/>
          <w:b/>
          <w:bCs/>
          <w:color w:val="auto"/>
          <w:sz w:val="32"/>
          <w:szCs w:val="32"/>
          <w:highlight w:val="none"/>
          <w:lang w:val="zh-CN"/>
        </w:rPr>
      </w:pPr>
      <w:bookmarkStart w:id="585" w:name="OLE_LINK155"/>
      <w:bookmarkStart w:id="586" w:name="OLE_LINK156"/>
      <w:r>
        <w:rPr>
          <w:rFonts w:hint="eastAsia" w:ascii="宋体" w:hAnsi="宋体" w:cs="宋体"/>
          <w:b/>
          <w:bCs/>
          <w:color w:val="auto"/>
          <w:sz w:val="32"/>
          <w:szCs w:val="32"/>
          <w:highlight w:val="none"/>
          <w:lang w:val="zh-CN"/>
        </w:rPr>
        <w:t>设计</w:t>
      </w:r>
      <w:r>
        <w:rPr>
          <w:rFonts w:hint="eastAsia" w:ascii="宋体" w:hAnsi="宋体" w:cs="宋体"/>
          <w:b/>
          <w:bCs/>
          <w:color w:val="auto"/>
          <w:sz w:val="32"/>
          <w:szCs w:val="32"/>
          <w:highlight w:val="none"/>
        </w:rPr>
        <w:t>费</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含BIM设计费</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zh-CN"/>
        </w:rPr>
        <w:t>明细表</w:t>
      </w:r>
      <w:bookmarkEnd w:id="585"/>
      <w:bookmarkEnd w:id="586"/>
    </w:p>
    <w:tbl>
      <w:tblPr>
        <w:tblStyle w:val="45"/>
        <w:tblW w:w="4997" w:type="pct"/>
        <w:jc w:val="center"/>
        <w:tblLayout w:type="autofit"/>
        <w:tblCellMar>
          <w:top w:w="0" w:type="dxa"/>
          <w:left w:w="108" w:type="dxa"/>
          <w:bottom w:w="0" w:type="dxa"/>
          <w:right w:w="108" w:type="dxa"/>
        </w:tblCellMar>
      </w:tblPr>
      <w:tblGrid>
        <w:gridCol w:w="895"/>
        <w:gridCol w:w="3462"/>
        <w:gridCol w:w="3828"/>
        <w:gridCol w:w="1097"/>
      </w:tblGrid>
      <w:tr w14:paraId="4F3B33A4">
        <w:tblPrEx>
          <w:tblCellMar>
            <w:top w:w="0" w:type="dxa"/>
            <w:left w:w="108" w:type="dxa"/>
            <w:bottom w:w="0" w:type="dxa"/>
            <w:right w:w="108" w:type="dxa"/>
          </w:tblCellMar>
        </w:tblPrEx>
        <w:trPr>
          <w:trHeight w:val="614" w:hRule="atLeast"/>
          <w:jc w:val="center"/>
        </w:trPr>
        <w:tc>
          <w:tcPr>
            <w:tcW w:w="482" w:type="pct"/>
            <w:tcBorders>
              <w:top w:val="single" w:color="000000" w:sz="4" w:space="0"/>
              <w:left w:val="single" w:color="000000" w:sz="4" w:space="0"/>
              <w:bottom w:val="single" w:color="000000" w:sz="4" w:space="0"/>
              <w:right w:val="single" w:color="000000" w:sz="4" w:space="0"/>
            </w:tcBorders>
            <w:vAlign w:val="center"/>
          </w:tcPr>
          <w:p w14:paraId="4F22A1FC">
            <w:pPr>
              <w:adjustRightInd w:val="0"/>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序号</w:t>
            </w:r>
          </w:p>
        </w:tc>
        <w:tc>
          <w:tcPr>
            <w:tcW w:w="1865" w:type="pct"/>
            <w:tcBorders>
              <w:top w:val="single" w:color="000000" w:sz="4" w:space="0"/>
              <w:left w:val="single" w:color="000000" w:sz="4" w:space="0"/>
              <w:bottom w:val="single" w:color="000000" w:sz="4" w:space="0"/>
              <w:right w:val="single" w:color="000000" w:sz="4" w:space="0"/>
            </w:tcBorders>
            <w:vAlign w:val="center"/>
          </w:tcPr>
          <w:p w14:paraId="61EE1981">
            <w:pPr>
              <w:adjustRightInd w:val="0"/>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项目内容</w:t>
            </w:r>
          </w:p>
        </w:tc>
        <w:tc>
          <w:tcPr>
            <w:tcW w:w="2062" w:type="pct"/>
            <w:tcBorders>
              <w:top w:val="single" w:color="000000" w:sz="4" w:space="0"/>
              <w:left w:val="single" w:color="000000" w:sz="4" w:space="0"/>
              <w:bottom w:val="single" w:color="000000" w:sz="4" w:space="0"/>
              <w:right w:val="single" w:color="000000" w:sz="4" w:space="0"/>
            </w:tcBorders>
            <w:vAlign w:val="center"/>
          </w:tcPr>
          <w:p w14:paraId="5B56331E">
            <w:pPr>
              <w:adjustRightInd w:val="0"/>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投标报价</w:t>
            </w:r>
          </w:p>
        </w:tc>
        <w:tc>
          <w:tcPr>
            <w:tcW w:w="591" w:type="pct"/>
            <w:tcBorders>
              <w:top w:val="single" w:color="000000" w:sz="4" w:space="0"/>
              <w:left w:val="single" w:color="000000" w:sz="4" w:space="0"/>
              <w:bottom w:val="single" w:color="000000" w:sz="4" w:space="0"/>
              <w:right w:val="single" w:color="000000" w:sz="4" w:space="0"/>
            </w:tcBorders>
            <w:vAlign w:val="center"/>
          </w:tcPr>
          <w:p w14:paraId="001128CE">
            <w:pPr>
              <w:adjustRightInd w:val="0"/>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备注</w:t>
            </w:r>
          </w:p>
        </w:tc>
      </w:tr>
      <w:tr w14:paraId="072478EA">
        <w:tblPrEx>
          <w:tblCellMar>
            <w:top w:w="0" w:type="dxa"/>
            <w:left w:w="108" w:type="dxa"/>
            <w:bottom w:w="0" w:type="dxa"/>
            <w:right w:w="108" w:type="dxa"/>
          </w:tblCellMar>
        </w:tblPrEx>
        <w:trPr>
          <w:trHeight w:val="575" w:hRule="atLeast"/>
          <w:jc w:val="center"/>
        </w:trPr>
        <w:tc>
          <w:tcPr>
            <w:tcW w:w="482" w:type="pct"/>
            <w:vMerge w:val="restart"/>
            <w:tcBorders>
              <w:top w:val="single" w:color="000000" w:sz="4" w:space="0"/>
              <w:left w:val="single" w:color="000000" w:sz="4" w:space="0"/>
              <w:right w:val="single" w:color="000000" w:sz="4" w:space="0"/>
            </w:tcBorders>
            <w:vAlign w:val="center"/>
          </w:tcPr>
          <w:p w14:paraId="35007D83">
            <w:pPr>
              <w:adjustRightInd w:val="0"/>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一</w:t>
            </w:r>
          </w:p>
        </w:tc>
        <w:tc>
          <w:tcPr>
            <w:tcW w:w="1865" w:type="pct"/>
            <w:vMerge w:val="restart"/>
            <w:tcBorders>
              <w:top w:val="single" w:color="000000" w:sz="4" w:space="0"/>
              <w:left w:val="single" w:color="000000" w:sz="4" w:space="0"/>
              <w:right w:val="single" w:color="000000" w:sz="4" w:space="0"/>
            </w:tcBorders>
            <w:vAlign w:val="center"/>
          </w:tcPr>
          <w:p w14:paraId="7862563C">
            <w:pPr>
              <w:adjustRightInd w:val="0"/>
              <w:spacing w:line="360" w:lineRule="auto"/>
              <w:jc w:val="center"/>
              <w:rPr>
                <w:rFonts w:hint="eastAsia" w:ascii="宋体" w:hAnsi="宋体" w:cs="宋体"/>
                <w:color w:val="auto"/>
                <w:kern w:val="1"/>
                <w:szCs w:val="21"/>
                <w:highlight w:val="none"/>
                <w:lang w:val="zh-CN"/>
              </w:rPr>
            </w:pPr>
            <w:r>
              <w:rPr>
                <w:rFonts w:hint="eastAsia" w:ascii="宋体" w:hAnsi="宋体" w:cs="宋体"/>
                <w:color w:val="auto"/>
                <w:kern w:val="1"/>
                <w:szCs w:val="21"/>
                <w:highlight w:val="none"/>
                <w:lang w:val="zh-CN"/>
              </w:rPr>
              <w:t>设计费（</w:t>
            </w:r>
            <w:r>
              <w:rPr>
                <w:rFonts w:hint="eastAsia" w:ascii="宋体" w:hAnsi="宋体" w:cs="宋体"/>
                <w:color w:val="auto"/>
                <w:kern w:val="1"/>
                <w:szCs w:val="21"/>
                <w:highlight w:val="none"/>
                <w:lang w:val="en-US" w:eastAsia="zh-CN"/>
              </w:rPr>
              <w:t>含BIM设计费</w:t>
            </w:r>
            <w:r>
              <w:rPr>
                <w:rFonts w:hint="eastAsia" w:ascii="宋体" w:hAnsi="宋体" w:cs="宋体"/>
                <w:color w:val="auto"/>
                <w:kern w:val="1"/>
                <w:szCs w:val="21"/>
                <w:highlight w:val="none"/>
                <w:lang w:val="zh-CN"/>
              </w:rPr>
              <w:t>）</w:t>
            </w:r>
          </w:p>
          <w:p w14:paraId="16A0191D">
            <w:pPr>
              <w:adjustRightInd w:val="0"/>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en-US" w:eastAsia="zh-CN"/>
              </w:rPr>
              <w:t>（含税）</w:t>
            </w:r>
          </w:p>
        </w:tc>
        <w:tc>
          <w:tcPr>
            <w:tcW w:w="2062" w:type="pct"/>
            <w:tcBorders>
              <w:top w:val="single" w:color="000000" w:sz="4" w:space="0"/>
              <w:left w:val="single" w:color="000000" w:sz="4" w:space="0"/>
              <w:bottom w:val="single" w:color="000000" w:sz="4" w:space="0"/>
              <w:right w:val="single" w:color="000000" w:sz="4" w:space="0"/>
            </w:tcBorders>
            <w:vAlign w:val="center"/>
          </w:tcPr>
          <w:p w14:paraId="19904876">
            <w:pPr>
              <w:adjustRightInd w:val="0"/>
              <w:spacing w:line="360" w:lineRule="auto"/>
              <w:rPr>
                <w:rFonts w:hint="default" w:ascii="宋体" w:hAnsi="宋体" w:eastAsia="宋体" w:cs="宋体"/>
                <w:color w:val="auto"/>
                <w:kern w:val="1"/>
                <w:szCs w:val="21"/>
                <w:highlight w:val="none"/>
                <w:u w:val="single"/>
                <w:lang w:val="en-US" w:eastAsia="zh-CN"/>
              </w:rPr>
            </w:pPr>
            <w:r>
              <w:rPr>
                <w:rFonts w:hint="eastAsia" w:ascii="宋体" w:hAnsi="宋体" w:cs="宋体"/>
                <w:color w:val="auto"/>
                <w:kern w:val="1"/>
                <w:szCs w:val="21"/>
                <w:highlight w:val="none"/>
                <w:lang w:val="zh-CN"/>
              </w:rPr>
              <w:t>投标报价：</w:t>
            </w:r>
            <w:r>
              <w:rPr>
                <w:rFonts w:hint="eastAsia" w:ascii="宋体" w:hAnsi="宋体" w:cs="宋体"/>
                <w:color w:val="auto"/>
                <w:kern w:val="1"/>
                <w:szCs w:val="21"/>
                <w:highlight w:val="none"/>
                <w:u w:val="single"/>
                <w:lang w:val="en-US" w:eastAsia="zh-CN"/>
              </w:rPr>
              <w:t xml:space="preserve">     </w:t>
            </w:r>
            <w:r>
              <w:rPr>
                <w:rFonts w:hint="eastAsia" w:ascii="宋体" w:hAnsi="宋体" w:cs="宋体"/>
                <w:color w:val="auto"/>
                <w:kern w:val="1"/>
                <w:szCs w:val="21"/>
                <w:highlight w:val="none"/>
                <w:lang w:val="en-US" w:eastAsia="zh-CN"/>
              </w:rPr>
              <w:t>元</w:t>
            </w:r>
          </w:p>
        </w:tc>
        <w:tc>
          <w:tcPr>
            <w:tcW w:w="591" w:type="pct"/>
            <w:tcBorders>
              <w:top w:val="single" w:color="000000" w:sz="4" w:space="0"/>
              <w:left w:val="single" w:color="000000" w:sz="4" w:space="0"/>
              <w:bottom w:val="single" w:color="000000" w:sz="4" w:space="0"/>
              <w:right w:val="single" w:color="000000" w:sz="4" w:space="0"/>
            </w:tcBorders>
            <w:vAlign w:val="center"/>
          </w:tcPr>
          <w:p w14:paraId="6A52CF1C">
            <w:pPr>
              <w:adjustRightInd w:val="0"/>
              <w:spacing w:line="360" w:lineRule="auto"/>
              <w:rPr>
                <w:rFonts w:ascii="宋体" w:hAnsi="宋体" w:cs="宋体"/>
                <w:color w:val="auto"/>
                <w:kern w:val="1"/>
                <w:szCs w:val="21"/>
                <w:highlight w:val="none"/>
                <w:u w:val="single"/>
              </w:rPr>
            </w:pPr>
          </w:p>
        </w:tc>
      </w:tr>
      <w:tr w14:paraId="29E0CA4E">
        <w:tblPrEx>
          <w:tblCellMar>
            <w:top w:w="0" w:type="dxa"/>
            <w:left w:w="108" w:type="dxa"/>
            <w:bottom w:w="0" w:type="dxa"/>
            <w:right w:w="108" w:type="dxa"/>
          </w:tblCellMar>
        </w:tblPrEx>
        <w:trPr>
          <w:trHeight w:val="2104" w:hRule="atLeast"/>
          <w:jc w:val="center"/>
        </w:trPr>
        <w:tc>
          <w:tcPr>
            <w:tcW w:w="482" w:type="pct"/>
            <w:vMerge w:val="continue"/>
            <w:tcBorders>
              <w:left w:val="single" w:color="000000" w:sz="4" w:space="0"/>
              <w:right w:val="single" w:color="000000" w:sz="4" w:space="0"/>
            </w:tcBorders>
            <w:vAlign w:val="center"/>
          </w:tcPr>
          <w:p w14:paraId="05393851">
            <w:pPr>
              <w:adjustRightInd w:val="0"/>
              <w:spacing w:line="360" w:lineRule="auto"/>
              <w:jc w:val="center"/>
              <w:rPr>
                <w:rFonts w:ascii="宋体" w:hAnsi="宋体" w:cs="宋体"/>
                <w:color w:val="auto"/>
                <w:kern w:val="1"/>
                <w:szCs w:val="21"/>
                <w:highlight w:val="none"/>
              </w:rPr>
            </w:pPr>
          </w:p>
        </w:tc>
        <w:tc>
          <w:tcPr>
            <w:tcW w:w="1865" w:type="pct"/>
            <w:vMerge w:val="continue"/>
            <w:tcBorders>
              <w:left w:val="single" w:color="000000" w:sz="4" w:space="0"/>
              <w:right w:val="single" w:color="000000" w:sz="4" w:space="0"/>
            </w:tcBorders>
            <w:vAlign w:val="center"/>
          </w:tcPr>
          <w:p w14:paraId="1BC41376">
            <w:pPr>
              <w:adjustRightInd w:val="0"/>
              <w:spacing w:line="360" w:lineRule="auto"/>
              <w:jc w:val="center"/>
              <w:rPr>
                <w:rFonts w:ascii="宋体" w:hAnsi="宋体" w:cs="宋体"/>
                <w:color w:val="auto"/>
                <w:kern w:val="1"/>
                <w:szCs w:val="21"/>
                <w:highlight w:val="none"/>
              </w:rPr>
            </w:pPr>
          </w:p>
        </w:tc>
        <w:tc>
          <w:tcPr>
            <w:tcW w:w="2062" w:type="pct"/>
            <w:tcBorders>
              <w:top w:val="single" w:color="000000" w:sz="4" w:space="0"/>
              <w:left w:val="single" w:color="000000" w:sz="4" w:space="0"/>
              <w:bottom w:val="single" w:color="000000" w:sz="4" w:space="0"/>
              <w:right w:val="single" w:color="000000" w:sz="4" w:space="0"/>
            </w:tcBorders>
            <w:vAlign w:val="center"/>
          </w:tcPr>
          <w:p w14:paraId="4D566117">
            <w:pPr>
              <w:adjustRightInd w:val="0"/>
              <w:spacing w:line="360" w:lineRule="auto"/>
              <w:rPr>
                <w:rFonts w:hint="default" w:ascii="宋体" w:hAnsi="宋体" w:eastAsia="宋体" w:cs="宋体"/>
                <w:color w:val="auto"/>
                <w:kern w:val="1"/>
                <w:szCs w:val="21"/>
                <w:highlight w:val="none"/>
                <w:lang w:val="en-US" w:eastAsia="zh-CN"/>
              </w:rPr>
            </w:pPr>
            <w:r>
              <w:rPr>
                <w:rFonts w:hint="eastAsia" w:ascii="宋体" w:hAnsi="宋体" w:cs="宋体"/>
                <w:color w:val="auto"/>
                <w:kern w:val="1"/>
                <w:szCs w:val="21"/>
                <w:highlight w:val="none"/>
                <w:lang w:val="zh-CN"/>
              </w:rPr>
              <w:t>下浮率：</w:t>
            </w:r>
            <w:r>
              <w:rPr>
                <w:rFonts w:hint="eastAsia" w:ascii="宋体" w:hAnsi="宋体" w:cs="宋体"/>
                <w:color w:val="auto"/>
                <w:kern w:val="1"/>
                <w:szCs w:val="21"/>
                <w:highlight w:val="none"/>
                <w:u w:val="single"/>
                <w:lang w:val="en-US" w:eastAsia="zh-CN"/>
              </w:rPr>
              <w:t xml:space="preserve">   %</w:t>
            </w:r>
          </w:p>
          <w:p w14:paraId="1F505C3D">
            <w:pPr>
              <w:adjustRightInd w:val="0"/>
              <w:spacing w:line="360" w:lineRule="auto"/>
              <w:rPr>
                <w:rFonts w:hint="eastAsia" w:ascii="宋体" w:hAnsi="宋体" w:cs="宋体"/>
                <w:color w:val="auto"/>
                <w:kern w:val="1"/>
                <w:szCs w:val="21"/>
                <w:highlight w:val="none"/>
                <w:lang w:val="zh-CN"/>
              </w:rPr>
            </w:pPr>
            <w:r>
              <w:rPr>
                <w:rFonts w:hint="eastAsia" w:ascii="宋体" w:hAnsi="宋体" w:cs="宋体"/>
                <w:color w:val="auto"/>
                <w:kern w:val="1"/>
                <w:sz w:val="21"/>
                <w:szCs w:val="21"/>
                <w:highlight w:val="none"/>
                <w:lang w:val="zh-CN" w:eastAsia="zh-CN"/>
              </w:rPr>
              <w:t>注：</w:t>
            </w:r>
            <w:r>
              <w:rPr>
                <w:rFonts w:hint="eastAsia" w:ascii="宋体" w:hAnsi="宋体" w:cs="宋体"/>
                <w:color w:val="auto"/>
                <w:kern w:val="1"/>
                <w:sz w:val="21"/>
                <w:szCs w:val="21"/>
                <w:highlight w:val="none"/>
                <w:lang w:val="zh-CN"/>
              </w:rPr>
              <w:t>下浮率=</w:t>
            </w:r>
            <w:r>
              <w:rPr>
                <w:rFonts w:hint="eastAsia" w:ascii="宋体" w:hAnsi="宋体" w:eastAsia="宋体" w:cs="宋体"/>
                <w:color w:val="auto"/>
                <w:kern w:val="1"/>
                <w:sz w:val="21"/>
                <w:szCs w:val="21"/>
                <w:highlight w:val="none"/>
                <w:lang w:val="en-US" w:eastAsia="zh-CN"/>
              </w:rPr>
              <w:t>[</w:t>
            </w:r>
            <w:r>
              <w:rPr>
                <w:rFonts w:hint="eastAsia" w:ascii="宋体" w:hAnsi="宋体" w:cs="宋体"/>
                <w:color w:val="auto"/>
                <w:kern w:val="1"/>
                <w:sz w:val="21"/>
                <w:szCs w:val="21"/>
                <w:highlight w:val="none"/>
                <w:lang w:val="zh-CN"/>
              </w:rPr>
              <w:t>1-设计费</w:t>
            </w:r>
            <w:r>
              <w:rPr>
                <w:rFonts w:hint="eastAsia" w:ascii="宋体" w:hAnsi="宋体" w:eastAsia="宋体" w:cs="宋体"/>
                <w:color w:val="auto"/>
                <w:kern w:val="1"/>
                <w:sz w:val="21"/>
                <w:szCs w:val="21"/>
                <w:highlight w:val="none"/>
                <w:lang w:val="zh-CN"/>
              </w:rPr>
              <w:t>（</w:t>
            </w:r>
            <w:r>
              <w:rPr>
                <w:rFonts w:hint="eastAsia" w:ascii="宋体" w:hAnsi="宋体" w:eastAsia="宋体" w:cs="宋体"/>
                <w:color w:val="auto"/>
                <w:kern w:val="1"/>
                <w:sz w:val="21"/>
                <w:szCs w:val="21"/>
                <w:highlight w:val="none"/>
                <w:lang w:val="en-US" w:eastAsia="zh-CN"/>
              </w:rPr>
              <w:t>含BIM设计费</w:t>
            </w:r>
            <w:r>
              <w:rPr>
                <w:rFonts w:hint="eastAsia" w:ascii="宋体" w:hAnsi="宋体" w:eastAsia="宋体" w:cs="宋体"/>
                <w:color w:val="auto"/>
                <w:kern w:val="1"/>
                <w:sz w:val="21"/>
                <w:szCs w:val="21"/>
                <w:highlight w:val="none"/>
                <w:lang w:val="zh-CN"/>
              </w:rPr>
              <w:t>）</w:t>
            </w:r>
            <w:r>
              <w:rPr>
                <w:rFonts w:hint="eastAsia" w:ascii="宋体" w:hAnsi="宋体" w:cs="宋体"/>
                <w:color w:val="auto"/>
                <w:kern w:val="1"/>
                <w:sz w:val="21"/>
                <w:szCs w:val="21"/>
                <w:highlight w:val="none"/>
                <w:lang w:val="zh-CN"/>
              </w:rPr>
              <w:t>投标报价/设计费</w:t>
            </w:r>
            <w:r>
              <w:rPr>
                <w:rFonts w:hint="eastAsia" w:ascii="宋体" w:hAnsi="宋体" w:eastAsia="宋体" w:cs="宋体"/>
                <w:color w:val="auto"/>
                <w:kern w:val="1"/>
                <w:sz w:val="21"/>
                <w:szCs w:val="21"/>
                <w:highlight w:val="none"/>
                <w:lang w:val="zh-CN"/>
              </w:rPr>
              <w:t>（</w:t>
            </w:r>
            <w:r>
              <w:rPr>
                <w:rFonts w:hint="eastAsia" w:ascii="宋体" w:hAnsi="宋体" w:eastAsia="宋体" w:cs="宋体"/>
                <w:color w:val="auto"/>
                <w:kern w:val="1"/>
                <w:sz w:val="21"/>
                <w:szCs w:val="21"/>
                <w:highlight w:val="none"/>
                <w:lang w:val="en-US" w:eastAsia="zh-CN"/>
              </w:rPr>
              <w:t>含BIM设计费</w:t>
            </w:r>
            <w:r>
              <w:rPr>
                <w:rFonts w:hint="eastAsia" w:ascii="宋体" w:hAnsi="宋体" w:eastAsia="宋体" w:cs="宋体"/>
                <w:color w:val="auto"/>
                <w:kern w:val="1"/>
                <w:sz w:val="21"/>
                <w:szCs w:val="21"/>
                <w:highlight w:val="none"/>
                <w:lang w:val="zh-CN"/>
              </w:rPr>
              <w:t>）</w:t>
            </w:r>
            <w:r>
              <w:rPr>
                <w:rFonts w:hint="eastAsia" w:ascii="宋体" w:hAnsi="宋体" w:cs="宋体"/>
                <w:color w:val="auto"/>
                <w:kern w:val="1"/>
                <w:sz w:val="21"/>
                <w:szCs w:val="21"/>
                <w:highlight w:val="none"/>
                <w:lang w:val="zh-CN"/>
              </w:rPr>
              <w:t>最高投标限价</w:t>
            </w:r>
            <w:r>
              <w:rPr>
                <w:rFonts w:hint="eastAsia" w:ascii="宋体" w:hAnsi="宋体" w:eastAsia="宋体" w:cs="宋体"/>
                <w:color w:val="auto"/>
                <w:kern w:val="1"/>
                <w:sz w:val="21"/>
                <w:szCs w:val="21"/>
                <w:highlight w:val="none"/>
                <w:lang w:val="en-US" w:eastAsia="zh-CN"/>
              </w:rPr>
              <w:t>]</w:t>
            </w:r>
            <w:r>
              <w:rPr>
                <w:rFonts w:hint="eastAsia" w:ascii="宋体" w:hAnsi="宋体" w:cs="宋体"/>
                <w:color w:val="auto"/>
                <w:kern w:val="1"/>
                <w:sz w:val="21"/>
                <w:szCs w:val="21"/>
                <w:highlight w:val="none"/>
                <w:lang w:val="zh-CN"/>
              </w:rPr>
              <w:t>*100%</w:t>
            </w:r>
          </w:p>
        </w:tc>
        <w:tc>
          <w:tcPr>
            <w:tcW w:w="591" w:type="pct"/>
            <w:tcBorders>
              <w:top w:val="single" w:color="000000" w:sz="4" w:space="0"/>
              <w:left w:val="single" w:color="000000" w:sz="4" w:space="0"/>
              <w:bottom w:val="single" w:color="000000" w:sz="4" w:space="0"/>
              <w:right w:val="single" w:color="000000" w:sz="4" w:space="0"/>
            </w:tcBorders>
            <w:vAlign w:val="center"/>
          </w:tcPr>
          <w:p w14:paraId="3E8D8D11">
            <w:pPr>
              <w:adjustRightInd w:val="0"/>
              <w:spacing w:line="360" w:lineRule="auto"/>
              <w:rPr>
                <w:rFonts w:ascii="宋体" w:hAnsi="宋体" w:cs="宋体"/>
                <w:color w:val="auto"/>
                <w:kern w:val="1"/>
                <w:szCs w:val="21"/>
                <w:highlight w:val="none"/>
              </w:rPr>
            </w:pPr>
          </w:p>
        </w:tc>
      </w:tr>
      <w:tr w14:paraId="70A31F61">
        <w:tblPrEx>
          <w:tblCellMar>
            <w:top w:w="0" w:type="dxa"/>
            <w:left w:w="108" w:type="dxa"/>
            <w:bottom w:w="0" w:type="dxa"/>
            <w:right w:w="108" w:type="dxa"/>
          </w:tblCellMar>
        </w:tblPrEx>
        <w:trPr>
          <w:trHeight w:val="600" w:hRule="atLeast"/>
          <w:jc w:val="center"/>
        </w:trPr>
        <w:tc>
          <w:tcPr>
            <w:tcW w:w="482" w:type="pct"/>
            <w:tcBorders>
              <w:top w:val="single" w:color="000000" w:sz="4" w:space="0"/>
              <w:left w:val="single" w:color="000000" w:sz="4" w:space="0"/>
              <w:bottom w:val="single" w:color="000000" w:sz="4" w:space="0"/>
              <w:right w:val="single" w:color="000000" w:sz="4" w:space="0"/>
            </w:tcBorders>
            <w:vAlign w:val="center"/>
          </w:tcPr>
          <w:p w14:paraId="25D4167A">
            <w:pPr>
              <w:adjustRightInd w:val="0"/>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二</w:t>
            </w:r>
          </w:p>
        </w:tc>
        <w:tc>
          <w:tcPr>
            <w:tcW w:w="1865" w:type="pct"/>
            <w:tcBorders>
              <w:top w:val="single" w:color="000000" w:sz="4" w:space="0"/>
              <w:left w:val="single" w:color="000000" w:sz="4" w:space="0"/>
              <w:bottom w:val="single" w:color="000000" w:sz="4" w:space="0"/>
              <w:right w:val="single" w:color="000000" w:sz="4" w:space="0"/>
            </w:tcBorders>
            <w:vAlign w:val="center"/>
          </w:tcPr>
          <w:p w14:paraId="08EAA7CA">
            <w:pPr>
              <w:adjustRightInd w:val="0"/>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lang w:val="zh-CN"/>
              </w:rPr>
              <w:t>小计</w:t>
            </w:r>
          </w:p>
        </w:tc>
        <w:tc>
          <w:tcPr>
            <w:tcW w:w="2062" w:type="pct"/>
            <w:tcBorders>
              <w:top w:val="single" w:color="000000" w:sz="4" w:space="0"/>
              <w:left w:val="single" w:color="000000" w:sz="4" w:space="0"/>
              <w:bottom w:val="single" w:color="000000" w:sz="4" w:space="0"/>
              <w:right w:val="single" w:color="000000" w:sz="4" w:space="0"/>
            </w:tcBorders>
            <w:vAlign w:val="center"/>
          </w:tcPr>
          <w:p w14:paraId="1B4B39B1">
            <w:pPr>
              <w:adjustRightInd w:val="0"/>
              <w:spacing w:line="360" w:lineRule="auto"/>
              <w:rPr>
                <w:rFonts w:ascii="宋体" w:hAnsi="宋体" w:cs="宋体"/>
                <w:color w:val="auto"/>
                <w:kern w:val="1"/>
                <w:szCs w:val="21"/>
                <w:highlight w:val="none"/>
              </w:rPr>
            </w:pPr>
          </w:p>
        </w:tc>
        <w:tc>
          <w:tcPr>
            <w:tcW w:w="591" w:type="pct"/>
            <w:tcBorders>
              <w:top w:val="single" w:color="000000" w:sz="4" w:space="0"/>
              <w:left w:val="single" w:color="000000" w:sz="4" w:space="0"/>
              <w:bottom w:val="single" w:color="000000" w:sz="4" w:space="0"/>
              <w:right w:val="single" w:color="000000" w:sz="4" w:space="0"/>
            </w:tcBorders>
            <w:vAlign w:val="center"/>
          </w:tcPr>
          <w:p w14:paraId="378855E3">
            <w:pPr>
              <w:adjustRightInd w:val="0"/>
              <w:spacing w:line="360" w:lineRule="auto"/>
              <w:rPr>
                <w:rFonts w:ascii="宋体" w:hAnsi="宋体" w:cs="宋体"/>
                <w:color w:val="auto"/>
                <w:kern w:val="1"/>
                <w:szCs w:val="21"/>
                <w:highlight w:val="none"/>
              </w:rPr>
            </w:pPr>
          </w:p>
        </w:tc>
      </w:tr>
    </w:tbl>
    <w:p w14:paraId="1FBDDF98">
      <w:pPr>
        <w:tabs>
          <w:tab w:val="left" w:pos="7655"/>
        </w:tabs>
        <w:spacing w:line="360" w:lineRule="auto"/>
        <w:ind w:firstLine="1656" w:firstLineChars="600"/>
        <w:jc w:val="left"/>
        <w:rPr>
          <w:rFonts w:ascii="宋体" w:hAnsi="宋体" w:cs="宋体"/>
          <w:color w:val="auto"/>
          <w:spacing w:val="18"/>
          <w:kern w:val="1"/>
          <w:sz w:val="24"/>
          <w:highlight w:val="none"/>
          <w:lang w:val="zh-CN"/>
        </w:rPr>
      </w:pPr>
    </w:p>
    <w:p w14:paraId="6FAB7A7A">
      <w:pPr>
        <w:tabs>
          <w:tab w:val="left" w:pos="7655"/>
        </w:tabs>
        <w:spacing w:line="360" w:lineRule="auto"/>
        <w:rPr>
          <w:rFonts w:ascii="宋体" w:hAnsi="宋体" w:cs="宋体"/>
          <w:color w:val="auto"/>
          <w:spacing w:val="18"/>
          <w:kern w:val="1"/>
          <w:sz w:val="24"/>
          <w:highlight w:val="none"/>
          <w:lang w:val="zh-CN"/>
        </w:rPr>
      </w:pPr>
      <w:r>
        <w:rPr>
          <w:rFonts w:hint="eastAsia" w:ascii="宋体" w:hAnsi="宋体" w:cs="宋体"/>
          <w:color w:val="auto"/>
          <w:spacing w:val="18"/>
          <w:kern w:val="1"/>
          <w:sz w:val="24"/>
          <w:highlight w:val="none"/>
        </w:rPr>
        <w:t>备注：</w:t>
      </w:r>
      <w:r>
        <w:rPr>
          <w:rFonts w:hint="eastAsia" w:ascii="宋体" w:hAnsi="宋体" w:cs="宋体"/>
          <w:color w:val="auto"/>
          <w:spacing w:val="18"/>
          <w:kern w:val="1"/>
          <w:sz w:val="24"/>
          <w:highlight w:val="none"/>
          <w:lang w:val="zh-CN"/>
        </w:rPr>
        <w:t>设计费</w:t>
      </w:r>
      <w:r>
        <w:rPr>
          <w:rFonts w:hint="eastAsia" w:ascii="宋体" w:hAnsi="宋体" w:cs="宋体"/>
          <w:color w:val="auto"/>
          <w:spacing w:val="18"/>
          <w:kern w:val="1"/>
          <w:sz w:val="24"/>
          <w:szCs w:val="24"/>
          <w:highlight w:val="none"/>
          <w:lang w:val="zh-CN"/>
        </w:rPr>
        <w:t>（</w:t>
      </w:r>
      <w:r>
        <w:rPr>
          <w:rFonts w:hint="eastAsia" w:ascii="宋体" w:hAnsi="宋体" w:cs="宋体"/>
          <w:color w:val="auto"/>
          <w:spacing w:val="18"/>
          <w:kern w:val="1"/>
          <w:sz w:val="24"/>
          <w:szCs w:val="24"/>
          <w:highlight w:val="none"/>
          <w:lang w:val="zh-CN" w:eastAsia="zh-CN"/>
        </w:rPr>
        <w:t>含BIM设计费</w:t>
      </w:r>
      <w:r>
        <w:rPr>
          <w:rFonts w:hint="eastAsia" w:ascii="宋体" w:hAnsi="宋体" w:cs="宋体"/>
          <w:color w:val="auto"/>
          <w:spacing w:val="18"/>
          <w:kern w:val="1"/>
          <w:sz w:val="24"/>
          <w:szCs w:val="24"/>
          <w:highlight w:val="none"/>
          <w:lang w:val="zh-CN"/>
        </w:rPr>
        <w:t>）</w:t>
      </w:r>
      <w:r>
        <w:rPr>
          <w:rFonts w:hint="eastAsia" w:ascii="宋体" w:hAnsi="宋体" w:cs="宋体"/>
          <w:color w:val="auto"/>
          <w:spacing w:val="18"/>
          <w:kern w:val="1"/>
          <w:sz w:val="24"/>
          <w:highlight w:val="none"/>
          <w:lang w:val="zh-CN"/>
        </w:rPr>
        <w:t>已包含外出参观考察的调研费、</w:t>
      </w:r>
      <w:r>
        <w:rPr>
          <w:rFonts w:hint="eastAsia" w:ascii="宋体" w:hAnsi="宋体" w:cs="宋体"/>
          <w:color w:val="auto"/>
          <w:spacing w:val="18"/>
          <w:kern w:val="1"/>
          <w:sz w:val="24"/>
          <w:highlight w:val="none"/>
          <w:lang w:val="en-US" w:eastAsia="zh-CN"/>
        </w:rPr>
        <w:t>合同相关约定等的所有费用</w:t>
      </w:r>
      <w:r>
        <w:rPr>
          <w:rFonts w:hint="eastAsia" w:ascii="宋体" w:hAnsi="宋体" w:cs="宋体"/>
          <w:color w:val="auto"/>
          <w:spacing w:val="18"/>
          <w:kern w:val="1"/>
          <w:sz w:val="24"/>
          <w:highlight w:val="none"/>
          <w:lang w:val="zh-CN"/>
        </w:rPr>
        <w:t>。</w:t>
      </w:r>
    </w:p>
    <w:p w14:paraId="09430AA2">
      <w:pPr>
        <w:tabs>
          <w:tab w:val="left" w:pos="7655"/>
        </w:tabs>
        <w:spacing w:line="360" w:lineRule="auto"/>
        <w:ind w:firstLine="1656" w:firstLineChars="600"/>
        <w:jc w:val="left"/>
        <w:rPr>
          <w:rFonts w:ascii="宋体" w:hAnsi="宋体" w:cs="宋体"/>
          <w:color w:val="auto"/>
          <w:spacing w:val="18"/>
          <w:kern w:val="1"/>
          <w:sz w:val="24"/>
          <w:highlight w:val="none"/>
          <w:lang w:val="zh-CN"/>
        </w:rPr>
      </w:pPr>
    </w:p>
    <w:p w14:paraId="5E00378F">
      <w:pPr>
        <w:tabs>
          <w:tab w:val="left" w:pos="7655"/>
        </w:tabs>
        <w:spacing w:line="360" w:lineRule="auto"/>
        <w:ind w:firstLine="1656" w:firstLineChars="600"/>
        <w:jc w:val="left"/>
        <w:rPr>
          <w:rFonts w:ascii="宋体" w:hAnsi="宋体" w:cs="宋体"/>
          <w:color w:val="auto"/>
          <w:spacing w:val="18"/>
          <w:kern w:val="1"/>
          <w:sz w:val="24"/>
          <w:highlight w:val="none"/>
        </w:rPr>
      </w:pPr>
      <w:r>
        <w:rPr>
          <w:rFonts w:hint="eastAsia" w:ascii="宋体" w:hAnsi="宋体" w:cs="宋体"/>
          <w:color w:val="auto"/>
          <w:spacing w:val="18"/>
          <w:kern w:val="1"/>
          <w:sz w:val="24"/>
          <w:highlight w:val="none"/>
          <w:lang w:val="zh-CN"/>
        </w:rPr>
        <w:t>投标人：(盖章)</w:t>
      </w:r>
    </w:p>
    <w:p w14:paraId="1280F79E">
      <w:pPr>
        <w:tabs>
          <w:tab w:val="left" w:pos="7655"/>
        </w:tabs>
        <w:spacing w:line="360" w:lineRule="auto"/>
        <w:ind w:firstLine="1656" w:firstLineChars="600"/>
        <w:jc w:val="left"/>
        <w:rPr>
          <w:rFonts w:ascii="宋体" w:hAnsi="宋体" w:cs="宋体"/>
          <w:color w:val="auto"/>
          <w:spacing w:val="18"/>
          <w:kern w:val="1"/>
          <w:sz w:val="24"/>
          <w:highlight w:val="none"/>
          <w:lang w:val="zh-CN"/>
        </w:rPr>
      </w:pPr>
      <w:r>
        <w:rPr>
          <w:rFonts w:hint="eastAsia" w:ascii="宋体" w:hAnsi="宋体" w:cs="宋体"/>
          <w:color w:val="auto"/>
          <w:spacing w:val="18"/>
          <w:kern w:val="1"/>
          <w:sz w:val="24"/>
          <w:highlight w:val="none"/>
          <w:lang w:val="zh-CN"/>
        </w:rPr>
        <w:t>日期：年月日</w:t>
      </w:r>
    </w:p>
    <w:p w14:paraId="23239FDF">
      <w:pPr>
        <w:pStyle w:val="14"/>
        <w:ind w:firstLine="0"/>
        <w:rPr>
          <w:rFonts w:ascii="宋体" w:hAnsi="宋体" w:cs="宋体"/>
          <w:color w:val="auto"/>
          <w:szCs w:val="21"/>
          <w:highlight w:val="none"/>
        </w:rPr>
      </w:pPr>
    </w:p>
    <w:p w14:paraId="422DA3D4">
      <w:pPr>
        <w:pStyle w:val="14"/>
        <w:ind w:firstLine="0"/>
        <w:rPr>
          <w:rFonts w:ascii="宋体" w:hAnsi="宋体" w:cs="宋体"/>
          <w:color w:val="auto"/>
          <w:szCs w:val="21"/>
          <w:highlight w:val="none"/>
        </w:rPr>
      </w:pPr>
    </w:p>
    <w:p w14:paraId="2C754F90">
      <w:pPr>
        <w:autoSpaceDE w:val="0"/>
        <w:autoSpaceDN w:val="0"/>
        <w:adjustRightInd w:val="0"/>
        <w:spacing w:line="360" w:lineRule="auto"/>
        <w:rPr>
          <w:rFonts w:ascii="宋体" w:hAnsi="宋体" w:cs="宋体"/>
          <w:b/>
          <w:color w:val="auto"/>
          <w:kern w:val="1"/>
          <w:sz w:val="28"/>
          <w:szCs w:val="28"/>
          <w:highlight w:val="none"/>
          <w:lang w:val="zh-CN"/>
        </w:rPr>
      </w:pPr>
      <w:r>
        <w:rPr>
          <w:rFonts w:hint="eastAsia" w:ascii="宋体" w:hAnsi="宋体" w:cs="宋体"/>
          <w:b/>
          <w:color w:val="auto"/>
          <w:kern w:val="1"/>
          <w:sz w:val="24"/>
          <w:highlight w:val="none"/>
          <w:lang w:val="zh-CN"/>
        </w:rPr>
        <w:br w:type="page"/>
      </w:r>
      <w:r>
        <w:rPr>
          <w:rFonts w:hint="eastAsia" w:ascii="宋体" w:hAnsi="宋体" w:cs="宋体"/>
          <w:b/>
          <w:color w:val="auto"/>
          <w:kern w:val="1"/>
          <w:szCs w:val="21"/>
          <w:highlight w:val="none"/>
          <w:lang w:val="zh-CN"/>
        </w:rPr>
        <w:t>格式3</w:t>
      </w:r>
      <w:r>
        <w:rPr>
          <w:rFonts w:hint="eastAsia" w:ascii="宋体" w:hAnsi="宋体" w:cs="宋体"/>
          <w:b/>
          <w:color w:val="auto"/>
          <w:kern w:val="1"/>
          <w:szCs w:val="21"/>
          <w:highlight w:val="none"/>
        </w:rPr>
        <w:t>-2</w:t>
      </w:r>
      <w:r>
        <w:rPr>
          <w:rFonts w:hint="eastAsia" w:ascii="宋体" w:hAnsi="宋体" w:cs="宋体"/>
          <w:b/>
          <w:color w:val="auto"/>
          <w:kern w:val="1"/>
          <w:szCs w:val="21"/>
          <w:highlight w:val="none"/>
          <w:lang w:val="zh-CN"/>
        </w:rPr>
        <w:t>：</w:t>
      </w:r>
    </w:p>
    <w:p w14:paraId="3EDF696C">
      <w:pPr>
        <w:autoSpaceDE w:val="0"/>
        <w:autoSpaceDN w:val="0"/>
        <w:adjustRightInd w:val="0"/>
        <w:spacing w:line="360" w:lineRule="auto"/>
        <w:rPr>
          <w:rFonts w:ascii="宋体" w:hAnsi="宋体" w:cs="宋体"/>
          <w:b/>
          <w:color w:val="auto"/>
          <w:kern w:val="1"/>
          <w:sz w:val="24"/>
          <w:highlight w:val="none"/>
          <w:lang w:val="zh-CN"/>
        </w:rPr>
      </w:pPr>
    </w:p>
    <w:p w14:paraId="7A72D07F">
      <w:pPr>
        <w:autoSpaceDE w:val="0"/>
        <w:autoSpaceDN w:val="0"/>
        <w:adjustRightInd w:val="0"/>
        <w:spacing w:before="240" w:line="360" w:lineRule="auto"/>
        <w:jc w:val="center"/>
        <w:rPr>
          <w:rFonts w:ascii="宋体" w:hAnsi="宋体" w:eastAsia="宋体" w:cs="宋体"/>
          <w:b/>
          <w:bCs/>
          <w:sz w:val="32"/>
          <w:szCs w:val="32"/>
          <w:lang w:val="zh-CN"/>
        </w:rPr>
      </w:pPr>
      <w:r>
        <w:rPr>
          <w:rFonts w:hint="eastAsia" w:ascii="宋体" w:hAnsi="宋体" w:eastAsia="宋体" w:cs="宋体"/>
          <w:b/>
          <w:bCs/>
          <w:sz w:val="32"/>
          <w:szCs w:val="32"/>
        </w:rPr>
        <w:t>工程费</w:t>
      </w:r>
      <w:r>
        <w:rPr>
          <w:rFonts w:hint="eastAsia" w:ascii="宋体" w:hAnsi="宋体" w:eastAsia="宋体" w:cs="宋体"/>
          <w:b/>
          <w:bCs/>
          <w:sz w:val="32"/>
          <w:szCs w:val="32"/>
          <w:lang w:val="zh-CN"/>
        </w:rPr>
        <w:t>明细表</w:t>
      </w:r>
    </w:p>
    <w:tbl>
      <w:tblPr>
        <w:tblStyle w:val="45"/>
        <w:tblW w:w="4871" w:type="pct"/>
        <w:jc w:val="center"/>
        <w:tblLayout w:type="autofit"/>
        <w:tblCellMar>
          <w:top w:w="0" w:type="dxa"/>
          <w:left w:w="108" w:type="dxa"/>
          <w:bottom w:w="0" w:type="dxa"/>
          <w:right w:w="108" w:type="dxa"/>
        </w:tblCellMar>
      </w:tblPr>
      <w:tblGrid>
        <w:gridCol w:w="807"/>
        <w:gridCol w:w="3364"/>
        <w:gridCol w:w="4242"/>
        <w:gridCol w:w="635"/>
      </w:tblGrid>
      <w:tr w14:paraId="716344F9">
        <w:tblPrEx>
          <w:tblCellMar>
            <w:top w:w="0" w:type="dxa"/>
            <w:left w:w="108" w:type="dxa"/>
            <w:bottom w:w="0" w:type="dxa"/>
            <w:right w:w="108" w:type="dxa"/>
          </w:tblCellMar>
        </w:tblPrEx>
        <w:trPr>
          <w:trHeight w:val="614" w:hRule="atLeast"/>
          <w:jc w:val="center"/>
        </w:trPr>
        <w:tc>
          <w:tcPr>
            <w:tcW w:w="446" w:type="pct"/>
            <w:tcBorders>
              <w:top w:val="single" w:color="000000" w:sz="4" w:space="0"/>
              <w:left w:val="single" w:color="000000" w:sz="4" w:space="0"/>
              <w:bottom w:val="single" w:color="000000" w:sz="4" w:space="0"/>
              <w:right w:val="single" w:color="000000" w:sz="4" w:space="0"/>
            </w:tcBorders>
            <w:vAlign w:val="center"/>
          </w:tcPr>
          <w:p w14:paraId="6233DF85">
            <w:pPr>
              <w:spacing w:line="360" w:lineRule="auto"/>
              <w:jc w:val="center"/>
              <w:rPr>
                <w:rFonts w:ascii="宋体" w:hAnsi="宋体" w:eastAsia="宋体" w:cs="宋体"/>
                <w:kern w:val="1"/>
                <w:szCs w:val="21"/>
              </w:rPr>
            </w:pPr>
            <w:bookmarkStart w:id="587" w:name="_Hlk195796810"/>
            <w:r>
              <w:rPr>
                <w:rFonts w:hint="eastAsia" w:ascii="宋体" w:hAnsi="宋体" w:eastAsia="宋体" w:cs="宋体"/>
                <w:kern w:val="1"/>
                <w:szCs w:val="21"/>
                <w:lang w:val="zh-CN"/>
              </w:rPr>
              <w:t>序号</w:t>
            </w:r>
          </w:p>
        </w:tc>
        <w:tc>
          <w:tcPr>
            <w:tcW w:w="1859" w:type="pct"/>
            <w:tcBorders>
              <w:top w:val="single" w:color="000000" w:sz="4" w:space="0"/>
              <w:left w:val="single" w:color="000000" w:sz="4" w:space="0"/>
              <w:bottom w:val="single" w:color="000000" w:sz="4" w:space="0"/>
              <w:right w:val="single" w:color="000000" w:sz="4" w:space="0"/>
            </w:tcBorders>
            <w:vAlign w:val="center"/>
          </w:tcPr>
          <w:p w14:paraId="6E4FC368">
            <w:pPr>
              <w:spacing w:line="360" w:lineRule="auto"/>
              <w:jc w:val="center"/>
              <w:rPr>
                <w:rFonts w:ascii="宋体" w:hAnsi="宋体" w:eastAsia="宋体" w:cs="宋体"/>
                <w:kern w:val="1"/>
                <w:szCs w:val="21"/>
              </w:rPr>
            </w:pPr>
            <w:r>
              <w:rPr>
                <w:rFonts w:hint="eastAsia" w:ascii="宋体" w:hAnsi="宋体" w:eastAsia="宋体" w:cs="宋体"/>
                <w:kern w:val="1"/>
                <w:szCs w:val="21"/>
                <w:lang w:val="zh-CN"/>
              </w:rPr>
              <w:t>项目名称</w:t>
            </w:r>
          </w:p>
        </w:tc>
        <w:tc>
          <w:tcPr>
            <w:tcW w:w="2344" w:type="pct"/>
            <w:tcBorders>
              <w:top w:val="single" w:color="000000" w:sz="4" w:space="0"/>
              <w:left w:val="single" w:color="000000" w:sz="4" w:space="0"/>
              <w:bottom w:val="single" w:color="000000" w:sz="4" w:space="0"/>
              <w:right w:val="single" w:color="000000" w:sz="4" w:space="0"/>
            </w:tcBorders>
            <w:vAlign w:val="center"/>
          </w:tcPr>
          <w:p w14:paraId="17CE237F">
            <w:pPr>
              <w:spacing w:line="360" w:lineRule="auto"/>
              <w:jc w:val="center"/>
              <w:rPr>
                <w:rFonts w:ascii="宋体" w:hAnsi="宋体" w:eastAsia="宋体" w:cs="宋体"/>
                <w:kern w:val="1"/>
                <w:szCs w:val="21"/>
                <w:lang w:val="zh-CN"/>
              </w:rPr>
            </w:pPr>
            <w:bookmarkStart w:id="588" w:name="OLE_LINK146"/>
            <w:r>
              <w:rPr>
                <w:rFonts w:hint="eastAsia" w:ascii="宋体" w:hAnsi="宋体" w:eastAsia="宋体" w:cs="宋体"/>
                <w:kern w:val="1"/>
                <w:szCs w:val="21"/>
                <w:lang w:val="zh-CN"/>
              </w:rPr>
              <w:t>投标报价</w:t>
            </w:r>
            <w:bookmarkEnd w:id="588"/>
          </w:p>
        </w:tc>
        <w:tc>
          <w:tcPr>
            <w:tcW w:w="351" w:type="pct"/>
            <w:tcBorders>
              <w:top w:val="single" w:color="000000" w:sz="4" w:space="0"/>
              <w:left w:val="single" w:color="000000" w:sz="4" w:space="0"/>
              <w:bottom w:val="single" w:color="000000" w:sz="4" w:space="0"/>
              <w:right w:val="single" w:color="000000" w:sz="4" w:space="0"/>
            </w:tcBorders>
            <w:vAlign w:val="center"/>
          </w:tcPr>
          <w:p w14:paraId="4A1177A9">
            <w:pPr>
              <w:spacing w:line="360" w:lineRule="auto"/>
              <w:jc w:val="center"/>
              <w:rPr>
                <w:rFonts w:ascii="宋体" w:hAnsi="宋体" w:eastAsia="宋体" w:cs="宋体"/>
                <w:kern w:val="1"/>
                <w:szCs w:val="21"/>
              </w:rPr>
            </w:pPr>
            <w:r>
              <w:rPr>
                <w:rFonts w:hint="eastAsia" w:ascii="宋体" w:hAnsi="宋体" w:eastAsia="宋体" w:cs="宋体"/>
                <w:kern w:val="1"/>
                <w:szCs w:val="21"/>
                <w:lang w:val="zh-CN"/>
              </w:rPr>
              <w:t>备注</w:t>
            </w:r>
          </w:p>
        </w:tc>
      </w:tr>
      <w:tr w14:paraId="5FD20A6D">
        <w:tblPrEx>
          <w:tblCellMar>
            <w:top w:w="0" w:type="dxa"/>
            <w:left w:w="108" w:type="dxa"/>
            <w:bottom w:w="0" w:type="dxa"/>
            <w:right w:w="108" w:type="dxa"/>
          </w:tblCellMar>
        </w:tblPrEx>
        <w:trPr>
          <w:trHeight w:val="789" w:hRule="atLeast"/>
          <w:jc w:val="center"/>
        </w:trPr>
        <w:tc>
          <w:tcPr>
            <w:tcW w:w="446" w:type="pct"/>
            <w:vMerge w:val="restart"/>
            <w:tcBorders>
              <w:top w:val="single" w:color="000000" w:sz="4" w:space="0"/>
              <w:left w:val="single" w:color="000000" w:sz="4" w:space="0"/>
              <w:right w:val="single" w:color="000000" w:sz="4" w:space="0"/>
            </w:tcBorders>
            <w:vAlign w:val="center"/>
          </w:tcPr>
          <w:p w14:paraId="130D331C">
            <w:pPr>
              <w:spacing w:line="360" w:lineRule="auto"/>
              <w:jc w:val="center"/>
              <w:rPr>
                <w:rFonts w:ascii="宋体" w:hAnsi="宋体" w:eastAsia="宋体" w:cs="宋体"/>
                <w:kern w:val="1"/>
                <w:szCs w:val="21"/>
              </w:rPr>
            </w:pPr>
            <w:bookmarkStart w:id="589" w:name="_Hlk195796843"/>
            <w:r>
              <w:rPr>
                <w:rFonts w:hint="eastAsia" w:ascii="宋体" w:hAnsi="宋体" w:eastAsia="宋体" w:cs="宋体"/>
                <w:kern w:val="1"/>
                <w:szCs w:val="21"/>
                <w:lang w:val="zh-CN"/>
              </w:rPr>
              <w:t>一</w:t>
            </w:r>
          </w:p>
        </w:tc>
        <w:tc>
          <w:tcPr>
            <w:tcW w:w="1859" w:type="pct"/>
            <w:vMerge w:val="restart"/>
            <w:tcBorders>
              <w:top w:val="single" w:color="000000" w:sz="4" w:space="0"/>
              <w:left w:val="single" w:color="000000" w:sz="4" w:space="0"/>
              <w:right w:val="single" w:color="000000" w:sz="4" w:space="0"/>
            </w:tcBorders>
            <w:vAlign w:val="center"/>
          </w:tcPr>
          <w:p w14:paraId="771ECA39">
            <w:pPr>
              <w:spacing w:line="360" w:lineRule="auto"/>
              <w:jc w:val="center"/>
              <w:rPr>
                <w:rFonts w:ascii="宋体" w:hAnsi="宋体" w:eastAsia="宋体" w:cs="宋体"/>
                <w:kern w:val="1"/>
                <w:szCs w:val="21"/>
                <w:lang w:val="zh-CN"/>
              </w:rPr>
            </w:pPr>
            <w:r>
              <w:rPr>
                <w:rFonts w:hint="eastAsia" w:ascii="宋体" w:hAnsi="宋体" w:eastAsia="宋体" w:cs="宋体"/>
                <w:kern w:val="1"/>
                <w:szCs w:val="21"/>
              </w:rPr>
              <w:t>工程费</w:t>
            </w:r>
            <w:r>
              <w:rPr>
                <w:rFonts w:hint="eastAsia" w:ascii="宋体" w:hAnsi="宋体" w:eastAsia="宋体" w:cs="宋体"/>
                <w:kern w:val="1"/>
                <w:szCs w:val="21"/>
                <w:lang w:val="zh-CN"/>
              </w:rPr>
              <w:t>（</w:t>
            </w:r>
            <w:r>
              <w:rPr>
                <w:rFonts w:hint="eastAsia" w:ascii="宋体" w:hAnsi="宋体" w:eastAsia="宋体" w:cs="宋体"/>
                <w:kern w:val="1"/>
                <w:szCs w:val="21"/>
              </w:rPr>
              <w:t>含税</w:t>
            </w:r>
            <w:r>
              <w:rPr>
                <w:rFonts w:hint="eastAsia" w:ascii="宋体" w:hAnsi="宋体" w:eastAsia="宋体" w:cs="宋体"/>
                <w:kern w:val="1"/>
                <w:szCs w:val="21"/>
                <w:lang w:val="zh-CN"/>
              </w:rPr>
              <w:t>）</w:t>
            </w:r>
          </w:p>
        </w:tc>
        <w:tc>
          <w:tcPr>
            <w:tcW w:w="2344" w:type="pct"/>
            <w:tcBorders>
              <w:top w:val="single" w:color="000000" w:sz="4" w:space="0"/>
              <w:left w:val="single" w:color="000000" w:sz="4" w:space="0"/>
              <w:bottom w:val="single" w:color="000000" w:sz="4" w:space="0"/>
              <w:right w:val="single" w:color="000000" w:sz="4" w:space="0"/>
            </w:tcBorders>
            <w:vAlign w:val="center"/>
          </w:tcPr>
          <w:p w14:paraId="1FA689D3">
            <w:pPr>
              <w:spacing w:line="360" w:lineRule="auto"/>
              <w:jc w:val="left"/>
              <w:rPr>
                <w:rFonts w:ascii="宋体" w:hAnsi="宋体" w:eastAsia="宋体" w:cs="宋体"/>
                <w:szCs w:val="21"/>
                <w:lang w:val="zh-CN"/>
              </w:rPr>
            </w:pPr>
            <w:bookmarkStart w:id="590" w:name="OLE_LINK141"/>
            <w:r>
              <w:rPr>
                <w:rFonts w:hint="eastAsia" w:ascii="宋体" w:hAnsi="宋体" w:eastAsia="宋体" w:cs="宋体"/>
                <w:kern w:val="1"/>
                <w:szCs w:val="21"/>
                <w:lang w:val="zh-CN"/>
              </w:rPr>
              <w:t>投标报价</w:t>
            </w:r>
            <w:bookmarkStart w:id="591" w:name="OLE_LINK1"/>
            <w:bookmarkStart w:id="592" w:name="OLE_LINK4"/>
            <w:r>
              <w:rPr>
                <w:rFonts w:hint="eastAsia" w:ascii="宋体" w:hAnsi="宋体" w:eastAsia="宋体" w:cs="宋体"/>
                <w:kern w:val="1"/>
                <w:szCs w:val="21"/>
                <w:lang w:val="zh-CN"/>
              </w:rPr>
              <w:t>：</w:t>
            </w:r>
            <w:bookmarkEnd w:id="590"/>
            <w:bookmarkEnd w:id="591"/>
            <w:bookmarkEnd w:id="592"/>
            <w:r>
              <w:rPr>
                <w:rFonts w:hint="eastAsia" w:ascii="宋体" w:hAnsi="宋体" w:eastAsia="宋体" w:cs="宋体"/>
                <w:color w:val="auto"/>
                <w:kern w:val="1"/>
                <w:szCs w:val="21"/>
                <w:highlight w:val="none"/>
                <w:u w:val="single"/>
                <w:lang w:val="en-US" w:eastAsia="zh-CN"/>
              </w:rPr>
              <w:t xml:space="preserve">      </w:t>
            </w:r>
            <w:r>
              <w:rPr>
                <w:rFonts w:hint="eastAsia" w:ascii="宋体" w:hAnsi="宋体" w:eastAsia="宋体" w:cs="宋体"/>
                <w:color w:val="auto"/>
                <w:kern w:val="1"/>
                <w:szCs w:val="21"/>
                <w:highlight w:val="none"/>
                <w:lang w:val="en-US" w:eastAsia="zh-CN"/>
              </w:rPr>
              <w:t>元</w:t>
            </w:r>
          </w:p>
        </w:tc>
        <w:tc>
          <w:tcPr>
            <w:tcW w:w="351" w:type="pct"/>
            <w:tcBorders>
              <w:top w:val="single" w:color="000000" w:sz="4" w:space="0"/>
              <w:left w:val="single" w:color="000000" w:sz="4" w:space="0"/>
              <w:bottom w:val="single" w:color="000000" w:sz="4" w:space="0"/>
              <w:right w:val="single" w:color="000000" w:sz="4" w:space="0"/>
            </w:tcBorders>
            <w:vAlign w:val="center"/>
          </w:tcPr>
          <w:p w14:paraId="154691A7">
            <w:pPr>
              <w:spacing w:line="360" w:lineRule="auto"/>
              <w:jc w:val="center"/>
              <w:rPr>
                <w:rFonts w:ascii="宋体" w:hAnsi="宋体" w:eastAsia="宋体" w:cs="宋体"/>
                <w:kern w:val="1"/>
                <w:szCs w:val="21"/>
                <w:lang w:val="zh-CN"/>
              </w:rPr>
            </w:pPr>
          </w:p>
        </w:tc>
      </w:tr>
      <w:tr w14:paraId="0D0A0478">
        <w:tblPrEx>
          <w:tblCellMar>
            <w:top w:w="0" w:type="dxa"/>
            <w:left w:w="108" w:type="dxa"/>
            <w:bottom w:w="0" w:type="dxa"/>
            <w:right w:w="108" w:type="dxa"/>
          </w:tblCellMar>
        </w:tblPrEx>
        <w:trPr>
          <w:trHeight w:val="1787" w:hRule="atLeast"/>
          <w:jc w:val="center"/>
        </w:trPr>
        <w:tc>
          <w:tcPr>
            <w:tcW w:w="446" w:type="pct"/>
            <w:vMerge w:val="continue"/>
            <w:tcBorders>
              <w:left w:val="single" w:color="000000" w:sz="4" w:space="0"/>
              <w:bottom w:val="single" w:color="auto" w:sz="4" w:space="0"/>
              <w:right w:val="single" w:color="000000" w:sz="4" w:space="0"/>
            </w:tcBorders>
            <w:vAlign w:val="center"/>
          </w:tcPr>
          <w:p w14:paraId="3022C7C3">
            <w:pPr>
              <w:spacing w:line="360" w:lineRule="auto"/>
              <w:jc w:val="left"/>
              <w:rPr>
                <w:rFonts w:ascii="宋体" w:hAnsi="宋体" w:eastAsia="宋体" w:cs="宋体"/>
                <w:kern w:val="1"/>
                <w:szCs w:val="21"/>
                <w:u w:val="single"/>
              </w:rPr>
            </w:pPr>
          </w:p>
        </w:tc>
        <w:tc>
          <w:tcPr>
            <w:tcW w:w="1859" w:type="pct"/>
            <w:vMerge w:val="continue"/>
            <w:tcBorders>
              <w:left w:val="single" w:color="000000" w:sz="4" w:space="0"/>
              <w:bottom w:val="single" w:color="auto" w:sz="4" w:space="0"/>
              <w:right w:val="single" w:color="000000" w:sz="4" w:space="0"/>
            </w:tcBorders>
            <w:vAlign w:val="center"/>
          </w:tcPr>
          <w:p w14:paraId="742CD1CA">
            <w:pPr>
              <w:spacing w:line="360" w:lineRule="auto"/>
              <w:jc w:val="center"/>
              <w:rPr>
                <w:rFonts w:ascii="宋体" w:hAnsi="宋体" w:eastAsia="宋体" w:cs="宋体"/>
                <w:kern w:val="1"/>
                <w:szCs w:val="21"/>
                <w:lang w:val="zh-CN"/>
              </w:rPr>
            </w:pPr>
          </w:p>
        </w:tc>
        <w:tc>
          <w:tcPr>
            <w:tcW w:w="2344" w:type="pct"/>
            <w:tcBorders>
              <w:top w:val="single" w:color="000000" w:sz="4" w:space="0"/>
              <w:left w:val="single" w:color="000000" w:sz="4" w:space="0"/>
              <w:bottom w:val="single" w:color="auto" w:sz="4" w:space="0"/>
              <w:right w:val="single" w:color="000000" w:sz="4" w:space="0"/>
            </w:tcBorders>
            <w:vAlign w:val="center"/>
          </w:tcPr>
          <w:p w14:paraId="7A1D9554">
            <w:pPr>
              <w:spacing w:line="360" w:lineRule="auto"/>
              <w:jc w:val="left"/>
              <w:rPr>
                <w:rFonts w:ascii="宋体" w:hAnsi="宋体" w:eastAsia="宋体" w:cs="宋体"/>
                <w:kern w:val="1"/>
                <w:szCs w:val="21"/>
                <w:lang w:val="zh-CN"/>
              </w:rPr>
            </w:pPr>
            <w:r>
              <w:rPr>
                <w:rFonts w:hint="eastAsia" w:ascii="宋体" w:hAnsi="宋体" w:eastAsia="宋体" w:cs="宋体"/>
                <w:kern w:val="1"/>
                <w:szCs w:val="21"/>
                <w:lang w:val="zh-CN"/>
              </w:rPr>
              <w:t>下浮率：</w:t>
            </w:r>
            <w:r>
              <w:rPr>
                <w:rFonts w:hint="eastAsia" w:ascii="宋体" w:hAnsi="宋体" w:eastAsia="宋体" w:cs="宋体"/>
                <w:kern w:val="1"/>
                <w:szCs w:val="21"/>
                <w:u w:val="single"/>
              </w:rPr>
              <w:t xml:space="preserve">   %</w:t>
            </w:r>
          </w:p>
          <w:p w14:paraId="14F1DE96">
            <w:pPr>
              <w:spacing w:line="360" w:lineRule="auto"/>
              <w:jc w:val="left"/>
              <w:rPr>
                <w:rFonts w:ascii="宋体" w:hAnsi="宋体" w:eastAsia="宋体" w:cs="宋体"/>
                <w:kern w:val="1"/>
                <w:szCs w:val="21"/>
              </w:rPr>
            </w:pPr>
            <w:r>
              <w:rPr>
                <w:rFonts w:hint="eastAsia" w:ascii="宋体" w:hAnsi="宋体" w:eastAsia="宋体" w:cs="宋体"/>
                <w:kern w:val="1"/>
                <w:szCs w:val="21"/>
              </w:rPr>
              <w:t>注：</w:t>
            </w:r>
            <w:r>
              <w:rPr>
                <w:rFonts w:hint="eastAsia" w:ascii="宋体" w:hAnsi="Times New Roman" w:eastAsia="宋体" w:cs="Times New Roman"/>
                <w:sz w:val="24"/>
                <w:szCs w:val="24"/>
              </w:rPr>
              <w:t>下浮率=（1-工程费投标报价/工程费最高投标限价）</w:t>
            </w:r>
            <w:r>
              <w:rPr>
                <w:rFonts w:ascii="Arial" w:hAnsi="Arial" w:eastAsia="宋体" w:cs="Arial"/>
                <w:sz w:val="24"/>
                <w:szCs w:val="24"/>
              </w:rPr>
              <w:t>×</w:t>
            </w:r>
            <w:r>
              <w:rPr>
                <w:rFonts w:hint="eastAsia" w:ascii="宋体" w:hAnsi="Times New Roman" w:eastAsia="宋体" w:cs="Times New Roman"/>
                <w:sz w:val="24"/>
                <w:szCs w:val="24"/>
              </w:rPr>
              <w:t>100%</w:t>
            </w:r>
          </w:p>
        </w:tc>
        <w:tc>
          <w:tcPr>
            <w:tcW w:w="351" w:type="pct"/>
            <w:tcBorders>
              <w:top w:val="single" w:color="000000" w:sz="4" w:space="0"/>
              <w:left w:val="single" w:color="000000" w:sz="4" w:space="0"/>
              <w:bottom w:val="single" w:color="000000" w:sz="4" w:space="0"/>
              <w:right w:val="single" w:color="000000" w:sz="4" w:space="0"/>
            </w:tcBorders>
            <w:vAlign w:val="center"/>
          </w:tcPr>
          <w:p w14:paraId="755D2379">
            <w:pPr>
              <w:spacing w:line="360" w:lineRule="auto"/>
              <w:jc w:val="center"/>
              <w:rPr>
                <w:rFonts w:ascii="宋体" w:hAnsi="宋体" w:eastAsia="宋体" w:cs="宋体"/>
                <w:kern w:val="1"/>
                <w:szCs w:val="21"/>
                <w:lang w:val="zh-CN"/>
              </w:rPr>
            </w:pPr>
          </w:p>
        </w:tc>
      </w:tr>
      <w:bookmarkEnd w:id="587"/>
      <w:bookmarkEnd w:id="589"/>
    </w:tbl>
    <w:p w14:paraId="2A3684B8">
      <w:pPr>
        <w:rPr>
          <w:rFonts w:ascii="宋体" w:hAnsi="宋体" w:eastAsia="宋体" w:cs="宋体"/>
          <w:bCs/>
          <w:color w:val="auto"/>
          <w:kern w:val="1"/>
          <w:szCs w:val="21"/>
          <w:highlight w:val="none"/>
          <w:lang w:val="zh-CN"/>
        </w:rPr>
      </w:pPr>
    </w:p>
    <w:p w14:paraId="24E13252">
      <w:pPr>
        <w:rPr>
          <w:rFonts w:ascii="宋体" w:hAnsi="宋体" w:eastAsia="宋体" w:cs="宋体"/>
          <w:bCs/>
          <w:color w:val="auto"/>
          <w:kern w:val="1"/>
          <w:szCs w:val="21"/>
          <w:highlight w:val="none"/>
          <w:lang w:val="zh-CN"/>
        </w:rPr>
      </w:pPr>
    </w:p>
    <w:p w14:paraId="3FE31325">
      <w:pPr>
        <w:rPr>
          <w:rFonts w:ascii="宋体" w:hAnsi="宋体" w:eastAsia="宋体" w:cs="宋体"/>
          <w:bCs/>
          <w:color w:val="auto"/>
          <w:kern w:val="1"/>
          <w:szCs w:val="21"/>
          <w:highlight w:val="none"/>
          <w:lang w:val="zh-CN"/>
        </w:rPr>
      </w:pPr>
    </w:p>
    <w:p w14:paraId="289425DD">
      <w:pPr>
        <w:rPr>
          <w:rFonts w:ascii="宋体" w:hAnsi="宋体" w:eastAsia="宋体" w:cs="宋体"/>
          <w:bCs/>
          <w:color w:val="auto"/>
          <w:kern w:val="1"/>
          <w:szCs w:val="21"/>
          <w:highlight w:val="none"/>
          <w:lang w:val="zh-CN"/>
        </w:rPr>
      </w:pPr>
    </w:p>
    <w:p w14:paraId="51740E05">
      <w:pPr>
        <w:rPr>
          <w:rFonts w:ascii="宋体" w:hAnsi="宋体" w:eastAsia="宋体" w:cs="宋体"/>
          <w:bCs/>
          <w:color w:val="auto"/>
          <w:kern w:val="1"/>
          <w:szCs w:val="21"/>
          <w:highlight w:val="none"/>
          <w:lang w:val="zh-CN"/>
        </w:rPr>
      </w:pPr>
    </w:p>
    <w:p w14:paraId="4A440AD0">
      <w:pPr>
        <w:tabs>
          <w:tab w:val="left" w:pos="7655"/>
        </w:tabs>
        <w:spacing w:line="360" w:lineRule="auto"/>
        <w:ind w:firstLine="1260" w:firstLineChars="600"/>
        <w:jc w:val="left"/>
        <w:rPr>
          <w:rFonts w:ascii="宋体" w:hAnsi="宋体" w:eastAsia="宋体" w:cs="宋体"/>
          <w:bCs/>
          <w:color w:val="auto"/>
          <w:kern w:val="1"/>
          <w:szCs w:val="21"/>
          <w:highlight w:val="none"/>
          <w:lang w:val="zh-CN"/>
        </w:rPr>
      </w:pPr>
    </w:p>
    <w:p w14:paraId="496D66E5">
      <w:pPr>
        <w:tabs>
          <w:tab w:val="left" w:pos="7655"/>
        </w:tabs>
        <w:spacing w:line="360" w:lineRule="auto"/>
        <w:ind w:firstLine="1656" w:firstLineChars="600"/>
        <w:jc w:val="left"/>
        <w:rPr>
          <w:rFonts w:ascii="宋体" w:hAnsi="宋体" w:eastAsia="宋体" w:cs="宋体"/>
          <w:color w:val="auto"/>
          <w:spacing w:val="18"/>
          <w:kern w:val="1"/>
          <w:sz w:val="24"/>
          <w:szCs w:val="24"/>
          <w:highlight w:val="none"/>
          <w:lang w:val="zh-CN"/>
        </w:rPr>
      </w:pPr>
    </w:p>
    <w:p w14:paraId="3EA188F5">
      <w:pPr>
        <w:tabs>
          <w:tab w:val="left" w:pos="7655"/>
        </w:tabs>
        <w:spacing w:line="360" w:lineRule="auto"/>
        <w:ind w:firstLine="1656" w:firstLineChars="600"/>
        <w:jc w:val="left"/>
        <w:rPr>
          <w:rFonts w:ascii="宋体" w:hAnsi="宋体" w:eastAsia="宋体" w:cs="宋体"/>
          <w:color w:val="auto"/>
          <w:spacing w:val="18"/>
          <w:kern w:val="1"/>
          <w:sz w:val="24"/>
          <w:szCs w:val="24"/>
          <w:highlight w:val="none"/>
        </w:rPr>
      </w:pPr>
      <w:r>
        <w:rPr>
          <w:rFonts w:hint="eastAsia" w:ascii="宋体" w:hAnsi="宋体" w:eastAsia="宋体" w:cs="宋体"/>
          <w:color w:val="auto"/>
          <w:spacing w:val="18"/>
          <w:kern w:val="1"/>
          <w:sz w:val="24"/>
          <w:szCs w:val="24"/>
          <w:highlight w:val="none"/>
          <w:lang w:val="zh-CN"/>
        </w:rPr>
        <w:t>投标人：(盖章)</w:t>
      </w:r>
    </w:p>
    <w:p w14:paraId="4AF2E733">
      <w:pPr>
        <w:ind w:firstLine="1656" w:firstLineChars="600"/>
        <w:outlineLvl w:val="1"/>
        <w:rPr>
          <w:rFonts w:hint="eastAsia" w:ascii="宋体" w:hAnsi="宋体" w:eastAsia="宋体" w:cs="宋体"/>
          <w:color w:val="auto"/>
          <w:spacing w:val="18"/>
          <w:kern w:val="1"/>
          <w:sz w:val="24"/>
          <w:szCs w:val="24"/>
          <w:highlight w:val="none"/>
          <w:lang w:val="zh-CN"/>
        </w:rPr>
      </w:pPr>
      <w:r>
        <w:rPr>
          <w:rFonts w:hint="eastAsia" w:ascii="宋体" w:hAnsi="宋体" w:eastAsia="宋体" w:cs="宋体"/>
          <w:color w:val="auto"/>
          <w:spacing w:val="18"/>
          <w:kern w:val="1"/>
          <w:sz w:val="24"/>
          <w:szCs w:val="24"/>
          <w:highlight w:val="none"/>
          <w:lang w:val="zh-CN"/>
        </w:rPr>
        <w:t>日期：年月日</w:t>
      </w:r>
    </w:p>
    <w:p w14:paraId="70B28387">
      <w:pPr>
        <w:ind w:firstLine="0" w:firstLineChars="0"/>
        <w:outlineLvl w:val="9"/>
        <w:rPr>
          <w:rFonts w:hint="eastAsia" w:ascii="宋体" w:hAnsi="宋体" w:eastAsia="宋体" w:cs="宋体"/>
          <w:color w:val="auto"/>
          <w:spacing w:val="18"/>
          <w:kern w:val="1"/>
          <w:sz w:val="24"/>
          <w:szCs w:val="24"/>
          <w:highlight w:val="none"/>
          <w:lang w:val="zh-CN"/>
        </w:rPr>
      </w:pPr>
      <w:r>
        <w:rPr>
          <w:rFonts w:hint="eastAsia" w:ascii="宋体" w:hAnsi="宋体" w:eastAsia="宋体" w:cs="宋体"/>
          <w:color w:val="auto"/>
          <w:spacing w:val="18"/>
          <w:kern w:val="1"/>
          <w:sz w:val="24"/>
          <w:szCs w:val="24"/>
          <w:highlight w:val="none"/>
          <w:lang w:val="zh-CN"/>
        </w:rPr>
        <w:br w:type="page"/>
      </w:r>
    </w:p>
    <w:p w14:paraId="1E892421">
      <w:pPr>
        <w:autoSpaceDE w:val="0"/>
        <w:autoSpaceDN w:val="0"/>
        <w:adjustRightInd w:val="0"/>
        <w:spacing w:line="360" w:lineRule="auto"/>
        <w:rPr>
          <w:rFonts w:hint="eastAsia" w:ascii="宋体" w:hAnsi="宋体" w:cs="宋体"/>
          <w:b/>
          <w:color w:val="auto"/>
          <w:kern w:val="1"/>
          <w:szCs w:val="21"/>
          <w:highlight w:val="none"/>
          <w:lang w:val="zh-CN"/>
        </w:rPr>
        <w:sectPr>
          <w:headerReference r:id="rId20" w:type="default"/>
          <w:footerReference r:id="rId21" w:type="default"/>
          <w:pgSz w:w="11906" w:h="16838"/>
          <w:pgMar w:top="1134" w:right="1417" w:bottom="1134" w:left="1417" w:header="567" w:footer="851" w:gutter="0"/>
          <w:cols w:space="720" w:num="1"/>
          <w:docGrid w:linePitch="312" w:charSpace="0"/>
        </w:sectPr>
      </w:pPr>
    </w:p>
    <w:p w14:paraId="6890C4F2">
      <w:pPr>
        <w:autoSpaceDE w:val="0"/>
        <w:autoSpaceDN w:val="0"/>
        <w:adjustRightInd w:val="0"/>
        <w:spacing w:line="360" w:lineRule="auto"/>
        <w:rPr>
          <w:rFonts w:ascii="宋体" w:hAnsi="宋体" w:cs="宋体"/>
          <w:b/>
          <w:color w:val="auto"/>
          <w:kern w:val="1"/>
          <w:sz w:val="28"/>
          <w:szCs w:val="28"/>
          <w:highlight w:val="none"/>
          <w:lang w:val="zh-CN"/>
        </w:rPr>
      </w:pPr>
      <w:r>
        <w:rPr>
          <w:rFonts w:hint="eastAsia" w:ascii="宋体" w:hAnsi="宋体" w:cs="宋体"/>
          <w:b/>
          <w:color w:val="auto"/>
          <w:kern w:val="1"/>
          <w:szCs w:val="21"/>
          <w:highlight w:val="none"/>
          <w:lang w:val="zh-CN"/>
        </w:rPr>
        <w:t>格式3</w:t>
      </w:r>
      <w:r>
        <w:rPr>
          <w:rFonts w:hint="eastAsia" w:ascii="宋体" w:hAnsi="宋体" w:cs="宋体"/>
          <w:b/>
          <w:color w:val="auto"/>
          <w:kern w:val="1"/>
          <w:szCs w:val="21"/>
          <w:highlight w:val="none"/>
        </w:rPr>
        <w:t>-2</w:t>
      </w:r>
      <w:r>
        <w:rPr>
          <w:rFonts w:hint="eastAsia" w:ascii="宋体" w:hAnsi="宋体" w:cs="宋体"/>
          <w:b/>
          <w:color w:val="auto"/>
          <w:kern w:val="1"/>
          <w:szCs w:val="21"/>
          <w:highlight w:val="none"/>
          <w:lang w:val="en-US" w:eastAsia="zh-CN"/>
        </w:rPr>
        <w:t>.1</w:t>
      </w:r>
      <w:r>
        <w:rPr>
          <w:rFonts w:hint="eastAsia" w:ascii="宋体" w:hAnsi="宋体" w:cs="宋体"/>
          <w:b/>
          <w:color w:val="auto"/>
          <w:kern w:val="1"/>
          <w:szCs w:val="21"/>
          <w:highlight w:val="none"/>
          <w:lang w:val="zh-CN"/>
        </w:rPr>
        <w:t>：</w:t>
      </w:r>
    </w:p>
    <w:tbl>
      <w:tblPr>
        <w:tblStyle w:val="45"/>
        <w:tblW w:w="145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0"/>
        <w:gridCol w:w="2878"/>
        <w:gridCol w:w="1357"/>
        <w:gridCol w:w="1164"/>
        <w:gridCol w:w="1446"/>
        <w:gridCol w:w="1712"/>
        <w:gridCol w:w="1667"/>
        <w:gridCol w:w="1268"/>
        <w:gridCol w:w="2263"/>
      </w:tblGrid>
      <w:tr w14:paraId="33FC2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4545" w:type="dxa"/>
            <w:gridSpan w:val="9"/>
            <w:tcBorders>
              <w:top w:val="nil"/>
              <w:left w:val="nil"/>
              <w:bottom w:val="nil"/>
              <w:right w:val="nil"/>
            </w:tcBorders>
            <w:shd w:val="clear" w:color="auto" w:fill="auto"/>
            <w:vAlign w:val="center"/>
          </w:tcPr>
          <w:p w14:paraId="216F0A2A">
            <w:pPr>
              <w:keepNext w:val="0"/>
              <w:keepLines w:val="0"/>
              <w:widowControl/>
              <w:suppressLineNumbers w:val="0"/>
              <w:jc w:val="center"/>
              <w:textAlignment w:val="center"/>
              <w:rPr>
                <w:rFonts w:hint="eastAsia" w:ascii="等线" w:hAnsi="等线" w:eastAsia="等线" w:cs="等线"/>
                <w:b/>
                <w:bCs/>
                <w:i w:val="0"/>
                <w:iCs w:val="0"/>
                <w:color w:val="000000"/>
                <w:kern w:val="0"/>
                <w:sz w:val="30"/>
                <w:szCs w:val="30"/>
                <w:u w:val="none"/>
                <w:lang w:val="en-US" w:eastAsia="zh-CN" w:bidi="ar"/>
              </w:rPr>
            </w:pPr>
            <w:r>
              <w:rPr>
                <w:rFonts w:hint="eastAsia" w:ascii="等线" w:hAnsi="等线" w:eastAsia="等线" w:cs="等线"/>
                <w:b/>
                <w:bCs/>
                <w:i w:val="0"/>
                <w:iCs w:val="0"/>
                <w:color w:val="000000"/>
                <w:kern w:val="0"/>
                <w:sz w:val="30"/>
                <w:szCs w:val="30"/>
                <w:u w:val="none"/>
                <w:lang w:val="en-US" w:eastAsia="zh-CN" w:bidi="ar"/>
              </w:rPr>
              <w:t>广州市黄埔区新龙镇金坑村银岭片区城中村改造项目复建地块AZ-01建设项目</w:t>
            </w:r>
          </w:p>
          <w:p w14:paraId="6ADF11E3">
            <w:pPr>
              <w:keepNext w:val="0"/>
              <w:keepLines w:val="0"/>
              <w:widowControl/>
              <w:suppressLineNumbers w:val="0"/>
              <w:jc w:val="center"/>
              <w:textAlignment w:val="center"/>
              <w:rPr>
                <w:rFonts w:ascii="等线" w:hAnsi="等线" w:eastAsia="等线" w:cs="等线"/>
                <w:b/>
                <w:bCs/>
                <w:i w:val="0"/>
                <w:iCs w:val="0"/>
                <w:color w:val="000000"/>
                <w:sz w:val="36"/>
                <w:szCs w:val="36"/>
                <w:u w:val="none"/>
              </w:rPr>
            </w:pPr>
            <w:r>
              <w:rPr>
                <w:rFonts w:hint="eastAsia" w:ascii="等线" w:hAnsi="等线" w:eastAsia="等线" w:cs="等线"/>
                <w:b/>
                <w:bCs/>
                <w:i w:val="0"/>
                <w:iCs w:val="0"/>
                <w:color w:val="000000"/>
                <w:kern w:val="0"/>
                <w:sz w:val="30"/>
                <w:szCs w:val="30"/>
                <w:u w:val="none"/>
                <w:lang w:val="en-US" w:eastAsia="zh-CN" w:bidi="ar"/>
              </w:rPr>
              <w:t>施工图设计、施工总承包工程投标报价</w:t>
            </w:r>
          </w:p>
        </w:tc>
      </w:tr>
      <w:tr w14:paraId="69C2C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 w:hRule="atLeast"/>
        </w:trPr>
        <w:tc>
          <w:tcPr>
            <w:tcW w:w="14545" w:type="dxa"/>
            <w:gridSpan w:val="9"/>
            <w:tcBorders>
              <w:top w:val="nil"/>
              <w:left w:val="nil"/>
              <w:bottom w:val="nil"/>
              <w:right w:val="nil"/>
            </w:tcBorders>
            <w:shd w:val="clear" w:color="auto" w:fill="auto"/>
            <w:noWrap/>
            <w:vAlign w:val="center"/>
          </w:tcPr>
          <w:p w14:paraId="6E55897B">
            <w:pPr>
              <w:rPr>
                <w:rFonts w:hint="eastAsia" w:ascii="等线" w:hAnsi="等线" w:eastAsia="等线" w:cs="等线"/>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项目名称:广州市黄埔区新龙镇金坑村银岭片区城中村改造项目复建地块AZ-01建设项目施工图设计、施工总承包工程</w:t>
            </w:r>
          </w:p>
        </w:tc>
      </w:tr>
      <w:tr w14:paraId="1C403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790" w:type="dxa"/>
            <w:tcBorders>
              <w:top w:val="single" w:color="000000" w:sz="4" w:space="0"/>
              <w:left w:val="single" w:color="000000" w:sz="4" w:space="0"/>
              <w:bottom w:val="nil"/>
              <w:right w:val="single" w:color="000000" w:sz="4" w:space="0"/>
            </w:tcBorders>
            <w:shd w:val="clear" w:color="auto" w:fill="EDEDED"/>
            <w:vAlign w:val="center"/>
          </w:tcPr>
          <w:p w14:paraId="443E89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878" w:type="dxa"/>
            <w:tcBorders>
              <w:top w:val="single" w:color="000000" w:sz="4" w:space="0"/>
              <w:left w:val="single" w:color="000000" w:sz="4" w:space="0"/>
              <w:bottom w:val="nil"/>
              <w:right w:val="single" w:color="000000" w:sz="4" w:space="0"/>
            </w:tcBorders>
            <w:shd w:val="clear" w:color="auto" w:fill="EDEDED"/>
            <w:vAlign w:val="center"/>
          </w:tcPr>
          <w:p w14:paraId="637729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357" w:type="dxa"/>
            <w:tcBorders>
              <w:top w:val="single" w:color="000000" w:sz="4" w:space="0"/>
              <w:left w:val="single" w:color="000000" w:sz="4" w:space="0"/>
              <w:bottom w:val="nil"/>
              <w:right w:val="single" w:color="000000" w:sz="4" w:space="0"/>
            </w:tcBorders>
            <w:shd w:val="clear" w:color="auto" w:fill="EDEDED"/>
            <w:vAlign w:val="center"/>
          </w:tcPr>
          <w:p w14:paraId="1C0A92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不含税价（元）</w:t>
            </w:r>
          </w:p>
        </w:tc>
        <w:tc>
          <w:tcPr>
            <w:tcW w:w="1164" w:type="dxa"/>
            <w:tcBorders>
              <w:top w:val="single" w:color="000000" w:sz="4" w:space="0"/>
              <w:left w:val="single" w:color="000000" w:sz="4" w:space="0"/>
              <w:bottom w:val="nil"/>
              <w:right w:val="single" w:color="000000" w:sz="4" w:space="0"/>
            </w:tcBorders>
            <w:shd w:val="clear" w:color="auto" w:fill="EDEDED"/>
            <w:vAlign w:val="center"/>
          </w:tcPr>
          <w:p w14:paraId="3048FC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税率</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w:t>
            </w:r>
          </w:p>
        </w:tc>
        <w:tc>
          <w:tcPr>
            <w:tcW w:w="1446" w:type="dxa"/>
            <w:tcBorders>
              <w:top w:val="single" w:color="000000" w:sz="4" w:space="0"/>
              <w:left w:val="single" w:color="000000" w:sz="4" w:space="0"/>
              <w:bottom w:val="nil"/>
              <w:right w:val="single" w:color="000000" w:sz="4" w:space="0"/>
            </w:tcBorders>
            <w:shd w:val="clear" w:color="auto" w:fill="EDEDED"/>
            <w:vAlign w:val="center"/>
          </w:tcPr>
          <w:p w14:paraId="601055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税金（元）</w:t>
            </w:r>
          </w:p>
        </w:tc>
        <w:tc>
          <w:tcPr>
            <w:tcW w:w="1712" w:type="dxa"/>
            <w:tcBorders>
              <w:top w:val="single" w:color="000000" w:sz="4" w:space="0"/>
              <w:left w:val="single" w:color="000000" w:sz="4" w:space="0"/>
              <w:bottom w:val="nil"/>
              <w:right w:val="single" w:color="000000" w:sz="4" w:space="0"/>
            </w:tcBorders>
            <w:shd w:val="clear" w:color="auto" w:fill="EDEDED"/>
            <w:vAlign w:val="center"/>
          </w:tcPr>
          <w:p w14:paraId="2D7D92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含税价（元）</w:t>
            </w:r>
          </w:p>
        </w:tc>
        <w:tc>
          <w:tcPr>
            <w:tcW w:w="1667" w:type="dxa"/>
            <w:tcBorders>
              <w:top w:val="single" w:color="000000" w:sz="4" w:space="0"/>
              <w:left w:val="single" w:color="000000" w:sz="4" w:space="0"/>
              <w:bottom w:val="nil"/>
              <w:right w:val="single" w:color="000000" w:sz="4" w:space="0"/>
            </w:tcBorders>
            <w:shd w:val="clear" w:color="auto" w:fill="EDEDED"/>
            <w:vAlign w:val="center"/>
          </w:tcPr>
          <w:p w14:paraId="51B43D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工程规模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（m2）</w:t>
            </w:r>
          </w:p>
        </w:tc>
        <w:tc>
          <w:tcPr>
            <w:tcW w:w="1268" w:type="dxa"/>
            <w:tcBorders>
              <w:top w:val="single" w:color="000000" w:sz="4" w:space="0"/>
              <w:left w:val="single" w:color="000000" w:sz="4" w:space="0"/>
              <w:bottom w:val="nil"/>
              <w:right w:val="single" w:color="000000" w:sz="4" w:space="0"/>
            </w:tcBorders>
            <w:shd w:val="clear" w:color="auto" w:fill="EDEDED"/>
            <w:vAlign w:val="center"/>
          </w:tcPr>
          <w:p w14:paraId="1ECDBE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单方造价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（元/m2）</w:t>
            </w:r>
          </w:p>
        </w:tc>
        <w:tc>
          <w:tcPr>
            <w:tcW w:w="2263" w:type="dxa"/>
            <w:tcBorders>
              <w:top w:val="single" w:color="000000" w:sz="4" w:space="0"/>
              <w:left w:val="single" w:color="000000" w:sz="4" w:space="0"/>
              <w:bottom w:val="nil"/>
              <w:right w:val="single" w:color="000000" w:sz="4" w:space="0"/>
            </w:tcBorders>
            <w:shd w:val="clear" w:color="auto" w:fill="EDEDED"/>
            <w:vAlign w:val="center"/>
          </w:tcPr>
          <w:p w14:paraId="0E9E6A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762AD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D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F6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工程施工费</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CD14">
            <w:pPr>
              <w:jc w:val="center"/>
              <w:rPr>
                <w:rFonts w:hint="eastAsia" w:ascii="宋体" w:hAnsi="宋体" w:eastAsia="宋体" w:cs="宋体"/>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2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0AC4">
            <w:pPr>
              <w:jc w:val="cente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F26D">
            <w:pPr>
              <w:jc w:val="center"/>
              <w:rPr>
                <w:rFonts w:hint="eastAsia" w:ascii="宋体" w:hAnsi="宋体" w:eastAsia="宋体" w:cs="宋体"/>
                <w:i w:val="0"/>
                <w:iCs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CC9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161660.87</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FAEC">
            <w:pPr>
              <w:jc w:val="center"/>
              <w:rPr>
                <w:rFonts w:hint="eastAsia" w:ascii="宋体" w:hAnsi="宋体" w:eastAsia="宋体" w:cs="宋体"/>
                <w:i w:val="0"/>
                <w:iCs w:val="0"/>
                <w:color w:val="000000"/>
                <w:sz w:val="22"/>
                <w:szCs w:val="22"/>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3C62">
            <w:pPr>
              <w:jc w:val="center"/>
              <w:rPr>
                <w:rFonts w:hint="eastAsia" w:ascii="宋体" w:hAnsi="宋体" w:eastAsia="宋体" w:cs="宋体"/>
                <w:i w:val="0"/>
                <w:iCs w:val="0"/>
                <w:color w:val="000000"/>
                <w:sz w:val="22"/>
                <w:szCs w:val="22"/>
                <w:u w:val="none"/>
              </w:rPr>
            </w:pPr>
          </w:p>
        </w:tc>
      </w:tr>
      <w:tr w14:paraId="02B61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9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CB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采用模拟清单部分</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A734">
            <w:pPr>
              <w:jc w:val="center"/>
              <w:rPr>
                <w:rFonts w:hint="eastAsia" w:ascii="宋体" w:hAnsi="宋体" w:eastAsia="宋体" w:cs="宋体"/>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5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CA58">
            <w:pPr>
              <w:jc w:val="cente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013A">
            <w:pPr>
              <w:jc w:val="center"/>
              <w:rPr>
                <w:rFonts w:hint="eastAsia" w:ascii="宋体" w:hAnsi="宋体" w:eastAsia="宋体" w:cs="宋体"/>
                <w:i w:val="0"/>
                <w:iCs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8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161660.87</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7C2A">
            <w:pPr>
              <w:jc w:val="center"/>
              <w:rPr>
                <w:rFonts w:hint="eastAsia" w:ascii="宋体" w:hAnsi="宋体" w:eastAsia="宋体" w:cs="宋体"/>
                <w:i w:val="0"/>
                <w:iCs w:val="0"/>
                <w:color w:val="000000"/>
                <w:sz w:val="22"/>
                <w:szCs w:val="22"/>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D552">
            <w:pPr>
              <w:jc w:val="center"/>
              <w:rPr>
                <w:rFonts w:hint="eastAsia" w:ascii="宋体" w:hAnsi="宋体" w:eastAsia="宋体" w:cs="宋体"/>
                <w:i w:val="0"/>
                <w:iCs w:val="0"/>
                <w:color w:val="000000"/>
                <w:sz w:val="22"/>
                <w:szCs w:val="22"/>
                <w:u w:val="none"/>
              </w:rPr>
            </w:pPr>
          </w:p>
        </w:tc>
      </w:tr>
      <w:tr w14:paraId="12E4A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7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E7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采用单方造价部分</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AE8A">
            <w:pPr>
              <w:jc w:val="center"/>
              <w:rPr>
                <w:rFonts w:hint="eastAsia" w:ascii="宋体" w:hAnsi="宋体" w:eastAsia="宋体" w:cs="宋体"/>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C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38B4">
            <w:pPr>
              <w:jc w:val="cente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F14C">
            <w:pPr>
              <w:jc w:val="center"/>
              <w:rPr>
                <w:rFonts w:hint="eastAsia" w:ascii="宋体" w:hAnsi="宋体" w:eastAsia="宋体" w:cs="宋体"/>
                <w:i w:val="0"/>
                <w:iCs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F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161660.87</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98B6">
            <w:pPr>
              <w:jc w:val="center"/>
              <w:rPr>
                <w:rFonts w:hint="eastAsia" w:ascii="宋体" w:hAnsi="宋体" w:eastAsia="宋体" w:cs="宋体"/>
                <w:i w:val="0"/>
                <w:iCs w:val="0"/>
                <w:color w:val="000000"/>
                <w:sz w:val="22"/>
                <w:szCs w:val="22"/>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7F4E">
            <w:pPr>
              <w:jc w:val="center"/>
              <w:rPr>
                <w:rFonts w:hint="eastAsia" w:ascii="宋体" w:hAnsi="宋体" w:eastAsia="宋体" w:cs="宋体"/>
                <w:i w:val="0"/>
                <w:iCs w:val="0"/>
                <w:color w:val="000000"/>
                <w:sz w:val="22"/>
                <w:szCs w:val="22"/>
                <w:u w:val="none"/>
              </w:rPr>
            </w:pPr>
          </w:p>
        </w:tc>
      </w:tr>
      <w:tr w14:paraId="0E75F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F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E3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地基工程（土石方基坑基础）</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3E12">
            <w:pPr>
              <w:jc w:val="center"/>
              <w:rPr>
                <w:rFonts w:hint="eastAsia" w:ascii="宋体" w:hAnsi="宋体" w:eastAsia="宋体" w:cs="宋体"/>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C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D8D6">
            <w:pPr>
              <w:jc w:val="cente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3FDA">
            <w:pPr>
              <w:jc w:val="center"/>
              <w:rPr>
                <w:rFonts w:hint="eastAsia" w:ascii="宋体" w:hAnsi="宋体" w:eastAsia="宋体" w:cs="宋体"/>
                <w:i w:val="0"/>
                <w:iCs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1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161660.87</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913B">
            <w:pPr>
              <w:jc w:val="center"/>
              <w:rPr>
                <w:rFonts w:hint="eastAsia" w:ascii="宋体" w:hAnsi="宋体" w:eastAsia="宋体" w:cs="宋体"/>
                <w:i w:val="0"/>
                <w:iCs w:val="0"/>
                <w:color w:val="000000"/>
                <w:sz w:val="22"/>
                <w:szCs w:val="22"/>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A636">
            <w:pPr>
              <w:jc w:val="center"/>
              <w:rPr>
                <w:rFonts w:hint="eastAsia" w:ascii="宋体" w:hAnsi="宋体" w:eastAsia="宋体" w:cs="宋体"/>
                <w:i w:val="0"/>
                <w:iCs w:val="0"/>
                <w:color w:val="000000"/>
                <w:sz w:val="22"/>
                <w:szCs w:val="22"/>
                <w:u w:val="none"/>
              </w:rPr>
            </w:pPr>
          </w:p>
        </w:tc>
      </w:tr>
      <w:tr w14:paraId="3159F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3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CF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主体建筑工程</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2F4E">
            <w:pPr>
              <w:jc w:val="center"/>
              <w:rPr>
                <w:rFonts w:hint="eastAsia" w:ascii="宋体" w:hAnsi="宋体" w:eastAsia="宋体" w:cs="宋体"/>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3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4BBC">
            <w:pPr>
              <w:jc w:val="cente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708F">
            <w:pPr>
              <w:jc w:val="center"/>
              <w:rPr>
                <w:rFonts w:hint="eastAsia" w:ascii="宋体" w:hAnsi="宋体" w:eastAsia="宋体" w:cs="宋体"/>
                <w:i w:val="0"/>
                <w:iCs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B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161660.87</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F810">
            <w:pPr>
              <w:jc w:val="center"/>
              <w:rPr>
                <w:rFonts w:hint="eastAsia" w:ascii="宋体" w:hAnsi="宋体" w:eastAsia="宋体" w:cs="宋体"/>
                <w:i w:val="0"/>
                <w:iCs w:val="0"/>
                <w:color w:val="000000"/>
                <w:sz w:val="22"/>
                <w:szCs w:val="22"/>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23D3">
            <w:pPr>
              <w:jc w:val="center"/>
              <w:rPr>
                <w:rFonts w:hint="eastAsia" w:ascii="宋体" w:hAnsi="宋体" w:eastAsia="宋体" w:cs="宋体"/>
                <w:i w:val="0"/>
                <w:iCs w:val="0"/>
                <w:color w:val="000000"/>
                <w:sz w:val="22"/>
                <w:szCs w:val="22"/>
                <w:u w:val="none"/>
              </w:rPr>
            </w:pPr>
          </w:p>
        </w:tc>
      </w:tr>
      <w:tr w14:paraId="71E9B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9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F1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主体装饰工程</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A97B">
            <w:pPr>
              <w:jc w:val="center"/>
              <w:rPr>
                <w:rFonts w:hint="eastAsia" w:ascii="宋体" w:hAnsi="宋体" w:eastAsia="宋体" w:cs="宋体"/>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3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BD1D">
            <w:pPr>
              <w:jc w:val="cente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8DD1">
            <w:pPr>
              <w:jc w:val="center"/>
              <w:rPr>
                <w:rFonts w:hint="eastAsia" w:ascii="宋体" w:hAnsi="宋体" w:eastAsia="宋体" w:cs="宋体"/>
                <w:i w:val="0"/>
                <w:iCs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D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161660.87</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703B">
            <w:pPr>
              <w:jc w:val="center"/>
              <w:rPr>
                <w:rFonts w:hint="eastAsia" w:ascii="宋体" w:hAnsi="宋体" w:eastAsia="宋体" w:cs="宋体"/>
                <w:i w:val="0"/>
                <w:iCs w:val="0"/>
                <w:color w:val="000000"/>
                <w:sz w:val="22"/>
                <w:szCs w:val="22"/>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DBAF">
            <w:pPr>
              <w:jc w:val="center"/>
              <w:rPr>
                <w:rFonts w:hint="eastAsia" w:ascii="宋体" w:hAnsi="宋体" w:eastAsia="宋体" w:cs="宋体"/>
                <w:i w:val="0"/>
                <w:iCs w:val="0"/>
                <w:color w:val="000000"/>
                <w:sz w:val="22"/>
                <w:szCs w:val="22"/>
                <w:u w:val="none"/>
              </w:rPr>
            </w:pPr>
          </w:p>
        </w:tc>
      </w:tr>
      <w:tr w14:paraId="2BF7C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B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34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主体安装工程</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DB26">
            <w:pPr>
              <w:jc w:val="center"/>
              <w:rPr>
                <w:rFonts w:hint="eastAsia" w:ascii="宋体" w:hAnsi="宋体" w:eastAsia="宋体" w:cs="宋体"/>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F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473C">
            <w:pPr>
              <w:jc w:val="cente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2989">
            <w:pPr>
              <w:jc w:val="center"/>
              <w:rPr>
                <w:rFonts w:hint="eastAsia" w:ascii="宋体" w:hAnsi="宋体" w:eastAsia="宋体" w:cs="宋体"/>
                <w:i w:val="0"/>
                <w:iCs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6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161660.87</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760D">
            <w:pPr>
              <w:jc w:val="center"/>
              <w:rPr>
                <w:rFonts w:hint="eastAsia" w:ascii="宋体" w:hAnsi="宋体" w:eastAsia="宋体" w:cs="宋体"/>
                <w:i w:val="0"/>
                <w:iCs w:val="0"/>
                <w:color w:val="000000"/>
                <w:sz w:val="22"/>
                <w:szCs w:val="22"/>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97C9">
            <w:pPr>
              <w:jc w:val="center"/>
              <w:rPr>
                <w:rFonts w:hint="eastAsia" w:ascii="宋体" w:hAnsi="宋体" w:eastAsia="宋体" w:cs="宋体"/>
                <w:i w:val="0"/>
                <w:iCs w:val="0"/>
                <w:color w:val="000000"/>
                <w:sz w:val="22"/>
                <w:szCs w:val="22"/>
                <w:u w:val="none"/>
              </w:rPr>
            </w:pPr>
          </w:p>
        </w:tc>
      </w:tr>
      <w:tr w14:paraId="01A37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B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19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室外配套及其他工程</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D54C">
            <w:pPr>
              <w:jc w:val="center"/>
              <w:rPr>
                <w:rFonts w:hint="eastAsia" w:ascii="宋体" w:hAnsi="宋体" w:eastAsia="宋体" w:cs="宋体"/>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1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4E22">
            <w:pPr>
              <w:jc w:val="cente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24C5">
            <w:pPr>
              <w:jc w:val="center"/>
              <w:rPr>
                <w:rFonts w:hint="eastAsia" w:ascii="宋体" w:hAnsi="宋体" w:eastAsia="宋体" w:cs="宋体"/>
                <w:i w:val="0"/>
                <w:iCs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F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161660.87</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410B">
            <w:pPr>
              <w:jc w:val="center"/>
              <w:rPr>
                <w:rFonts w:hint="eastAsia" w:ascii="宋体" w:hAnsi="宋体" w:eastAsia="宋体" w:cs="宋体"/>
                <w:i w:val="0"/>
                <w:iCs w:val="0"/>
                <w:color w:val="000000"/>
                <w:sz w:val="22"/>
                <w:szCs w:val="22"/>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7564">
            <w:pPr>
              <w:jc w:val="center"/>
              <w:rPr>
                <w:rFonts w:hint="eastAsia" w:ascii="宋体" w:hAnsi="宋体" w:eastAsia="宋体" w:cs="宋体"/>
                <w:i w:val="0"/>
                <w:iCs w:val="0"/>
                <w:color w:val="000000"/>
                <w:sz w:val="22"/>
                <w:szCs w:val="22"/>
                <w:u w:val="none"/>
              </w:rPr>
            </w:pPr>
          </w:p>
        </w:tc>
      </w:tr>
      <w:tr w14:paraId="6FA90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1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1D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设计费</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4E34">
            <w:pPr>
              <w:jc w:val="center"/>
              <w:rPr>
                <w:rFonts w:hint="eastAsia" w:ascii="宋体" w:hAnsi="宋体" w:eastAsia="宋体" w:cs="宋体"/>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9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933B">
            <w:pPr>
              <w:jc w:val="cente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74FD">
            <w:pPr>
              <w:jc w:val="center"/>
              <w:rPr>
                <w:rFonts w:hint="eastAsia" w:ascii="宋体" w:hAnsi="宋体" w:eastAsia="宋体" w:cs="宋体"/>
                <w:i w:val="0"/>
                <w:iCs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0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161660.87</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636E">
            <w:pPr>
              <w:jc w:val="center"/>
              <w:rPr>
                <w:rFonts w:hint="eastAsia" w:ascii="宋体" w:hAnsi="宋体" w:eastAsia="宋体" w:cs="宋体"/>
                <w:i w:val="0"/>
                <w:iCs w:val="0"/>
                <w:color w:val="000000"/>
                <w:sz w:val="22"/>
                <w:szCs w:val="22"/>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D37B">
            <w:pPr>
              <w:jc w:val="center"/>
              <w:rPr>
                <w:rFonts w:hint="eastAsia" w:ascii="宋体" w:hAnsi="宋体" w:eastAsia="宋体" w:cs="宋体"/>
                <w:i w:val="0"/>
                <w:iCs w:val="0"/>
                <w:color w:val="000000"/>
                <w:sz w:val="22"/>
                <w:szCs w:val="22"/>
                <w:u w:val="none"/>
              </w:rPr>
            </w:pPr>
          </w:p>
        </w:tc>
      </w:tr>
      <w:tr w14:paraId="4AEAA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E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14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施工图设计费（含BIM技术费）</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CB62">
            <w:pPr>
              <w:jc w:val="center"/>
              <w:rPr>
                <w:rFonts w:hint="eastAsia" w:ascii="宋体" w:hAnsi="宋体" w:eastAsia="宋体" w:cs="宋体"/>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6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2CAD">
            <w:pPr>
              <w:jc w:val="cente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E16C">
            <w:pPr>
              <w:jc w:val="center"/>
              <w:rPr>
                <w:rFonts w:hint="eastAsia" w:ascii="宋体" w:hAnsi="宋体" w:eastAsia="宋体" w:cs="宋体"/>
                <w:i w:val="0"/>
                <w:iCs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7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161660.87</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11BA">
            <w:pPr>
              <w:jc w:val="center"/>
              <w:rPr>
                <w:rFonts w:hint="eastAsia" w:ascii="宋体" w:hAnsi="宋体" w:eastAsia="宋体" w:cs="宋体"/>
                <w:i w:val="0"/>
                <w:iCs w:val="0"/>
                <w:color w:val="000000"/>
                <w:sz w:val="22"/>
                <w:szCs w:val="22"/>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15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7BA60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C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DC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暂列金额</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0283">
            <w:pPr>
              <w:jc w:val="center"/>
              <w:rPr>
                <w:rFonts w:hint="eastAsia" w:ascii="宋体" w:hAnsi="宋体" w:eastAsia="宋体" w:cs="宋体"/>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E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BD1A">
            <w:pPr>
              <w:jc w:val="cente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8D1A">
            <w:pPr>
              <w:jc w:val="center"/>
              <w:rPr>
                <w:rFonts w:hint="eastAsia" w:ascii="宋体" w:hAnsi="宋体" w:eastAsia="宋体" w:cs="宋体"/>
                <w:i w:val="0"/>
                <w:iCs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A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161660.87</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4FD4">
            <w:pPr>
              <w:jc w:val="center"/>
              <w:rPr>
                <w:rFonts w:hint="eastAsia" w:ascii="宋体" w:hAnsi="宋体" w:eastAsia="宋体" w:cs="宋体"/>
                <w:i w:val="0"/>
                <w:iCs w:val="0"/>
                <w:color w:val="000000"/>
                <w:sz w:val="22"/>
                <w:szCs w:val="22"/>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9BF0">
            <w:pPr>
              <w:jc w:val="left"/>
              <w:rPr>
                <w:rFonts w:hint="eastAsia" w:ascii="宋体" w:hAnsi="宋体" w:eastAsia="宋体" w:cs="宋体"/>
                <w:i w:val="0"/>
                <w:iCs w:val="0"/>
                <w:color w:val="000000"/>
                <w:sz w:val="22"/>
                <w:szCs w:val="22"/>
                <w:u w:val="none"/>
              </w:rPr>
            </w:pPr>
          </w:p>
        </w:tc>
      </w:tr>
      <w:tr w14:paraId="1968D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E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7A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1655">
            <w:pPr>
              <w:jc w:val="center"/>
              <w:rPr>
                <w:rFonts w:hint="eastAsia" w:ascii="宋体" w:hAnsi="宋体" w:eastAsia="宋体" w:cs="宋体"/>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A65F">
            <w:pPr>
              <w:jc w:val="center"/>
              <w:rPr>
                <w:rFonts w:hint="eastAsia" w:ascii="宋体" w:hAnsi="宋体" w:eastAsia="宋体" w:cs="宋体"/>
                <w:i w:val="0"/>
                <w:iCs w:val="0"/>
                <w:color w:val="000000"/>
                <w:sz w:val="22"/>
                <w:szCs w:val="22"/>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338B">
            <w:pPr>
              <w:jc w:val="cente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8A3F">
            <w:pPr>
              <w:jc w:val="center"/>
              <w:rPr>
                <w:rFonts w:hint="eastAsia" w:ascii="宋体" w:hAnsi="宋体" w:eastAsia="宋体" w:cs="宋体"/>
                <w:i w:val="0"/>
                <w:iCs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2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161660.87</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DC6A">
            <w:pPr>
              <w:jc w:val="center"/>
              <w:rPr>
                <w:rFonts w:hint="eastAsia" w:ascii="宋体" w:hAnsi="宋体" w:eastAsia="宋体" w:cs="宋体"/>
                <w:i w:val="0"/>
                <w:iCs w:val="0"/>
                <w:color w:val="000000"/>
                <w:sz w:val="22"/>
                <w:szCs w:val="22"/>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139C">
            <w:pPr>
              <w:jc w:val="center"/>
              <w:rPr>
                <w:rFonts w:hint="eastAsia" w:ascii="宋体" w:hAnsi="宋体" w:eastAsia="宋体" w:cs="宋体"/>
                <w:i w:val="0"/>
                <w:iCs w:val="0"/>
                <w:color w:val="000000"/>
                <w:sz w:val="22"/>
                <w:szCs w:val="22"/>
                <w:u w:val="none"/>
              </w:rPr>
            </w:pPr>
          </w:p>
        </w:tc>
      </w:tr>
      <w:tr w14:paraId="1AA70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145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D9948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包括1#～5#为一类高层住宅；6#为垃圾收集站及再生资源回收点；7～9#为多层民用建筑。实施内容涵盖基坑、基础，三层地下室，地上地下主体及配套设施的建筑、装饰装修、机电安装；外水、外电、室外园林绿化、临时设施等。具体详见招标文件。</w:t>
            </w:r>
          </w:p>
        </w:tc>
      </w:tr>
    </w:tbl>
    <w:p w14:paraId="1E388696">
      <w:pPr>
        <w:tabs>
          <w:tab w:val="left" w:pos="7655"/>
        </w:tabs>
        <w:spacing w:line="360" w:lineRule="auto"/>
        <w:ind w:firstLine="1656" w:firstLineChars="600"/>
        <w:jc w:val="left"/>
        <w:rPr>
          <w:rFonts w:ascii="宋体" w:hAnsi="宋体" w:eastAsia="宋体" w:cs="宋体"/>
          <w:color w:val="auto"/>
          <w:spacing w:val="18"/>
          <w:kern w:val="1"/>
          <w:sz w:val="24"/>
          <w:szCs w:val="24"/>
          <w:highlight w:val="none"/>
          <w:lang w:val="zh-CN"/>
        </w:rPr>
      </w:pPr>
    </w:p>
    <w:p w14:paraId="103F4590">
      <w:pPr>
        <w:tabs>
          <w:tab w:val="left" w:pos="7655"/>
        </w:tabs>
        <w:spacing w:line="360" w:lineRule="auto"/>
        <w:ind w:firstLine="1656" w:firstLineChars="600"/>
        <w:jc w:val="left"/>
        <w:rPr>
          <w:rFonts w:ascii="宋体" w:hAnsi="宋体" w:eastAsia="宋体" w:cs="宋体"/>
          <w:color w:val="auto"/>
          <w:spacing w:val="18"/>
          <w:kern w:val="1"/>
          <w:sz w:val="24"/>
          <w:szCs w:val="24"/>
          <w:highlight w:val="none"/>
        </w:rPr>
      </w:pPr>
      <w:r>
        <w:rPr>
          <w:rFonts w:hint="eastAsia" w:ascii="宋体" w:hAnsi="宋体" w:eastAsia="宋体" w:cs="宋体"/>
          <w:color w:val="auto"/>
          <w:spacing w:val="18"/>
          <w:kern w:val="1"/>
          <w:sz w:val="24"/>
          <w:szCs w:val="24"/>
          <w:highlight w:val="none"/>
          <w:lang w:val="zh-CN"/>
        </w:rPr>
        <w:t>投标人：(盖章)</w:t>
      </w:r>
    </w:p>
    <w:p w14:paraId="2A5C9C71">
      <w:pPr>
        <w:ind w:firstLine="1656" w:firstLineChars="600"/>
        <w:outlineLvl w:val="1"/>
        <w:rPr>
          <w:rFonts w:ascii="宋体" w:hAnsi="宋体" w:cs="宋体"/>
          <w:color w:val="auto"/>
          <w:spacing w:val="18"/>
          <w:kern w:val="1"/>
          <w:sz w:val="24"/>
          <w:highlight w:val="none"/>
          <w:lang w:val="zh-CN"/>
        </w:rPr>
        <w:sectPr>
          <w:pgSz w:w="16838" w:h="11906" w:orient="landscape"/>
          <w:pgMar w:top="1417" w:right="1134" w:bottom="1417" w:left="1134" w:header="567" w:footer="850" w:gutter="0"/>
          <w:cols w:space="0" w:num="1"/>
          <w:rtlGutter w:val="0"/>
          <w:docGrid w:linePitch="312" w:charSpace="0"/>
        </w:sectPr>
      </w:pPr>
      <w:r>
        <w:rPr>
          <w:rFonts w:hint="eastAsia" w:ascii="宋体" w:hAnsi="宋体" w:eastAsia="宋体" w:cs="宋体"/>
          <w:color w:val="auto"/>
          <w:spacing w:val="18"/>
          <w:kern w:val="1"/>
          <w:sz w:val="24"/>
          <w:szCs w:val="24"/>
          <w:highlight w:val="none"/>
          <w:lang w:val="zh-CN"/>
        </w:rPr>
        <w:t>日期：年月日</w:t>
      </w:r>
      <w:r>
        <w:rPr>
          <w:rFonts w:ascii="宋体" w:hAnsi="宋体" w:cs="宋体"/>
          <w:color w:val="auto"/>
          <w:spacing w:val="18"/>
          <w:kern w:val="1"/>
          <w:sz w:val="24"/>
          <w:highlight w:val="none"/>
          <w:lang w:val="zh-CN"/>
        </w:rPr>
        <w:br w:type="page"/>
      </w:r>
      <w:bookmarkStart w:id="593" w:name="_Toc123901763"/>
      <w:bookmarkStart w:id="594" w:name="_Toc116461798"/>
    </w:p>
    <w:p w14:paraId="5C468091">
      <w:pPr>
        <w:ind w:firstLine="1265" w:firstLineChars="600"/>
        <w:outlineLvl w:val="1"/>
        <w:rPr>
          <w:rFonts w:ascii="宋体" w:hAnsi="宋体" w:cs="宋体"/>
          <w:b/>
          <w:bCs/>
          <w:color w:val="auto"/>
          <w:sz w:val="32"/>
          <w:szCs w:val="32"/>
          <w:highlight w:val="none"/>
          <w:lang w:val="zh-CN"/>
        </w:rPr>
      </w:pPr>
      <w:r>
        <w:rPr>
          <w:rFonts w:hint="eastAsia" w:ascii="宋体" w:hAnsi="宋体" w:cs="宋体"/>
          <w:b/>
          <w:color w:val="auto"/>
          <w:kern w:val="1"/>
          <w:szCs w:val="21"/>
          <w:highlight w:val="none"/>
          <w:lang w:val="zh-CN"/>
        </w:rPr>
        <w:t>格式4：投标人基本情况表</w:t>
      </w:r>
      <w:bookmarkEnd w:id="593"/>
      <w:bookmarkEnd w:id="594"/>
    </w:p>
    <w:p w14:paraId="7719143B">
      <w:pPr>
        <w:autoSpaceDE w:val="0"/>
        <w:autoSpaceDN w:val="0"/>
        <w:adjustRightInd w:val="0"/>
        <w:spacing w:line="360" w:lineRule="auto"/>
        <w:jc w:val="center"/>
        <w:rPr>
          <w:rFonts w:ascii="宋体" w:hAnsi="宋体" w:cs="宋体"/>
          <w:b/>
          <w:bCs/>
          <w:color w:val="auto"/>
          <w:sz w:val="32"/>
          <w:szCs w:val="32"/>
          <w:highlight w:val="none"/>
          <w:lang w:val="zh-CN"/>
        </w:rPr>
      </w:pPr>
      <w:bookmarkStart w:id="595" w:name="_Hlk116425234"/>
    </w:p>
    <w:p w14:paraId="1F3658BE">
      <w:pPr>
        <w:autoSpaceDE w:val="0"/>
        <w:autoSpaceDN w:val="0"/>
        <w:adjustRightIn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投标人基本情况表</w:t>
      </w:r>
    </w:p>
    <w:bookmarkEnd w:id="595"/>
    <w:tbl>
      <w:tblPr>
        <w:tblStyle w:val="4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56"/>
        <w:gridCol w:w="1084"/>
        <w:gridCol w:w="1195"/>
        <w:gridCol w:w="826"/>
        <w:gridCol w:w="418"/>
        <w:gridCol w:w="211"/>
        <w:gridCol w:w="1244"/>
        <w:gridCol w:w="200"/>
        <w:gridCol w:w="826"/>
        <w:gridCol w:w="1220"/>
      </w:tblGrid>
      <w:tr w14:paraId="2FAFE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exact"/>
          <w:jc w:val="center"/>
        </w:trPr>
        <w:tc>
          <w:tcPr>
            <w:tcW w:w="1022" w:type="pct"/>
            <w:vAlign w:val="center"/>
          </w:tcPr>
          <w:p w14:paraId="183A7ED9">
            <w:pPr>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投标人名称</w:t>
            </w:r>
          </w:p>
        </w:tc>
        <w:tc>
          <w:tcPr>
            <w:tcW w:w="3977" w:type="pct"/>
            <w:gridSpan w:val="9"/>
            <w:vAlign w:val="center"/>
          </w:tcPr>
          <w:p w14:paraId="29E1BAF6">
            <w:pPr>
              <w:adjustRightInd w:val="0"/>
              <w:snapToGrid w:val="0"/>
              <w:jc w:val="center"/>
              <w:rPr>
                <w:rFonts w:ascii="宋体" w:hAnsi="宋体" w:cs="宋体"/>
                <w:color w:val="auto"/>
                <w:szCs w:val="21"/>
                <w:highlight w:val="none"/>
              </w:rPr>
            </w:pPr>
          </w:p>
        </w:tc>
      </w:tr>
      <w:tr w14:paraId="3428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exact"/>
          <w:jc w:val="center"/>
        </w:trPr>
        <w:tc>
          <w:tcPr>
            <w:tcW w:w="1022" w:type="pct"/>
            <w:vAlign w:val="center"/>
          </w:tcPr>
          <w:p w14:paraId="4EADD22C">
            <w:pPr>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注册地址</w:t>
            </w:r>
          </w:p>
        </w:tc>
        <w:tc>
          <w:tcPr>
            <w:tcW w:w="2056" w:type="pct"/>
            <w:gridSpan w:val="5"/>
            <w:vAlign w:val="center"/>
          </w:tcPr>
          <w:p w14:paraId="441D2C08">
            <w:pPr>
              <w:adjustRightInd w:val="0"/>
              <w:snapToGrid w:val="0"/>
              <w:jc w:val="center"/>
              <w:rPr>
                <w:rFonts w:ascii="宋体" w:hAnsi="宋体" w:cs="宋体"/>
                <w:color w:val="auto"/>
                <w:szCs w:val="21"/>
                <w:highlight w:val="none"/>
              </w:rPr>
            </w:pPr>
          </w:p>
        </w:tc>
        <w:tc>
          <w:tcPr>
            <w:tcW w:w="685" w:type="pct"/>
            <w:vAlign w:val="center"/>
          </w:tcPr>
          <w:p w14:paraId="06BC5FE5">
            <w:pPr>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邮政编码</w:t>
            </w:r>
          </w:p>
        </w:tc>
        <w:tc>
          <w:tcPr>
            <w:tcW w:w="1235" w:type="pct"/>
            <w:gridSpan w:val="3"/>
            <w:vAlign w:val="center"/>
          </w:tcPr>
          <w:p w14:paraId="2DB443E7">
            <w:pPr>
              <w:adjustRightInd w:val="0"/>
              <w:snapToGrid w:val="0"/>
              <w:jc w:val="center"/>
              <w:rPr>
                <w:rFonts w:ascii="宋体" w:hAnsi="宋体" w:cs="宋体"/>
                <w:color w:val="auto"/>
                <w:szCs w:val="21"/>
                <w:highlight w:val="none"/>
              </w:rPr>
            </w:pPr>
          </w:p>
        </w:tc>
      </w:tr>
      <w:tr w14:paraId="412E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exact"/>
          <w:jc w:val="center"/>
        </w:trPr>
        <w:tc>
          <w:tcPr>
            <w:tcW w:w="1022" w:type="pct"/>
            <w:vMerge w:val="restart"/>
            <w:vAlign w:val="center"/>
          </w:tcPr>
          <w:p w14:paraId="7C9EA22D">
            <w:pPr>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联系方式</w:t>
            </w:r>
          </w:p>
        </w:tc>
        <w:tc>
          <w:tcPr>
            <w:tcW w:w="597" w:type="pct"/>
            <w:vAlign w:val="center"/>
          </w:tcPr>
          <w:p w14:paraId="66BC2D26">
            <w:pPr>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联系人</w:t>
            </w:r>
          </w:p>
        </w:tc>
        <w:tc>
          <w:tcPr>
            <w:tcW w:w="1458" w:type="pct"/>
            <w:gridSpan w:val="4"/>
            <w:vAlign w:val="center"/>
          </w:tcPr>
          <w:p w14:paraId="4D5FBC28">
            <w:pPr>
              <w:adjustRightInd w:val="0"/>
              <w:snapToGrid w:val="0"/>
              <w:jc w:val="center"/>
              <w:rPr>
                <w:rFonts w:ascii="宋体" w:hAnsi="宋体" w:cs="宋体"/>
                <w:color w:val="auto"/>
                <w:szCs w:val="21"/>
                <w:highlight w:val="none"/>
              </w:rPr>
            </w:pPr>
          </w:p>
        </w:tc>
        <w:tc>
          <w:tcPr>
            <w:tcW w:w="685" w:type="pct"/>
            <w:vAlign w:val="center"/>
          </w:tcPr>
          <w:p w14:paraId="3F4C9251">
            <w:pPr>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电话</w:t>
            </w:r>
          </w:p>
        </w:tc>
        <w:tc>
          <w:tcPr>
            <w:tcW w:w="1235" w:type="pct"/>
            <w:gridSpan w:val="3"/>
            <w:vAlign w:val="center"/>
          </w:tcPr>
          <w:p w14:paraId="5A3FE97E">
            <w:pPr>
              <w:adjustRightInd w:val="0"/>
              <w:snapToGrid w:val="0"/>
              <w:jc w:val="center"/>
              <w:rPr>
                <w:rFonts w:ascii="宋体" w:hAnsi="宋体" w:cs="宋体"/>
                <w:color w:val="auto"/>
                <w:szCs w:val="21"/>
                <w:highlight w:val="none"/>
              </w:rPr>
            </w:pPr>
          </w:p>
        </w:tc>
      </w:tr>
      <w:tr w14:paraId="2FE0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0" w:hRule="exact"/>
          <w:jc w:val="center"/>
        </w:trPr>
        <w:tc>
          <w:tcPr>
            <w:tcW w:w="1022" w:type="pct"/>
            <w:vMerge w:val="continue"/>
            <w:vAlign w:val="center"/>
          </w:tcPr>
          <w:p w14:paraId="30AC7F72">
            <w:pPr>
              <w:adjustRightInd w:val="0"/>
              <w:snapToGrid w:val="0"/>
              <w:jc w:val="center"/>
              <w:rPr>
                <w:rFonts w:ascii="宋体" w:hAnsi="宋体" w:cs="宋体"/>
                <w:color w:val="auto"/>
                <w:kern w:val="0"/>
                <w:szCs w:val="21"/>
                <w:highlight w:val="none"/>
              </w:rPr>
            </w:pPr>
          </w:p>
        </w:tc>
        <w:tc>
          <w:tcPr>
            <w:tcW w:w="597" w:type="pct"/>
            <w:vAlign w:val="center"/>
          </w:tcPr>
          <w:p w14:paraId="72D285E5">
            <w:pPr>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传真</w:t>
            </w:r>
          </w:p>
        </w:tc>
        <w:tc>
          <w:tcPr>
            <w:tcW w:w="1458" w:type="pct"/>
            <w:gridSpan w:val="4"/>
            <w:vAlign w:val="center"/>
          </w:tcPr>
          <w:p w14:paraId="20F6507E">
            <w:pPr>
              <w:adjustRightInd w:val="0"/>
              <w:snapToGrid w:val="0"/>
              <w:jc w:val="center"/>
              <w:rPr>
                <w:rFonts w:ascii="宋体" w:hAnsi="宋体" w:cs="宋体"/>
                <w:color w:val="auto"/>
                <w:szCs w:val="21"/>
                <w:highlight w:val="none"/>
              </w:rPr>
            </w:pPr>
          </w:p>
        </w:tc>
        <w:tc>
          <w:tcPr>
            <w:tcW w:w="685" w:type="pct"/>
            <w:vAlign w:val="center"/>
          </w:tcPr>
          <w:p w14:paraId="39F29447">
            <w:pPr>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电子邮件</w:t>
            </w:r>
          </w:p>
        </w:tc>
        <w:tc>
          <w:tcPr>
            <w:tcW w:w="1235" w:type="pct"/>
            <w:gridSpan w:val="3"/>
            <w:vAlign w:val="center"/>
          </w:tcPr>
          <w:p w14:paraId="60A2C481">
            <w:pPr>
              <w:adjustRightInd w:val="0"/>
              <w:snapToGrid w:val="0"/>
              <w:jc w:val="center"/>
              <w:rPr>
                <w:rFonts w:ascii="宋体" w:hAnsi="宋体" w:cs="宋体"/>
                <w:color w:val="auto"/>
                <w:szCs w:val="21"/>
                <w:highlight w:val="none"/>
              </w:rPr>
            </w:pPr>
          </w:p>
        </w:tc>
      </w:tr>
      <w:tr w14:paraId="624D3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exact"/>
          <w:jc w:val="center"/>
        </w:trPr>
        <w:tc>
          <w:tcPr>
            <w:tcW w:w="1022" w:type="pct"/>
            <w:vAlign w:val="center"/>
          </w:tcPr>
          <w:p w14:paraId="45955841">
            <w:pPr>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法定代表人</w:t>
            </w:r>
          </w:p>
        </w:tc>
        <w:tc>
          <w:tcPr>
            <w:tcW w:w="597" w:type="pct"/>
            <w:vAlign w:val="center"/>
          </w:tcPr>
          <w:p w14:paraId="755AEA19">
            <w:pPr>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姓名</w:t>
            </w:r>
          </w:p>
        </w:tc>
        <w:tc>
          <w:tcPr>
            <w:tcW w:w="657" w:type="pct"/>
            <w:vAlign w:val="center"/>
          </w:tcPr>
          <w:p w14:paraId="20D82F80">
            <w:pPr>
              <w:adjustRightInd w:val="0"/>
              <w:snapToGrid w:val="0"/>
              <w:jc w:val="center"/>
              <w:rPr>
                <w:rFonts w:ascii="宋体" w:hAnsi="宋体" w:cs="宋体"/>
                <w:color w:val="auto"/>
                <w:szCs w:val="21"/>
                <w:highlight w:val="none"/>
              </w:rPr>
            </w:pPr>
          </w:p>
        </w:tc>
        <w:tc>
          <w:tcPr>
            <w:tcW w:w="685" w:type="pct"/>
            <w:gridSpan w:val="2"/>
            <w:vAlign w:val="center"/>
          </w:tcPr>
          <w:p w14:paraId="13D12FBE">
            <w:pPr>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技术职称</w:t>
            </w:r>
          </w:p>
        </w:tc>
        <w:tc>
          <w:tcPr>
            <w:tcW w:w="911" w:type="pct"/>
            <w:gridSpan w:val="3"/>
            <w:vAlign w:val="center"/>
          </w:tcPr>
          <w:p w14:paraId="02AABD36">
            <w:pPr>
              <w:adjustRightInd w:val="0"/>
              <w:snapToGrid w:val="0"/>
              <w:jc w:val="center"/>
              <w:rPr>
                <w:rFonts w:ascii="宋体" w:hAnsi="宋体" w:cs="宋体"/>
                <w:color w:val="auto"/>
                <w:szCs w:val="21"/>
                <w:highlight w:val="none"/>
              </w:rPr>
            </w:pPr>
          </w:p>
        </w:tc>
        <w:tc>
          <w:tcPr>
            <w:tcW w:w="455" w:type="pct"/>
            <w:vAlign w:val="center"/>
          </w:tcPr>
          <w:p w14:paraId="48315575">
            <w:pPr>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电话</w:t>
            </w:r>
          </w:p>
        </w:tc>
        <w:tc>
          <w:tcPr>
            <w:tcW w:w="669" w:type="pct"/>
            <w:vAlign w:val="center"/>
          </w:tcPr>
          <w:p w14:paraId="485D9C6E">
            <w:pPr>
              <w:adjustRightInd w:val="0"/>
              <w:snapToGrid w:val="0"/>
              <w:jc w:val="center"/>
              <w:rPr>
                <w:rFonts w:ascii="宋体" w:hAnsi="宋体" w:cs="宋体"/>
                <w:color w:val="auto"/>
                <w:szCs w:val="21"/>
                <w:highlight w:val="none"/>
              </w:rPr>
            </w:pPr>
          </w:p>
        </w:tc>
      </w:tr>
      <w:tr w14:paraId="0E25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exact"/>
          <w:jc w:val="center"/>
        </w:trPr>
        <w:tc>
          <w:tcPr>
            <w:tcW w:w="1022" w:type="pct"/>
            <w:vAlign w:val="center"/>
          </w:tcPr>
          <w:p w14:paraId="746DE702">
            <w:pPr>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技术负责人</w:t>
            </w:r>
          </w:p>
        </w:tc>
        <w:tc>
          <w:tcPr>
            <w:tcW w:w="597" w:type="pct"/>
            <w:vAlign w:val="center"/>
          </w:tcPr>
          <w:p w14:paraId="019546F5">
            <w:pPr>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姓名</w:t>
            </w:r>
          </w:p>
        </w:tc>
        <w:tc>
          <w:tcPr>
            <w:tcW w:w="657" w:type="pct"/>
            <w:vAlign w:val="center"/>
          </w:tcPr>
          <w:p w14:paraId="154BA163">
            <w:pPr>
              <w:adjustRightInd w:val="0"/>
              <w:snapToGrid w:val="0"/>
              <w:jc w:val="center"/>
              <w:rPr>
                <w:rFonts w:ascii="宋体" w:hAnsi="宋体" w:cs="宋体"/>
                <w:color w:val="auto"/>
                <w:szCs w:val="21"/>
                <w:highlight w:val="none"/>
              </w:rPr>
            </w:pPr>
          </w:p>
        </w:tc>
        <w:tc>
          <w:tcPr>
            <w:tcW w:w="685" w:type="pct"/>
            <w:gridSpan w:val="2"/>
            <w:vAlign w:val="center"/>
          </w:tcPr>
          <w:p w14:paraId="31B7B4DB">
            <w:pPr>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技术职称</w:t>
            </w:r>
          </w:p>
        </w:tc>
        <w:tc>
          <w:tcPr>
            <w:tcW w:w="911" w:type="pct"/>
            <w:gridSpan w:val="3"/>
            <w:vAlign w:val="center"/>
          </w:tcPr>
          <w:p w14:paraId="269A3174">
            <w:pPr>
              <w:adjustRightInd w:val="0"/>
              <w:snapToGrid w:val="0"/>
              <w:jc w:val="center"/>
              <w:rPr>
                <w:rFonts w:ascii="宋体" w:hAnsi="宋体" w:cs="宋体"/>
                <w:color w:val="auto"/>
                <w:szCs w:val="21"/>
                <w:highlight w:val="none"/>
              </w:rPr>
            </w:pPr>
          </w:p>
        </w:tc>
        <w:tc>
          <w:tcPr>
            <w:tcW w:w="455" w:type="pct"/>
            <w:vAlign w:val="center"/>
          </w:tcPr>
          <w:p w14:paraId="7F892373">
            <w:pPr>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电话</w:t>
            </w:r>
          </w:p>
        </w:tc>
        <w:tc>
          <w:tcPr>
            <w:tcW w:w="669" w:type="pct"/>
            <w:vAlign w:val="center"/>
          </w:tcPr>
          <w:p w14:paraId="7F191ECB">
            <w:pPr>
              <w:adjustRightInd w:val="0"/>
              <w:snapToGrid w:val="0"/>
              <w:jc w:val="center"/>
              <w:rPr>
                <w:rFonts w:ascii="宋体" w:hAnsi="宋体" w:cs="宋体"/>
                <w:color w:val="auto"/>
                <w:szCs w:val="21"/>
                <w:highlight w:val="none"/>
              </w:rPr>
            </w:pPr>
          </w:p>
        </w:tc>
      </w:tr>
      <w:tr w14:paraId="36DB8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exact"/>
          <w:jc w:val="center"/>
        </w:trPr>
        <w:tc>
          <w:tcPr>
            <w:tcW w:w="1022" w:type="pct"/>
            <w:vAlign w:val="center"/>
          </w:tcPr>
          <w:p w14:paraId="07432DE3">
            <w:pPr>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成立时间</w:t>
            </w:r>
          </w:p>
        </w:tc>
        <w:tc>
          <w:tcPr>
            <w:tcW w:w="1255" w:type="pct"/>
            <w:gridSpan w:val="2"/>
            <w:vAlign w:val="center"/>
          </w:tcPr>
          <w:p w14:paraId="4EC8B51C">
            <w:pPr>
              <w:adjustRightInd w:val="0"/>
              <w:snapToGrid w:val="0"/>
              <w:jc w:val="center"/>
              <w:rPr>
                <w:rFonts w:ascii="宋体" w:hAnsi="宋体" w:cs="宋体"/>
                <w:color w:val="auto"/>
                <w:szCs w:val="21"/>
                <w:highlight w:val="none"/>
              </w:rPr>
            </w:pPr>
          </w:p>
        </w:tc>
        <w:tc>
          <w:tcPr>
            <w:tcW w:w="2721" w:type="pct"/>
            <w:gridSpan w:val="7"/>
            <w:vAlign w:val="center"/>
          </w:tcPr>
          <w:p w14:paraId="1B45094A">
            <w:pPr>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员工总人数：</w:t>
            </w:r>
          </w:p>
        </w:tc>
      </w:tr>
      <w:tr w14:paraId="3AFE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exact"/>
          <w:jc w:val="center"/>
        </w:trPr>
        <w:tc>
          <w:tcPr>
            <w:tcW w:w="1022" w:type="pct"/>
            <w:vAlign w:val="center"/>
          </w:tcPr>
          <w:p w14:paraId="07609089">
            <w:pPr>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企业资质等级</w:t>
            </w:r>
          </w:p>
        </w:tc>
        <w:tc>
          <w:tcPr>
            <w:tcW w:w="1255" w:type="pct"/>
            <w:gridSpan w:val="2"/>
            <w:vAlign w:val="center"/>
          </w:tcPr>
          <w:p w14:paraId="26B7DC07">
            <w:pPr>
              <w:adjustRightInd w:val="0"/>
              <w:snapToGrid w:val="0"/>
              <w:jc w:val="center"/>
              <w:rPr>
                <w:rFonts w:ascii="宋体" w:hAnsi="宋体" w:cs="宋体"/>
                <w:color w:val="auto"/>
                <w:szCs w:val="21"/>
                <w:highlight w:val="none"/>
              </w:rPr>
            </w:pPr>
          </w:p>
        </w:tc>
        <w:tc>
          <w:tcPr>
            <w:tcW w:w="455" w:type="pct"/>
            <w:vMerge w:val="restart"/>
            <w:vAlign w:val="center"/>
          </w:tcPr>
          <w:p w14:paraId="0505C87C">
            <w:pPr>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其中</w:t>
            </w:r>
          </w:p>
        </w:tc>
        <w:tc>
          <w:tcPr>
            <w:tcW w:w="1141" w:type="pct"/>
            <w:gridSpan w:val="4"/>
            <w:vAlign w:val="center"/>
          </w:tcPr>
          <w:p w14:paraId="221C3A41">
            <w:pPr>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项目经理</w:t>
            </w:r>
          </w:p>
        </w:tc>
        <w:tc>
          <w:tcPr>
            <w:tcW w:w="1124" w:type="pct"/>
            <w:gridSpan w:val="2"/>
            <w:vAlign w:val="center"/>
          </w:tcPr>
          <w:p w14:paraId="1D675559">
            <w:pPr>
              <w:adjustRightInd w:val="0"/>
              <w:snapToGrid w:val="0"/>
              <w:jc w:val="center"/>
              <w:rPr>
                <w:rFonts w:ascii="宋体" w:hAnsi="宋体" w:cs="宋体"/>
                <w:color w:val="auto"/>
                <w:szCs w:val="21"/>
                <w:highlight w:val="none"/>
              </w:rPr>
            </w:pPr>
          </w:p>
        </w:tc>
      </w:tr>
      <w:tr w14:paraId="08085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exact"/>
          <w:jc w:val="center"/>
        </w:trPr>
        <w:tc>
          <w:tcPr>
            <w:tcW w:w="1022" w:type="pct"/>
            <w:vAlign w:val="center"/>
          </w:tcPr>
          <w:p w14:paraId="0BF4743E">
            <w:pPr>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营业执照号</w:t>
            </w:r>
          </w:p>
        </w:tc>
        <w:tc>
          <w:tcPr>
            <w:tcW w:w="1255" w:type="pct"/>
            <w:gridSpan w:val="2"/>
            <w:vAlign w:val="center"/>
          </w:tcPr>
          <w:p w14:paraId="67B728A0">
            <w:pPr>
              <w:adjustRightInd w:val="0"/>
              <w:snapToGrid w:val="0"/>
              <w:jc w:val="center"/>
              <w:rPr>
                <w:rFonts w:ascii="宋体" w:hAnsi="宋体" w:cs="宋体"/>
                <w:color w:val="auto"/>
                <w:szCs w:val="21"/>
                <w:highlight w:val="none"/>
              </w:rPr>
            </w:pPr>
          </w:p>
        </w:tc>
        <w:tc>
          <w:tcPr>
            <w:tcW w:w="455" w:type="pct"/>
            <w:vMerge w:val="continue"/>
            <w:vAlign w:val="center"/>
          </w:tcPr>
          <w:p w14:paraId="79413796">
            <w:pPr>
              <w:adjustRightInd w:val="0"/>
              <w:snapToGrid w:val="0"/>
              <w:jc w:val="center"/>
              <w:rPr>
                <w:rFonts w:ascii="宋体" w:hAnsi="宋体" w:cs="宋体"/>
                <w:color w:val="auto"/>
                <w:szCs w:val="21"/>
                <w:highlight w:val="none"/>
              </w:rPr>
            </w:pPr>
          </w:p>
        </w:tc>
        <w:tc>
          <w:tcPr>
            <w:tcW w:w="1141" w:type="pct"/>
            <w:gridSpan w:val="4"/>
            <w:vAlign w:val="center"/>
          </w:tcPr>
          <w:p w14:paraId="4FD6B4D0">
            <w:pPr>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高级职称人员</w:t>
            </w:r>
          </w:p>
        </w:tc>
        <w:tc>
          <w:tcPr>
            <w:tcW w:w="1124" w:type="pct"/>
            <w:gridSpan w:val="2"/>
            <w:vAlign w:val="center"/>
          </w:tcPr>
          <w:p w14:paraId="315CAB55">
            <w:pPr>
              <w:adjustRightInd w:val="0"/>
              <w:snapToGrid w:val="0"/>
              <w:jc w:val="center"/>
              <w:rPr>
                <w:rFonts w:ascii="宋体" w:hAnsi="宋体" w:cs="宋体"/>
                <w:color w:val="auto"/>
                <w:szCs w:val="21"/>
                <w:highlight w:val="none"/>
              </w:rPr>
            </w:pPr>
          </w:p>
        </w:tc>
      </w:tr>
      <w:tr w14:paraId="4A1E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exact"/>
          <w:jc w:val="center"/>
        </w:trPr>
        <w:tc>
          <w:tcPr>
            <w:tcW w:w="1022" w:type="pct"/>
            <w:vAlign w:val="center"/>
          </w:tcPr>
          <w:p w14:paraId="2FF3CBDC">
            <w:pPr>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注册资金</w:t>
            </w:r>
          </w:p>
        </w:tc>
        <w:tc>
          <w:tcPr>
            <w:tcW w:w="1255" w:type="pct"/>
            <w:gridSpan w:val="2"/>
            <w:vAlign w:val="center"/>
          </w:tcPr>
          <w:p w14:paraId="1A0B15A0">
            <w:pPr>
              <w:adjustRightInd w:val="0"/>
              <w:snapToGrid w:val="0"/>
              <w:jc w:val="center"/>
              <w:rPr>
                <w:rFonts w:ascii="宋体" w:hAnsi="宋体" w:cs="宋体"/>
                <w:color w:val="auto"/>
                <w:szCs w:val="21"/>
                <w:highlight w:val="none"/>
              </w:rPr>
            </w:pPr>
          </w:p>
        </w:tc>
        <w:tc>
          <w:tcPr>
            <w:tcW w:w="455" w:type="pct"/>
            <w:vMerge w:val="continue"/>
            <w:vAlign w:val="center"/>
          </w:tcPr>
          <w:p w14:paraId="38859F51">
            <w:pPr>
              <w:adjustRightInd w:val="0"/>
              <w:snapToGrid w:val="0"/>
              <w:jc w:val="center"/>
              <w:rPr>
                <w:rFonts w:ascii="宋体" w:hAnsi="宋体" w:cs="宋体"/>
                <w:color w:val="auto"/>
                <w:szCs w:val="21"/>
                <w:highlight w:val="none"/>
              </w:rPr>
            </w:pPr>
          </w:p>
        </w:tc>
        <w:tc>
          <w:tcPr>
            <w:tcW w:w="1141" w:type="pct"/>
            <w:gridSpan w:val="4"/>
            <w:vAlign w:val="center"/>
          </w:tcPr>
          <w:p w14:paraId="28C1008F">
            <w:pPr>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中级职称人员</w:t>
            </w:r>
          </w:p>
        </w:tc>
        <w:tc>
          <w:tcPr>
            <w:tcW w:w="1124" w:type="pct"/>
            <w:gridSpan w:val="2"/>
            <w:vAlign w:val="center"/>
          </w:tcPr>
          <w:p w14:paraId="3299BDB7">
            <w:pPr>
              <w:adjustRightInd w:val="0"/>
              <w:snapToGrid w:val="0"/>
              <w:jc w:val="center"/>
              <w:rPr>
                <w:rFonts w:ascii="宋体" w:hAnsi="宋体" w:cs="宋体"/>
                <w:color w:val="auto"/>
                <w:szCs w:val="21"/>
                <w:highlight w:val="none"/>
              </w:rPr>
            </w:pPr>
          </w:p>
        </w:tc>
      </w:tr>
      <w:tr w14:paraId="6AE6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2" w:hRule="exact"/>
          <w:jc w:val="center"/>
        </w:trPr>
        <w:tc>
          <w:tcPr>
            <w:tcW w:w="1022" w:type="pct"/>
            <w:vAlign w:val="center"/>
          </w:tcPr>
          <w:p w14:paraId="0DED2E6C">
            <w:pPr>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基本账户开户银行</w:t>
            </w:r>
          </w:p>
        </w:tc>
        <w:tc>
          <w:tcPr>
            <w:tcW w:w="1255" w:type="pct"/>
            <w:gridSpan w:val="2"/>
            <w:vAlign w:val="center"/>
          </w:tcPr>
          <w:p w14:paraId="04315C66">
            <w:pPr>
              <w:adjustRightInd w:val="0"/>
              <w:snapToGrid w:val="0"/>
              <w:jc w:val="center"/>
              <w:rPr>
                <w:rFonts w:ascii="宋体" w:hAnsi="宋体" w:cs="宋体"/>
                <w:color w:val="auto"/>
                <w:szCs w:val="21"/>
                <w:highlight w:val="none"/>
              </w:rPr>
            </w:pPr>
          </w:p>
        </w:tc>
        <w:tc>
          <w:tcPr>
            <w:tcW w:w="455" w:type="pct"/>
            <w:vMerge w:val="continue"/>
            <w:vAlign w:val="center"/>
          </w:tcPr>
          <w:p w14:paraId="0E25198A">
            <w:pPr>
              <w:adjustRightInd w:val="0"/>
              <w:snapToGrid w:val="0"/>
              <w:jc w:val="center"/>
              <w:rPr>
                <w:rFonts w:ascii="宋体" w:hAnsi="宋体" w:cs="宋体"/>
                <w:color w:val="auto"/>
                <w:szCs w:val="21"/>
                <w:highlight w:val="none"/>
              </w:rPr>
            </w:pPr>
          </w:p>
        </w:tc>
        <w:tc>
          <w:tcPr>
            <w:tcW w:w="1141" w:type="pct"/>
            <w:gridSpan w:val="4"/>
            <w:vAlign w:val="center"/>
          </w:tcPr>
          <w:p w14:paraId="60F49DC7">
            <w:pPr>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初级职称人员</w:t>
            </w:r>
          </w:p>
        </w:tc>
        <w:tc>
          <w:tcPr>
            <w:tcW w:w="1124" w:type="pct"/>
            <w:gridSpan w:val="2"/>
            <w:vAlign w:val="center"/>
          </w:tcPr>
          <w:p w14:paraId="665DA7A9">
            <w:pPr>
              <w:adjustRightInd w:val="0"/>
              <w:snapToGrid w:val="0"/>
              <w:jc w:val="center"/>
              <w:rPr>
                <w:rFonts w:ascii="宋体" w:hAnsi="宋体" w:cs="宋体"/>
                <w:color w:val="auto"/>
                <w:szCs w:val="21"/>
                <w:highlight w:val="none"/>
              </w:rPr>
            </w:pPr>
          </w:p>
        </w:tc>
      </w:tr>
      <w:tr w14:paraId="2B05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0" w:hRule="exact"/>
          <w:jc w:val="center"/>
        </w:trPr>
        <w:tc>
          <w:tcPr>
            <w:tcW w:w="1022" w:type="pct"/>
            <w:vAlign w:val="center"/>
          </w:tcPr>
          <w:p w14:paraId="46533A24">
            <w:pPr>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基本账户账号</w:t>
            </w:r>
          </w:p>
        </w:tc>
        <w:tc>
          <w:tcPr>
            <w:tcW w:w="1255" w:type="pct"/>
            <w:gridSpan w:val="2"/>
            <w:vAlign w:val="center"/>
          </w:tcPr>
          <w:p w14:paraId="7E2C8032">
            <w:pPr>
              <w:adjustRightInd w:val="0"/>
              <w:snapToGrid w:val="0"/>
              <w:jc w:val="center"/>
              <w:rPr>
                <w:rFonts w:ascii="宋体" w:hAnsi="宋体" w:cs="宋体"/>
                <w:color w:val="auto"/>
                <w:szCs w:val="21"/>
                <w:highlight w:val="none"/>
              </w:rPr>
            </w:pPr>
          </w:p>
        </w:tc>
        <w:tc>
          <w:tcPr>
            <w:tcW w:w="455" w:type="pct"/>
            <w:vMerge w:val="continue"/>
            <w:vAlign w:val="center"/>
          </w:tcPr>
          <w:p w14:paraId="3F06C675">
            <w:pPr>
              <w:adjustRightInd w:val="0"/>
              <w:snapToGrid w:val="0"/>
              <w:jc w:val="center"/>
              <w:rPr>
                <w:rFonts w:ascii="宋体" w:hAnsi="宋体" w:cs="宋体"/>
                <w:color w:val="auto"/>
                <w:szCs w:val="21"/>
                <w:highlight w:val="none"/>
              </w:rPr>
            </w:pPr>
          </w:p>
        </w:tc>
        <w:tc>
          <w:tcPr>
            <w:tcW w:w="1141" w:type="pct"/>
            <w:gridSpan w:val="4"/>
            <w:vAlign w:val="center"/>
          </w:tcPr>
          <w:p w14:paraId="19CB8D35">
            <w:pPr>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技工</w:t>
            </w:r>
          </w:p>
        </w:tc>
        <w:tc>
          <w:tcPr>
            <w:tcW w:w="1124" w:type="pct"/>
            <w:gridSpan w:val="2"/>
            <w:vAlign w:val="center"/>
          </w:tcPr>
          <w:p w14:paraId="5F4F0C46">
            <w:pPr>
              <w:adjustRightInd w:val="0"/>
              <w:snapToGrid w:val="0"/>
              <w:jc w:val="center"/>
              <w:rPr>
                <w:rFonts w:ascii="宋体" w:hAnsi="宋体" w:cs="宋体"/>
                <w:color w:val="auto"/>
                <w:szCs w:val="21"/>
                <w:highlight w:val="none"/>
              </w:rPr>
            </w:pPr>
          </w:p>
        </w:tc>
      </w:tr>
      <w:tr w14:paraId="7ECC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6" w:hRule="exact"/>
          <w:jc w:val="center"/>
        </w:trPr>
        <w:tc>
          <w:tcPr>
            <w:tcW w:w="1022" w:type="pct"/>
            <w:vAlign w:val="center"/>
          </w:tcPr>
          <w:p w14:paraId="301B293A">
            <w:pPr>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经营范围</w:t>
            </w:r>
          </w:p>
        </w:tc>
        <w:tc>
          <w:tcPr>
            <w:tcW w:w="3977" w:type="pct"/>
            <w:gridSpan w:val="9"/>
            <w:vAlign w:val="center"/>
          </w:tcPr>
          <w:p w14:paraId="330DF186">
            <w:pPr>
              <w:adjustRightInd w:val="0"/>
              <w:snapToGrid w:val="0"/>
              <w:jc w:val="center"/>
              <w:rPr>
                <w:rFonts w:ascii="宋体" w:hAnsi="宋体" w:cs="宋体"/>
                <w:color w:val="auto"/>
                <w:szCs w:val="21"/>
                <w:highlight w:val="none"/>
              </w:rPr>
            </w:pPr>
          </w:p>
        </w:tc>
      </w:tr>
      <w:tr w14:paraId="72BB6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1" w:hRule="exact"/>
          <w:jc w:val="center"/>
        </w:trPr>
        <w:tc>
          <w:tcPr>
            <w:tcW w:w="1022" w:type="pct"/>
            <w:vAlign w:val="center"/>
          </w:tcPr>
          <w:p w14:paraId="4E6A8964">
            <w:pPr>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企业简介</w:t>
            </w:r>
          </w:p>
        </w:tc>
        <w:tc>
          <w:tcPr>
            <w:tcW w:w="3977" w:type="pct"/>
            <w:gridSpan w:val="9"/>
            <w:vAlign w:val="center"/>
          </w:tcPr>
          <w:p w14:paraId="7671EFD7">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（本项内容可另附页）</w:t>
            </w:r>
          </w:p>
        </w:tc>
      </w:tr>
      <w:tr w14:paraId="644E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4" w:hRule="exact"/>
          <w:jc w:val="center"/>
        </w:trPr>
        <w:tc>
          <w:tcPr>
            <w:tcW w:w="1022" w:type="pct"/>
            <w:vAlign w:val="center"/>
          </w:tcPr>
          <w:p w14:paraId="1D4DE4E6">
            <w:pPr>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备注</w:t>
            </w:r>
          </w:p>
        </w:tc>
        <w:tc>
          <w:tcPr>
            <w:tcW w:w="3977" w:type="pct"/>
            <w:gridSpan w:val="9"/>
            <w:vAlign w:val="center"/>
          </w:tcPr>
          <w:p w14:paraId="7448F8A6">
            <w:pPr>
              <w:adjustRightInd w:val="0"/>
              <w:snapToGrid w:val="0"/>
              <w:jc w:val="center"/>
              <w:rPr>
                <w:rFonts w:ascii="宋体" w:hAnsi="宋体" w:cs="宋体"/>
                <w:color w:val="auto"/>
                <w:szCs w:val="21"/>
                <w:highlight w:val="none"/>
              </w:rPr>
            </w:pPr>
          </w:p>
        </w:tc>
      </w:tr>
    </w:tbl>
    <w:p w14:paraId="5245AA79">
      <w:pPr>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备注：联合体投标的，此表联合体各方均需提供。</w:t>
      </w:r>
    </w:p>
    <w:p w14:paraId="142B62EE">
      <w:pPr>
        <w:outlineLvl w:val="1"/>
        <w:rPr>
          <w:rFonts w:ascii="宋体" w:hAnsi="宋体" w:cs="宋体"/>
          <w:b/>
          <w:color w:val="auto"/>
          <w:kern w:val="1"/>
          <w:szCs w:val="21"/>
          <w:highlight w:val="none"/>
          <w:lang w:val="zh-CN"/>
        </w:rPr>
      </w:pPr>
      <w:r>
        <w:rPr>
          <w:rFonts w:hint="eastAsia" w:ascii="宋体" w:hAnsi="宋体" w:cs="宋体"/>
          <w:color w:val="auto"/>
          <w:kern w:val="1"/>
          <w:highlight w:val="none"/>
          <w:lang w:val="zh-CN"/>
        </w:rPr>
        <w:br w:type="page"/>
      </w:r>
      <w:bookmarkStart w:id="596" w:name="_Toc123901764"/>
      <w:bookmarkStart w:id="597" w:name="_Toc116461799"/>
      <w:r>
        <w:rPr>
          <w:rFonts w:hint="eastAsia" w:ascii="宋体" w:hAnsi="宋体" w:cs="宋体"/>
          <w:b/>
          <w:color w:val="auto"/>
          <w:kern w:val="1"/>
          <w:szCs w:val="21"/>
          <w:highlight w:val="none"/>
          <w:lang w:val="zh-CN"/>
        </w:rPr>
        <w:t>格式5-1：投标承诺函</w:t>
      </w:r>
      <w:bookmarkEnd w:id="596"/>
      <w:bookmarkEnd w:id="597"/>
    </w:p>
    <w:p w14:paraId="3B596596">
      <w:pPr>
        <w:autoSpaceDE w:val="0"/>
        <w:autoSpaceDN w:val="0"/>
        <w:adjustRightInd w:val="0"/>
        <w:spacing w:line="360" w:lineRule="auto"/>
        <w:jc w:val="center"/>
        <w:rPr>
          <w:rFonts w:ascii="宋体" w:hAnsi="宋体" w:cs="宋体"/>
          <w:b/>
          <w:bCs/>
          <w:color w:val="auto"/>
          <w:sz w:val="32"/>
          <w:szCs w:val="32"/>
          <w:highlight w:val="none"/>
          <w:lang w:val="zh-CN"/>
        </w:rPr>
      </w:pPr>
      <w:bookmarkStart w:id="598" w:name="_Hlk116425243"/>
    </w:p>
    <w:p w14:paraId="0293E72C">
      <w:pPr>
        <w:autoSpaceDE w:val="0"/>
        <w:autoSpaceDN w:val="0"/>
        <w:adjustRightIn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投标承诺函</w:t>
      </w:r>
    </w:p>
    <w:bookmarkEnd w:id="598"/>
    <w:p w14:paraId="260A022F">
      <w:pPr>
        <w:spacing w:line="360" w:lineRule="auto"/>
        <w:rPr>
          <w:rFonts w:ascii="宋体" w:hAnsi="宋体" w:cs="宋体"/>
          <w:color w:val="auto"/>
          <w:sz w:val="24"/>
          <w:highlight w:val="none"/>
        </w:rPr>
      </w:pPr>
    </w:p>
    <w:p w14:paraId="0F147085">
      <w:pPr>
        <w:spacing w:line="360" w:lineRule="auto"/>
        <w:rPr>
          <w:rFonts w:ascii="宋体" w:hAnsi="宋体" w:cs="宋体"/>
          <w:color w:val="auto"/>
          <w:sz w:val="24"/>
          <w:highlight w:val="none"/>
        </w:rPr>
      </w:pPr>
      <w:r>
        <w:rPr>
          <w:rFonts w:hint="eastAsia" w:ascii="宋体" w:hAnsi="宋体" w:cs="宋体"/>
          <w:color w:val="auto"/>
          <w:sz w:val="24"/>
          <w:highlight w:val="none"/>
        </w:rPr>
        <w:t>（招标人名称）：</w:t>
      </w:r>
    </w:p>
    <w:p w14:paraId="43A38A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已仔细研究了（项目名称）招标文件的全部内容，愿意以《投标书》中承诺的投标报价和工期，按招标内容范围和合同约定进行设计、实施和竣工承包工程，修补工程中的任何缺陷，实现工程目的。我方充分了解了现场条件对可能存在的所有风险都已充分考虑，我方放弃在此方面提出含糊意见或误解的一切权力，承认招标文件的所有条款，按招标文件规定条款完成本次招标项目的内容。我方没有备选投标方案。</w:t>
      </w:r>
    </w:p>
    <w:p w14:paraId="0A3B24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我方已充分阅读了本项目招标文件并充分了解有关报价方式及变更、结算方式，我方完全响应招标文件的规定。</w:t>
      </w:r>
    </w:p>
    <w:p w14:paraId="3865EF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3．我方承诺投标文件中的一切资料、数据是真实的，并承担由此引起的一切责任。</w:t>
      </w:r>
    </w:p>
    <w:p w14:paraId="241487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4．我方承诺在招标文件规定的投标有效期内不修改、撤销投标文件。</w:t>
      </w:r>
    </w:p>
    <w:p w14:paraId="210D69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5．我方如果中标，我方保证：</w:t>
      </w:r>
    </w:p>
    <w:p w14:paraId="14B1DB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（1）保证履行招标文件以及招标文件修改书(如有)中的全部责任和义务，在中标通知书规定的时间内签订合同，并严格按国家有关法规履行我方的全部责任，按质、按量、按期完成合同约定的全部任务。</w:t>
      </w:r>
    </w:p>
    <w:p w14:paraId="7B4459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保证将我方的资质承包范围不能涵盖或不具备相应能力(该能力须保证进度和质量且须获得招标人认可)的部分专业工程（如果有），委托获得招标人批准的具备相应专业资质和能力的单位实施，确保项目质量及进度。</w:t>
      </w:r>
    </w:p>
    <w:p w14:paraId="49B070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保证所完成的设计将完全符合国家相关规范要求，符合或优于招标文件、技术条件、合同条款的要求。若我方完成的设计文件未能达到招标人（或相关政府部门）的要求，我方将无条件根据要求进行修改设计文件，直至得到招标人（及相关政府部门）的认可为止。</w:t>
      </w:r>
    </w:p>
    <w:p w14:paraId="3B0FA4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（4）保证尽一切力量确保投标承诺的竣工日期，若我方未能按投标承诺的工期完成本项目，除承担合同约定的违约责任外，招标人有权解除合同，我方承担由于违约解除合同退场造成的对招标人的一切损失。</w:t>
      </w:r>
    </w:p>
    <w:p w14:paraId="61D4419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（5）保证所投入本项目的主要材料、设备质量符合或优于招标文件要求，所投入本项目的辅助设备、材料与主主要材料、设备质量一致并有良好的配套性。</w:t>
      </w:r>
      <w:r>
        <w:rPr>
          <w:color w:val="auto"/>
          <w:highlight w:val="none"/>
        </w:rPr>
        <w:fldChar w:fldCharType="begin"/>
      </w:r>
      <w:r>
        <w:rPr>
          <w:color w:val="auto"/>
          <w:highlight w:val="none"/>
        </w:rPr>
        <w:instrText xml:space="preserve"> HYPERLINK "javascript:;" \t "_self" </w:instrText>
      </w:r>
      <w:r>
        <w:rPr>
          <w:color w:val="auto"/>
          <w:highlight w:val="none"/>
        </w:rPr>
        <w:fldChar w:fldCharType="separate"/>
      </w:r>
      <w:r>
        <w:rPr>
          <w:color w:val="auto"/>
          <w:highlight w:val="none"/>
        </w:rPr>
        <w:fldChar w:fldCharType="end"/>
      </w:r>
    </w:p>
    <w:p w14:paraId="3476D2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（6）保证按照招标文件的要求确保安全生产及文明施工，如有违反，我方愿意按合同约定承担违约责任，并为此负相关的法律责任。</w:t>
      </w:r>
    </w:p>
    <w:p w14:paraId="777A44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（7）保证按国家的有关规定制订保证民工工资支付的方案及保证措施，否则，我方愿按合同条款规定承担违约责任并赔偿招标人的全部损失。</w:t>
      </w:r>
    </w:p>
    <w:p w14:paraId="1297A4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（8）保证按施工期间做好安全文明和交通保证措施，施工区全封闭围挡，根据工程进度计划分段施工分期围挡。最大限度满足交通和市民出行方便，施工行为做到便民，不扰民。</w:t>
      </w:r>
    </w:p>
    <w:p w14:paraId="2F3126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（9）保证按招标人工期要求编制施工进度计划，计划内用全面详实，根据项目特点合理组织分段施工，分段逐步移交。</w:t>
      </w:r>
    </w:p>
    <w:p w14:paraId="174FEF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0</w:t>
      </w:r>
      <w:r>
        <w:rPr>
          <w:rFonts w:hint="eastAsia" w:ascii="宋体" w:hAnsi="宋体" w:cs="宋体"/>
          <w:color w:val="auto"/>
          <w:sz w:val="24"/>
          <w:highlight w:val="none"/>
        </w:rPr>
        <w:t>）保证在公示后3天内将在交易平台下载的投标文件打印1正4副纸质版并加盖单位公章，合共5套投标文件提供给招标人，相关费用由我方支付。并承诺纸质版投标文件与在交易平台提交的电子版投标文件完全一致，如出现不一致则以交易平台提交的电子版投标文件为准。</w:t>
      </w:r>
    </w:p>
    <w:p w14:paraId="00D3E4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szCs w:val="24"/>
          <w:highlight w:val="none"/>
        </w:rPr>
        <w:t>中标后，我司将按不低于招标合同要求的《承包人拟投入本工程主要工程管理人员一览表》《主要设计人员及驻场人员配备表》配置人员，并根据工程的实际情况委派符合要求（相应等级及数量）的注册建造师及专职安全人员，负责相应工程的报建报批及具体实施，委派的注册建造师及专职安全员须经招标人同意</w:t>
      </w:r>
      <w:r>
        <w:rPr>
          <w:rFonts w:hint="eastAsia" w:ascii="宋体" w:hAnsi="宋体" w:cs="宋体"/>
          <w:color w:val="auto"/>
          <w:sz w:val="24"/>
          <w:highlight w:val="none"/>
        </w:rPr>
        <w:t>。我方承诺，上述人员均为我方正式员工，我方在中标后一并提供满足要求的资格资历证明文件以及上述人员在我单位（或联合体单位）的有效社保证明文件供贵单位审核。如配备的人员不满足要求，我方承诺按合同约定承担违约责任。</w:t>
      </w:r>
    </w:p>
    <w:p w14:paraId="2AA0A043">
      <w:pPr>
        <w:spacing w:line="360" w:lineRule="auto"/>
        <w:ind w:firstLine="480" w:firstLineChars="200"/>
        <w:rPr>
          <w:rFonts w:ascii="宋体" w:hAnsi="宋体" w:cs="宋体"/>
          <w:color w:val="auto"/>
          <w:sz w:val="24"/>
          <w:highlight w:val="none"/>
        </w:rPr>
      </w:pPr>
    </w:p>
    <w:p w14:paraId="058A65F5">
      <w:pPr>
        <w:tabs>
          <w:tab w:val="left" w:pos="7655"/>
        </w:tabs>
        <w:spacing w:line="360" w:lineRule="auto"/>
        <w:ind w:firstLine="1656" w:firstLineChars="600"/>
        <w:jc w:val="left"/>
        <w:rPr>
          <w:rFonts w:ascii="宋体" w:hAnsi="宋体" w:cs="宋体"/>
          <w:color w:val="auto"/>
          <w:spacing w:val="18"/>
          <w:kern w:val="1"/>
          <w:sz w:val="24"/>
          <w:highlight w:val="none"/>
          <w:lang w:val="zh-CN"/>
        </w:rPr>
      </w:pPr>
    </w:p>
    <w:p w14:paraId="7A954600">
      <w:pPr>
        <w:tabs>
          <w:tab w:val="left" w:pos="7655"/>
        </w:tabs>
        <w:spacing w:line="360" w:lineRule="auto"/>
        <w:ind w:firstLine="1656" w:firstLineChars="600"/>
        <w:jc w:val="left"/>
        <w:rPr>
          <w:rFonts w:ascii="宋体" w:hAnsi="宋体" w:cs="宋体"/>
          <w:color w:val="auto"/>
          <w:spacing w:val="18"/>
          <w:kern w:val="1"/>
          <w:sz w:val="24"/>
          <w:highlight w:val="none"/>
        </w:rPr>
      </w:pPr>
      <w:r>
        <w:rPr>
          <w:rFonts w:hint="eastAsia" w:ascii="宋体" w:hAnsi="宋体" w:cs="宋体"/>
          <w:color w:val="auto"/>
          <w:spacing w:val="18"/>
          <w:kern w:val="1"/>
          <w:sz w:val="24"/>
          <w:highlight w:val="none"/>
          <w:lang w:val="zh-CN"/>
        </w:rPr>
        <w:t>投标人：(盖章)</w:t>
      </w:r>
    </w:p>
    <w:p w14:paraId="3A025103">
      <w:pPr>
        <w:tabs>
          <w:tab w:val="left" w:pos="7655"/>
        </w:tabs>
        <w:spacing w:line="360" w:lineRule="auto"/>
        <w:ind w:firstLine="1656" w:firstLineChars="600"/>
        <w:jc w:val="left"/>
        <w:rPr>
          <w:rFonts w:ascii="宋体" w:hAnsi="宋体" w:cs="宋体"/>
          <w:color w:val="auto"/>
          <w:spacing w:val="18"/>
          <w:kern w:val="1"/>
          <w:sz w:val="24"/>
          <w:highlight w:val="none"/>
          <w:lang w:val="zh-CN"/>
        </w:rPr>
      </w:pPr>
      <w:r>
        <w:rPr>
          <w:rFonts w:hint="eastAsia" w:ascii="宋体" w:hAnsi="宋体" w:cs="宋体"/>
          <w:color w:val="auto"/>
          <w:spacing w:val="18"/>
          <w:kern w:val="1"/>
          <w:sz w:val="24"/>
          <w:highlight w:val="none"/>
          <w:lang w:val="zh-CN"/>
        </w:rPr>
        <w:t>日期：年月日</w:t>
      </w:r>
    </w:p>
    <w:p w14:paraId="6053D3A9">
      <w:pPr>
        <w:pStyle w:val="14"/>
        <w:ind w:firstLine="0"/>
        <w:rPr>
          <w:rFonts w:ascii="宋体" w:hAnsi="宋体" w:cs="宋体"/>
          <w:color w:val="auto"/>
          <w:szCs w:val="21"/>
          <w:highlight w:val="none"/>
        </w:rPr>
      </w:pPr>
    </w:p>
    <w:p w14:paraId="471A3D09">
      <w:pPr>
        <w:autoSpaceDE/>
        <w:autoSpaceDN/>
        <w:adjustRightInd/>
        <w:spacing w:line="240" w:lineRule="auto"/>
        <w:outlineLvl w:val="1"/>
        <w:rPr>
          <w:rFonts w:ascii="宋体" w:hAnsi="宋体" w:cs="宋体"/>
          <w:color w:val="auto"/>
          <w:sz w:val="32"/>
          <w:szCs w:val="32"/>
          <w:highlight w:val="none"/>
        </w:rPr>
      </w:pPr>
      <w:r>
        <w:rPr>
          <w:rFonts w:ascii="宋体" w:hAnsi="宋体" w:cs="宋体"/>
          <w:color w:val="auto"/>
          <w:szCs w:val="21"/>
          <w:highlight w:val="none"/>
        </w:rPr>
        <w:br w:type="page"/>
      </w:r>
      <w:r>
        <w:rPr>
          <w:rFonts w:hint="eastAsia" w:ascii="宋体" w:hAnsi="宋体" w:cs="宋体"/>
          <w:b/>
          <w:color w:val="auto"/>
          <w:kern w:val="1"/>
          <w:szCs w:val="21"/>
          <w:highlight w:val="none"/>
          <w:lang w:val="zh-CN"/>
        </w:rPr>
        <w:t>格式5-2：报价承诺书</w:t>
      </w:r>
    </w:p>
    <w:p w14:paraId="077207F2">
      <w:pPr>
        <w:autoSpaceDE w:val="0"/>
        <w:autoSpaceDN w:val="0"/>
        <w:adjustRightIn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报价承诺书</w:t>
      </w:r>
    </w:p>
    <w:p w14:paraId="6F3D96CE">
      <w:pPr>
        <w:spacing w:line="360" w:lineRule="auto"/>
        <w:rPr>
          <w:rFonts w:ascii="宋体" w:hAnsi="宋体" w:cs="宋体"/>
          <w:color w:val="auto"/>
          <w:sz w:val="24"/>
          <w:highlight w:val="none"/>
        </w:rPr>
      </w:pPr>
    </w:p>
    <w:p w14:paraId="6EC390CC">
      <w:pPr>
        <w:spacing w:line="500" w:lineRule="exact"/>
        <w:rPr>
          <w:rFonts w:ascii="宋体" w:hAnsi="宋体" w:cs="宋体"/>
          <w:color w:val="auto"/>
          <w:sz w:val="24"/>
          <w:highlight w:val="none"/>
        </w:rPr>
      </w:pPr>
      <w:r>
        <w:rPr>
          <w:rFonts w:hint="eastAsia" w:ascii="宋体" w:hAnsi="宋体" w:cs="宋体"/>
          <w:color w:val="auto"/>
          <w:sz w:val="24"/>
          <w:highlight w:val="none"/>
        </w:rPr>
        <w:t>致：科学城（广州）城市更新集团有限公司</w:t>
      </w:r>
    </w:p>
    <w:p w14:paraId="66597A15">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我方完全理解并响应招标人的初步设计图纸、最高投标限价的所有内容，所报下浮率综合考虑企业成本、市场价格、施工现场情况及各种风险因素。施工图及施工图预算按招标公告发布的图纸、最高投标限价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合同要求等</w:t>
      </w:r>
      <w:r>
        <w:rPr>
          <w:rFonts w:hint="eastAsia" w:ascii="宋体" w:hAnsi="宋体" w:cs="宋体"/>
          <w:color w:val="auto"/>
          <w:sz w:val="24"/>
          <w:highlight w:val="none"/>
        </w:rPr>
        <w:t>所有内容为基础，以此作为施工图预算和结算的依据，完善后报招标人审批。</w:t>
      </w:r>
    </w:p>
    <w:p w14:paraId="1BA5A11E">
      <w:pPr>
        <w:spacing w:line="500" w:lineRule="exact"/>
        <w:ind w:firstLine="480" w:firstLineChars="200"/>
        <w:rPr>
          <w:rFonts w:ascii="宋体" w:hAnsi="宋体" w:cs="宋体"/>
          <w:color w:val="auto"/>
          <w:sz w:val="24"/>
          <w:highlight w:val="none"/>
        </w:rPr>
      </w:pPr>
    </w:p>
    <w:p w14:paraId="1F9A9229">
      <w:pPr>
        <w:spacing w:line="360" w:lineRule="auto"/>
        <w:ind w:firstLine="480" w:firstLineChars="200"/>
        <w:rPr>
          <w:rFonts w:ascii="宋体" w:hAnsi="宋体" w:cs="宋体"/>
          <w:color w:val="auto"/>
          <w:sz w:val="24"/>
          <w:highlight w:val="none"/>
        </w:rPr>
      </w:pPr>
    </w:p>
    <w:p w14:paraId="1279A81C">
      <w:pPr>
        <w:tabs>
          <w:tab w:val="left" w:pos="7655"/>
        </w:tabs>
        <w:spacing w:line="360" w:lineRule="auto"/>
        <w:ind w:firstLine="1656" w:firstLineChars="600"/>
        <w:jc w:val="left"/>
        <w:rPr>
          <w:rFonts w:ascii="宋体" w:hAnsi="宋体" w:cs="宋体"/>
          <w:color w:val="auto"/>
          <w:spacing w:val="18"/>
          <w:kern w:val="1"/>
          <w:sz w:val="24"/>
          <w:highlight w:val="none"/>
          <w:lang w:val="zh-CN"/>
        </w:rPr>
      </w:pPr>
    </w:p>
    <w:p w14:paraId="6A6A828B">
      <w:pPr>
        <w:tabs>
          <w:tab w:val="left" w:pos="7655"/>
        </w:tabs>
        <w:spacing w:line="360" w:lineRule="auto"/>
        <w:ind w:firstLine="1656" w:firstLineChars="600"/>
        <w:jc w:val="left"/>
        <w:rPr>
          <w:rFonts w:ascii="宋体" w:hAnsi="宋体" w:cs="宋体"/>
          <w:color w:val="auto"/>
          <w:spacing w:val="18"/>
          <w:kern w:val="1"/>
          <w:sz w:val="24"/>
          <w:highlight w:val="none"/>
        </w:rPr>
      </w:pPr>
      <w:r>
        <w:rPr>
          <w:rFonts w:hint="eastAsia" w:ascii="宋体" w:hAnsi="宋体" w:cs="宋体"/>
          <w:color w:val="auto"/>
          <w:spacing w:val="18"/>
          <w:kern w:val="1"/>
          <w:sz w:val="24"/>
          <w:highlight w:val="none"/>
          <w:lang w:val="zh-CN"/>
        </w:rPr>
        <w:t>投标人：(盖章)</w:t>
      </w:r>
    </w:p>
    <w:p w14:paraId="23ADF023">
      <w:pPr>
        <w:tabs>
          <w:tab w:val="left" w:pos="7655"/>
        </w:tabs>
        <w:spacing w:line="360" w:lineRule="auto"/>
        <w:ind w:firstLine="1656" w:firstLineChars="600"/>
        <w:jc w:val="left"/>
        <w:rPr>
          <w:rFonts w:ascii="宋体" w:hAnsi="宋体" w:cs="宋体"/>
          <w:color w:val="auto"/>
          <w:spacing w:val="18"/>
          <w:kern w:val="1"/>
          <w:sz w:val="24"/>
          <w:highlight w:val="none"/>
          <w:lang w:val="zh-CN"/>
        </w:rPr>
      </w:pPr>
      <w:r>
        <w:rPr>
          <w:rFonts w:hint="eastAsia" w:ascii="宋体" w:hAnsi="宋体" w:cs="宋体"/>
          <w:color w:val="auto"/>
          <w:spacing w:val="18"/>
          <w:kern w:val="1"/>
          <w:sz w:val="24"/>
          <w:highlight w:val="none"/>
          <w:lang w:val="zh-CN"/>
        </w:rPr>
        <w:t>日期：年月日</w:t>
      </w:r>
    </w:p>
    <w:p w14:paraId="3ACDBE1D">
      <w:pPr>
        <w:spacing w:line="360" w:lineRule="auto"/>
        <w:rPr>
          <w:rFonts w:ascii="宋体" w:hAnsi="宋体" w:cs="宋体"/>
          <w:color w:val="auto"/>
          <w:sz w:val="24"/>
          <w:highlight w:val="none"/>
        </w:rPr>
      </w:pPr>
    </w:p>
    <w:p w14:paraId="709EE818">
      <w:pPr>
        <w:spacing w:line="360" w:lineRule="auto"/>
        <w:rPr>
          <w:rFonts w:ascii="宋体" w:hAnsi="宋体" w:cs="宋体"/>
          <w:color w:val="auto"/>
          <w:sz w:val="24"/>
          <w:highlight w:val="none"/>
        </w:rPr>
      </w:pPr>
    </w:p>
    <w:p w14:paraId="0F4D178A">
      <w:pPr>
        <w:outlineLvl w:val="9"/>
        <w:rPr>
          <w:rFonts w:ascii="宋体" w:hAnsi="宋体" w:cs="宋体"/>
          <w:b/>
          <w:color w:val="auto"/>
          <w:kern w:val="1"/>
          <w:szCs w:val="21"/>
          <w:highlight w:val="none"/>
          <w:lang w:val="zh-CN"/>
        </w:rPr>
      </w:pPr>
      <w:r>
        <w:rPr>
          <w:rFonts w:ascii="宋体" w:hAnsi="宋体" w:cs="宋体"/>
          <w:color w:val="auto"/>
          <w:szCs w:val="21"/>
          <w:highlight w:val="none"/>
        </w:rPr>
        <w:br w:type="page"/>
      </w:r>
    </w:p>
    <w:p w14:paraId="25F5BCB8">
      <w:pPr>
        <w:spacing w:line="240" w:lineRule="auto"/>
        <w:outlineLvl w:val="1"/>
        <w:rPr>
          <w:rFonts w:hint="eastAsia" w:ascii="宋体" w:hAnsi="宋体" w:cs="宋体"/>
          <w:b/>
          <w:color w:val="auto"/>
          <w:kern w:val="1"/>
          <w:szCs w:val="21"/>
          <w:highlight w:val="none"/>
          <w:lang w:val="zh-CN"/>
        </w:rPr>
      </w:pPr>
      <w:bookmarkStart w:id="599" w:name="_Toc9033"/>
      <w:bookmarkStart w:id="600" w:name="_Toc25710"/>
      <w:bookmarkStart w:id="601" w:name="_Toc116461800"/>
      <w:bookmarkStart w:id="602" w:name="_Toc123901765"/>
      <w:r>
        <w:rPr>
          <w:rFonts w:hint="eastAsia" w:ascii="宋体" w:hAnsi="宋体" w:cs="宋体"/>
          <w:b/>
          <w:color w:val="auto"/>
          <w:kern w:val="1"/>
          <w:szCs w:val="21"/>
          <w:highlight w:val="none"/>
          <w:lang w:val="zh-CN"/>
        </w:rPr>
        <w:t>格式6</w:t>
      </w:r>
      <w:bookmarkEnd w:id="599"/>
      <w:bookmarkEnd w:id="600"/>
      <w:r>
        <w:rPr>
          <w:rFonts w:hint="eastAsia" w:ascii="宋体" w:hAnsi="宋体" w:cs="宋体"/>
          <w:b/>
          <w:color w:val="auto"/>
          <w:kern w:val="1"/>
          <w:szCs w:val="21"/>
          <w:highlight w:val="none"/>
          <w:lang w:val="zh-CN"/>
        </w:rPr>
        <w:t>：企业资信资料</w:t>
      </w:r>
      <w:bookmarkEnd w:id="601"/>
      <w:bookmarkEnd w:id="602"/>
    </w:p>
    <w:p w14:paraId="7BAED9A5">
      <w:pPr>
        <w:autoSpaceDE w:val="0"/>
        <w:autoSpaceDN w:val="0"/>
        <w:adjustRightInd w:val="0"/>
        <w:spacing w:line="360" w:lineRule="auto"/>
        <w:jc w:val="center"/>
        <w:rPr>
          <w:rFonts w:ascii="宋体" w:hAnsi="宋体" w:cs="宋体"/>
          <w:b/>
          <w:bCs/>
          <w:color w:val="auto"/>
          <w:sz w:val="32"/>
          <w:szCs w:val="32"/>
          <w:highlight w:val="none"/>
          <w:lang w:val="zh-CN"/>
        </w:rPr>
      </w:pPr>
    </w:p>
    <w:p w14:paraId="5F1841EF">
      <w:pPr>
        <w:spacing w:line="360" w:lineRule="auto"/>
        <w:rPr>
          <w:rFonts w:ascii="宋体" w:hAnsi="宋体" w:cs="宋体"/>
          <w:b/>
          <w:color w:val="auto"/>
          <w:spacing w:val="20"/>
          <w:kern w:val="1"/>
          <w:highlight w:val="none"/>
        </w:rPr>
      </w:pPr>
      <w:r>
        <w:rPr>
          <w:rFonts w:hint="eastAsia" w:ascii="宋体" w:hAnsi="宋体" w:cs="宋体"/>
          <w:b/>
          <w:bCs/>
          <w:color w:val="auto"/>
          <w:kern w:val="1"/>
          <w:sz w:val="24"/>
          <w:highlight w:val="none"/>
          <w:lang w:val="zh-CN"/>
        </w:rPr>
        <w:t>（</w:t>
      </w:r>
      <w:r>
        <w:rPr>
          <w:rFonts w:ascii="宋体" w:hAnsi="宋体" w:cs="宋体"/>
          <w:b/>
          <w:bCs/>
          <w:color w:val="auto"/>
          <w:kern w:val="1"/>
          <w:sz w:val="24"/>
          <w:highlight w:val="none"/>
          <w:lang w:val="zh-CN"/>
        </w:rPr>
        <w:t>1</w:t>
      </w:r>
      <w:r>
        <w:rPr>
          <w:rFonts w:hint="eastAsia" w:ascii="宋体" w:hAnsi="宋体" w:cs="宋体"/>
          <w:b/>
          <w:bCs/>
          <w:color w:val="auto"/>
          <w:kern w:val="1"/>
          <w:sz w:val="24"/>
          <w:highlight w:val="none"/>
          <w:lang w:val="zh-CN"/>
        </w:rPr>
        <w:t>）企业类似业绩资料</w:t>
      </w:r>
    </w:p>
    <w:p w14:paraId="234E4548">
      <w:pPr>
        <w:autoSpaceDE w:val="0"/>
        <w:autoSpaceDN w:val="0"/>
        <w:adjustRightIn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企业类似业绩一览表（设计方）</w:t>
      </w:r>
    </w:p>
    <w:tbl>
      <w:tblPr>
        <w:tblStyle w:val="45"/>
        <w:tblW w:w="4997" w:type="pct"/>
        <w:jc w:val="center"/>
        <w:tblLayout w:type="autofit"/>
        <w:tblCellMar>
          <w:top w:w="0" w:type="dxa"/>
          <w:left w:w="108" w:type="dxa"/>
          <w:bottom w:w="0" w:type="dxa"/>
          <w:right w:w="108" w:type="dxa"/>
        </w:tblCellMar>
      </w:tblPr>
      <w:tblGrid>
        <w:gridCol w:w="566"/>
        <w:gridCol w:w="767"/>
        <w:gridCol w:w="768"/>
        <w:gridCol w:w="768"/>
        <w:gridCol w:w="768"/>
        <w:gridCol w:w="1271"/>
        <w:gridCol w:w="1201"/>
        <w:gridCol w:w="1067"/>
        <w:gridCol w:w="2106"/>
      </w:tblGrid>
      <w:tr w14:paraId="19EC6D9F">
        <w:tblPrEx>
          <w:tblCellMar>
            <w:top w:w="0" w:type="dxa"/>
            <w:left w:w="108" w:type="dxa"/>
            <w:bottom w:w="0" w:type="dxa"/>
            <w:right w:w="108" w:type="dxa"/>
          </w:tblCellMar>
        </w:tblPrEx>
        <w:trPr>
          <w:trHeight w:val="1241" w:hRule="atLeast"/>
          <w:jc w:val="center"/>
        </w:trPr>
        <w:tc>
          <w:tcPr>
            <w:tcW w:w="305" w:type="pct"/>
            <w:tcBorders>
              <w:top w:val="single" w:color="000000" w:sz="4" w:space="0"/>
              <w:left w:val="single" w:color="000000" w:sz="4" w:space="0"/>
              <w:bottom w:val="single" w:color="000000" w:sz="4" w:space="0"/>
              <w:right w:val="single" w:color="000000" w:sz="4" w:space="0"/>
            </w:tcBorders>
            <w:vAlign w:val="center"/>
          </w:tcPr>
          <w:p w14:paraId="664D96E9">
            <w:pPr>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序号</w:t>
            </w:r>
          </w:p>
        </w:tc>
        <w:tc>
          <w:tcPr>
            <w:tcW w:w="413" w:type="pct"/>
            <w:tcBorders>
              <w:top w:val="single" w:color="000000" w:sz="4" w:space="0"/>
              <w:left w:val="single" w:color="000000" w:sz="4" w:space="0"/>
              <w:bottom w:val="single" w:color="000000" w:sz="4" w:space="0"/>
              <w:right w:val="single" w:color="000000" w:sz="4" w:space="0"/>
            </w:tcBorders>
            <w:vAlign w:val="center"/>
          </w:tcPr>
          <w:p w14:paraId="710B9BF7">
            <w:pPr>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工程类别</w:t>
            </w:r>
          </w:p>
        </w:tc>
        <w:tc>
          <w:tcPr>
            <w:tcW w:w="413" w:type="pct"/>
            <w:tcBorders>
              <w:top w:val="single" w:color="000000" w:sz="4" w:space="0"/>
              <w:left w:val="single" w:color="000000" w:sz="4" w:space="0"/>
              <w:bottom w:val="single" w:color="000000" w:sz="4" w:space="0"/>
              <w:right w:val="single" w:color="000000" w:sz="4" w:space="0"/>
            </w:tcBorders>
            <w:vAlign w:val="center"/>
          </w:tcPr>
          <w:p w14:paraId="6C47A44B">
            <w:pPr>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工程名称</w:t>
            </w:r>
          </w:p>
        </w:tc>
        <w:tc>
          <w:tcPr>
            <w:tcW w:w="413" w:type="pct"/>
            <w:tcBorders>
              <w:top w:val="single" w:color="000000" w:sz="4" w:space="0"/>
              <w:left w:val="single" w:color="000000" w:sz="4" w:space="0"/>
              <w:bottom w:val="single" w:color="000000" w:sz="4" w:space="0"/>
              <w:right w:val="single" w:color="000000" w:sz="4" w:space="0"/>
            </w:tcBorders>
            <w:vAlign w:val="center"/>
          </w:tcPr>
          <w:p w14:paraId="6D0A3097">
            <w:pPr>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工程地址</w:t>
            </w:r>
          </w:p>
        </w:tc>
        <w:tc>
          <w:tcPr>
            <w:tcW w:w="413" w:type="pct"/>
            <w:tcBorders>
              <w:top w:val="single" w:color="000000" w:sz="4" w:space="0"/>
              <w:left w:val="single" w:color="000000" w:sz="4" w:space="0"/>
              <w:bottom w:val="single" w:color="000000" w:sz="4" w:space="0"/>
              <w:right w:val="single" w:color="000000" w:sz="4" w:space="0"/>
            </w:tcBorders>
            <w:vAlign w:val="center"/>
          </w:tcPr>
          <w:p w14:paraId="3061F33B">
            <w:pPr>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建设单位</w:t>
            </w:r>
          </w:p>
        </w:tc>
        <w:tc>
          <w:tcPr>
            <w:tcW w:w="684" w:type="pct"/>
            <w:tcBorders>
              <w:top w:val="single" w:color="000000" w:sz="4" w:space="0"/>
              <w:left w:val="single" w:color="000000" w:sz="4" w:space="0"/>
              <w:bottom w:val="single" w:color="000000" w:sz="4" w:space="0"/>
              <w:right w:val="single" w:color="000000" w:sz="4" w:space="0"/>
            </w:tcBorders>
            <w:vAlign w:val="center"/>
          </w:tcPr>
          <w:p w14:paraId="5FA4905B">
            <w:pPr>
              <w:jc w:val="center"/>
              <w:rPr>
                <w:rFonts w:ascii="宋体" w:hAnsi="宋体" w:cs="宋体"/>
                <w:color w:val="auto"/>
                <w:kern w:val="1"/>
                <w:szCs w:val="21"/>
                <w:highlight w:val="none"/>
              </w:rPr>
            </w:pPr>
            <w:r>
              <w:rPr>
                <w:rFonts w:hint="eastAsia" w:ascii="宋体" w:hAnsi="宋体" w:cs="宋体"/>
                <w:color w:val="auto"/>
                <w:kern w:val="1"/>
                <w:szCs w:val="21"/>
                <w:highlight w:val="none"/>
              </w:rPr>
              <w:t>工程规模（m</w:t>
            </w:r>
            <w:r>
              <w:rPr>
                <w:rFonts w:hint="eastAsia" w:ascii="宋体" w:hAnsi="宋体" w:cs="宋体"/>
                <w:color w:val="auto"/>
                <w:kern w:val="1"/>
                <w:szCs w:val="21"/>
                <w:highlight w:val="none"/>
                <w:vertAlign w:val="superscript"/>
              </w:rPr>
              <w:t>2</w:t>
            </w:r>
            <w:r>
              <w:rPr>
                <w:rFonts w:hint="eastAsia" w:ascii="宋体" w:hAnsi="宋体" w:cs="宋体"/>
                <w:color w:val="auto"/>
                <w:kern w:val="1"/>
                <w:szCs w:val="21"/>
                <w:highlight w:val="none"/>
              </w:rPr>
              <w:t>）</w:t>
            </w:r>
          </w:p>
        </w:tc>
        <w:tc>
          <w:tcPr>
            <w:tcW w:w="646" w:type="pct"/>
            <w:tcBorders>
              <w:top w:val="single" w:color="000000" w:sz="4" w:space="0"/>
              <w:left w:val="single" w:color="000000" w:sz="4" w:space="0"/>
              <w:bottom w:val="single" w:color="000000" w:sz="4" w:space="0"/>
              <w:right w:val="single" w:color="000000" w:sz="4" w:space="0"/>
            </w:tcBorders>
            <w:vAlign w:val="center"/>
          </w:tcPr>
          <w:p w14:paraId="2ECC0A57">
            <w:pPr>
              <w:jc w:val="center"/>
              <w:rPr>
                <w:rFonts w:ascii="宋体" w:hAnsi="宋体" w:cs="宋体"/>
                <w:color w:val="auto"/>
                <w:kern w:val="1"/>
                <w:szCs w:val="21"/>
                <w:highlight w:val="none"/>
              </w:rPr>
            </w:pPr>
            <w:r>
              <w:rPr>
                <w:rFonts w:hint="eastAsia" w:ascii="宋体" w:hAnsi="宋体" w:cs="宋体"/>
                <w:color w:val="auto"/>
                <w:kern w:val="1"/>
                <w:szCs w:val="21"/>
                <w:highlight w:val="none"/>
              </w:rPr>
              <w:t>建安费（万元）</w:t>
            </w:r>
          </w:p>
        </w:tc>
        <w:tc>
          <w:tcPr>
            <w:tcW w:w="574" w:type="pct"/>
            <w:tcBorders>
              <w:top w:val="single" w:color="000000" w:sz="4" w:space="0"/>
              <w:left w:val="single" w:color="000000" w:sz="4" w:space="0"/>
              <w:bottom w:val="single" w:color="000000" w:sz="4" w:space="0"/>
              <w:right w:val="single" w:color="000000" w:sz="4" w:space="0"/>
            </w:tcBorders>
            <w:vAlign w:val="center"/>
          </w:tcPr>
          <w:p w14:paraId="468258A7">
            <w:pPr>
              <w:jc w:val="center"/>
              <w:rPr>
                <w:rFonts w:ascii="宋体" w:hAnsi="宋体" w:cs="宋体"/>
                <w:color w:val="auto"/>
                <w:kern w:val="1"/>
                <w:szCs w:val="21"/>
                <w:highlight w:val="none"/>
              </w:rPr>
            </w:pPr>
            <w:r>
              <w:rPr>
                <w:rFonts w:hint="eastAsia" w:ascii="宋体" w:hAnsi="宋体" w:cs="宋体"/>
                <w:color w:val="auto"/>
                <w:kern w:val="1"/>
                <w:szCs w:val="21"/>
                <w:highlight w:val="none"/>
              </w:rPr>
              <w:t>层数</w:t>
            </w:r>
          </w:p>
        </w:tc>
        <w:tc>
          <w:tcPr>
            <w:tcW w:w="1133" w:type="pct"/>
            <w:tcBorders>
              <w:top w:val="single" w:color="000000" w:sz="4" w:space="0"/>
              <w:left w:val="single" w:color="000000" w:sz="4" w:space="0"/>
              <w:bottom w:val="single" w:color="000000" w:sz="4" w:space="0"/>
              <w:right w:val="single" w:color="000000" w:sz="4" w:space="0"/>
            </w:tcBorders>
            <w:vAlign w:val="center"/>
          </w:tcPr>
          <w:p w14:paraId="55DA02AA">
            <w:pPr>
              <w:jc w:val="center"/>
              <w:rPr>
                <w:rFonts w:ascii="宋体" w:hAnsi="宋体" w:cs="宋体"/>
                <w:color w:val="auto"/>
                <w:kern w:val="1"/>
                <w:szCs w:val="21"/>
                <w:highlight w:val="none"/>
              </w:rPr>
            </w:pPr>
            <w:r>
              <w:rPr>
                <w:rFonts w:hint="eastAsia" w:ascii="宋体" w:hAnsi="宋体" w:cs="宋体"/>
                <w:color w:val="auto"/>
                <w:kern w:val="1"/>
                <w:szCs w:val="21"/>
                <w:highlight w:val="none"/>
              </w:rPr>
              <w:t>...（投标单位可自行增加评审相关内容）</w:t>
            </w:r>
          </w:p>
        </w:tc>
      </w:tr>
      <w:tr w14:paraId="624D5FC6">
        <w:tblPrEx>
          <w:tblCellMar>
            <w:top w:w="0" w:type="dxa"/>
            <w:left w:w="108" w:type="dxa"/>
            <w:bottom w:w="0" w:type="dxa"/>
            <w:right w:w="108" w:type="dxa"/>
          </w:tblCellMar>
        </w:tblPrEx>
        <w:trPr>
          <w:trHeight w:val="883" w:hRule="atLeast"/>
          <w:jc w:val="center"/>
        </w:trPr>
        <w:tc>
          <w:tcPr>
            <w:tcW w:w="305" w:type="pct"/>
            <w:tcBorders>
              <w:top w:val="single" w:color="000000" w:sz="4" w:space="0"/>
              <w:left w:val="single" w:color="000000" w:sz="4" w:space="0"/>
              <w:bottom w:val="single" w:color="000000" w:sz="4" w:space="0"/>
              <w:right w:val="single" w:color="000000" w:sz="4" w:space="0"/>
            </w:tcBorders>
            <w:vAlign w:val="center"/>
          </w:tcPr>
          <w:p w14:paraId="0332067C">
            <w:pPr>
              <w:jc w:val="center"/>
              <w:rPr>
                <w:rFonts w:ascii="宋体" w:hAnsi="宋体" w:cs="宋体"/>
                <w:color w:val="auto"/>
                <w:kern w:val="1"/>
                <w:szCs w:val="21"/>
                <w:highlight w:val="none"/>
              </w:rPr>
            </w:pPr>
          </w:p>
        </w:tc>
        <w:tc>
          <w:tcPr>
            <w:tcW w:w="413" w:type="pct"/>
            <w:tcBorders>
              <w:top w:val="single" w:color="000000" w:sz="4" w:space="0"/>
              <w:left w:val="single" w:color="000000" w:sz="4" w:space="0"/>
              <w:bottom w:val="single" w:color="000000" w:sz="4" w:space="0"/>
              <w:right w:val="single" w:color="000000" w:sz="4" w:space="0"/>
            </w:tcBorders>
            <w:vAlign w:val="center"/>
          </w:tcPr>
          <w:p w14:paraId="0A895B4C">
            <w:pPr>
              <w:jc w:val="center"/>
              <w:rPr>
                <w:rFonts w:ascii="宋体" w:hAnsi="宋体" w:cs="宋体"/>
                <w:color w:val="auto"/>
                <w:kern w:val="1"/>
                <w:szCs w:val="21"/>
                <w:highlight w:val="none"/>
              </w:rPr>
            </w:pPr>
          </w:p>
        </w:tc>
        <w:tc>
          <w:tcPr>
            <w:tcW w:w="413" w:type="pct"/>
            <w:tcBorders>
              <w:top w:val="single" w:color="000000" w:sz="4" w:space="0"/>
              <w:left w:val="single" w:color="000000" w:sz="4" w:space="0"/>
              <w:bottom w:val="single" w:color="000000" w:sz="4" w:space="0"/>
              <w:right w:val="single" w:color="000000" w:sz="4" w:space="0"/>
            </w:tcBorders>
            <w:vAlign w:val="center"/>
          </w:tcPr>
          <w:p w14:paraId="64C57389">
            <w:pPr>
              <w:jc w:val="center"/>
              <w:rPr>
                <w:rFonts w:ascii="宋体" w:hAnsi="宋体" w:cs="宋体"/>
                <w:color w:val="auto"/>
                <w:kern w:val="1"/>
                <w:szCs w:val="21"/>
                <w:highlight w:val="none"/>
              </w:rPr>
            </w:pPr>
          </w:p>
        </w:tc>
        <w:tc>
          <w:tcPr>
            <w:tcW w:w="413" w:type="pct"/>
            <w:tcBorders>
              <w:top w:val="single" w:color="000000" w:sz="4" w:space="0"/>
              <w:left w:val="single" w:color="000000" w:sz="4" w:space="0"/>
              <w:bottom w:val="single" w:color="000000" w:sz="4" w:space="0"/>
              <w:right w:val="single" w:color="000000" w:sz="4" w:space="0"/>
            </w:tcBorders>
            <w:vAlign w:val="center"/>
          </w:tcPr>
          <w:p w14:paraId="34C9F643">
            <w:pPr>
              <w:jc w:val="center"/>
              <w:rPr>
                <w:rFonts w:ascii="宋体" w:hAnsi="宋体" w:cs="宋体"/>
                <w:color w:val="auto"/>
                <w:kern w:val="1"/>
                <w:szCs w:val="21"/>
                <w:highlight w:val="none"/>
              </w:rPr>
            </w:pPr>
          </w:p>
        </w:tc>
        <w:tc>
          <w:tcPr>
            <w:tcW w:w="413" w:type="pct"/>
            <w:tcBorders>
              <w:top w:val="single" w:color="000000" w:sz="4" w:space="0"/>
              <w:left w:val="single" w:color="000000" w:sz="4" w:space="0"/>
              <w:bottom w:val="single" w:color="000000" w:sz="4" w:space="0"/>
              <w:right w:val="single" w:color="000000" w:sz="4" w:space="0"/>
            </w:tcBorders>
            <w:vAlign w:val="center"/>
          </w:tcPr>
          <w:p w14:paraId="712B18DE">
            <w:pPr>
              <w:jc w:val="center"/>
              <w:rPr>
                <w:rFonts w:ascii="宋体" w:hAnsi="宋体" w:cs="宋体"/>
                <w:color w:val="auto"/>
                <w:kern w:val="1"/>
                <w:szCs w:val="21"/>
                <w:highlight w:val="none"/>
              </w:rPr>
            </w:pPr>
          </w:p>
        </w:tc>
        <w:tc>
          <w:tcPr>
            <w:tcW w:w="684" w:type="pct"/>
            <w:tcBorders>
              <w:top w:val="single" w:color="000000" w:sz="4" w:space="0"/>
              <w:left w:val="single" w:color="000000" w:sz="4" w:space="0"/>
              <w:bottom w:val="single" w:color="000000" w:sz="4" w:space="0"/>
              <w:right w:val="single" w:color="000000" w:sz="4" w:space="0"/>
            </w:tcBorders>
            <w:vAlign w:val="center"/>
          </w:tcPr>
          <w:p w14:paraId="50F2373A">
            <w:pPr>
              <w:jc w:val="center"/>
              <w:rPr>
                <w:rFonts w:ascii="宋体" w:hAnsi="宋体" w:cs="宋体"/>
                <w:color w:val="auto"/>
                <w:kern w:val="1"/>
                <w:szCs w:val="21"/>
                <w:highlight w:val="none"/>
              </w:rPr>
            </w:pPr>
          </w:p>
        </w:tc>
        <w:tc>
          <w:tcPr>
            <w:tcW w:w="646" w:type="pct"/>
            <w:tcBorders>
              <w:top w:val="single" w:color="000000" w:sz="4" w:space="0"/>
              <w:left w:val="single" w:color="000000" w:sz="4" w:space="0"/>
              <w:bottom w:val="single" w:color="000000" w:sz="4" w:space="0"/>
              <w:right w:val="single" w:color="000000" w:sz="4" w:space="0"/>
            </w:tcBorders>
            <w:vAlign w:val="center"/>
          </w:tcPr>
          <w:p w14:paraId="389D2C5B">
            <w:pPr>
              <w:jc w:val="center"/>
              <w:rPr>
                <w:rFonts w:ascii="宋体" w:hAnsi="宋体" w:cs="宋体"/>
                <w:color w:val="auto"/>
                <w:kern w:val="1"/>
                <w:szCs w:val="21"/>
                <w:highlight w:val="none"/>
              </w:rPr>
            </w:pPr>
          </w:p>
        </w:tc>
        <w:tc>
          <w:tcPr>
            <w:tcW w:w="574" w:type="pct"/>
            <w:tcBorders>
              <w:top w:val="single" w:color="000000" w:sz="4" w:space="0"/>
              <w:left w:val="single" w:color="000000" w:sz="4" w:space="0"/>
              <w:bottom w:val="single" w:color="000000" w:sz="4" w:space="0"/>
              <w:right w:val="single" w:color="000000" w:sz="4" w:space="0"/>
            </w:tcBorders>
            <w:vAlign w:val="center"/>
          </w:tcPr>
          <w:p w14:paraId="6C22A997">
            <w:pPr>
              <w:jc w:val="center"/>
              <w:rPr>
                <w:rFonts w:ascii="宋体" w:hAnsi="宋体" w:cs="宋体"/>
                <w:color w:val="auto"/>
                <w:kern w:val="1"/>
                <w:szCs w:val="21"/>
                <w:highlight w:val="none"/>
              </w:rPr>
            </w:pPr>
          </w:p>
        </w:tc>
        <w:tc>
          <w:tcPr>
            <w:tcW w:w="1133" w:type="pct"/>
            <w:tcBorders>
              <w:top w:val="single" w:color="000000" w:sz="4" w:space="0"/>
              <w:left w:val="single" w:color="000000" w:sz="4" w:space="0"/>
              <w:bottom w:val="single" w:color="000000" w:sz="4" w:space="0"/>
              <w:right w:val="single" w:color="000000" w:sz="4" w:space="0"/>
            </w:tcBorders>
            <w:vAlign w:val="center"/>
          </w:tcPr>
          <w:p w14:paraId="0CB789F8">
            <w:pPr>
              <w:jc w:val="center"/>
              <w:rPr>
                <w:rFonts w:ascii="宋体" w:hAnsi="宋体" w:cs="宋体"/>
                <w:color w:val="auto"/>
                <w:kern w:val="1"/>
                <w:szCs w:val="21"/>
                <w:highlight w:val="none"/>
              </w:rPr>
            </w:pPr>
          </w:p>
        </w:tc>
      </w:tr>
      <w:tr w14:paraId="52C1A640">
        <w:tblPrEx>
          <w:tblCellMar>
            <w:top w:w="0" w:type="dxa"/>
            <w:left w:w="108" w:type="dxa"/>
            <w:bottom w:w="0" w:type="dxa"/>
            <w:right w:w="108" w:type="dxa"/>
          </w:tblCellMar>
        </w:tblPrEx>
        <w:trPr>
          <w:trHeight w:val="883" w:hRule="atLeast"/>
          <w:jc w:val="center"/>
        </w:trPr>
        <w:tc>
          <w:tcPr>
            <w:tcW w:w="305" w:type="pct"/>
            <w:tcBorders>
              <w:top w:val="single" w:color="000000" w:sz="4" w:space="0"/>
              <w:left w:val="single" w:color="000000" w:sz="4" w:space="0"/>
              <w:bottom w:val="single" w:color="000000" w:sz="4" w:space="0"/>
              <w:right w:val="single" w:color="000000" w:sz="4" w:space="0"/>
            </w:tcBorders>
            <w:vAlign w:val="center"/>
          </w:tcPr>
          <w:p w14:paraId="32CCA158">
            <w:pPr>
              <w:jc w:val="center"/>
              <w:rPr>
                <w:rFonts w:ascii="宋体" w:hAnsi="宋体" w:cs="宋体"/>
                <w:color w:val="auto"/>
                <w:kern w:val="1"/>
                <w:szCs w:val="21"/>
                <w:highlight w:val="none"/>
              </w:rPr>
            </w:pPr>
          </w:p>
        </w:tc>
        <w:tc>
          <w:tcPr>
            <w:tcW w:w="413" w:type="pct"/>
            <w:tcBorders>
              <w:top w:val="single" w:color="000000" w:sz="4" w:space="0"/>
              <w:left w:val="single" w:color="000000" w:sz="4" w:space="0"/>
              <w:bottom w:val="single" w:color="000000" w:sz="4" w:space="0"/>
              <w:right w:val="single" w:color="000000" w:sz="4" w:space="0"/>
            </w:tcBorders>
            <w:vAlign w:val="center"/>
          </w:tcPr>
          <w:p w14:paraId="28768B4A">
            <w:pPr>
              <w:jc w:val="center"/>
              <w:rPr>
                <w:rFonts w:ascii="宋体" w:hAnsi="宋体" w:cs="宋体"/>
                <w:color w:val="auto"/>
                <w:kern w:val="1"/>
                <w:szCs w:val="21"/>
                <w:highlight w:val="none"/>
              </w:rPr>
            </w:pPr>
          </w:p>
        </w:tc>
        <w:tc>
          <w:tcPr>
            <w:tcW w:w="413" w:type="pct"/>
            <w:tcBorders>
              <w:top w:val="single" w:color="000000" w:sz="4" w:space="0"/>
              <w:left w:val="single" w:color="000000" w:sz="4" w:space="0"/>
              <w:bottom w:val="single" w:color="000000" w:sz="4" w:space="0"/>
              <w:right w:val="single" w:color="000000" w:sz="4" w:space="0"/>
            </w:tcBorders>
            <w:vAlign w:val="center"/>
          </w:tcPr>
          <w:p w14:paraId="457F93D5">
            <w:pPr>
              <w:jc w:val="center"/>
              <w:rPr>
                <w:rFonts w:ascii="宋体" w:hAnsi="宋体" w:cs="宋体"/>
                <w:color w:val="auto"/>
                <w:kern w:val="1"/>
                <w:szCs w:val="21"/>
                <w:highlight w:val="none"/>
              </w:rPr>
            </w:pPr>
          </w:p>
        </w:tc>
        <w:tc>
          <w:tcPr>
            <w:tcW w:w="413" w:type="pct"/>
            <w:tcBorders>
              <w:top w:val="single" w:color="000000" w:sz="4" w:space="0"/>
              <w:left w:val="single" w:color="000000" w:sz="4" w:space="0"/>
              <w:bottom w:val="single" w:color="000000" w:sz="4" w:space="0"/>
              <w:right w:val="single" w:color="000000" w:sz="4" w:space="0"/>
            </w:tcBorders>
            <w:vAlign w:val="center"/>
          </w:tcPr>
          <w:p w14:paraId="049F1B2C">
            <w:pPr>
              <w:jc w:val="center"/>
              <w:rPr>
                <w:rFonts w:ascii="宋体" w:hAnsi="宋体" w:cs="宋体"/>
                <w:color w:val="auto"/>
                <w:kern w:val="1"/>
                <w:szCs w:val="21"/>
                <w:highlight w:val="none"/>
              </w:rPr>
            </w:pPr>
          </w:p>
        </w:tc>
        <w:tc>
          <w:tcPr>
            <w:tcW w:w="413" w:type="pct"/>
            <w:tcBorders>
              <w:top w:val="single" w:color="000000" w:sz="4" w:space="0"/>
              <w:left w:val="single" w:color="000000" w:sz="4" w:space="0"/>
              <w:bottom w:val="single" w:color="000000" w:sz="4" w:space="0"/>
              <w:right w:val="single" w:color="000000" w:sz="4" w:space="0"/>
            </w:tcBorders>
            <w:vAlign w:val="center"/>
          </w:tcPr>
          <w:p w14:paraId="34D6EFCB">
            <w:pPr>
              <w:jc w:val="center"/>
              <w:rPr>
                <w:rFonts w:ascii="宋体" w:hAnsi="宋体" w:cs="宋体"/>
                <w:color w:val="auto"/>
                <w:kern w:val="1"/>
                <w:szCs w:val="21"/>
                <w:highlight w:val="none"/>
              </w:rPr>
            </w:pPr>
          </w:p>
        </w:tc>
        <w:tc>
          <w:tcPr>
            <w:tcW w:w="684" w:type="pct"/>
            <w:tcBorders>
              <w:top w:val="single" w:color="000000" w:sz="4" w:space="0"/>
              <w:left w:val="single" w:color="000000" w:sz="4" w:space="0"/>
              <w:bottom w:val="single" w:color="000000" w:sz="4" w:space="0"/>
              <w:right w:val="single" w:color="000000" w:sz="4" w:space="0"/>
            </w:tcBorders>
            <w:vAlign w:val="center"/>
          </w:tcPr>
          <w:p w14:paraId="5DE80786">
            <w:pPr>
              <w:jc w:val="center"/>
              <w:rPr>
                <w:rFonts w:ascii="宋体" w:hAnsi="宋体" w:cs="宋体"/>
                <w:color w:val="auto"/>
                <w:kern w:val="1"/>
                <w:szCs w:val="21"/>
                <w:highlight w:val="none"/>
              </w:rPr>
            </w:pPr>
          </w:p>
        </w:tc>
        <w:tc>
          <w:tcPr>
            <w:tcW w:w="646" w:type="pct"/>
            <w:tcBorders>
              <w:top w:val="single" w:color="000000" w:sz="4" w:space="0"/>
              <w:left w:val="single" w:color="000000" w:sz="4" w:space="0"/>
              <w:bottom w:val="single" w:color="000000" w:sz="4" w:space="0"/>
              <w:right w:val="single" w:color="000000" w:sz="4" w:space="0"/>
            </w:tcBorders>
            <w:vAlign w:val="center"/>
          </w:tcPr>
          <w:p w14:paraId="6CA39EB6">
            <w:pPr>
              <w:jc w:val="center"/>
              <w:rPr>
                <w:rFonts w:ascii="宋体" w:hAnsi="宋体" w:cs="宋体"/>
                <w:color w:val="auto"/>
                <w:kern w:val="1"/>
                <w:szCs w:val="21"/>
                <w:highlight w:val="none"/>
              </w:rPr>
            </w:pPr>
          </w:p>
        </w:tc>
        <w:tc>
          <w:tcPr>
            <w:tcW w:w="574" w:type="pct"/>
            <w:tcBorders>
              <w:top w:val="single" w:color="000000" w:sz="4" w:space="0"/>
              <w:left w:val="single" w:color="000000" w:sz="4" w:space="0"/>
              <w:bottom w:val="single" w:color="000000" w:sz="4" w:space="0"/>
              <w:right w:val="single" w:color="000000" w:sz="4" w:space="0"/>
            </w:tcBorders>
            <w:vAlign w:val="center"/>
          </w:tcPr>
          <w:p w14:paraId="1BA9138C">
            <w:pPr>
              <w:jc w:val="center"/>
              <w:rPr>
                <w:rFonts w:ascii="宋体" w:hAnsi="宋体" w:cs="宋体"/>
                <w:color w:val="auto"/>
                <w:kern w:val="1"/>
                <w:szCs w:val="21"/>
                <w:highlight w:val="none"/>
              </w:rPr>
            </w:pPr>
          </w:p>
        </w:tc>
        <w:tc>
          <w:tcPr>
            <w:tcW w:w="1133" w:type="pct"/>
            <w:tcBorders>
              <w:top w:val="single" w:color="000000" w:sz="4" w:space="0"/>
              <w:left w:val="single" w:color="000000" w:sz="4" w:space="0"/>
              <w:bottom w:val="single" w:color="000000" w:sz="4" w:space="0"/>
              <w:right w:val="single" w:color="000000" w:sz="4" w:space="0"/>
            </w:tcBorders>
            <w:vAlign w:val="center"/>
          </w:tcPr>
          <w:p w14:paraId="38A5AC31">
            <w:pPr>
              <w:jc w:val="center"/>
              <w:rPr>
                <w:rFonts w:ascii="宋体" w:hAnsi="宋体" w:cs="宋体"/>
                <w:color w:val="auto"/>
                <w:kern w:val="1"/>
                <w:szCs w:val="21"/>
                <w:highlight w:val="none"/>
              </w:rPr>
            </w:pPr>
          </w:p>
        </w:tc>
      </w:tr>
      <w:tr w14:paraId="40DB0501">
        <w:tblPrEx>
          <w:tblCellMar>
            <w:top w:w="0" w:type="dxa"/>
            <w:left w:w="108" w:type="dxa"/>
            <w:bottom w:w="0" w:type="dxa"/>
            <w:right w:w="108" w:type="dxa"/>
          </w:tblCellMar>
        </w:tblPrEx>
        <w:trPr>
          <w:trHeight w:val="883" w:hRule="atLeast"/>
          <w:jc w:val="center"/>
        </w:trPr>
        <w:tc>
          <w:tcPr>
            <w:tcW w:w="305" w:type="pct"/>
            <w:tcBorders>
              <w:top w:val="single" w:color="000000" w:sz="4" w:space="0"/>
              <w:left w:val="single" w:color="000000" w:sz="4" w:space="0"/>
              <w:bottom w:val="single" w:color="000000" w:sz="4" w:space="0"/>
              <w:right w:val="single" w:color="000000" w:sz="4" w:space="0"/>
            </w:tcBorders>
            <w:vAlign w:val="center"/>
          </w:tcPr>
          <w:p w14:paraId="55D70C80">
            <w:pPr>
              <w:jc w:val="center"/>
              <w:rPr>
                <w:rFonts w:ascii="宋体" w:hAnsi="宋体" w:cs="宋体"/>
                <w:color w:val="auto"/>
                <w:kern w:val="1"/>
                <w:szCs w:val="21"/>
                <w:highlight w:val="none"/>
              </w:rPr>
            </w:pPr>
          </w:p>
        </w:tc>
        <w:tc>
          <w:tcPr>
            <w:tcW w:w="413" w:type="pct"/>
            <w:tcBorders>
              <w:top w:val="single" w:color="000000" w:sz="4" w:space="0"/>
              <w:left w:val="single" w:color="000000" w:sz="4" w:space="0"/>
              <w:bottom w:val="single" w:color="000000" w:sz="4" w:space="0"/>
              <w:right w:val="single" w:color="000000" w:sz="4" w:space="0"/>
            </w:tcBorders>
            <w:vAlign w:val="center"/>
          </w:tcPr>
          <w:p w14:paraId="1877C615">
            <w:pPr>
              <w:jc w:val="center"/>
              <w:rPr>
                <w:rFonts w:ascii="宋体" w:hAnsi="宋体" w:cs="宋体"/>
                <w:color w:val="auto"/>
                <w:kern w:val="1"/>
                <w:szCs w:val="21"/>
                <w:highlight w:val="none"/>
              </w:rPr>
            </w:pPr>
          </w:p>
        </w:tc>
        <w:tc>
          <w:tcPr>
            <w:tcW w:w="413" w:type="pct"/>
            <w:tcBorders>
              <w:top w:val="single" w:color="000000" w:sz="4" w:space="0"/>
              <w:left w:val="single" w:color="000000" w:sz="4" w:space="0"/>
              <w:bottom w:val="single" w:color="000000" w:sz="4" w:space="0"/>
              <w:right w:val="single" w:color="000000" w:sz="4" w:space="0"/>
            </w:tcBorders>
            <w:vAlign w:val="center"/>
          </w:tcPr>
          <w:p w14:paraId="4A993732">
            <w:pPr>
              <w:jc w:val="center"/>
              <w:rPr>
                <w:rFonts w:ascii="宋体" w:hAnsi="宋体" w:cs="宋体"/>
                <w:color w:val="auto"/>
                <w:kern w:val="1"/>
                <w:szCs w:val="21"/>
                <w:highlight w:val="none"/>
              </w:rPr>
            </w:pPr>
          </w:p>
        </w:tc>
        <w:tc>
          <w:tcPr>
            <w:tcW w:w="413" w:type="pct"/>
            <w:tcBorders>
              <w:top w:val="single" w:color="000000" w:sz="4" w:space="0"/>
              <w:left w:val="single" w:color="000000" w:sz="4" w:space="0"/>
              <w:bottom w:val="single" w:color="000000" w:sz="4" w:space="0"/>
              <w:right w:val="single" w:color="000000" w:sz="4" w:space="0"/>
            </w:tcBorders>
            <w:vAlign w:val="center"/>
          </w:tcPr>
          <w:p w14:paraId="4A48C487">
            <w:pPr>
              <w:jc w:val="center"/>
              <w:rPr>
                <w:rFonts w:ascii="宋体" w:hAnsi="宋体" w:cs="宋体"/>
                <w:color w:val="auto"/>
                <w:kern w:val="1"/>
                <w:szCs w:val="21"/>
                <w:highlight w:val="none"/>
              </w:rPr>
            </w:pPr>
          </w:p>
        </w:tc>
        <w:tc>
          <w:tcPr>
            <w:tcW w:w="413" w:type="pct"/>
            <w:tcBorders>
              <w:top w:val="single" w:color="000000" w:sz="4" w:space="0"/>
              <w:left w:val="single" w:color="000000" w:sz="4" w:space="0"/>
              <w:bottom w:val="single" w:color="000000" w:sz="4" w:space="0"/>
              <w:right w:val="single" w:color="000000" w:sz="4" w:space="0"/>
            </w:tcBorders>
            <w:vAlign w:val="center"/>
          </w:tcPr>
          <w:p w14:paraId="30B9C006">
            <w:pPr>
              <w:jc w:val="center"/>
              <w:rPr>
                <w:rFonts w:ascii="宋体" w:hAnsi="宋体" w:cs="宋体"/>
                <w:color w:val="auto"/>
                <w:kern w:val="1"/>
                <w:szCs w:val="21"/>
                <w:highlight w:val="none"/>
              </w:rPr>
            </w:pPr>
          </w:p>
        </w:tc>
        <w:tc>
          <w:tcPr>
            <w:tcW w:w="684" w:type="pct"/>
            <w:tcBorders>
              <w:top w:val="single" w:color="000000" w:sz="4" w:space="0"/>
              <w:left w:val="single" w:color="000000" w:sz="4" w:space="0"/>
              <w:bottom w:val="single" w:color="000000" w:sz="4" w:space="0"/>
              <w:right w:val="single" w:color="000000" w:sz="4" w:space="0"/>
            </w:tcBorders>
            <w:vAlign w:val="center"/>
          </w:tcPr>
          <w:p w14:paraId="288F38D1">
            <w:pPr>
              <w:jc w:val="center"/>
              <w:rPr>
                <w:rFonts w:ascii="宋体" w:hAnsi="宋体" w:cs="宋体"/>
                <w:color w:val="auto"/>
                <w:kern w:val="1"/>
                <w:szCs w:val="21"/>
                <w:highlight w:val="none"/>
              </w:rPr>
            </w:pPr>
          </w:p>
        </w:tc>
        <w:tc>
          <w:tcPr>
            <w:tcW w:w="646" w:type="pct"/>
            <w:tcBorders>
              <w:top w:val="single" w:color="000000" w:sz="4" w:space="0"/>
              <w:left w:val="single" w:color="000000" w:sz="4" w:space="0"/>
              <w:bottom w:val="single" w:color="000000" w:sz="4" w:space="0"/>
              <w:right w:val="single" w:color="000000" w:sz="4" w:space="0"/>
            </w:tcBorders>
            <w:vAlign w:val="center"/>
          </w:tcPr>
          <w:p w14:paraId="298E395B">
            <w:pPr>
              <w:jc w:val="center"/>
              <w:rPr>
                <w:rFonts w:ascii="宋体" w:hAnsi="宋体" w:cs="宋体"/>
                <w:color w:val="auto"/>
                <w:kern w:val="1"/>
                <w:szCs w:val="21"/>
                <w:highlight w:val="none"/>
              </w:rPr>
            </w:pPr>
          </w:p>
        </w:tc>
        <w:tc>
          <w:tcPr>
            <w:tcW w:w="574" w:type="pct"/>
            <w:tcBorders>
              <w:top w:val="single" w:color="000000" w:sz="4" w:space="0"/>
              <w:left w:val="single" w:color="000000" w:sz="4" w:space="0"/>
              <w:bottom w:val="single" w:color="000000" w:sz="4" w:space="0"/>
              <w:right w:val="single" w:color="000000" w:sz="4" w:space="0"/>
            </w:tcBorders>
            <w:vAlign w:val="center"/>
          </w:tcPr>
          <w:p w14:paraId="6EE4A40A">
            <w:pPr>
              <w:jc w:val="center"/>
              <w:rPr>
                <w:rFonts w:ascii="宋体" w:hAnsi="宋体" w:cs="宋体"/>
                <w:color w:val="auto"/>
                <w:kern w:val="1"/>
                <w:szCs w:val="21"/>
                <w:highlight w:val="none"/>
              </w:rPr>
            </w:pPr>
          </w:p>
        </w:tc>
        <w:tc>
          <w:tcPr>
            <w:tcW w:w="1133" w:type="pct"/>
            <w:tcBorders>
              <w:top w:val="single" w:color="000000" w:sz="4" w:space="0"/>
              <w:left w:val="single" w:color="000000" w:sz="4" w:space="0"/>
              <w:bottom w:val="single" w:color="000000" w:sz="4" w:space="0"/>
              <w:right w:val="single" w:color="000000" w:sz="4" w:space="0"/>
            </w:tcBorders>
            <w:vAlign w:val="center"/>
          </w:tcPr>
          <w:p w14:paraId="35481A86">
            <w:pPr>
              <w:jc w:val="center"/>
              <w:rPr>
                <w:rFonts w:ascii="宋体" w:hAnsi="宋体" w:cs="宋体"/>
                <w:color w:val="auto"/>
                <w:kern w:val="1"/>
                <w:szCs w:val="21"/>
                <w:highlight w:val="none"/>
              </w:rPr>
            </w:pPr>
          </w:p>
        </w:tc>
      </w:tr>
      <w:tr w14:paraId="6B8DE67D">
        <w:tblPrEx>
          <w:tblCellMar>
            <w:top w:w="0" w:type="dxa"/>
            <w:left w:w="108" w:type="dxa"/>
            <w:bottom w:w="0" w:type="dxa"/>
            <w:right w:w="108" w:type="dxa"/>
          </w:tblCellMar>
        </w:tblPrEx>
        <w:trPr>
          <w:trHeight w:val="898" w:hRule="atLeast"/>
          <w:jc w:val="center"/>
        </w:trPr>
        <w:tc>
          <w:tcPr>
            <w:tcW w:w="305" w:type="pct"/>
            <w:tcBorders>
              <w:top w:val="single" w:color="000000" w:sz="4" w:space="0"/>
              <w:left w:val="single" w:color="000000" w:sz="4" w:space="0"/>
              <w:bottom w:val="single" w:color="000000" w:sz="4" w:space="0"/>
              <w:right w:val="single" w:color="000000" w:sz="4" w:space="0"/>
            </w:tcBorders>
            <w:vAlign w:val="center"/>
          </w:tcPr>
          <w:p w14:paraId="334BDC0A">
            <w:pPr>
              <w:jc w:val="center"/>
              <w:rPr>
                <w:rFonts w:ascii="宋体" w:hAnsi="宋体" w:cs="宋体"/>
                <w:color w:val="auto"/>
                <w:kern w:val="1"/>
                <w:szCs w:val="21"/>
                <w:highlight w:val="none"/>
              </w:rPr>
            </w:pPr>
          </w:p>
        </w:tc>
        <w:tc>
          <w:tcPr>
            <w:tcW w:w="413" w:type="pct"/>
            <w:tcBorders>
              <w:top w:val="single" w:color="000000" w:sz="4" w:space="0"/>
              <w:left w:val="single" w:color="000000" w:sz="4" w:space="0"/>
              <w:bottom w:val="single" w:color="000000" w:sz="4" w:space="0"/>
              <w:right w:val="single" w:color="000000" w:sz="4" w:space="0"/>
            </w:tcBorders>
            <w:vAlign w:val="center"/>
          </w:tcPr>
          <w:p w14:paraId="6046EB66">
            <w:pPr>
              <w:jc w:val="center"/>
              <w:rPr>
                <w:rFonts w:ascii="宋体" w:hAnsi="宋体" w:cs="宋体"/>
                <w:color w:val="auto"/>
                <w:kern w:val="1"/>
                <w:szCs w:val="21"/>
                <w:highlight w:val="none"/>
              </w:rPr>
            </w:pPr>
          </w:p>
        </w:tc>
        <w:tc>
          <w:tcPr>
            <w:tcW w:w="413" w:type="pct"/>
            <w:tcBorders>
              <w:top w:val="single" w:color="000000" w:sz="4" w:space="0"/>
              <w:left w:val="single" w:color="000000" w:sz="4" w:space="0"/>
              <w:bottom w:val="single" w:color="000000" w:sz="4" w:space="0"/>
              <w:right w:val="single" w:color="000000" w:sz="4" w:space="0"/>
            </w:tcBorders>
            <w:vAlign w:val="center"/>
          </w:tcPr>
          <w:p w14:paraId="5D691121">
            <w:pPr>
              <w:jc w:val="center"/>
              <w:rPr>
                <w:rFonts w:ascii="宋体" w:hAnsi="宋体" w:cs="宋体"/>
                <w:color w:val="auto"/>
                <w:kern w:val="1"/>
                <w:szCs w:val="21"/>
                <w:highlight w:val="none"/>
              </w:rPr>
            </w:pPr>
          </w:p>
        </w:tc>
        <w:tc>
          <w:tcPr>
            <w:tcW w:w="413" w:type="pct"/>
            <w:tcBorders>
              <w:top w:val="single" w:color="000000" w:sz="4" w:space="0"/>
              <w:left w:val="single" w:color="000000" w:sz="4" w:space="0"/>
              <w:bottom w:val="single" w:color="000000" w:sz="4" w:space="0"/>
              <w:right w:val="single" w:color="000000" w:sz="4" w:space="0"/>
            </w:tcBorders>
            <w:vAlign w:val="center"/>
          </w:tcPr>
          <w:p w14:paraId="40BAA73E">
            <w:pPr>
              <w:jc w:val="center"/>
              <w:rPr>
                <w:rFonts w:ascii="宋体" w:hAnsi="宋体" w:cs="宋体"/>
                <w:color w:val="auto"/>
                <w:kern w:val="1"/>
                <w:szCs w:val="21"/>
                <w:highlight w:val="none"/>
              </w:rPr>
            </w:pPr>
          </w:p>
        </w:tc>
        <w:tc>
          <w:tcPr>
            <w:tcW w:w="413" w:type="pct"/>
            <w:tcBorders>
              <w:top w:val="single" w:color="000000" w:sz="4" w:space="0"/>
              <w:left w:val="single" w:color="000000" w:sz="4" w:space="0"/>
              <w:bottom w:val="single" w:color="000000" w:sz="4" w:space="0"/>
              <w:right w:val="single" w:color="000000" w:sz="4" w:space="0"/>
            </w:tcBorders>
            <w:vAlign w:val="center"/>
          </w:tcPr>
          <w:p w14:paraId="7FCD6B32">
            <w:pPr>
              <w:jc w:val="center"/>
              <w:rPr>
                <w:rFonts w:ascii="宋体" w:hAnsi="宋体" w:cs="宋体"/>
                <w:color w:val="auto"/>
                <w:kern w:val="1"/>
                <w:szCs w:val="21"/>
                <w:highlight w:val="none"/>
              </w:rPr>
            </w:pPr>
          </w:p>
        </w:tc>
        <w:tc>
          <w:tcPr>
            <w:tcW w:w="684" w:type="pct"/>
            <w:tcBorders>
              <w:top w:val="single" w:color="000000" w:sz="4" w:space="0"/>
              <w:left w:val="single" w:color="000000" w:sz="4" w:space="0"/>
              <w:bottom w:val="single" w:color="000000" w:sz="4" w:space="0"/>
              <w:right w:val="single" w:color="000000" w:sz="4" w:space="0"/>
            </w:tcBorders>
            <w:vAlign w:val="center"/>
          </w:tcPr>
          <w:p w14:paraId="66293662">
            <w:pPr>
              <w:jc w:val="center"/>
              <w:rPr>
                <w:rFonts w:ascii="宋体" w:hAnsi="宋体" w:cs="宋体"/>
                <w:color w:val="auto"/>
                <w:kern w:val="1"/>
                <w:szCs w:val="21"/>
                <w:highlight w:val="none"/>
              </w:rPr>
            </w:pPr>
          </w:p>
        </w:tc>
        <w:tc>
          <w:tcPr>
            <w:tcW w:w="646" w:type="pct"/>
            <w:tcBorders>
              <w:top w:val="single" w:color="000000" w:sz="4" w:space="0"/>
              <w:left w:val="single" w:color="000000" w:sz="4" w:space="0"/>
              <w:bottom w:val="single" w:color="000000" w:sz="4" w:space="0"/>
              <w:right w:val="single" w:color="000000" w:sz="4" w:space="0"/>
            </w:tcBorders>
            <w:vAlign w:val="center"/>
          </w:tcPr>
          <w:p w14:paraId="3E9AE6E2">
            <w:pPr>
              <w:jc w:val="center"/>
              <w:rPr>
                <w:rFonts w:ascii="宋体" w:hAnsi="宋体" w:cs="宋体"/>
                <w:color w:val="auto"/>
                <w:kern w:val="1"/>
                <w:szCs w:val="21"/>
                <w:highlight w:val="none"/>
              </w:rPr>
            </w:pPr>
          </w:p>
        </w:tc>
        <w:tc>
          <w:tcPr>
            <w:tcW w:w="574" w:type="pct"/>
            <w:tcBorders>
              <w:top w:val="single" w:color="000000" w:sz="4" w:space="0"/>
              <w:left w:val="single" w:color="000000" w:sz="4" w:space="0"/>
              <w:bottom w:val="single" w:color="000000" w:sz="4" w:space="0"/>
              <w:right w:val="single" w:color="000000" w:sz="4" w:space="0"/>
            </w:tcBorders>
            <w:vAlign w:val="center"/>
          </w:tcPr>
          <w:p w14:paraId="1BCC1694">
            <w:pPr>
              <w:jc w:val="center"/>
              <w:rPr>
                <w:rFonts w:ascii="宋体" w:hAnsi="宋体" w:cs="宋体"/>
                <w:color w:val="auto"/>
                <w:kern w:val="1"/>
                <w:szCs w:val="21"/>
                <w:highlight w:val="none"/>
              </w:rPr>
            </w:pPr>
          </w:p>
        </w:tc>
        <w:tc>
          <w:tcPr>
            <w:tcW w:w="1133" w:type="pct"/>
            <w:tcBorders>
              <w:top w:val="single" w:color="000000" w:sz="4" w:space="0"/>
              <w:left w:val="single" w:color="000000" w:sz="4" w:space="0"/>
              <w:bottom w:val="single" w:color="000000" w:sz="4" w:space="0"/>
              <w:right w:val="single" w:color="000000" w:sz="4" w:space="0"/>
            </w:tcBorders>
            <w:vAlign w:val="center"/>
          </w:tcPr>
          <w:p w14:paraId="57A88F89">
            <w:pPr>
              <w:jc w:val="center"/>
              <w:rPr>
                <w:rFonts w:ascii="宋体" w:hAnsi="宋体" w:cs="宋体"/>
                <w:color w:val="auto"/>
                <w:kern w:val="1"/>
                <w:szCs w:val="21"/>
                <w:highlight w:val="none"/>
              </w:rPr>
            </w:pPr>
          </w:p>
        </w:tc>
      </w:tr>
    </w:tbl>
    <w:p w14:paraId="636D1273">
      <w:pPr>
        <w:tabs>
          <w:tab w:val="left" w:pos="7655"/>
        </w:tabs>
        <w:spacing w:line="360" w:lineRule="auto"/>
        <w:jc w:val="left"/>
        <w:rPr>
          <w:rFonts w:ascii="宋体" w:hAnsi="宋体" w:cs="宋体"/>
          <w:color w:val="auto"/>
          <w:spacing w:val="18"/>
          <w:kern w:val="1"/>
          <w:sz w:val="24"/>
          <w:highlight w:val="none"/>
          <w:lang w:val="zh-CN"/>
        </w:rPr>
      </w:pPr>
      <w:r>
        <w:rPr>
          <w:rFonts w:hint="eastAsia" w:ascii="宋体" w:hAnsi="宋体" w:cs="宋体"/>
          <w:color w:val="auto"/>
          <w:sz w:val="24"/>
          <w:highlight w:val="none"/>
        </w:rPr>
        <w:t>注：投标人需根据评分标准提供相应证明材料。</w:t>
      </w:r>
    </w:p>
    <w:p w14:paraId="3E3C525D">
      <w:pPr>
        <w:tabs>
          <w:tab w:val="left" w:pos="7655"/>
        </w:tabs>
        <w:spacing w:line="360" w:lineRule="auto"/>
        <w:ind w:firstLine="1656" w:firstLineChars="600"/>
        <w:jc w:val="left"/>
        <w:rPr>
          <w:rFonts w:ascii="宋体" w:hAnsi="宋体" w:cs="宋体"/>
          <w:color w:val="auto"/>
          <w:spacing w:val="18"/>
          <w:kern w:val="1"/>
          <w:sz w:val="24"/>
          <w:highlight w:val="none"/>
          <w:lang w:val="zh-CN"/>
        </w:rPr>
      </w:pPr>
    </w:p>
    <w:p w14:paraId="56FFA2C6">
      <w:pPr>
        <w:tabs>
          <w:tab w:val="left" w:pos="7655"/>
        </w:tabs>
        <w:spacing w:line="360" w:lineRule="auto"/>
        <w:ind w:firstLine="1656" w:firstLineChars="600"/>
        <w:jc w:val="left"/>
        <w:rPr>
          <w:rFonts w:ascii="宋体" w:hAnsi="宋体" w:cs="宋体"/>
          <w:color w:val="auto"/>
          <w:spacing w:val="18"/>
          <w:kern w:val="1"/>
          <w:sz w:val="24"/>
          <w:highlight w:val="none"/>
          <w:lang w:val="zh-CN"/>
        </w:rPr>
      </w:pPr>
    </w:p>
    <w:p w14:paraId="63D30BF3">
      <w:pPr>
        <w:tabs>
          <w:tab w:val="left" w:pos="7655"/>
        </w:tabs>
        <w:spacing w:line="360" w:lineRule="auto"/>
        <w:ind w:firstLine="1656" w:firstLineChars="600"/>
        <w:jc w:val="left"/>
        <w:rPr>
          <w:rFonts w:ascii="宋体" w:hAnsi="宋体" w:cs="宋体"/>
          <w:color w:val="auto"/>
          <w:spacing w:val="18"/>
          <w:kern w:val="1"/>
          <w:sz w:val="24"/>
          <w:highlight w:val="none"/>
        </w:rPr>
      </w:pPr>
      <w:r>
        <w:rPr>
          <w:rFonts w:hint="eastAsia" w:ascii="宋体" w:hAnsi="宋体" w:cs="宋体"/>
          <w:color w:val="auto"/>
          <w:spacing w:val="18"/>
          <w:kern w:val="1"/>
          <w:sz w:val="24"/>
          <w:highlight w:val="none"/>
          <w:lang w:val="zh-CN"/>
        </w:rPr>
        <w:t>投标人：(盖章)</w:t>
      </w:r>
    </w:p>
    <w:p w14:paraId="60B7828C">
      <w:pPr>
        <w:tabs>
          <w:tab w:val="left" w:pos="7655"/>
        </w:tabs>
        <w:spacing w:line="360" w:lineRule="auto"/>
        <w:ind w:firstLine="1656" w:firstLineChars="600"/>
        <w:jc w:val="left"/>
        <w:rPr>
          <w:rFonts w:ascii="宋体" w:hAnsi="宋体" w:cs="宋体"/>
          <w:color w:val="auto"/>
          <w:spacing w:val="18"/>
          <w:kern w:val="1"/>
          <w:sz w:val="24"/>
          <w:highlight w:val="none"/>
          <w:lang w:val="zh-CN"/>
        </w:rPr>
      </w:pPr>
      <w:r>
        <w:rPr>
          <w:rFonts w:hint="eastAsia" w:ascii="宋体" w:hAnsi="宋体" w:cs="宋体"/>
          <w:color w:val="auto"/>
          <w:spacing w:val="18"/>
          <w:kern w:val="1"/>
          <w:sz w:val="24"/>
          <w:highlight w:val="none"/>
          <w:lang w:val="zh-CN"/>
        </w:rPr>
        <w:t>日期：年月日</w:t>
      </w:r>
    </w:p>
    <w:p w14:paraId="5FBB35B1">
      <w:pPr>
        <w:pStyle w:val="14"/>
        <w:ind w:firstLine="0"/>
        <w:rPr>
          <w:rFonts w:ascii="宋体" w:hAnsi="宋体" w:cs="宋体"/>
          <w:color w:val="auto"/>
          <w:szCs w:val="21"/>
          <w:highlight w:val="none"/>
        </w:rPr>
      </w:pPr>
    </w:p>
    <w:p w14:paraId="34ADB593">
      <w:pPr>
        <w:autoSpaceDE w:val="0"/>
        <w:autoSpaceDN w:val="0"/>
        <w:adjustRightInd w:val="0"/>
        <w:spacing w:line="360" w:lineRule="auto"/>
        <w:rPr>
          <w:rFonts w:ascii="宋体" w:hAnsi="宋体" w:cs="宋体"/>
          <w:b/>
          <w:bCs/>
          <w:color w:val="auto"/>
          <w:sz w:val="32"/>
          <w:szCs w:val="32"/>
          <w:highlight w:val="none"/>
        </w:rPr>
      </w:pPr>
    </w:p>
    <w:p w14:paraId="2404F028">
      <w:pPr>
        <w:autoSpaceDE w:val="0"/>
        <w:autoSpaceDN w:val="0"/>
        <w:adjustRightInd w:val="0"/>
        <w:spacing w:line="360" w:lineRule="auto"/>
        <w:jc w:val="center"/>
        <w:rPr>
          <w:rFonts w:ascii="宋体" w:hAnsi="宋体" w:cs="宋体"/>
          <w:b/>
          <w:bCs/>
          <w:color w:val="auto"/>
          <w:sz w:val="32"/>
          <w:szCs w:val="32"/>
          <w:highlight w:val="none"/>
          <w:lang w:val="zh-CN"/>
        </w:rPr>
      </w:pPr>
      <w:r>
        <w:rPr>
          <w:rFonts w:ascii="宋体" w:hAnsi="宋体" w:cs="宋体"/>
          <w:b/>
          <w:bCs/>
          <w:color w:val="auto"/>
          <w:sz w:val="32"/>
          <w:szCs w:val="32"/>
          <w:highlight w:val="none"/>
          <w:lang w:val="zh-CN"/>
        </w:rPr>
        <w:br w:type="page"/>
      </w:r>
    </w:p>
    <w:p w14:paraId="29631818">
      <w:pPr>
        <w:autoSpaceDE w:val="0"/>
        <w:autoSpaceDN w:val="0"/>
        <w:adjustRightIn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企业类似业绩一览表（施工方）</w:t>
      </w:r>
    </w:p>
    <w:tbl>
      <w:tblPr>
        <w:tblStyle w:val="4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908"/>
        <w:gridCol w:w="1785"/>
        <w:gridCol w:w="1490"/>
        <w:gridCol w:w="1337"/>
        <w:gridCol w:w="2027"/>
      </w:tblGrid>
      <w:tr w14:paraId="335B5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62F07984">
            <w:pPr>
              <w:tabs>
                <w:tab w:val="left" w:pos="720"/>
              </w:tabs>
              <w:snapToGrid w:val="0"/>
              <w:spacing w:line="360" w:lineRule="auto"/>
              <w:jc w:val="center"/>
              <w:rPr>
                <w:rFonts w:ascii="宋体" w:hAnsi="宋体" w:cs="宋体"/>
                <w:color w:val="auto"/>
                <w:sz w:val="24"/>
                <w:highlight w:val="none"/>
              </w:rPr>
            </w:pPr>
            <w:r>
              <w:rPr>
                <w:rFonts w:ascii="宋体" w:hAnsi="宋体" w:cs="宋体"/>
                <w:color w:val="auto"/>
                <w:sz w:val="24"/>
                <w:highlight w:val="none"/>
              </w:rPr>
              <w:t>序号</w:t>
            </w:r>
          </w:p>
        </w:tc>
        <w:tc>
          <w:tcPr>
            <w:tcW w:w="1027" w:type="pct"/>
            <w:vAlign w:val="center"/>
          </w:tcPr>
          <w:p w14:paraId="2D1BD0A1">
            <w:pPr>
              <w:tabs>
                <w:tab w:val="left" w:pos="720"/>
              </w:tabs>
              <w:snapToGrid w:val="0"/>
              <w:spacing w:line="360" w:lineRule="auto"/>
              <w:jc w:val="center"/>
              <w:rPr>
                <w:rFonts w:ascii="宋体" w:hAnsi="宋体" w:cs="宋体"/>
                <w:color w:val="auto"/>
                <w:sz w:val="24"/>
                <w:highlight w:val="none"/>
              </w:rPr>
            </w:pPr>
            <w:r>
              <w:rPr>
                <w:rFonts w:ascii="宋体" w:hAnsi="宋体" w:cs="宋体"/>
                <w:color w:val="auto"/>
                <w:sz w:val="24"/>
                <w:highlight w:val="none"/>
              </w:rPr>
              <w:t>项目编号</w:t>
            </w:r>
          </w:p>
        </w:tc>
        <w:tc>
          <w:tcPr>
            <w:tcW w:w="961" w:type="pct"/>
            <w:vAlign w:val="center"/>
          </w:tcPr>
          <w:p w14:paraId="604C679F">
            <w:pPr>
              <w:tabs>
                <w:tab w:val="left" w:pos="720"/>
              </w:tabs>
              <w:snapToGrid w:val="0"/>
              <w:spacing w:line="360" w:lineRule="auto"/>
              <w:jc w:val="center"/>
              <w:rPr>
                <w:rFonts w:ascii="宋体" w:hAnsi="宋体" w:cs="宋体"/>
                <w:color w:val="auto"/>
                <w:sz w:val="24"/>
                <w:highlight w:val="none"/>
              </w:rPr>
            </w:pPr>
            <w:r>
              <w:rPr>
                <w:rFonts w:ascii="宋体" w:hAnsi="宋体" w:cs="宋体"/>
                <w:color w:val="auto"/>
                <w:sz w:val="24"/>
                <w:highlight w:val="none"/>
              </w:rPr>
              <w:t>项目名称</w:t>
            </w:r>
          </w:p>
        </w:tc>
        <w:tc>
          <w:tcPr>
            <w:tcW w:w="802" w:type="pct"/>
            <w:vAlign w:val="center"/>
          </w:tcPr>
          <w:p w14:paraId="61CE07C4">
            <w:pPr>
              <w:tabs>
                <w:tab w:val="left" w:pos="720"/>
              </w:tabs>
              <w:snapToGrid w:val="0"/>
              <w:spacing w:line="360" w:lineRule="auto"/>
              <w:jc w:val="center"/>
              <w:rPr>
                <w:rFonts w:ascii="宋体" w:hAnsi="宋体" w:cs="宋体"/>
                <w:color w:val="auto"/>
                <w:sz w:val="24"/>
                <w:highlight w:val="none"/>
              </w:rPr>
            </w:pPr>
            <w:r>
              <w:rPr>
                <w:rFonts w:ascii="宋体" w:hAnsi="宋体" w:cs="宋体"/>
                <w:color w:val="auto"/>
                <w:sz w:val="24"/>
                <w:highlight w:val="none"/>
              </w:rPr>
              <w:t>合同总价（万元）</w:t>
            </w:r>
          </w:p>
        </w:tc>
        <w:tc>
          <w:tcPr>
            <w:tcW w:w="720" w:type="pct"/>
            <w:vAlign w:val="center"/>
          </w:tcPr>
          <w:p w14:paraId="6987E753">
            <w:pPr>
              <w:tabs>
                <w:tab w:val="left" w:pos="720"/>
              </w:tabs>
              <w:snapToGrid w:val="0"/>
              <w:spacing w:line="360" w:lineRule="auto"/>
              <w:jc w:val="center"/>
              <w:rPr>
                <w:rFonts w:ascii="宋体" w:hAnsi="宋体" w:cs="宋体"/>
                <w:color w:val="auto"/>
                <w:sz w:val="24"/>
                <w:highlight w:val="none"/>
              </w:rPr>
            </w:pPr>
            <w:r>
              <w:rPr>
                <w:rFonts w:ascii="宋体" w:hAnsi="宋体" w:cs="宋体"/>
                <w:color w:val="auto"/>
                <w:sz w:val="24"/>
                <w:highlight w:val="none"/>
              </w:rPr>
              <w:t>完成时间</w:t>
            </w:r>
          </w:p>
        </w:tc>
        <w:tc>
          <w:tcPr>
            <w:tcW w:w="1091" w:type="pct"/>
            <w:vAlign w:val="center"/>
          </w:tcPr>
          <w:p w14:paraId="5ADFF6C5">
            <w:pPr>
              <w:tabs>
                <w:tab w:val="left" w:pos="720"/>
              </w:tabs>
              <w:snapToGrid w:val="0"/>
              <w:spacing w:line="360" w:lineRule="auto"/>
              <w:jc w:val="center"/>
              <w:rPr>
                <w:rFonts w:ascii="宋体" w:hAnsi="宋体" w:cs="宋体"/>
                <w:color w:val="auto"/>
                <w:sz w:val="24"/>
                <w:highlight w:val="none"/>
              </w:rPr>
            </w:pPr>
            <w:r>
              <w:rPr>
                <w:rFonts w:ascii="宋体" w:hAnsi="宋体" w:cs="宋体"/>
                <w:color w:val="auto"/>
                <w:sz w:val="24"/>
                <w:highlight w:val="none"/>
              </w:rPr>
              <w:t>建设单位联系人及联系电话</w:t>
            </w:r>
          </w:p>
        </w:tc>
      </w:tr>
      <w:tr w14:paraId="5281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tcPr>
          <w:p w14:paraId="73A8BF4E">
            <w:pPr>
              <w:tabs>
                <w:tab w:val="left" w:pos="720"/>
              </w:tabs>
              <w:snapToGrid w:val="0"/>
              <w:spacing w:line="360" w:lineRule="auto"/>
              <w:rPr>
                <w:rFonts w:ascii="宋体" w:hAnsi="宋体" w:cs="宋体"/>
                <w:color w:val="auto"/>
                <w:sz w:val="24"/>
                <w:highlight w:val="none"/>
              </w:rPr>
            </w:pPr>
          </w:p>
        </w:tc>
        <w:tc>
          <w:tcPr>
            <w:tcW w:w="1027" w:type="pct"/>
          </w:tcPr>
          <w:p w14:paraId="3A6FF759">
            <w:pPr>
              <w:tabs>
                <w:tab w:val="left" w:pos="720"/>
              </w:tabs>
              <w:snapToGrid w:val="0"/>
              <w:spacing w:line="360" w:lineRule="auto"/>
              <w:rPr>
                <w:rFonts w:ascii="宋体" w:hAnsi="宋体" w:cs="宋体"/>
                <w:color w:val="auto"/>
                <w:sz w:val="24"/>
                <w:highlight w:val="none"/>
              </w:rPr>
            </w:pPr>
          </w:p>
        </w:tc>
        <w:tc>
          <w:tcPr>
            <w:tcW w:w="961" w:type="pct"/>
          </w:tcPr>
          <w:p w14:paraId="6595F285">
            <w:pPr>
              <w:tabs>
                <w:tab w:val="left" w:pos="720"/>
              </w:tabs>
              <w:snapToGrid w:val="0"/>
              <w:spacing w:line="360" w:lineRule="auto"/>
              <w:rPr>
                <w:rFonts w:ascii="宋体" w:hAnsi="宋体" w:cs="宋体"/>
                <w:color w:val="auto"/>
                <w:sz w:val="24"/>
                <w:highlight w:val="none"/>
              </w:rPr>
            </w:pPr>
          </w:p>
        </w:tc>
        <w:tc>
          <w:tcPr>
            <w:tcW w:w="802" w:type="pct"/>
          </w:tcPr>
          <w:p w14:paraId="658ECCAD">
            <w:pPr>
              <w:tabs>
                <w:tab w:val="left" w:pos="720"/>
              </w:tabs>
              <w:snapToGrid w:val="0"/>
              <w:spacing w:line="360" w:lineRule="auto"/>
              <w:rPr>
                <w:rFonts w:ascii="宋体" w:hAnsi="宋体" w:cs="宋体"/>
                <w:color w:val="auto"/>
                <w:sz w:val="24"/>
                <w:highlight w:val="none"/>
              </w:rPr>
            </w:pPr>
          </w:p>
        </w:tc>
        <w:tc>
          <w:tcPr>
            <w:tcW w:w="720" w:type="pct"/>
          </w:tcPr>
          <w:p w14:paraId="13677A74">
            <w:pPr>
              <w:tabs>
                <w:tab w:val="left" w:pos="720"/>
              </w:tabs>
              <w:snapToGrid w:val="0"/>
              <w:spacing w:line="360" w:lineRule="auto"/>
              <w:rPr>
                <w:rFonts w:ascii="宋体" w:hAnsi="宋体" w:cs="宋体"/>
                <w:color w:val="auto"/>
                <w:sz w:val="24"/>
                <w:highlight w:val="none"/>
              </w:rPr>
            </w:pPr>
          </w:p>
        </w:tc>
        <w:tc>
          <w:tcPr>
            <w:tcW w:w="1091" w:type="pct"/>
          </w:tcPr>
          <w:p w14:paraId="38B36B6D">
            <w:pPr>
              <w:tabs>
                <w:tab w:val="left" w:pos="720"/>
              </w:tabs>
              <w:snapToGrid w:val="0"/>
              <w:spacing w:line="360" w:lineRule="auto"/>
              <w:rPr>
                <w:rFonts w:ascii="宋体" w:hAnsi="宋体" w:cs="宋体"/>
                <w:color w:val="auto"/>
                <w:sz w:val="24"/>
                <w:highlight w:val="none"/>
              </w:rPr>
            </w:pPr>
          </w:p>
        </w:tc>
      </w:tr>
      <w:tr w14:paraId="3BA7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tcPr>
          <w:p w14:paraId="78CBD739">
            <w:pPr>
              <w:tabs>
                <w:tab w:val="left" w:pos="720"/>
              </w:tabs>
              <w:snapToGrid w:val="0"/>
              <w:spacing w:line="360" w:lineRule="auto"/>
              <w:rPr>
                <w:rFonts w:ascii="宋体" w:hAnsi="宋体" w:cs="宋体"/>
                <w:color w:val="auto"/>
                <w:sz w:val="24"/>
                <w:highlight w:val="none"/>
              </w:rPr>
            </w:pPr>
          </w:p>
        </w:tc>
        <w:tc>
          <w:tcPr>
            <w:tcW w:w="1027" w:type="pct"/>
          </w:tcPr>
          <w:p w14:paraId="6CDF8240">
            <w:pPr>
              <w:tabs>
                <w:tab w:val="left" w:pos="720"/>
              </w:tabs>
              <w:snapToGrid w:val="0"/>
              <w:spacing w:line="360" w:lineRule="auto"/>
              <w:rPr>
                <w:rFonts w:ascii="宋体" w:hAnsi="宋体" w:cs="宋体"/>
                <w:color w:val="auto"/>
                <w:sz w:val="24"/>
                <w:highlight w:val="none"/>
              </w:rPr>
            </w:pPr>
          </w:p>
        </w:tc>
        <w:tc>
          <w:tcPr>
            <w:tcW w:w="961" w:type="pct"/>
          </w:tcPr>
          <w:p w14:paraId="37610B9C">
            <w:pPr>
              <w:tabs>
                <w:tab w:val="left" w:pos="720"/>
              </w:tabs>
              <w:snapToGrid w:val="0"/>
              <w:spacing w:line="360" w:lineRule="auto"/>
              <w:rPr>
                <w:rFonts w:ascii="宋体" w:hAnsi="宋体" w:cs="宋体"/>
                <w:color w:val="auto"/>
                <w:sz w:val="24"/>
                <w:highlight w:val="none"/>
              </w:rPr>
            </w:pPr>
          </w:p>
        </w:tc>
        <w:tc>
          <w:tcPr>
            <w:tcW w:w="802" w:type="pct"/>
          </w:tcPr>
          <w:p w14:paraId="31C1CE57">
            <w:pPr>
              <w:tabs>
                <w:tab w:val="left" w:pos="720"/>
              </w:tabs>
              <w:snapToGrid w:val="0"/>
              <w:spacing w:line="360" w:lineRule="auto"/>
              <w:rPr>
                <w:rFonts w:ascii="宋体" w:hAnsi="宋体" w:cs="宋体"/>
                <w:color w:val="auto"/>
                <w:sz w:val="24"/>
                <w:highlight w:val="none"/>
              </w:rPr>
            </w:pPr>
          </w:p>
        </w:tc>
        <w:tc>
          <w:tcPr>
            <w:tcW w:w="720" w:type="pct"/>
          </w:tcPr>
          <w:p w14:paraId="1A1DDD4B">
            <w:pPr>
              <w:tabs>
                <w:tab w:val="left" w:pos="720"/>
              </w:tabs>
              <w:snapToGrid w:val="0"/>
              <w:spacing w:line="360" w:lineRule="auto"/>
              <w:rPr>
                <w:rFonts w:ascii="宋体" w:hAnsi="宋体" w:cs="宋体"/>
                <w:color w:val="auto"/>
                <w:sz w:val="24"/>
                <w:highlight w:val="none"/>
              </w:rPr>
            </w:pPr>
          </w:p>
        </w:tc>
        <w:tc>
          <w:tcPr>
            <w:tcW w:w="1091" w:type="pct"/>
          </w:tcPr>
          <w:p w14:paraId="5351D767">
            <w:pPr>
              <w:tabs>
                <w:tab w:val="left" w:pos="720"/>
              </w:tabs>
              <w:snapToGrid w:val="0"/>
              <w:spacing w:line="360" w:lineRule="auto"/>
              <w:rPr>
                <w:rFonts w:ascii="宋体" w:hAnsi="宋体" w:cs="宋体"/>
                <w:color w:val="auto"/>
                <w:sz w:val="24"/>
                <w:highlight w:val="none"/>
              </w:rPr>
            </w:pPr>
          </w:p>
        </w:tc>
      </w:tr>
      <w:tr w14:paraId="6D33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tcPr>
          <w:p w14:paraId="0F49630A">
            <w:pPr>
              <w:tabs>
                <w:tab w:val="left" w:pos="720"/>
              </w:tabs>
              <w:snapToGrid w:val="0"/>
              <w:spacing w:line="360" w:lineRule="auto"/>
              <w:rPr>
                <w:rFonts w:ascii="宋体" w:hAnsi="宋体" w:cs="宋体"/>
                <w:color w:val="auto"/>
                <w:sz w:val="24"/>
                <w:highlight w:val="none"/>
              </w:rPr>
            </w:pPr>
          </w:p>
        </w:tc>
        <w:tc>
          <w:tcPr>
            <w:tcW w:w="1027" w:type="pct"/>
          </w:tcPr>
          <w:p w14:paraId="3D17A792">
            <w:pPr>
              <w:tabs>
                <w:tab w:val="left" w:pos="720"/>
              </w:tabs>
              <w:snapToGrid w:val="0"/>
              <w:spacing w:line="360" w:lineRule="auto"/>
              <w:rPr>
                <w:rFonts w:ascii="宋体" w:hAnsi="宋体" w:cs="宋体"/>
                <w:color w:val="auto"/>
                <w:sz w:val="24"/>
                <w:highlight w:val="none"/>
              </w:rPr>
            </w:pPr>
          </w:p>
        </w:tc>
        <w:tc>
          <w:tcPr>
            <w:tcW w:w="961" w:type="pct"/>
          </w:tcPr>
          <w:p w14:paraId="039CB730">
            <w:pPr>
              <w:tabs>
                <w:tab w:val="left" w:pos="720"/>
              </w:tabs>
              <w:snapToGrid w:val="0"/>
              <w:spacing w:line="360" w:lineRule="auto"/>
              <w:rPr>
                <w:rFonts w:ascii="宋体" w:hAnsi="宋体" w:cs="宋体"/>
                <w:color w:val="auto"/>
                <w:sz w:val="24"/>
                <w:highlight w:val="none"/>
              </w:rPr>
            </w:pPr>
          </w:p>
        </w:tc>
        <w:tc>
          <w:tcPr>
            <w:tcW w:w="802" w:type="pct"/>
          </w:tcPr>
          <w:p w14:paraId="7093CD94">
            <w:pPr>
              <w:tabs>
                <w:tab w:val="left" w:pos="720"/>
              </w:tabs>
              <w:snapToGrid w:val="0"/>
              <w:spacing w:line="360" w:lineRule="auto"/>
              <w:rPr>
                <w:rFonts w:ascii="宋体" w:hAnsi="宋体" w:cs="宋体"/>
                <w:color w:val="auto"/>
                <w:sz w:val="24"/>
                <w:highlight w:val="none"/>
              </w:rPr>
            </w:pPr>
          </w:p>
        </w:tc>
        <w:tc>
          <w:tcPr>
            <w:tcW w:w="720" w:type="pct"/>
          </w:tcPr>
          <w:p w14:paraId="3FFA41FD">
            <w:pPr>
              <w:tabs>
                <w:tab w:val="left" w:pos="720"/>
              </w:tabs>
              <w:snapToGrid w:val="0"/>
              <w:spacing w:line="360" w:lineRule="auto"/>
              <w:rPr>
                <w:rFonts w:ascii="宋体" w:hAnsi="宋体" w:cs="宋体"/>
                <w:color w:val="auto"/>
                <w:sz w:val="24"/>
                <w:highlight w:val="none"/>
              </w:rPr>
            </w:pPr>
          </w:p>
        </w:tc>
        <w:tc>
          <w:tcPr>
            <w:tcW w:w="1091" w:type="pct"/>
          </w:tcPr>
          <w:p w14:paraId="4EBE4F9A">
            <w:pPr>
              <w:tabs>
                <w:tab w:val="left" w:pos="720"/>
              </w:tabs>
              <w:snapToGrid w:val="0"/>
              <w:spacing w:line="360" w:lineRule="auto"/>
              <w:rPr>
                <w:rFonts w:ascii="宋体" w:hAnsi="宋体" w:cs="宋体"/>
                <w:color w:val="auto"/>
                <w:sz w:val="24"/>
                <w:highlight w:val="none"/>
              </w:rPr>
            </w:pPr>
          </w:p>
        </w:tc>
      </w:tr>
    </w:tbl>
    <w:p w14:paraId="717F063C">
      <w:pPr>
        <w:tabs>
          <w:tab w:val="left" w:pos="7655"/>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注：投标人需根据评分标准提供相应证明材料。</w:t>
      </w:r>
    </w:p>
    <w:p w14:paraId="65536A0D">
      <w:pPr>
        <w:tabs>
          <w:tab w:val="left" w:pos="7655"/>
        </w:tabs>
        <w:spacing w:line="360" w:lineRule="auto"/>
        <w:jc w:val="left"/>
        <w:rPr>
          <w:rFonts w:ascii="宋体" w:hAnsi="宋体" w:cs="宋体"/>
          <w:color w:val="auto"/>
          <w:sz w:val="24"/>
          <w:highlight w:val="none"/>
        </w:rPr>
      </w:pPr>
    </w:p>
    <w:p w14:paraId="7A8CCECB">
      <w:pPr>
        <w:tabs>
          <w:tab w:val="left" w:pos="7655"/>
        </w:tabs>
        <w:spacing w:line="360" w:lineRule="auto"/>
        <w:jc w:val="left"/>
        <w:rPr>
          <w:rFonts w:ascii="宋体" w:hAnsi="宋体" w:cs="宋体"/>
          <w:color w:val="auto"/>
          <w:sz w:val="24"/>
          <w:highlight w:val="none"/>
          <w:lang w:val="zh-CN"/>
        </w:rPr>
      </w:pPr>
    </w:p>
    <w:p w14:paraId="5448F010">
      <w:pPr>
        <w:tabs>
          <w:tab w:val="left" w:pos="7655"/>
        </w:tabs>
        <w:spacing w:line="360" w:lineRule="auto"/>
        <w:ind w:firstLine="1656" w:firstLineChars="600"/>
        <w:jc w:val="left"/>
        <w:rPr>
          <w:rFonts w:ascii="宋体" w:hAnsi="宋体" w:cs="宋体"/>
          <w:color w:val="auto"/>
          <w:spacing w:val="18"/>
          <w:kern w:val="1"/>
          <w:sz w:val="24"/>
          <w:highlight w:val="none"/>
        </w:rPr>
      </w:pPr>
      <w:r>
        <w:rPr>
          <w:rFonts w:hint="eastAsia" w:ascii="宋体" w:hAnsi="宋体" w:cs="宋体"/>
          <w:color w:val="auto"/>
          <w:spacing w:val="18"/>
          <w:kern w:val="1"/>
          <w:sz w:val="24"/>
          <w:highlight w:val="none"/>
          <w:lang w:val="zh-CN"/>
        </w:rPr>
        <w:t>投标人：(盖章)</w:t>
      </w:r>
    </w:p>
    <w:p w14:paraId="0EC42809">
      <w:pPr>
        <w:tabs>
          <w:tab w:val="left" w:pos="7655"/>
        </w:tabs>
        <w:spacing w:line="360" w:lineRule="auto"/>
        <w:ind w:firstLine="1656" w:firstLineChars="600"/>
        <w:jc w:val="left"/>
        <w:rPr>
          <w:rFonts w:ascii="宋体" w:hAnsi="宋体" w:cs="宋体"/>
          <w:color w:val="auto"/>
          <w:spacing w:val="18"/>
          <w:kern w:val="1"/>
          <w:sz w:val="24"/>
          <w:highlight w:val="none"/>
          <w:lang w:val="zh-CN"/>
        </w:rPr>
      </w:pPr>
      <w:r>
        <w:rPr>
          <w:rFonts w:hint="eastAsia" w:ascii="宋体" w:hAnsi="宋体" w:cs="宋体"/>
          <w:color w:val="auto"/>
          <w:spacing w:val="18"/>
          <w:kern w:val="1"/>
          <w:sz w:val="24"/>
          <w:highlight w:val="none"/>
          <w:lang w:val="zh-CN"/>
        </w:rPr>
        <w:t>日期：年月日</w:t>
      </w:r>
    </w:p>
    <w:p w14:paraId="666A7A6B">
      <w:pPr>
        <w:pStyle w:val="14"/>
        <w:ind w:firstLine="0"/>
        <w:rPr>
          <w:rFonts w:ascii="宋体" w:hAnsi="宋体" w:cs="宋体"/>
          <w:color w:val="auto"/>
          <w:szCs w:val="21"/>
          <w:highlight w:val="none"/>
        </w:rPr>
      </w:pPr>
    </w:p>
    <w:p w14:paraId="6938FE99">
      <w:pPr>
        <w:autoSpaceDE w:val="0"/>
        <w:autoSpaceDN w:val="0"/>
        <w:adjustRightInd w:val="0"/>
        <w:spacing w:line="360" w:lineRule="auto"/>
        <w:jc w:val="left"/>
        <w:rPr>
          <w:rFonts w:ascii="宋体" w:hAnsi="宋体" w:cs="宋体"/>
          <w:color w:val="auto"/>
          <w:szCs w:val="21"/>
          <w:highlight w:val="none"/>
        </w:rPr>
      </w:pPr>
    </w:p>
    <w:p w14:paraId="2CF9D336">
      <w:pPr>
        <w:pStyle w:val="14"/>
        <w:ind w:firstLine="0"/>
        <w:rPr>
          <w:rFonts w:ascii="宋体" w:hAnsi="宋体" w:cs="宋体"/>
          <w:color w:val="auto"/>
          <w:szCs w:val="21"/>
          <w:highlight w:val="none"/>
        </w:rPr>
      </w:pPr>
    </w:p>
    <w:p w14:paraId="129DE34A">
      <w:pPr>
        <w:spacing w:line="360" w:lineRule="auto"/>
        <w:rPr>
          <w:rFonts w:ascii="宋体" w:hAnsi="宋体" w:cs="宋体"/>
          <w:b/>
          <w:bCs/>
          <w:color w:val="auto"/>
          <w:kern w:val="1"/>
          <w:sz w:val="24"/>
          <w:highlight w:val="none"/>
          <w:lang w:val="zh-CN"/>
        </w:rPr>
      </w:pPr>
      <w:r>
        <w:rPr>
          <w:rFonts w:hint="eastAsia" w:ascii="宋体" w:hAnsi="宋体" w:cs="宋体"/>
          <w:b/>
          <w:color w:val="auto"/>
          <w:kern w:val="1"/>
          <w:sz w:val="24"/>
          <w:highlight w:val="none"/>
          <w:lang w:val="zh-CN"/>
        </w:rPr>
        <w:br w:type="page"/>
      </w:r>
      <w:r>
        <w:rPr>
          <w:rFonts w:hint="eastAsia" w:ascii="宋体" w:hAnsi="宋体" w:cs="宋体"/>
          <w:b/>
          <w:bCs/>
          <w:color w:val="auto"/>
          <w:kern w:val="1"/>
          <w:sz w:val="24"/>
          <w:highlight w:val="none"/>
          <w:lang w:val="zh-CN"/>
        </w:rPr>
        <w:t>（</w:t>
      </w:r>
      <w:r>
        <w:rPr>
          <w:rFonts w:ascii="宋体" w:hAnsi="宋体" w:cs="宋体"/>
          <w:b/>
          <w:bCs/>
          <w:color w:val="auto"/>
          <w:kern w:val="1"/>
          <w:sz w:val="24"/>
          <w:highlight w:val="none"/>
          <w:lang w:val="zh-CN"/>
        </w:rPr>
        <w:t>2</w:t>
      </w:r>
      <w:r>
        <w:rPr>
          <w:rFonts w:hint="eastAsia" w:ascii="宋体" w:hAnsi="宋体" w:cs="宋体"/>
          <w:b/>
          <w:bCs/>
          <w:color w:val="auto"/>
          <w:kern w:val="1"/>
          <w:sz w:val="24"/>
          <w:highlight w:val="none"/>
          <w:lang w:val="zh-CN"/>
        </w:rPr>
        <w:t>）企业获奖资料</w:t>
      </w:r>
    </w:p>
    <w:p w14:paraId="537943D2">
      <w:pPr>
        <w:spacing w:line="360" w:lineRule="auto"/>
        <w:jc w:val="center"/>
        <w:rPr>
          <w:rFonts w:ascii="宋体" w:hAnsi="宋体" w:cs="宋体"/>
          <w:b/>
          <w:bCs/>
          <w:color w:val="auto"/>
          <w:kern w:val="1"/>
          <w:sz w:val="32"/>
          <w:szCs w:val="32"/>
          <w:highlight w:val="none"/>
          <w:lang w:val="zh-CN"/>
        </w:rPr>
      </w:pPr>
    </w:p>
    <w:p w14:paraId="2A78B85C">
      <w:pPr>
        <w:spacing w:line="360" w:lineRule="auto"/>
        <w:jc w:val="center"/>
        <w:rPr>
          <w:rFonts w:ascii="宋体" w:hAnsi="宋体" w:cs="宋体"/>
          <w:b/>
          <w:bCs/>
          <w:color w:val="auto"/>
          <w:kern w:val="1"/>
          <w:sz w:val="28"/>
          <w:szCs w:val="28"/>
          <w:highlight w:val="none"/>
          <w:lang w:val="zh-CN"/>
        </w:rPr>
      </w:pPr>
      <w:r>
        <w:rPr>
          <w:rFonts w:hint="eastAsia" w:ascii="宋体" w:hAnsi="宋体" w:cs="宋体"/>
          <w:b/>
          <w:bCs/>
          <w:color w:val="auto"/>
          <w:kern w:val="1"/>
          <w:sz w:val="32"/>
          <w:szCs w:val="32"/>
          <w:highlight w:val="none"/>
          <w:lang w:val="zh-CN"/>
        </w:rPr>
        <w:t>企业获奖一览表（设计方）</w:t>
      </w:r>
    </w:p>
    <w:tbl>
      <w:tblPr>
        <w:tblStyle w:val="45"/>
        <w:tblW w:w="5000" w:type="pct"/>
        <w:jc w:val="center"/>
        <w:tblLayout w:type="autofit"/>
        <w:tblCellMar>
          <w:top w:w="0" w:type="dxa"/>
          <w:left w:w="108" w:type="dxa"/>
          <w:bottom w:w="0" w:type="dxa"/>
          <w:right w:w="108" w:type="dxa"/>
        </w:tblCellMar>
      </w:tblPr>
      <w:tblGrid>
        <w:gridCol w:w="971"/>
        <w:gridCol w:w="970"/>
        <w:gridCol w:w="1575"/>
        <w:gridCol w:w="2010"/>
        <w:gridCol w:w="1235"/>
        <w:gridCol w:w="1700"/>
        <w:gridCol w:w="827"/>
      </w:tblGrid>
      <w:tr w14:paraId="37B611AA">
        <w:tblPrEx>
          <w:tblCellMar>
            <w:top w:w="0" w:type="dxa"/>
            <w:left w:w="108" w:type="dxa"/>
            <w:bottom w:w="0" w:type="dxa"/>
            <w:right w:w="108" w:type="dxa"/>
          </w:tblCellMar>
        </w:tblPrEx>
        <w:trPr>
          <w:trHeight w:val="1454" w:hRule="atLeast"/>
          <w:jc w:val="center"/>
        </w:trPr>
        <w:tc>
          <w:tcPr>
            <w:tcW w:w="523" w:type="pct"/>
            <w:tcBorders>
              <w:top w:val="single" w:color="000000" w:sz="4" w:space="0"/>
              <w:left w:val="single" w:color="000000" w:sz="4" w:space="0"/>
              <w:bottom w:val="single" w:color="000000" w:sz="4" w:space="0"/>
              <w:right w:val="single" w:color="000000" w:sz="4" w:space="0"/>
            </w:tcBorders>
            <w:vAlign w:val="center"/>
          </w:tcPr>
          <w:p w14:paraId="1C1C5D3E">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序号</w:t>
            </w:r>
          </w:p>
        </w:tc>
        <w:tc>
          <w:tcPr>
            <w:tcW w:w="522" w:type="pct"/>
            <w:tcBorders>
              <w:top w:val="single" w:color="000000" w:sz="4" w:space="0"/>
              <w:left w:val="single" w:color="000000" w:sz="4" w:space="0"/>
              <w:bottom w:val="single" w:color="000000" w:sz="4" w:space="0"/>
              <w:right w:val="single" w:color="000000" w:sz="4" w:space="0"/>
            </w:tcBorders>
            <w:vAlign w:val="center"/>
          </w:tcPr>
          <w:p w14:paraId="7EB39A62">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获奖项目名称</w:t>
            </w:r>
          </w:p>
        </w:tc>
        <w:tc>
          <w:tcPr>
            <w:tcW w:w="848" w:type="pct"/>
            <w:tcBorders>
              <w:top w:val="single" w:color="000000" w:sz="4" w:space="0"/>
              <w:left w:val="single" w:color="000000" w:sz="4" w:space="0"/>
              <w:bottom w:val="single" w:color="000000" w:sz="4" w:space="0"/>
              <w:right w:val="single" w:color="000000" w:sz="4" w:space="0"/>
            </w:tcBorders>
            <w:vAlign w:val="center"/>
          </w:tcPr>
          <w:p w14:paraId="7A56692D">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获奖等级或名称情况</w:t>
            </w:r>
          </w:p>
        </w:tc>
        <w:tc>
          <w:tcPr>
            <w:tcW w:w="1082" w:type="pct"/>
            <w:tcBorders>
              <w:top w:val="single" w:color="000000" w:sz="4" w:space="0"/>
              <w:left w:val="single" w:color="000000" w:sz="4" w:space="0"/>
              <w:bottom w:val="single" w:color="000000" w:sz="4" w:space="0"/>
              <w:right w:val="single" w:color="000000" w:sz="4" w:space="0"/>
            </w:tcBorders>
            <w:vAlign w:val="center"/>
          </w:tcPr>
          <w:p w14:paraId="2D0055C8">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授予/颁发部门</w:t>
            </w:r>
          </w:p>
        </w:tc>
        <w:tc>
          <w:tcPr>
            <w:tcW w:w="665" w:type="pct"/>
            <w:tcBorders>
              <w:top w:val="single" w:color="000000" w:sz="4" w:space="0"/>
              <w:left w:val="single" w:color="000000" w:sz="4" w:space="0"/>
              <w:bottom w:val="single" w:color="000000" w:sz="4" w:space="0"/>
              <w:right w:val="single" w:color="000000" w:sz="4" w:space="0"/>
            </w:tcBorders>
            <w:vAlign w:val="center"/>
          </w:tcPr>
          <w:p w14:paraId="65C892D3">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发证时间</w:t>
            </w:r>
          </w:p>
        </w:tc>
        <w:tc>
          <w:tcPr>
            <w:tcW w:w="915" w:type="pct"/>
            <w:tcBorders>
              <w:top w:val="single" w:color="000000" w:sz="4" w:space="0"/>
              <w:left w:val="single" w:color="000000" w:sz="4" w:space="0"/>
              <w:bottom w:val="single" w:color="000000" w:sz="4" w:space="0"/>
              <w:right w:val="single" w:color="000000" w:sz="4" w:space="0"/>
            </w:tcBorders>
            <w:vAlign w:val="center"/>
          </w:tcPr>
          <w:p w14:paraId="12DE05F0">
            <w:pPr>
              <w:spacing w:line="360" w:lineRule="auto"/>
              <w:jc w:val="center"/>
              <w:rPr>
                <w:rFonts w:ascii="宋体" w:hAnsi="宋体" w:cs="宋体"/>
                <w:color w:val="auto"/>
                <w:kern w:val="1"/>
                <w:szCs w:val="21"/>
                <w:highlight w:val="none"/>
                <w:lang w:val="zh-CN"/>
              </w:rPr>
            </w:pPr>
            <w:r>
              <w:rPr>
                <w:rFonts w:hint="eastAsia" w:ascii="宋体" w:hAnsi="宋体" w:cs="宋体"/>
                <w:color w:val="auto"/>
                <w:kern w:val="1"/>
                <w:szCs w:val="21"/>
                <w:highlight w:val="none"/>
              </w:rPr>
              <w:t>...（投标单位可自行增加评审相关内容）</w:t>
            </w:r>
          </w:p>
        </w:tc>
        <w:tc>
          <w:tcPr>
            <w:tcW w:w="445" w:type="pct"/>
            <w:tcBorders>
              <w:top w:val="single" w:color="000000" w:sz="4" w:space="0"/>
              <w:left w:val="single" w:color="000000" w:sz="4" w:space="0"/>
              <w:bottom w:val="single" w:color="000000" w:sz="4" w:space="0"/>
              <w:right w:val="single" w:color="000000" w:sz="4" w:space="0"/>
            </w:tcBorders>
            <w:vAlign w:val="center"/>
          </w:tcPr>
          <w:p w14:paraId="4ED15D9C">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备注</w:t>
            </w:r>
          </w:p>
        </w:tc>
      </w:tr>
      <w:tr w14:paraId="0CCDE4FF">
        <w:tblPrEx>
          <w:tblCellMar>
            <w:top w:w="0" w:type="dxa"/>
            <w:left w:w="108" w:type="dxa"/>
            <w:bottom w:w="0" w:type="dxa"/>
            <w:right w:w="108" w:type="dxa"/>
          </w:tblCellMar>
        </w:tblPrEx>
        <w:trPr>
          <w:trHeight w:val="627" w:hRule="atLeast"/>
          <w:jc w:val="center"/>
        </w:trPr>
        <w:tc>
          <w:tcPr>
            <w:tcW w:w="523" w:type="pct"/>
            <w:tcBorders>
              <w:top w:val="single" w:color="000000" w:sz="4" w:space="0"/>
              <w:left w:val="single" w:color="000000" w:sz="4" w:space="0"/>
              <w:bottom w:val="single" w:color="000000" w:sz="4" w:space="0"/>
              <w:right w:val="single" w:color="000000" w:sz="4" w:space="0"/>
            </w:tcBorders>
            <w:vAlign w:val="center"/>
          </w:tcPr>
          <w:p w14:paraId="43CA6896">
            <w:pPr>
              <w:spacing w:line="360" w:lineRule="auto"/>
              <w:jc w:val="center"/>
              <w:rPr>
                <w:rFonts w:ascii="宋体" w:hAnsi="宋体" w:cs="宋体"/>
                <w:color w:val="auto"/>
                <w:kern w:val="1"/>
                <w:szCs w:val="21"/>
                <w:highlight w:val="none"/>
              </w:rPr>
            </w:pPr>
          </w:p>
        </w:tc>
        <w:tc>
          <w:tcPr>
            <w:tcW w:w="522" w:type="pct"/>
            <w:tcBorders>
              <w:top w:val="single" w:color="000000" w:sz="4" w:space="0"/>
              <w:left w:val="single" w:color="000000" w:sz="4" w:space="0"/>
              <w:bottom w:val="single" w:color="000000" w:sz="4" w:space="0"/>
              <w:right w:val="single" w:color="000000" w:sz="4" w:space="0"/>
            </w:tcBorders>
            <w:vAlign w:val="center"/>
          </w:tcPr>
          <w:p w14:paraId="7F9D84C4">
            <w:pPr>
              <w:spacing w:line="360" w:lineRule="auto"/>
              <w:jc w:val="center"/>
              <w:rPr>
                <w:rFonts w:ascii="宋体" w:hAnsi="宋体" w:cs="宋体"/>
                <w:color w:val="auto"/>
                <w:kern w:val="1"/>
                <w:szCs w:val="21"/>
                <w:highlight w:val="none"/>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0E03E056">
            <w:pPr>
              <w:spacing w:line="360" w:lineRule="auto"/>
              <w:jc w:val="center"/>
              <w:rPr>
                <w:rFonts w:ascii="宋体" w:hAnsi="宋体" w:cs="宋体"/>
                <w:color w:val="auto"/>
                <w:kern w:val="1"/>
                <w:szCs w:val="21"/>
                <w:highlight w:val="none"/>
              </w:rPr>
            </w:pPr>
          </w:p>
        </w:tc>
        <w:tc>
          <w:tcPr>
            <w:tcW w:w="1082" w:type="pct"/>
            <w:tcBorders>
              <w:top w:val="single" w:color="000000" w:sz="4" w:space="0"/>
              <w:left w:val="single" w:color="000000" w:sz="4" w:space="0"/>
              <w:bottom w:val="single" w:color="000000" w:sz="4" w:space="0"/>
              <w:right w:val="single" w:color="000000" w:sz="4" w:space="0"/>
            </w:tcBorders>
            <w:vAlign w:val="center"/>
          </w:tcPr>
          <w:p w14:paraId="612B171E">
            <w:pPr>
              <w:spacing w:line="360" w:lineRule="auto"/>
              <w:jc w:val="center"/>
              <w:rPr>
                <w:rFonts w:ascii="宋体" w:hAnsi="宋体" w:cs="宋体"/>
                <w:color w:val="auto"/>
                <w:kern w:val="1"/>
                <w:szCs w:val="21"/>
                <w:highlight w:val="none"/>
              </w:rPr>
            </w:pPr>
          </w:p>
        </w:tc>
        <w:tc>
          <w:tcPr>
            <w:tcW w:w="665" w:type="pct"/>
            <w:tcBorders>
              <w:top w:val="single" w:color="000000" w:sz="4" w:space="0"/>
              <w:left w:val="single" w:color="000000" w:sz="4" w:space="0"/>
              <w:bottom w:val="single" w:color="000000" w:sz="4" w:space="0"/>
              <w:right w:val="single" w:color="000000" w:sz="4" w:space="0"/>
            </w:tcBorders>
            <w:vAlign w:val="center"/>
          </w:tcPr>
          <w:p w14:paraId="6FE6D30F">
            <w:pPr>
              <w:spacing w:line="360" w:lineRule="auto"/>
              <w:jc w:val="center"/>
              <w:rPr>
                <w:rFonts w:ascii="宋体" w:hAnsi="宋体" w:cs="宋体"/>
                <w:color w:val="auto"/>
                <w:kern w:val="1"/>
                <w:szCs w:val="21"/>
                <w:highlight w:val="none"/>
              </w:rPr>
            </w:pPr>
          </w:p>
        </w:tc>
        <w:tc>
          <w:tcPr>
            <w:tcW w:w="915" w:type="pct"/>
            <w:tcBorders>
              <w:top w:val="single" w:color="000000" w:sz="4" w:space="0"/>
              <w:left w:val="single" w:color="000000" w:sz="4" w:space="0"/>
              <w:bottom w:val="single" w:color="000000" w:sz="4" w:space="0"/>
              <w:right w:val="single" w:color="000000" w:sz="4" w:space="0"/>
            </w:tcBorders>
            <w:vAlign w:val="center"/>
          </w:tcPr>
          <w:p w14:paraId="4C5B34DB">
            <w:pPr>
              <w:spacing w:line="360" w:lineRule="auto"/>
              <w:jc w:val="center"/>
              <w:rPr>
                <w:rFonts w:ascii="宋体" w:hAnsi="宋体" w:cs="宋体"/>
                <w:color w:val="auto"/>
                <w:kern w:val="1"/>
                <w:szCs w:val="21"/>
                <w:highlight w:val="none"/>
              </w:rPr>
            </w:pPr>
          </w:p>
        </w:tc>
        <w:tc>
          <w:tcPr>
            <w:tcW w:w="445" w:type="pct"/>
            <w:tcBorders>
              <w:top w:val="single" w:color="000000" w:sz="4" w:space="0"/>
              <w:left w:val="single" w:color="000000" w:sz="4" w:space="0"/>
              <w:bottom w:val="single" w:color="000000" w:sz="4" w:space="0"/>
              <w:right w:val="single" w:color="000000" w:sz="4" w:space="0"/>
            </w:tcBorders>
            <w:vAlign w:val="center"/>
          </w:tcPr>
          <w:p w14:paraId="66665C16">
            <w:pPr>
              <w:spacing w:line="360" w:lineRule="auto"/>
              <w:jc w:val="center"/>
              <w:rPr>
                <w:rFonts w:ascii="宋体" w:hAnsi="宋体" w:cs="宋体"/>
                <w:color w:val="auto"/>
                <w:kern w:val="1"/>
                <w:szCs w:val="21"/>
                <w:highlight w:val="none"/>
              </w:rPr>
            </w:pPr>
          </w:p>
        </w:tc>
      </w:tr>
      <w:tr w14:paraId="2E5E0D3E">
        <w:tblPrEx>
          <w:tblCellMar>
            <w:top w:w="0" w:type="dxa"/>
            <w:left w:w="108" w:type="dxa"/>
            <w:bottom w:w="0" w:type="dxa"/>
            <w:right w:w="108" w:type="dxa"/>
          </w:tblCellMar>
        </w:tblPrEx>
        <w:trPr>
          <w:trHeight w:val="627" w:hRule="atLeast"/>
          <w:jc w:val="center"/>
        </w:trPr>
        <w:tc>
          <w:tcPr>
            <w:tcW w:w="523" w:type="pct"/>
            <w:tcBorders>
              <w:top w:val="single" w:color="000000" w:sz="4" w:space="0"/>
              <w:left w:val="single" w:color="000000" w:sz="4" w:space="0"/>
              <w:bottom w:val="single" w:color="000000" w:sz="4" w:space="0"/>
              <w:right w:val="single" w:color="000000" w:sz="4" w:space="0"/>
            </w:tcBorders>
            <w:vAlign w:val="center"/>
          </w:tcPr>
          <w:p w14:paraId="166D64D1">
            <w:pPr>
              <w:spacing w:line="360" w:lineRule="auto"/>
              <w:jc w:val="center"/>
              <w:rPr>
                <w:rFonts w:ascii="宋体" w:hAnsi="宋体" w:cs="宋体"/>
                <w:color w:val="auto"/>
                <w:kern w:val="1"/>
                <w:szCs w:val="21"/>
                <w:highlight w:val="none"/>
              </w:rPr>
            </w:pPr>
          </w:p>
        </w:tc>
        <w:tc>
          <w:tcPr>
            <w:tcW w:w="522" w:type="pct"/>
            <w:tcBorders>
              <w:top w:val="single" w:color="000000" w:sz="4" w:space="0"/>
              <w:left w:val="single" w:color="000000" w:sz="4" w:space="0"/>
              <w:bottom w:val="single" w:color="000000" w:sz="4" w:space="0"/>
              <w:right w:val="single" w:color="000000" w:sz="4" w:space="0"/>
            </w:tcBorders>
            <w:vAlign w:val="center"/>
          </w:tcPr>
          <w:p w14:paraId="1E3A1C20">
            <w:pPr>
              <w:spacing w:line="360" w:lineRule="auto"/>
              <w:jc w:val="center"/>
              <w:rPr>
                <w:rFonts w:ascii="宋体" w:hAnsi="宋体" w:cs="宋体"/>
                <w:color w:val="auto"/>
                <w:kern w:val="1"/>
                <w:szCs w:val="21"/>
                <w:highlight w:val="none"/>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4FC7ABEE">
            <w:pPr>
              <w:spacing w:line="360" w:lineRule="auto"/>
              <w:jc w:val="center"/>
              <w:rPr>
                <w:rFonts w:ascii="宋体" w:hAnsi="宋体" w:cs="宋体"/>
                <w:color w:val="auto"/>
                <w:kern w:val="1"/>
                <w:szCs w:val="21"/>
                <w:highlight w:val="none"/>
              </w:rPr>
            </w:pPr>
          </w:p>
        </w:tc>
        <w:tc>
          <w:tcPr>
            <w:tcW w:w="1082" w:type="pct"/>
            <w:tcBorders>
              <w:top w:val="single" w:color="000000" w:sz="4" w:space="0"/>
              <w:left w:val="single" w:color="000000" w:sz="4" w:space="0"/>
              <w:bottom w:val="single" w:color="000000" w:sz="4" w:space="0"/>
              <w:right w:val="single" w:color="000000" w:sz="4" w:space="0"/>
            </w:tcBorders>
            <w:vAlign w:val="center"/>
          </w:tcPr>
          <w:p w14:paraId="6761B442">
            <w:pPr>
              <w:spacing w:line="360" w:lineRule="auto"/>
              <w:jc w:val="center"/>
              <w:rPr>
                <w:rFonts w:ascii="宋体" w:hAnsi="宋体" w:cs="宋体"/>
                <w:color w:val="auto"/>
                <w:kern w:val="1"/>
                <w:szCs w:val="21"/>
                <w:highlight w:val="none"/>
              </w:rPr>
            </w:pPr>
          </w:p>
        </w:tc>
        <w:tc>
          <w:tcPr>
            <w:tcW w:w="665" w:type="pct"/>
            <w:tcBorders>
              <w:top w:val="single" w:color="000000" w:sz="4" w:space="0"/>
              <w:left w:val="single" w:color="000000" w:sz="4" w:space="0"/>
              <w:bottom w:val="single" w:color="000000" w:sz="4" w:space="0"/>
              <w:right w:val="single" w:color="000000" w:sz="4" w:space="0"/>
            </w:tcBorders>
            <w:vAlign w:val="center"/>
          </w:tcPr>
          <w:p w14:paraId="341ADC45">
            <w:pPr>
              <w:spacing w:line="360" w:lineRule="auto"/>
              <w:jc w:val="center"/>
              <w:rPr>
                <w:rFonts w:ascii="宋体" w:hAnsi="宋体" w:cs="宋体"/>
                <w:color w:val="auto"/>
                <w:kern w:val="1"/>
                <w:szCs w:val="21"/>
                <w:highlight w:val="none"/>
              </w:rPr>
            </w:pPr>
          </w:p>
        </w:tc>
        <w:tc>
          <w:tcPr>
            <w:tcW w:w="915" w:type="pct"/>
            <w:tcBorders>
              <w:top w:val="single" w:color="000000" w:sz="4" w:space="0"/>
              <w:left w:val="single" w:color="000000" w:sz="4" w:space="0"/>
              <w:bottom w:val="single" w:color="000000" w:sz="4" w:space="0"/>
              <w:right w:val="single" w:color="000000" w:sz="4" w:space="0"/>
            </w:tcBorders>
            <w:vAlign w:val="center"/>
          </w:tcPr>
          <w:p w14:paraId="6DDE462C">
            <w:pPr>
              <w:spacing w:line="360" w:lineRule="auto"/>
              <w:jc w:val="center"/>
              <w:rPr>
                <w:rFonts w:ascii="宋体" w:hAnsi="宋体" w:cs="宋体"/>
                <w:color w:val="auto"/>
                <w:kern w:val="1"/>
                <w:szCs w:val="21"/>
                <w:highlight w:val="none"/>
              </w:rPr>
            </w:pPr>
          </w:p>
        </w:tc>
        <w:tc>
          <w:tcPr>
            <w:tcW w:w="445" w:type="pct"/>
            <w:tcBorders>
              <w:top w:val="single" w:color="000000" w:sz="4" w:space="0"/>
              <w:left w:val="single" w:color="000000" w:sz="4" w:space="0"/>
              <w:bottom w:val="single" w:color="000000" w:sz="4" w:space="0"/>
              <w:right w:val="single" w:color="000000" w:sz="4" w:space="0"/>
            </w:tcBorders>
            <w:vAlign w:val="center"/>
          </w:tcPr>
          <w:p w14:paraId="283C6E5A">
            <w:pPr>
              <w:spacing w:line="360" w:lineRule="auto"/>
              <w:jc w:val="center"/>
              <w:rPr>
                <w:rFonts w:ascii="宋体" w:hAnsi="宋体" w:cs="宋体"/>
                <w:color w:val="auto"/>
                <w:kern w:val="1"/>
                <w:szCs w:val="21"/>
                <w:highlight w:val="none"/>
              </w:rPr>
            </w:pPr>
          </w:p>
        </w:tc>
      </w:tr>
      <w:tr w14:paraId="2A692DFA">
        <w:tblPrEx>
          <w:tblCellMar>
            <w:top w:w="0" w:type="dxa"/>
            <w:left w:w="108" w:type="dxa"/>
            <w:bottom w:w="0" w:type="dxa"/>
            <w:right w:w="108" w:type="dxa"/>
          </w:tblCellMar>
        </w:tblPrEx>
        <w:trPr>
          <w:trHeight w:val="627" w:hRule="atLeast"/>
          <w:jc w:val="center"/>
        </w:trPr>
        <w:tc>
          <w:tcPr>
            <w:tcW w:w="523" w:type="pct"/>
            <w:tcBorders>
              <w:top w:val="single" w:color="000000" w:sz="4" w:space="0"/>
              <w:left w:val="single" w:color="000000" w:sz="4" w:space="0"/>
              <w:bottom w:val="single" w:color="000000" w:sz="4" w:space="0"/>
              <w:right w:val="single" w:color="000000" w:sz="4" w:space="0"/>
            </w:tcBorders>
            <w:vAlign w:val="center"/>
          </w:tcPr>
          <w:p w14:paraId="70034C75">
            <w:pPr>
              <w:spacing w:line="360" w:lineRule="auto"/>
              <w:jc w:val="center"/>
              <w:rPr>
                <w:rFonts w:ascii="宋体" w:hAnsi="宋体" w:cs="宋体"/>
                <w:color w:val="auto"/>
                <w:kern w:val="1"/>
                <w:szCs w:val="21"/>
                <w:highlight w:val="none"/>
              </w:rPr>
            </w:pPr>
          </w:p>
        </w:tc>
        <w:tc>
          <w:tcPr>
            <w:tcW w:w="522" w:type="pct"/>
            <w:tcBorders>
              <w:top w:val="single" w:color="000000" w:sz="4" w:space="0"/>
              <w:left w:val="single" w:color="000000" w:sz="4" w:space="0"/>
              <w:bottom w:val="single" w:color="000000" w:sz="4" w:space="0"/>
              <w:right w:val="single" w:color="000000" w:sz="4" w:space="0"/>
            </w:tcBorders>
            <w:vAlign w:val="center"/>
          </w:tcPr>
          <w:p w14:paraId="2A5E7079">
            <w:pPr>
              <w:spacing w:line="360" w:lineRule="auto"/>
              <w:jc w:val="center"/>
              <w:rPr>
                <w:rFonts w:ascii="宋体" w:hAnsi="宋体" w:cs="宋体"/>
                <w:color w:val="auto"/>
                <w:kern w:val="1"/>
                <w:szCs w:val="21"/>
                <w:highlight w:val="none"/>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661A9306">
            <w:pPr>
              <w:spacing w:line="360" w:lineRule="auto"/>
              <w:jc w:val="center"/>
              <w:rPr>
                <w:rFonts w:ascii="宋体" w:hAnsi="宋体" w:cs="宋体"/>
                <w:color w:val="auto"/>
                <w:kern w:val="1"/>
                <w:szCs w:val="21"/>
                <w:highlight w:val="none"/>
              </w:rPr>
            </w:pPr>
          </w:p>
        </w:tc>
        <w:tc>
          <w:tcPr>
            <w:tcW w:w="1082" w:type="pct"/>
            <w:tcBorders>
              <w:top w:val="single" w:color="000000" w:sz="4" w:space="0"/>
              <w:left w:val="single" w:color="000000" w:sz="4" w:space="0"/>
              <w:bottom w:val="single" w:color="000000" w:sz="4" w:space="0"/>
              <w:right w:val="single" w:color="000000" w:sz="4" w:space="0"/>
            </w:tcBorders>
            <w:vAlign w:val="center"/>
          </w:tcPr>
          <w:p w14:paraId="4416367C">
            <w:pPr>
              <w:spacing w:line="360" w:lineRule="auto"/>
              <w:jc w:val="center"/>
              <w:rPr>
                <w:rFonts w:ascii="宋体" w:hAnsi="宋体" w:cs="宋体"/>
                <w:color w:val="auto"/>
                <w:kern w:val="1"/>
                <w:szCs w:val="21"/>
                <w:highlight w:val="none"/>
              </w:rPr>
            </w:pPr>
          </w:p>
        </w:tc>
        <w:tc>
          <w:tcPr>
            <w:tcW w:w="665" w:type="pct"/>
            <w:tcBorders>
              <w:top w:val="single" w:color="000000" w:sz="4" w:space="0"/>
              <w:left w:val="single" w:color="000000" w:sz="4" w:space="0"/>
              <w:bottom w:val="single" w:color="000000" w:sz="4" w:space="0"/>
              <w:right w:val="single" w:color="000000" w:sz="4" w:space="0"/>
            </w:tcBorders>
            <w:vAlign w:val="center"/>
          </w:tcPr>
          <w:p w14:paraId="113AA73B">
            <w:pPr>
              <w:spacing w:line="360" w:lineRule="auto"/>
              <w:jc w:val="center"/>
              <w:rPr>
                <w:rFonts w:ascii="宋体" w:hAnsi="宋体" w:cs="宋体"/>
                <w:color w:val="auto"/>
                <w:kern w:val="1"/>
                <w:szCs w:val="21"/>
                <w:highlight w:val="none"/>
              </w:rPr>
            </w:pPr>
          </w:p>
        </w:tc>
        <w:tc>
          <w:tcPr>
            <w:tcW w:w="915" w:type="pct"/>
            <w:tcBorders>
              <w:top w:val="single" w:color="000000" w:sz="4" w:space="0"/>
              <w:left w:val="single" w:color="000000" w:sz="4" w:space="0"/>
              <w:bottom w:val="single" w:color="000000" w:sz="4" w:space="0"/>
              <w:right w:val="single" w:color="000000" w:sz="4" w:space="0"/>
            </w:tcBorders>
            <w:vAlign w:val="center"/>
          </w:tcPr>
          <w:p w14:paraId="0FC6EEBD">
            <w:pPr>
              <w:spacing w:line="360" w:lineRule="auto"/>
              <w:jc w:val="center"/>
              <w:rPr>
                <w:rFonts w:ascii="宋体" w:hAnsi="宋体" w:cs="宋体"/>
                <w:color w:val="auto"/>
                <w:kern w:val="1"/>
                <w:szCs w:val="21"/>
                <w:highlight w:val="none"/>
              </w:rPr>
            </w:pPr>
          </w:p>
        </w:tc>
        <w:tc>
          <w:tcPr>
            <w:tcW w:w="445" w:type="pct"/>
            <w:tcBorders>
              <w:top w:val="single" w:color="000000" w:sz="4" w:space="0"/>
              <w:left w:val="single" w:color="000000" w:sz="4" w:space="0"/>
              <w:bottom w:val="single" w:color="000000" w:sz="4" w:space="0"/>
              <w:right w:val="single" w:color="000000" w:sz="4" w:space="0"/>
            </w:tcBorders>
            <w:vAlign w:val="center"/>
          </w:tcPr>
          <w:p w14:paraId="2C2EB724">
            <w:pPr>
              <w:spacing w:line="360" w:lineRule="auto"/>
              <w:jc w:val="center"/>
              <w:rPr>
                <w:rFonts w:ascii="宋体" w:hAnsi="宋体" w:cs="宋体"/>
                <w:color w:val="auto"/>
                <w:kern w:val="1"/>
                <w:szCs w:val="21"/>
                <w:highlight w:val="none"/>
              </w:rPr>
            </w:pPr>
          </w:p>
        </w:tc>
      </w:tr>
      <w:tr w14:paraId="0896F62C">
        <w:tblPrEx>
          <w:tblCellMar>
            <w:top w:w="0" w:type="dxa"/>
            <w:left w:w="108" w:type="dxa"/>
            <w:bottom w:w="0" w:type="dxa"/>
            <w:right w:w="108" w:type="dxa"/>
          </w:tblCellMar>
        </w:tblPrEx>
        <w:trPr>
          <w:trHeight w:val="637" w:hRule="atLeast"/>
          <w:jc w:val="center"/>
        </w:trPr>
        <w:tc>
          <w:tcPr>
            <w:tcW w:w="523" w:type="pct"/>
            <w:tcBorders>
              <w:top w:val="single" w:color="000000" w:sz="4" w:space="0"/>
              <w:left w:val="single" w:color="000000" w:sz="4" w:space="0"/>
              <w:bottom w:val="single" w:color="000000" w:sz="4" w:space="0"/>
              <w:right w:val="single" w:color="000000" w:sz="4" w:space="0"/>
            </w:tcBorders>
            <w:vAlign w:val="center"/>
          </w:tcPr>
          <w:p w14:paraId="782480FF">
            <w:pPr>
              <w:spacing w:line="360" w:lineRule="auto"/>
              <w:jc w:val="center"/>
              <w:rPr>
                <w:rFonts w:ascii="宋体" w:hAnsi="宋体" w:cs="宋体"/>
                <w:color w:val="auto"/>
                <w:kern w:val="1"/>
                <w:szCs w:val="21"/>
                <w:highlight w:val="none"/>
              </w:rPr>
            </w:pPr>
          </w:p>
        </w:tc>
        <w:tc>
          <w:tcPr>
            <w:tcW w:w="522" w:type="pct"/>
            <w:tcBorders>
              <w:top w:val="single" w:color="000000" w:sz="4" w:space="0"/>
              <w:left w:val="single" w:color="000000" w:sz="4" w:space="0"/>
              <w:bottom w:val="single" w:color="000000" w:sz="4" w:space="0"/>
              <w:right w:val="single" w:color="000000" w:sz="4" w:space="0"/>
            </w:tcBorders>
            <w:vAlign w:val="center"/>
          </w:tcPr>
          <w:p w14:paraId="12074931">
            <w:pPr>
              <w:spacing w:line="360" w:lineRule="auto"/>
              <w:jc w:val="center"/>
              <w:rPr>
                <w:rFonts w:ascii="宋体" w:hAnsi="宋体" w:cs="宋体"/>
                <w:color w:val="auto"/>
                <w:kern w:val="1"/>
                <w:szCs w:val="21"/>
                <w:highlight w:val="none"/>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19744E33">
            <w:pPr>
              <w:spacing w:line="360" w:lineRule="auto"/>
              <w:jc w:val="center"/>
              <w:rPr>
                <w:rFonts w:ascii="宋体" w:hAnsi="宋体" w:cs="宋体"/>
                <w:color w:val="auto"/>
                <w:kern w:val="1"/>
                <w:szCs w:val="21"/>
                <w:highlight w:val="none"/>
              </w:rPr>
            </w:pPr>
          </w:p>
        </w:tc>
        <w:tc>
          <w:tcPr>
            <w:tcW w:w="1082" w:type="pct"/>
            <w:tcBorders>
              <w:top w:val="single" w:color="000000" w:sz="4" w:space="0"/>
              <w:left w:val="single" w:color="000000" w:sz="4" w:space="0"/>
              <w:bottom w:val="single" w:color="000000" w:sz="4" w:space="0"/>
              <w:right w:val="single" w:color="000000" w:sz="4" w:space="0"/>
            </w:tcBorders>
            <w:vAlign w:val="center"/>
          </w:tcPr>
          <w:p w14:paraId="0E8C766C">
            <w:pPr>
              <w:spacing w:line="360" w:lineRule="auto"/>
              <w:jc w:val="center"/>
              <w:rPr>
                <w:rFonts w:ascii="宋体" w:hAnsi="宋体" w:cs="宋体"/>
                <w:color w:val="auto"/>
                <w:kern w:val="1"/>
                <w:szCs w:val="21"/>
                <w:highlight w:val="none"/>
              </w:rPr>
            </w:pPr>
          </w:p>
        </w:tc>
        <w:tc>
          <w:tcPr>
            <w:tcW w:w="665" w:type="pct"/>
            <w:tcBorders>
              <w:top w:val="single" w:color="000000" w:sz="4" w:space="0"/>
              <w:left w:val="single" w:color="000000" w:sz="4" w:space="0"/>
              <w:bottom w:val="single" w:color="000000" w:sz="4" w:space="0"/>
              <w:right w:val="single" w:color="000000" w:sz="4" w:space="0"/>
            </w:tcBorders>
            <w:vAlign w:val="center"/>
          </w:tcPr>
          <w:p w14:paraId="245ED93E">
            <w:pPr>
              <w:spacing w:line="360" w:lineRule="auto"/>
              <w:jc w:val="center"/>
              <w:rPr>
                <w:rFonts w:ascii="宋体" w:hAnsi="宋体" w:cs="宋体"/>
                <w:color w:val="auto"/>
                <w:kern w:val="1"/>
                <w:szCs w:val="21"/>
                <w:highlight w:val="none"/>
              </w:rPr>
            </w:pPr>
          </w:p>
        </w:tc>
        <w:tc>
          <w:tcPr>
            <w:tcW w:w="915" w:type="pct"/>
            <w:tcBorders>
              <w:top w:val="single" w:color="000000" w:sz="4" w:space="0"/>
              <w:left w:val="single" w:color="000000" w:sz="4" w:space="0"/>
              <w:bottom w:val="single" w:color="000000" w:sz="4" w:space="0"/>
              <w:right w:val="single" w:color="000000" w:sz="4" w:space="0"/>
            </w:tcBorders>
            <w:vAlign w:val="center"/>
          </w:tcPr>
          <w:p w14:paraId="4B8981F2">
            <w:pPr>
              <w:spacing w:line="360" w:lineRule="auto"/>
              <w:jc w:val="center"/>
              <w:rPr>
                <w:rFonts w:ascii="宋体" w:hAnsi="宋体" w:cs="宋体"/>
                <w:color w:val="auto"/>
                <w:kern w:val="1"/>
                <w:szCs w:val="21"/>
                <w:highlight w:val="none"/>
              </w:rPr>
            </w:pPr>
          </w:p>
        </w:tc>
        <w:tc>
          <w:tcPr>
            <w:tcW w:w="445" w:type="pct"/>
            <w:tcBorders>
              <w:top w:val="single" w:color="000000" w:sz="4" w:space="0"/>
              <w:left w:val="single" w:color="000000" w:sz="4" w:space="0"/>
              <w:bottom w:val="single" w:color="000000" w:sz="4" w:space="0"/>
              <w:right w:val="single" w:color="000000" w:sz="4" w:space="0"/>
            </w:tcBorders>
            <w:vAlign w:val="center"/>
          </w:tcPr>
          <w:p w14:paraId="0C26336A">
            <w:pPr>
              <w:spacing w:line="360" w:lineRule="auto"/>
              <w:jc w:val="center"/>
              <w:rPr>
                <w:rFonts w:ascii="宋体" w:hAnsi="宋体" w:cs="宋体"/>
                <w:color w:val="auto"/>
                <w:kern w:val="1"/>
                <w:szCs w:val="21"/>
                <w:highlight w:val="none"/>
              </w:rPr>
            </w:pPr>
          </w:p>
        </w:tc>
      </w:tr>
    </w:tbl>
    <w:p w14:paraId="4738999F">
      <w:pPr>
        <w:tabs>
          <w:tab w:val="left" w:pos="7655"/>
        </w:tabs>
        <w:spacing w:line="360" w:lineRule="auto"/>
        <w:jc w:val="left"/>
        <w:rPr>
          <w:rFonts w:ascii="宋体" w:hAnsi="宋体" w:cs="宋体"/>
          <w:color w:val="auto"/>
          <w:spacing w:val="18"/>
          <w:kern w:val="1"/>
          <w:sz w:val="24"/>
          <w:highlight w:val="none"/>
        </w:rPr>
      </w:pPr>
      <w:r>
        <w:rPr>
          <w:rFonts w:hint="eastAsia" w:ascii="宋体" w:hAnsi="宋体" w:cs="宋体"/>
          <w:color w:val="auto"/>
          <w:sz w:val="24"/>
          <w:highlight w:val="none"/>
        </w:rPr>
        <w:t>注：投标人需根据评分标准提供相应证明材料。</w:t>
      </w:r>
    </w:p>
    <w:p w14:paraId="54BDC7B2">
      <w:pPr>
        <w:pStyle w:val="44"/>
        <w:ind w:firstLine="492"/>
        <w:rPr>
          <w:rFonts w:ascii="宋体" w:hAnsi="宋体" w:cs="宋体"/>
          <w:color w:val="auto"/>
          <w:spacing w:val="18"/>
          <w:kern w:val="1"/>
          <w:highlight w:val="none"/>
        </w:rPr>
      </w:pPr>
    </w:p>
    <w:p w14:paraId="7E6865E9">
      <w:pPr>
        <w:pStyle w:val="44"/>
        <w:ind w:firstLine="492"/>
        <w:rPr>
          <w:rFonts w:ascii="宋体" w:hAnsi="宋体" w:cs="宋体"/>
          <w:color w:val="auto"/>
          <w:spacing w:val="18"/>
          <w:kern w:val="1"/>
          <w:highlight w:val="none"/>
        </w:rPr>
      </w:pPr>
    </w:p>
    <w:p w14:paraId="32B82ADF">
      <w:pPr>
        <w:tabs>
          <w:tab w:val="left" w:pos="7655"/>
        </w:tabs>
        <w:spacing w:line="360" w:lineRule="auto"/>
        <w:ind w:firstLine="1656" w:firstLineChars="600"/>
        <w:jc w:val="left"/>
        <w:rPr>
          <w:rFonts w:ascii="宋体" w:hAnsi="宋体" w:cs="宋体"/>
          <w:color w:val="auto"/>
          <w:spacing w:val="18"/>
          <w:kern w:val="1"/>
          <w:sz w:val="24"/>
          <w:highlight w:val="none"/>
        </w:rPr>
      </w:pPr>
      <w:r>
        <w:rPr>
          <w:rFonts w:hint="eastAsia" w:ascii="宋体" w:hAnsi="宋体" w:cs="宋体"/>
          <w:color w:val="auto"/>
          <w:spacing w:val="18"/>
          <w:kern w:val="1"/>
          <w:sz w:val="24"/>
          <w:highlight w:val="none"/>
          <w:lang w:val="zh-CN"/>
        </w:rPr>
        <w:t>投标人：(盖章)</w:t>
      </w:r>
    </w:p>
    <w:p w14:paraId="302F66DB">
      <w:pPr>
        <w:tabs>
          <w:tab w:val="left" w:pos="7655"/>
        </w:tabs>
        <w:spacing w:line="360" w:lineRule="auto"/>
        <w:ind w:firstLine="1656" w:firstLineChars="600"/>
        <w:jc w:val="left"/>
        <w:rPr>
          <w:rFonts w:ascii="宋体" w:hAnsi="宋体" w:cs="宋体"/>
          <w:color w:val="auto"/>
          <w:spacing w:val="18"/>
          <w:kern w:val="1"/>
          <w:sz w:val="24"/>
          <w:highlight w:val="none"/>
          <w:lang w:val="zh-CN"/>
        </w:rPr>
      </w:pPr>
      <w:r>
        <w:rPr>
          <w:rFonts w:hint="eastAsia" w:ascii="宋体" w:hAnsi="宋体" w:cs="宋体"/>
          <w:color w:val="auto"/>
          <w:spacing w:val="18"/>
          <w:kern w:val="1"/>
          <w:sz w:val="24"/>
          <w:highlight w:val="none"/>
          <w:lang w:val="zh-CN"/>
        </w:rPr>
        <w:t>日期：年月日</w:t>
      </w:r>
    </w:p>
    <w:p w14:paraId="5306E612">
      <w:pPr>
        <w:pStyle w:val="14"/>
        <w:ind w:firstLine="0"/>
        <w:rPr>
          <w:rFonts w:ascii="宋体" w:hAnsi="宋体" w:cs="宋体"/>
          <w:color w:val="auto"/>
          <w:szCs w:val="21"/>
          <w:highlight w:val="none"/>
        </w:rPr>
      </w:pPr>
    </w:p>
    <w:p w14:paraId="2EAD8A85">
      <w:pPr>
        <w:pStyle w:val="14"/>
        <w:ind w:firstLine="0"/>
        <w:rPr>
          <w:rFonts w:ascii="宋体" w:hAnsi="宋体" w:cs="宋体"/>
          <w:color w:val="auto"/>
          <w:szCs w:val="21"/>
          <w:highlight w:val="none"/>
        </w:rPr>
      </w:pPr>
    </w:p>
    <w:p w14:paraId="0A9E28B6">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br w:type="page"/>
      </w:r>
    </w:p>
    <w:p w14:paraId="1D69B211">
      <w:pPr>
        <w:spacing w:line="360" w:lineRule="auto"/>
        <w:jc w:val="center"/>
        <w:rPr>
          <w:rFonts w:ascii="宋体" w:hAnsi="宋体" w:cs="宋体"/>
          <w:b/>
          <w:bCs/>
          <w:color w:val="auto"/>
          <w:kern w:val="1"/>
          <w:sz w:val="32"/>
          <w:szCs w:val="32"/>
          <w:highlight w:val="none"/>
          <w:lang w:val="zh-CN"/>
        </w:rPr>
      </w:pPr>
      <w:r>
        <w:rPr>
          <w:rFonts w:hint="eastAsia" w:ascii="宋体" w:hAnsi="宋体" w:cs="宋体"/>
          <w:b/>
          <w:bCs/>
          <w:color w:val="auto"/>
          <w:kern w:val="1"/>
          <w:sz w:val="32"/>
          <w:szCs w:val="32"/>
          <w:highlight w:val="none"/>
          <w:lang w:val="zh-CN"/>
        </w:rPr>
        <w:t>企业获奖一览表（施工方）</w:t>
      </w:r>
    </w:p>
    <w:tbl>
      <w:tblPr>
        <w:tblStyle w:val="45"/>
        <w:tblW w:w="5000" w:type="pct"/>
        <w:jc w:val="center"/>
        <w:tblLayout w:type="autofit"/>
        <w:tblCellMar>
          <w:top w:w="0" w:type="dxa"/>
          <w:left w:w="108" w:type="dxa"/>
          <w:bottom w:w="0" w:type="dxa"/>
          <w:right w:w="108" w:type="dxa"/>
        </w:tblCellMar>
      </w:tblPr>
      <w:tblGrid>
        <w:gridCol w:w="971"/>
        <w:gridCol w:w="970"/>
        <w:gridCol w:w="1575"/>
        <w:gridCol w:w="2010"/>
        <w:gridCol w:w="1235"/>
        <w:gridCol w:w="1700"/>
        <w:gridCol w:w="827"/>
      </w:tblGrid>
      <w:tr w14:paraId="5C6967D4">
        <w:tblPrEx>
          <w:tblCellMar>
            <w:top w:w="0" w:type="dxa"/>
            <w:left w:w="108" w:type="dxa"/>
            <w:bottom w:w="0" w:type="dxa"/>
            <w:right w:w="108" w:type="dxa"/>
          </w:tblCellMar>
        </w:tblPrEx>
        <w:trPr>
          <w:trHeight w:val="1454" w:hRule="atLeast"/>
          <w:jc w:val="center"/>
        </w:trPr>
        <w:tc>
          <w:tcPr>
            <w:tcW w:w="523" w:type="pct"/>
            <w:tcBorders>
              <w:top w:val="single" w:color="000000" w:sz="4" w:space="0"/>
              <w:left w:val="single" w:color="000000" w:sz="4" w:space="0"/>
              <w:bottom w:val="single" w:color="000000" w:sz="4" w:space="0"/>
              <w:right w:val="single" w:color="000000" w:sz="4" w:space="0"/>
            </w:tcBorders>
            <w:vAlign w:val="center"/>
          </w:tcPr>
          <w:p w14:paraId="5CB5B696">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序号</w:t>
            </w:r>
          </w:p>
        </w:tc>
        <w:tc>
          <w:tcPr>
            <w:tcW w:w="522" w:type="pct"/>
            <w:tcBorders>
              <w:top w:val="single" w:color="000000" w:sz="4" w:space="0"/>
              <w:left w:val="single" w:color="000000" w:sz="4" w:space="0"/>
              <w:bottom w:val="single" w:color="000000" w:sz="4" w:space="0"/>
              <w:right w:val="single" w:color="000000" w:sz="4" w:space="0"/>
            </w:tcBorders>
            <w:vAlign w:val="center"/>
          </w:tcPr>
          <w:p w14:paraId="0C4375B9">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获奖项目名称</w:t>
            </w:r>
          </w:p>
        </w:tc>
        <w:tc>
          <w:tcPr>
            <w:tcW w:w="848" w:type="pct"/>
            <w:tcBorders>
              <w:top w:val="single" w:color="000000" w:sz="4" w:space="0"/>
              <w:left w:val="single" w:color="000000" w:sz="4" w:space="0"/>
              <w:bottom w:val="single" w:color="000000" w:sz="4" w:space="0"/>
              <w:right w:val="single" w:color="000000" w:sz="4" w:space="0"/>
            </w:tcBorders>
            <w:vAlign w:val="center"/>
          </w:tcPr>
          <w:p w14:paraId="3D60AE2C">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获奖等级或名称情况</w:t>
            </w:r>
          </w:p>
        </w:tc>
        <w:tc>
          <w:tcPr>
            <w:tcW w:w="1082" w:type="pct"/>
            <w:tcBorders>
              <w:top w:val="single" w:color="000000" w:sz="4" w:space="0"/>
              <w:left w:val="single" w:color="000000" w:sz="4" w:space="0"/>
              <w:bottom w:val="single" w:color="000000" w:sz="4" w:space="0"/>
              <w:right w:val="single" w:color="000000" w:sz="4" w:space="0"/>
            </w:tcBorders>
            <w:vAlign w:val="center"/>
          </w:tcPr>
          <w:p w14:paraId="5D83C521">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授予/颁发部门</w:t>
            </w:r>
          </w:p>
        </w:tc>
        <w:tc>
          <w:tcPr>
            <w:tcW w:w="665" w:type="pct"/>
            <w:tcBorders>
              <w:top w:val="single" w:color="000000" w:sz="4" w:space="0"/>
              <w:left w:val="single" w:color="000000" w:sz="4" w:space="0"/>
              <w:bottom w:val="single" w:color="000000" w:sz="4" w:space="0"/>
              <w:right w:val="single" w:color="000000" w:sz="4" w:space="0"/>
            </w:tcBorders>
            <w:vAlign w:val="center"/>
          </w:tcPr>
          <w:p w14:paraId="7E1B32A4">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发证时间</w:t>
            </w:r>
          </w:p>
        </w:tc>
        <w:tc>
          <w:tcPr>
            <w:tcW w:w="915" w:type="pct"/>
            <w:tcBorders>
              <w:top w:val="single" w:color="000000" w:sz="4" w:space="0"/>
              <w:left w:val="single" w:color="000000" w:sz="4" w:space="0"/>
              <w:bottom w:val="single" w:color="000000" w:sz="4" w:space="0"/>
              <w:right w:val="single" w:color="000000" w:sz="4" w:space="0"/>
            </w:tcBorders>
            <w:vAlign w:val="center"/>
          </w:tcPr>
          <w:p w14:paraId="257B4480">
            <w:pPr>
              <w:spacing w:line="360" w:lineRule="auto"/>
              <w:jc w:val="center"/>
              <w:rPr>
                <w:rFonts w:ascii="宋体" w:hAnsi="宋体" w:cs="宋体"/>
                <w:color w:val="auto"/>
                <w:kern w:val="1"/>
                <w:szCs w:val="21"/>
                <w:highlight w:val="none"/>
                <w:lang w:val="zh-CN"/>
              </w:rPr>
            </w:pPr>
            <w:r>
              <w:rPr>
                <w:rFonts w:hint="eastAsia" w:ascii="宋体" w:hAnsi="宋体" w:cs="宋体"/>
                <w:color w:val="auto"/>
                <w:kern w:val="1"/>
                <w:szCs w:val="21"/>
                <w:highlight w:val="none"/>
              </w:rPr>
              <w:t>...（投标单位可自行增加评审相关内容）</w:t>
            </w:r>
          </w:p>
        </w:tc>
        <w:tc>
          <w:tcPr>
            <w:tcW w:w="445" w:type="pct"/>
            <w:tcBorders>
              <w:top w:val="single" w:color="000000" w:sz="4" w:space="0"/>
              <w:left w:val="single" w:color="000000" w:sz="4" w:space="0"/>
              <w:bottom w:val="single" w:color="000000" w:sz="4" w:space="0"/>
              <w:right w:val="single" w:color="000000" w:sz="4" w:space="0"/>
            </w:tcBorders>
            <w:vAlign w:val="center"/>
          </w:tcPr>
          <w:p w14:paraId="237DCFB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备注</w:t>
            </w:r>
          </w:p>
        </w:tc>
      </w:tr>
      <w:tr w14:paraId="67A4FD72">
        <w:tblPrEx>
          <w:tblCellMar>
            <w:top w:w="0" w:type="dxa"/>
            <w:left w:w="108" w:type="dxa"/>
            <w:bottom w:w="0" w:type="dxa"/>
            <w:right w:w="108" w:type="dxa"/>
          </w:tblCellMar>
        </w:tblPrEx>
        <w:trPr>
          <w:trHeight w:val="627" w:hRule="atLeast"/>
          <w:jc w:val="center"/>
        </w:trPr>
        <w:tc>
          <w:tcPr>
            <w:tcW w:w="523" w:type="pct"/>
            <w:tcBorders>
              <w:top w:val="single" w:color="000000" w:sz="4" w:space="0"/>
              <w:left w:val="single" w:color="000000" w:sz="4" w:space="0"/>
              <w:bottom w:val="single" w:color="000000" w:sz="4" w:space="0"/>
              <w:right w:val="single" w:color="000000" w:sz="4" w:space="0"/>
            </w:tcBorders>
            <w:vAlign w:val="center"/>
          </w:tcPr>
          <w:p w14:paraId="30ECC8B8">
            <w:pPr>
              <w:spacing w:line="360" w:lineRule="auto"/>
              <w:jc w:val="center"/>
              <w:rPr>
                <w:rFonts w:ascii="宋体" w:hAnsi="宋体" w:cs="宋体"/>
                <w:color w:val="auto"/>
                <w:kern w:val="1"/>
                <w:szCs w:val="21"/>
                <w:highlight w:val="none"/>
              </w:rPr>
            </w:pPr>
          </w:p>
        </w:tc>
        <w:tc>
          <w:tcPr>
            <w:tcW w:w="522" w:type="pct"/>
            <w:tcBorders>
              <w:top w:val="single" w:color="000000" w:sz="4" w:space="0"/>
              <w:left w:val="single" w:color="000000" w:sz="4" w:space="0"/>
              <w:bottom w:val="single" w:color="000000" w:sz="4" w:space="0"/>
              <w:right w:val="single" w:color="000000" w:sz="4" w:space="0"/>
            </w:tcBorders>
            <w:vAlign w:val="center"/>
          </w:tcPr>
          <w:p w14:paraId="41BF76F5">
            <w:pPr>
              <w:spacing w:line="360" w:lineRule="auto"/>
              <w:jc w:val="center"/>
              <w:rPr>
                <w:rFonts w:ascii="宋体" w:hAnsi="宋体" w:cs="宋体"/>
                <w:color w:val="auto"/>
                <w:kern w:val="1"/>
                <w:szCs w:val="21"/>
                <w:highlight w:val="none"/>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2D85BD1B">
            <w:pPr>
              <w:spacing w:line="360" w:lineRule="auto"/>
              <w:jc w:val="center"/>
              <w:rPr>
                <w:rFonts w:ascii="宋体" w:hAnsi="宋体" w:cs="宋体"/>
                <w:color w:val="auto"/>
                <w:kern w:val="1"/>
                <w:szCs w:val="21"/>
                <w:highlight w:val="none"/>
              </w:rPr>
            </w:pPr>
          </w:p>
        </w:tc>
        <w:tc>
          <w:tcPr>
            <w:tcW w:w="1082" w:type="pct"/>
            <w:tcBorders>
              <w:top w:val="single" w:color="000000" w:sz="4" w:space="0"/>
              <w:left w:val="single" w:color="000000" w:sz="4" w:space="0"/>
              <w:bottom w:val="single" w:color="000000" w:sz="4" w:space="0"/>
              <w:right w:val="single" w:color="000000" w:sz="4" w:space="0"/>
            </w:tcBorders>
            <w:vAlign w:val="center"/>
          </w:tcPr>
          <w:p w14:paraId="38507BF1">
            <w:pPr>
              <w:spacing w:line="360" w:lineRule="auto"/>
              <w:jc w:val="center"/>
              <w:rPr>
                <w:rFonts w:ascii="宋体" w:hAnsi="宋体" w:cs="宋体"/>
                <w:color w:val="auto"/>
                <w:kern w:val="1"/>
                <w:szCs w:val="21"/>
                <w:highlight w:val="none"/>
              </w:rPr>
            </w:pPr>
          </w:p>
        </w:tc>
        <w:tc>
          <w:tcPr>
            <w:tcW w:w="665" w:type="pct"/>
            <w:tcBorders>
              <w:top w:val="single" w:color="000000" w:sz="4" w:space="0"/>
              <w:left w:val="single" w:color="000000" w:sz="4" w:space="0"/>
              <w:bottom w:val="single" w:color="000000" w:sz="4" w:space="0"/>
              <w:right w:val="single" w:color="000000" w:sz="4" w:space="0"/>
            </w:tcBorders>
            <w:vAlign w:val="center"/>
          </w:tcPr>
          <w:p w14:paraId="21E3BAFC">
            <w:pPr>
              <w:spacing w:line="360" w:lineRule="auto"/>
              <w:jc w:val="center"/>
              <w:rPr>
                <w:rFonts w:ascii="宋体" w:hAnsi="宋体" w:cs="宋体"/>
                <w:color w:val="auto"/>
                <w:kern w:val="1"/>
                <w:szCs w:val="21"/>
                <w:highlight w:val="none"/>
              </w:rPr>
            </w:pPr>
          </w:p>
        </w:tc>
        <w:tc>
          <w:tcPr>
            <w:tcW w:w="915" w:type="pct"/>
            <w:tcBorders>
              <w:top w:val="single" w:color="000000" w:sz="4" w:space="0"/>
              <w:left w:val="single" w:color="000000" w:sz="4" w:space="0"/>
              <w:bottom w:val="single" w:color="000000" w:sz="4" w:space="0"/>
              <w:right w:val="single" w:color="000000" w:sz="4" w:space="0"/>
            </w:tcBorders>
            <w:vAlign w:val="center"/>
          </w:tcPr>
          <w:p w14:paraId="7C247DD4">
            <w:pPr>
              <w:spacing w:line="360" w:lineRule="auto"/>
              <w:jc w:val="center"/>
              <w:rPr>
                <w:rFonts w:ascii="宋体" w:hAnsi="宋体" w:cs="宋体"/>
                <w:color w:val="auto"/>
                <w:kern w:val="1"/>
                <w:szCs w:val="21"/>
                <w:highlight w:val="none"/>
              </w:rPr>
            </w:pPr>
          </w:p>
        </w:tc>
        <w:tc>
          <w:tcPr>
            <w:tcW w:w="445" w:type="pct"/>
            <w:tcBorders>
              <w:top w:val="single" w:color="000000" w:sz="4" w:space="0"/>
              <w:left w:val="single" w:color="000000" w:sz="4" w:space="0"/>
              <w:bottom w:val="single" w:color="000000" w:sz="4" w:space="0"/>
              <w:right w:val="single" w:color="000000" w:sz="4" w:space="0"/>
            </w:tcBorders>
            <w:vAlign w:val="center"/>
          </w:tcPr>
          <w:p w14:paraId="132A6D7F">
            <w:pPr>
              <w:spacing w:line="360" w:lineRule="auto"/>
              <w:jc w:val="center"/>
              <w:rPr>
                <w:rFonts w:ascii="宋体" w:hAnsi="宋体" w:cs="宋体"/>
                <w:color w:val="auto"/>
                <w:kern w:val="1"/>
                <w:szCs w:val="21"/>
                <w:highlight w:val="none"/>
              </w:rPr>
            </w:pPr>
          </w:p>
        </w:tc>
      </w:tr>
      <w:tr w14:paraId="16D3F7A0">
        <w:tblPrEx>
          <w:tblCellMar>
            <w:top w:w="0" w:type="dxa"/>
            <w:left w:w="108" w:type="dxa"/>
            <w:bottom w:w="0" w:type="dxa"/>
            <w:right w:w="108" w:type="dxa"/>
          </w:tblCellMar>
        </w:tblPrEx>
        <w:trPr>
          <w:trHeight w:val="627" w:hRule="atLeast"/>
          <w:jc w:val="center"/>
        </w:trPr>
        <w:tc>
          <w:tcPr>
            <w:tcW w:w="523" w:type="pct"/>
            <w:tcBorders>
              <w:top w:val="single" w:color="000000" w:sz="4" w:space="0"/>
              <w:left w:val="single" w:color="000000" w:sz="4" w:space="0"/>
              <w:bottom w:val="single" w:color="000000" w:sz="4" w:space="0"/>
              <w:right w:val="single" w:color="000000" w:sz="4" w:space="0"/>
            </w:tcBorders>
            <w:vAlign w:val="center"/>
          </w:tcPr>
          <w:p w14:paraId="6EAF563F">
            <w:pPr>
              <w:spacing w:line="360" w:lineRule="auto"/>
              <w:jc w:val="center"/>
              <w:rPr>
                <w:rFonts w:ascii="宋体" w:hAnsi="宋体" w:cs="宋体"/>
                <w:color w:val="auto"/>
                <w:kern w:val="1"/>
                <w:szCs w:val="21"/>
                <w:highlight w:val="none"/>
              </w:rPr>
            </w:pPr>
          </w:p>
        </w:tc>
        <w:tc>
          <w:tcPr>
            <w:tcW w:w="522" w:type="pct"/>
            <w:tcBorders>
              <w:top w:val="single" w:color="000000" w:sz="4" w:space="0"/>
              <w:left w:val="single" w:color="000000" w:sz="4" w:space="0"/>
              <w:bottom w:val="single" w:color="000000" w:sz="4" w:space="0"/>
              <w:right w:val="single" w:color="000000" w:sz="4" w:space="0"/>
            </w:tcBorders>
            <w:vAlign w:val="center"/>
          </w:tcPr>
          <w:p w14:paraId="0DD7DE82">
            <w:pPr>
              <w:spacing w:line="360" w:lineRule="auto"/>
              <w:jc w:val="center"/>
              <w:rPr>
                <w:rFonts w:ascii="宋体" w:hAnsi="宋体" w:cs="宋体"/>
                <w:color w:val="auto"/>
                <w:kern w:val="1"/>
                <w:szCs w:val="21"/>
                <w:highlight w:val="none"/>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24ECDCEA">
            <w:pPr>
              <w:spacing w:line="360" w:lineRule="auto"/>
              <w:jc w:val="center"/>
              <w:rPr>
                <w:rFonts w:ascii="宋体" w:hAnsi="宋体" w:cs="宋体"/>
                <w:color w:val="auto"/>
                <w:kern w:val="1"/>
                <w:szCs w:val="21"/>
                <w:highlight w:val="none"/>
              </w:rPr>
            </w:pPr>
          </w:p>
        </w:tc>
        <w:tc>
          <w:tcPr>
            <w:tcW w:w="1082" w:type="pct"/>
            <w:tcBorders>
              <w:top w:val="single" w:color="000000" w:sz="4" w:space="0"/>
              <w:left w:val="single" w:color="000000" w:sz="4" w:space="0"/>
              <w:bottom w:val="single" w:color="000000" w:sz="4" w:space="0"/>
              <w:right w:val="single" w:color="000000" w:sz="4" w:space="0"/>
            </w:tcBorders>
            <w:vAlign w:val="center"/>
          </w:tcPr>
          <w:p w14:paraId="129163D8">
            <w:pPr>
              <w:spacing w:line="360" w:lineRule="auto"/>
              <w:jc w:val="center"/>
              <w:rPr>
                <w:rFonts w:ascii="宋体" w:hAnsi="宋体" w:cs="宋体"/>
                <w:color w:val="auto"/>
                <w:kern w:val="1"/>
                <w:szCs w:val="21"/>
                <w:highlight w:val="none"/>
              </w:rPr>
            </w:pPr>
          </w:p>
        </w:tc>
        <w:tc>
          <w:tcPr>
            <w:tcW w:w="665" w:type="pct"/>
            <w:tcBorders>
              <w:top w:val="single" w:color="000000" w:sz="4" w:space="0"/>
              <w:left w:val="single" w:color="000000" w:sz="4" w:space="0"/>
              <w:bottom w:val="single" w:color="000000" w:sz="4" w:space="0"/>
              <w:right w:val="single" w:color="000000" w:sz="4" w:space="0"/>
            </w:tcBorders>
            <w:vAlign w:val="center"/>
          </w:tcPr>
          <w:p w14:paraId="024C68C7">
            <w:pPr>
              <w:spacing w:line="360" w:lineRule="auto"/>
              <w:jc w:val="center"/>
              <w:rPr>
                <w:rFonts w:ascii="宋体" w:hAnsi="宋体" w:cs="宋体"/>
                <w:color w:val="auto"/>
                <w:kern w:val="1"/>
                <w:szCs w:val="21"/>
                <w:highlight w:val="none"/>
              </w:rPr>
            </w:pPr>
          </w:p>
        </w:tc>
        <w:tc>
          <w:tcPr>
            <w:tcW w:w="915" w:type="pct"/>
            <w:tcBorders>
              <w:top w:val="single" w:color="000000" w:sz="4" w:space="0"/>
              <w:left w:val="single" w:color="000000" w:sz="4" w:space="0"/>
              <w:bottom w:val="single" w:color="000000" w:sz="4" w:space="0"/>
              <w:right w:val="single" w:color="000000" w:sz="4" w:space="0"/>
            </w:tcBorders>
            <w:vAlign w:val="center"/>
          </w:tcPr>
          <w:p w14:paraId="4C62C135">
            <w:pPr>
              <w:spacing w:line="360" w:lineRule="auto"/>
              <w:jc w:val="center"/>
              <w:rPr>
                <w:rFonts w:ascii="宋体" w:hAnsi="宋体" w:cs="宋体"/>
                <w:color w:val="auto"/>
                <w:kern w:val="1"/>
                <w:szCs w:val="21"/>
                <w:highlight w:val="none"/>
              </w:rPr>
            </w:pPr>
          </w:p>
        </w:tc>
        <w:tc>
          <w:tcPr>
            <w:tcW w:w="445" w:type="pct"/>
            <w:tcBorders>
              <w:top w:val="single" w:color="000000" w:sz="4" w:space="0"/>
              <w:left w:val="single" w:color="000000" w:sz="4" w:space="0"/>
              <w:bottom w:val="single" w:color="000000" w:sz="4" w:space="0"/>
              <w:right w:val="single" w:color="000000" w:sz="4" w:space="0"/>
            </w:tcBorders>
            <w:vAlign w:val="center"/>
          </w:tcPr>
          <w:p w14:paraId="2FA36860">
            <w:pPr>
              <w:spacing w:line="360" w:lineRule="auto"/>
              <w:jc w:val="center"/>
              <w:rPr>
                <w:rFonts w:ascii="宋体" w:hAnsi="宋体" w:cs="宋体"/>
                <w:color w:val="auto"/>
                <w:kern w:val="1"/>
                <w:szCs w:val="21"/>
                <w:highlight w:val="none"/>
              </w:rPr>
            </w:pPr>
          </w:p>
        </w:tc>
      </w:tr>
      <w:tr w14:paraId="1349432E">
        <w:tblPrEx>
          <w:tblCellMar>
            <w:top w:w="0" w:type="dxa"/>
            <w:left w:w="108" w:type="dxa"/>
            <w:bottom w:w="0" w:type="dxa"/>
            <w:right w:w="108" w:type="dxa"/>
          </w:tblCellMar>
        </w:tblPrEx>
        <w:trPr>
          <w:trHeight w:val="627" w:hRule="atLeast"/>
          <w:jc w:val="center"/>
        </w:trPr>
        <w:tc>
          <w:tcPr>
            <w:tcW w:w="523" w:type="pct"/>
            <w:tcBorders>
              <w:top w:val="single" w:color="000000" w:sz="4" w:space="0"/>
              <w:left w:val="single" w:color="000000" w:sz="4" w:space="0"/>
              <w:bottom w:val="single" w:color="000000" w:sz="4" w:space="0"/>
              <w:right w:val="single" w:color="000000" w:sz="4" w:space="0"/>
            </w:tcBorders>
            <w:vAlign w:val="center"/>
          </w:tcPr>
          <w:p w14:paraId="06174431">
            <w:pPr>
              <w:spacing w:line="360" w:lineRule="auto"/>
              <w:jc w:val="center"/>
              <w:rPr>
                <w:rFonts w:ascii="宋体" w:hAnsi="宋体" w:cs="宋体"/>
                <w:color w:val="auto"/>
                <w:kern w:val="1"/>
                <w:szCs w:val="21"/>
                <w:highlight w:val="none"/>
              </w:rPr>
            </w:pPr>
          </w:p>
        </w:tc>
        <w:tc>
          <w:tcPr>
            <w:tcW w:w="522" w:type="pct"/>
            <w:tcBorders>
              <w:top w:val="single" w:color="000000" w:sz="4" w:space="0"/>
              <w:left w:val="single" w:color="000000" w:sz="4" w:space="0"/>
              <w:bottom w:val="single" w:color="000000" w:sz="4" w:space="0"/>
              <w:right w:val="single" w:color="000000" w:sz="4" w:space="0"/>
            </w:tcBorders>
            <w:vAlign w:val="center"/>
          </w:tcPr>
          <w:p w14:paraId="5F2E9935">
            <w:pPr>
              <w:spacing w:line="360" w:lineRule="auto"/>
              <w:jc w:val="center"/>
              <w:rPr>
                <w:rFonts w:ascii="宋体" w:hAnsi="宋体" w:cs="宋体"/>
                <w:color w:val="auto"/>
                <w:kern w:val="1"/>
                <w:szCs w:val="21"/>
                <w:highlight w:val="none"/>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24FB6730">
            <w:pPr>
              <w:spacing w:line="360" w:lineRule="auto"/>
              <w:jc w:val="center"/>
              <w:rPr>
                <w:rFonts w:ascii="宋体" w:hAnsi="宋体" w:cs="宋体"/>
                <w:color w:val="auto"/>
                <w:kern w:val="1"/>
                <w:szCs w:val="21"/>
                <w:highlight w:val="none"/>
              </w:rPr>
            </w:pPr>
          </w:p>
        </w:tc>
        <w:tc>
          <w:tcPr>
            <w:tcW w:w="1082" w:type="pct"/>
            <w:tcBorders>
              <w:top w:val="single" w:color="000000" w:sz="4" w:space="0"/>
              <w:left w:val="single" w:color="000000" w:sz="4" w:space="0"/>
              <w:bottom w:val="single" w:color="000000" w:sz="4" w:space="0"/>
              <w:right w:val="single" w:color="000000" w:sz="4" w:space="0"/>
            </w:tcBorders>
            <w:vAlign w:val="center"/>
          </w:tcPr>
          <w:p w14:paraId="6F8547B2">
            <w:pPr>
              <w:spacing w:line="360" w:lineRule="auto"/>
              <w:jc w:val="center"/>
              <w:rPr>
                <w:rFonts w:ascii="宋体" w:hAnsi="宋体" w:cs="宋体"/>
                <w:color w:val="auto"/>
                <w:kern w:val="1"/>
                <w:szCs w:val="21"/>
                <w:highlight w:val="none"/>
              </w:rPr>
            </w:pPr>
          </w:p>
        </w:tc>
        <w:tc>
          <w:tcPr>
            <w:tcW w:w="665" w:type="pct"/>
            <w:tcBorders>
              <w:top w:val="single" w:color="000000" w:sz="4" w:space="0"/>
              <w:left w:val="single" w:color="000000" w:sz="4" w:space="0"/>
              <w:bottom w:val="single" w:color="000000" w:sz="4" w:space="0"/>
              <w:right w:val="single" w:color="000000" w:sz="4" w:space="0"/>
            </w:tcBorders>
            <w:vAlign w:val="center"/>
          </w:tcPr>
          <w:p w14:paraId="326FD68D">
            <w:pPr>
              <w:spacing w:line="360" w:lineRule="auto"/>
              <w:jc w:val="center"/>
              <w:rPr>
                <w:rFonts w:ascii="宋体" w:hAnsi="宋体" w:cs="宋体"/>
                <w:color w:val="auto"/>
                <w:kern w:val="1"/>
                <w:szCs w:val="21"/>
                <w:highlight w:val="none"/>
              </w:rPr>
            </w:pPr>
          </w:p>
        </w:tc>
        <w:tc>
          <w:tcPr>
            <w:tcW w:w="915" w:type="pct"/>
            <w:tcBorders>
              <w:top w:val="single" w:color="000000" w:sz="4" w:space="0"/>
              <w:left w:val="single" w:color="000000" w:sz="4" w:space="0"/>
              <w:bottom w:val="single" w:color="000000" w:sz="4" w:space="0"/>
              <w:right w:val="single" w:color="000000" w:sz="4" w:space="0"/>
            </w:tcBorders>
            <w:vAlign w:val="center"/>
          </w:tcPr>
          <w:p w14:paraId="0154F836">
            <w:pPr>
              <w:spacing w:line="360" w:lineRule="auto"/>
              <w:jc w:val="center"/>
              <w:rPr>
                <w:rFonts w:ascii="宋体" w:hAnsi="宋体" w:cs="宋体"/>
                <w:color w:val="auto"/>
                <w:kern w:val="1"/>
                <w:szCs w:val="21"/>
                <w:highlight w:val="none"/>
              </w:rPr>
            </w:pPr>
          </w:p>
        </w:tc>
        <w:tc>
          <w:tcPr>
            <w:tcW w:w="445" w:type="pct"/>
            <w:tcBorders>
              <w:top w:val="single" w:color="000000" w:sz="4" w:space="0"/>
              <w:left w:val="single" w:color="000000" w:sz="4" w:space="0"/>
              <w:bottom w:val="single" w:color="000000" w:sz="4" w:space="0"/>
              <w:right w:val="single" w:color="000000" w:sz="4" w:space="0"/>
            </w:tcBorders>
            <w:vAlign w:val="center"/>
          </w:tcPr>
          <w:p w14:paraId="0D0A05F5">
            <w:pPr>
              <w:spacing w:line="360" w:lineRule="auto"/>
              <w:jc w:val="center"/>
              <w:rPr>
                <w:rFonts w:ascii="宋体" w:hAnsi="宋体" w:cs="宋体"/>
                <w:color w:val="auto"/>
                <w:kern w:val="1"/>
                <w:szCs w:val="21"/>
                <w:highlight w:val="none"/>
              </w:rPr>
            </w:pPr>
          </w:p>
        </w:tc>
      </w:tr>
      <w:tr w14:paraId="2B78C809">
        <w:tblPrEx>
          <w:tblCellMar>
            <w:top w:w="0" w:type="dxa"/>
            <w:left w:w="108" w:type="dxa"/>
            <w:bottom w:w="0" w:type="dxa"/>
            <w:right w:w="108" w:type="dxa"/>
          </w:tblCellMar>
        </w:tblPrEx>
        <w:trPr>
          <w:trHeight w:val="637" w:hRule="atLeast"/>
          <w:jc w:val="center"/>
        </w:trPr>
        <w:tc>
          <w:tcPr>
            <w:tcW w:w="523" w:type="pct"/>
            <w:tcBorders>
              <w:top w:val="single" w:color="000000" w:sz="4" w:space="0"/>
              <w:left w:val="single" w:color="000000" w:sz="4" w:space="0"/>
              <w:bottom w:val="single" w:color="000000" w:sz="4" w:space="0"/>
              <w:right w:val="single" w:color="000000" w:sz="4" w:space="0"/>
            </w:tcBorders>
            <w:vAlign w:val="center"/>
          </w:tcPr>
          <w:p w14:paraId="4BF979E3">
            <w:pPr>
              <w:spacing w:line="360" w:lineRule="auto"/>
              <w:jc w:val="center"/>
              <w:rPr>
                <w:rFonts w:ascii="宋体" w:hAnsi="宋体" w:cs="宋体"/>
                <w:color w:val="auto"/>
                <w:kern w:val="1"/>
                <w:szCs w:val="21"/>
                <w:highlight w:val="none"/>
              </w:rPr>
            </w:pPr>
          </w:p>
        </w:tc>
        <w:tc>
          <w:tcPr>
            <w:tcW w:w="522" w:type="pct"/>
            <w:tcBorders>
              <w:top w:val="single" w:color="000000" w:sz="4" w:space="0"/>
              <w:left w:val="single" w:color="000000" w:sz="4" w:space="0"/>
              <w:bottom w:val="single" w:color="000000" w:sz="4" w:space="0"/>
              <w:right w:val="single" w:color="000000" w:sz="4" w:space="0"/>
            </w:tcBorders>
            <w:vAlign w:val="center"/>
          </w:tcPr>
          <w:p w14:paraId="257745BB">
            <w:pPr>
              <w:spacing w:line="360" w:lineRule="auto"/>
              <w:jc w:val="center"/>
              <w:rPr>
                <w:rFonts w:ascii="宋体" w:hAnsi="宋体" w:cs="宋体"/>
                <w:color w:val="auto"/>
                <w:kern w:val="1"/>
                <w:szCs w:val="21"/>
                <w:highlight w:val="none"/>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2E60BA4D">
            <w:pPr>
              <w:spacing w:line="360" w:lineRule="auto"/>
              <w:jc w:val="center"/>
              <w:rPr>
                <w:rFonts w:ascii="宋体" w:hAnsi="宋体" w:cs="宋体"/>
                <w:color w:val="auto"/>
                <w:kern w:val="1"/>
                <w:szCs w:val="21"/>
                <w:highlight w:val="none"/>
              </w:rPr>
            </w:pPr>
          </w:p>
        </w:tc>
        <w:tc>
          <w:tcPr>
            <w:tcW w:w="1082" w:type="pct"/>
            <w:tcBorders>
              <w:top w:val="single" w:color="000000" w:sz="4" w:space="0"/>
              <w:left w:val="single" w:color="000000" w:sz="4" w:space="0"/>
              <w:bottom w:val="single" w:color="000000" w:sz="4" w:space="0"/>
              <w:right w:val="single" w:color="000000" w:sz="4" w:space="0"/>
            </w:tcBorders>
            <w:vAlign w:val="center"/>
          </w:tcPr>
          <w:p w14:paraId="0F8AD38E">
            <w:pPr>
              <w:spacing w:line="360" w:lineRule="auto"/>
              <w:jc w:val="center"/>
              <w:rPr>
                <w:rFonts w:ascii="宋体" w:hAnsi="宋体" w:cs="宋体"/>
                <w:color w:val="auto"/>
                <w:kern w:val="1"/>
                <w:szCs w:val="21"/>
                <w:highlight w:val="none"/>
              </w:rPr>
            </w:pPr>
          </w:p>
        </w:tc>
        <w:tc>
          <w:tcPr>
            <w:tcW w:w="665" w:type="pct"/>
            <w:tcBorders>
              <w:top w:val="single" w:color="000000" w:sz="4" w:space="0"/>
              <w:left w:val="single" w:color="000000" w:sz="4" w:space="0"/>
              <w:bottom w:val="single" w:color="000000" w:sz="4" w:space="0"/>
              <w:right w:val="single" w:color="000000" w:sz="4" w:space="0"/>
            </w:tcBorders>
            <w:vAlign w:val="center"/>
          </w:tcPr>
          <w:p w14:paraId="29CE139F">
            <w:pPr>
              <w:spacing w:line="360" w:lineRule="auto"/>
              <w:jc w:val="center"/>
              <w:rPr>
                <w:rFonts w:ascii="宋体" w:hAnsi="宋体" w:cs="宋体"/>
                <w:color w:val="auto"/>
                <w:kern w:val="1"/>
                <w:szCs w:val="21"/>
                <w:highlight w:val="none"/>
              </w:rPr>
            </w:pPr>
          </w:p>
        </w:tc>
        <w:tc>
          <w:tcPr>
            <w:tcW w:w="915" w:type="pct"/>
            <w:tcBorders>
              <w:top w:val="single" w:color="000000" w:sz="4" w:space="0"/>
              <w:left w:val="single" w:color="000000" w:sz="4" w:space="0"/>
              <w:bottom w:val="single" w:color="000000" w:sz="4" w:space="0"/>
              <w:right w:val="single" w:color="000000" w:sz="4" w:space="0"/>
            </w:tcBorders>
            <w:vAlign w:val="center"/>
          </w:tcPr>
          <w:p w14:paraId="171BDA99">
            <w:pPr>
              <w:spacing w:line="360" w:lineRule="auto"/>
              <w:jc w:val="center"/>
              <w:rPr>
                <w:rFonts w:ascii="宋体" w:hAnsi="宋体" w:cs="宋体"/>
                <w:color w:val="auto"/>
                <w:kern w:val="1"/>
                <w:szCs w:val="21"/>
                <w:highlight w:val="none"/>
              </w:rPr>
            </w:pPr>
          </w:p>
        </w:tc>
        <w:tc>
          <w:tcPr>
            <w:tcW w:w="445" w:type="pct"/>
            <w:tcBorders>
              <w:top w:val="single" w:color="000000" w:sz="4" w:space="0"/>
              <w:left w:val="single" w:color="000000" w:sz="4" w:space="0"/>
              <w:bottom w:val="single" w:color="000000" w:sz="4" w:space="0"/>
              <w:right w:val="single" w:color="000000" w:sz="4" w:space="0"/>
            </w:tcBorders>
            <w:vAlign w:val="center"/>
          </w:tcPr>
          <w:p w14:paraId="34F49248">
            <w:pPr>
              <w:spacing w:line="360" w:lineRule="auto"/>
              <w:jc w:val="center"/>
              <w:rPr>
                <w:rFonts w:ascii="宋体" w:hAnsi="宋体" w:cs="宋体"/>
                <w:color w:val="auto"/>
                <w:kern w:val="1"/>
                <w:szCs w:val="21"/>
                <w:highlight w:val="none"/>
              </w:rPr>
            </w:pPr>
          </w:p>
        </w:tc>
      </w:tr>
    </w:tbl>
    <w:p w14:paraId="1C0774CC">
      <w:pPr>
        <w:tabs>
          <w:tab w:val="left" w:pos="7655"/>
        </w:tabs>
        <w:spacing w:line="360" w:lineRule="auto"/>
        <w:jc w:val="left"/>
        <w:rPr>
          <w:rFonts w:ascii="宋体" w:hAnsi="宋体" w:cs="宋体"/>
          <w:color w:val="auto"/>
          <w:spacing w:val="18"/>
          <w:kern w:val="1"/>
          <w:sz w:val="24"/>
          <w:highlight w:val="none"/>
        </w:rPr>
      </w:pPr>
      <w:r>
        <w:rPr>
          <w:rFonts w:hint="eastAsia" w:ascii="宋体" w:hAnsi="宋体" w:cs="宋体"/>
          <w:color w:val="auto"/>
          <w:sz w:val="24"/>
          <w:highlight w:val="none"/>
        </w:rPr>
        <w:t>注：投标人需根据评分标准提供相应证明材料。</w:t>
      </w:r>
    </w:p>
    <w:p w14:paraId="534ABF37">
      <w:pPr>
        <w:tabs>
          <w:tab w:val="left" w:pos="7655"/>
        </w:tabs>
        <w:spacing w:line="360" w:lineRule="auto"/>
        <w:ind w:firstLine="1656" w:firstLineChars="600"/>
        <w:jc w:val="left"/>
        <w:rPr>
          <w:rFonts w:ascii="宋体" w:hAnsi="宋体" w:cs="宋体"/>
          <w:color w:val="auto"/>
          <w:spacing w:val="18"/>
          <w:kern w:val="1"/>
          <w:sz w:val="24"/>
          <w:highlight w:val="none"/>
          <w:lang w:val="zh-CN"/>
        </w:rPr>
      </w:pPr>
    </w:p>
    <w:p w14:paraId="5E7AC7C6">
      <w:pPr>
        <w:tabs>
          <w:tab w:val="left" w:pos="7655"/>
        </w:tabs>
        <w:spacing w:line="360" w:lineRule="auto"/>
        <w:ind w:firstLine="1656" w:firstLineChars="600"/>
        <w:jc w:val="left"/>
        <w:rPr>
          <w:rFonts w:ascii="宋体" w:hAnsi="宋体" w:cs="宋体"/>
          <w:color w:val="auto"/>
          <w:spacing w:val="18"/>
          <w:kern w:val="1"/>
          <w:sz w:val="24"/>
          <w:highlight w:val="none"/>
          <w:lang w:val="zh-CN"/>
        </w:rPr>
      </w:pPr>
    </w:p>
    <w:p w14:paraId="48F5EC36">
      <w:pPr>
        <w:tabs>
          <w:tab w:val="left" w:pos="7655"/>
        </w:tabs>
        <w:spacing w:line="360" w:lineRule="auto"/>
        <w:ind w:firstLine="1656" w:firstLineChars="600"/>
        <w:jc w:val="left"/>
        <w:rPr>
          <w:rFonts w:ascii="宋体" w:hAnsi="宋体" w:cs="宋体"/>
          <w:color w:val="auto"/>
          <w:spacing w:val="18"/>
          <w:kern w:val="1"/>
          <w:sz w:val="24"/>
          <w:highlight w:val="none"/>
        </w:rPr>
      </w:pPr>
      <w:r>
        <w:rPr>
          <w:rFonts w:hint="eastAsia" w:ascii="宋体" w:hAnsi="宋体" w:cs="宋体"/>
          <w:color w:val="auto"/>
          <w:spacing w:val="18"/>
          <w:kern w:val="1"/>
          <w:sz w:val="24"/>
          <w:highlight w:val="none"/>
          <w:lang w:val="zh-CN"/>
        </w:rPr>
        <w:t>投标人：(盖章)</w:t>
      </w:r>
    </w:p>
    <w:p w14:paraId="77DB5F17">
      <w:pPr>
        <w:tabs>
          <w:tab w:val="left" w:pos="7655"/>
        </w:tabs>
        <w:spacing w:line="360" w:lineRule="auto"/>
        <w:ind w:firstLine="1656" w:firstLineChars="600"/>
        <w:jc w:val="left"/>
        <w:rPr>
          <w:rFonts w:ascii="宋体" w:hAnsi="宋体" w:cs="宋体"/>
          <w:color w:val="auto"/>
          <w:spacing w:val="18"/>
          <w:kern w:val="1"/>
          <w:sz w:val="24"/>
          <w:highlight w:val="none"/>
          <w:lang w:val="zh-CN"/>
        </w:rPr>
      </w:pPr>
      <w:r>
        <w:rPr>
          <w:rFonts w:hint="eastAsia" w:ascii="宋体" w:hAnsi="宋体" w:cs="宋体"/>
          <w:color w:val="auto"/>
          <w:spacing w:val="18"/>
          <w:kern w:val="1"/>
          <w:sz w:val="24"/>
          <w:highlight w:val="none"/>
          <w:lang w:val="zh-CN"/>
        </w:rPr>
        <w:t>日期：年月日</w:t>
      </w:r>
    </w:p>
    <w:p w14:paraId="31BF45D1">
      <w:pPr>
        <w:pStyle w:val="14"/>
        <w:ind w:firstLine="0"/>
        <w:rPr>
          <w:rFonts w:ascii="宋体" w:hAnsi="宋体" w:cs="宋体"/>
          <w:color w:val="auto"/>
          <w:szCs w:val="21"/>
          <w:highlight w:val="none"/>
        </w:rPr>
      </w:pPr>
    </w:p>
    <w:p w14:paraId="098F0420">
      <w:pPr>
        <w:pStyle w:val="14"/>
        <w:ind w:firstLine="0"/>
        <w:rPr>
          <w:rFonts w:ascii="宋体" w:hAnsi="宋体" w:cs="宋体"/>
          <w:color w:val="auto"/>
          <w:szCs w:val="21"/>
          <w:highlight w:val="none"/>
        </w:rPr>
      </w:pPr>
    </w:p>
    <w:p w14:paraId="32F07A4B">
      <w:pPr>
        <w:pStyle w:val="14"/>
        <w:ind w:firstLine="0"/>
        <w:rPr>
          <w:rFonts w:ascii="宋体" w:hAnsi="宋体" w:cs="宋体"/>
          <w:color w:val="auto"/>
          <w:szCs w:val="21"/>
          <w:highlight w:val="none"/>
        </w:rPr>
      </w:pPr>
    </w:p>
    <w:p w14:paraId="7F89E870">
      <w:pPr>
        <w:outlineLvl w:val="1"/>
        <w:rPr>
          <w:rFonts w:ascii="宋体" w:hAnsi="宋体" w:cs="宋体"/>
          <w:b/>
          <w:color w:val="auto"/>
          <w:kern w:val="1"/>
          <w:szCs w:val="21"/>
          <w:highlight w:val="none"/>
          <w:lang w:val="zh-CN"/>
        </w:rPr>
      </w:pPr>
      <w:r>
        <w:rPr>
          <w:rFonts w:ascii="宋体" w:hAnsi="宋体" w:cs="宋体"/>
          <w:color w:val="auto"/>
          <w:szCs w:val="21"/>
          <w:highlight w:val="none"/>
        </w:rPr>
        <w:br w:type="page"/>
      </w:r>
      <w:bookmarkStart w:id="603" w:name="_Toc116461802"/>
      <w:bookmarkStart w:id="604" w:name="_Toc123901766"/>
      <w:r>
        <w:rPr>
          <w:rFonts w:hint="eastAsia" w:ascii="宋体" w:hAnsi="宋体" w:cs="宋体"/>
          <w:b/>
          <w:color w:val="auto"/>
          <w:kern w:val="1"/>
          <w:szCs w:val="21"/>
          <w:highlight w:val="none"/>
          <w:lang w:val="zh-CN"/>
        </w:rPr>
        <w:t>格式</w:t>
      </w:r>
      <w:r>
        <w:rPr>
          <w:rFonts w:ascii="宋体" w:hAnsi="宋体" w:cs="宋体"/>
          <w:b/>
          <w:color w:val="auto"/>
          <w:kern w:val="1"/>
          <w:szCs w:val="21"/>
          <w:highlight w:val="none"/>
          <w:lang w:val="zh-CN"/>
        </w:rPr>
        <w:t>7</w:t>
      </w:r>
      <w:r>
        <w:rPr>
          <w:rFonts w:hint="eastAsia" w:ascii="宋体" w:hAnsi="宋体" w:cs="宋体"/>
          <w:b/>
          <w:color w:val="auto"/>
          <w:kern w:val="1"/>
          <w:szCs w:val="21"/>
          <w:highlight w:val="none"/>
          <w:lang w:val="zh-CN"/>
        </w:rPr>
        <w:t>：</w:t>
      </w:r>
      <w:bookmarkEnd w:id="603"/>
      <w:r>
        <w:rPr>
          <w:rFonts w:hint="eastAsia" w:ascii="宋体" w:hAnsi="宋体" w:cs="宋体"/>
          <w:b/>
          <w:color w:val="auto"/>
          <w:kern w:val="1"/>
          <w:szCs w:val="21"/>
          <w:highlight w:val="none"/>
          <w:lang w:val="zh-CN"/>
        </w:rPr>
        <w:t>项目团队人员配备及技术水平</w:t>
      </w:r>
      <w:bookmarkEnd w:id="604"/>
    </w:p>
    <w:p w14:paraId="0A8B2CC5">
      <w:pPr>
        <w:spacing w:line="360" w:lineRule="auto"/>
        <w:jc w:val="center"/>
        <w:rPr>
          <w:rFonts w:ascii="宋体" w:hAnsi="宋体" w:cs="宋体"/>
          <w:b/>
          <w:bCs/>
          <w:color w:val="auto"/>
          <w:kern w:val="1"/>
          <w:sz w:val="32"/>
          <w:szCs w:val="32"/>
          <w:highlight w:val="none"/>
          <w:lang w:val="zh-CN"/>
        </w:rPr>
      </w:pPr>
      <w:bookmarkStart w:id="605" w:name="_Hlk116425325"/>
    </w:p>
    <w:p w14:paraId="4382A67D">
      <w:pPr>
        <w:spacing w:line="360" w:lineRule="auto"/>
        <w:jc w:val="center"/>
        <w:rPr>
          <w:rFonts w:ascii="宋体" w:hAnsi="宋体" w:cs="宋体"/>
          <w:b/>
          <w:bCs/>
          <w:color w:val="auto"/>
          <w:kern w:val="1"/>
          <w:sz w:val="32"/>
          <w:szCs w:val="32"/>
          <w:highlight w:val="none"/>
          <w:lang w:val="zh-CN"/>
        </w:rPr>
      </w:pPr>
      <w:r>
        <w:rPr>
          <w:rFonts w:hint="eastAsia" w:ascii="宋体" w:hAnsi="宋体" w:cs="宋体"/>
          <w:b/>
          <w:bCs/>
          <w:color w:val="auto"/>
          <w:kern w:val="1"/>
          <w:sz w:val="32"/>
          <w:szCs w:val="32"/>
          <w:highlight w:val="none"/>
          <w:lang w:val="zh-CN"/>
        </w:rPr>
        <w:t>施工管理团队人员汇总表</w:t>
      </w:r>
    </w:p>
    <w:bookmarkEnd w:id="605"/>
    <w:tbl>
      <w:tblPr>
        <w:tblStyle w:val="4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925"/>
        <w:gridCol w:w="833"/>
        <w:gridCol w:w="725"/>
        <w:gridCol w:w="725"/>
        <w:gridCol w:w="1383"/>
        <w:gridCol w:w="725"/>
        <w:gridCol w:w="907"/>
        <w:gridCol w:w="861"/>
        <w:gridCol w:w="807"/>
        <w:gridCol w:w="796"/>
      </w:tblGrid>
      <w:tr w14:paraId="4348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320" w:type="pct"/>
            <w:vAlign w:val="center"/>
          </w:tcPr>
          <w:p w14:paraId="28A1CCBA">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498" w:type="pct"/>
            <w:vAlign w:val="center"/>
          </w:tcPr>
          <w:p w14:paraId="307A93BC">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拟在本项目任职</w:t>
            </w:r>
          </w:p>
        </w:tc>
        <w:tc>
          <w:tcPr>
            <w:tcW w:w="448" w:type="pct"/>
            <w:vAlign w:val="center"/>
          </w:tcPr>
          <w:p w14:paraId="0C9C1789">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390" w:type="pct"/>
            <w:vAlign w:val="center"/>
          </w:tcPr>
          <w:p w14:paraId="469A8D6D">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单位职务</w:t>
            </w:r>
          </w:p>
        </w:tc>
        <w:tc>
          <w:tcPr>
            <w:tcW w:w="390" w:type="pct"/>
            <w:vAlign w:val="center"/>
          </w:tcPr>
          <w:p w14:paraId="3CD94201">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744" w:type="pct"/>
            <w:vAlign w:val="center"/>
          </w:tcPr>
          <w:p w14:paraId="4E489FD6">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身份证号码</w:t>
            </w:r>
          </w:p>
        </w:tc>
        <w:tc>
          <w:tcPr>
            <w:tcW w:w="390" w:type="pct"/>
            <w:vAlign w:val="center"/>
          </w:tcPr>
          <w:p w14:paraId="6BECA98E">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职称专业</w:t>
            </w:r>
          </w:p>
        </w:tc>
        <w:tc>
          <w:tcPr>
            <w:tcW w:w="488" w:type="pct"/>
            <w:vAlign w:val="center"/>
          </w:tcPr>
          <w:p w14:paraId="7792D24C">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职称或职业资格</w:t>
            </w:r>
          </w:p>
        </w:tc>
        <w:tc>
          <w:tcPr>
            <w:tcW w:w="463" w:type="pct"/>
            <w:vAlign w:val="center"/>
          </w:tcPr>
          <w:p w14:paraId="0CFF9D59">
            <w:pPr>
              <w:pStyle w:val="132"/>
              <w:adjustRightInd w:val="0"/>
              <w:snapToGrid w:val="0"/>
              <w:spacing w:line="240" w:lineRule="auto"/>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计划进场时间</w:t>
            </w:r>
          </w:p>
        </w:tc>
        <w:tc>
          <w:tcPr>
            <w:tcW w:w="434" w:type="pct"/>
            <w:vAlign w:val="center"/>
          </w:tcPr>
          <w:p w14:paraId="46545CF7">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计划退场时间</w:t>
            </w:r>
          </w:p>
        </w:tc>
        <w:tc>
          <w:tcPr>
            <w:tcW w:w="428" w:type="pct"/>
            <w:vAlign w:val="center"/>
          </w:tcPr>
          <w:p w14:paraId="3262C9AB">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固定</w:t>
            </w:r>
          </w:p>
          <w:p w14:paraId="31F5611D">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/聘用</w:t>
            </w:r>
          </w:p>
        </w:tc>
      </w:tr>
      <w:tr w14:paraId="5D6F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20" w:type="pct"/>
            <w:vAlign w:val="center"/>
          </w:tcPr>
          <w:p w14:paraId="699942A0">
            <w:pPr>
              <w:tabs>
                <w:tab w:val="left" w:pos="9298"/>
              </w:tabs>
              <w:jc w:val="center"/>
              <w:rPr>
                <w:rFonts w:ascii="宋体" w:hAnsi="宋体" w:cs="宋体"/>
                <w:color w:val="auto"/>
                <w:szCs w:val="21"/>
                <w:highlight w:val="none"/>
              </w:rPr>
            </w:pPr>
            <w:r>
              <w:rPr>
                <w:rFonts w:hint="eastAsia" w:ascii="宋体" w:hAnsi="宋体" w:cs="宋体"/>
                <w:color w:val="auto"/>
                <w:kern w:val="1"/>
                <w:szCs w:val="21"/>
                <w:highlight w:val="none"/>
                <w:lang w:val="zh-CN"/>
              </w:rPr>
              <w:t>1</w:t>
            </w:r>
          </w:p>
        </w:tc>
        <w:tc>
          <w:tcPr>
            <w:tcW w:w="498" w:type="pct"/>
            <w:vAlign w:val="center"/>
          </w:tcPr>
          <w:p w14:paraId="6DECA853">
            <w:pPr>
              <w:adjustRightInd w:val="0"/>
              <w:snapToGrid w:val="0"/>
              <w:jc w:val="center"/>
              <w:rPr>
                <w:rFonts w:ascii="宋体" w:hAnsi="宋体" w:cs="宋体"/>
                <w:color w:val="auto"/>
                <w:szCs w:val="21"/>
                <w:highlight w:val="none"/>
              </w:rPr>
            </w:pPr>
          </w:p>
        </w:tc>
        <w:tc>
          <w:tcPr>
            <w:tcW w:w="448" w:type="pct"/>
            <w:vAlign w:val="center"/>
          </w:tcPr>
          <w:p w14:paraId="7EC73AE8">
            <w:pPr>
              <w:adjustRightInd w:val="0"/>
              <w:snapToGrid w:val="0"/>
              <w:jc w:val="center"/>
              <w:rPr>
                <w:rFonts w:ascii="宋体" w:hAnsi="宋体" w:cs="宋体"/>
                <w:color w:val="auto"/>
                <w:szCs w:val="21"/>
                <w:highlight w:val="none"/>
              </w:rPr>
            </w:pPr>
          </w:p>
        </w:tc>
        <w:tc>
          <w:tcPr>
            <w:tcW w:w="390" w:type="pct"/>
            <w:vAlign w:val="center"/>
          </w:tcPr>
          <w:p w14:paraId="00EB718B">
            <w:pPr>
              <w:adjustRightInd w:val="0"/>
              <w:snapToGrid w:val="0"/>
              <w:jc w:val="center"/>
              <w:rPr>
                <w:rFonts w:ascii="宋体" w:hAnsi="宋体" w:cs="宋体"/>
                <w:color w:val="auto"/>
                <w:szCs w:val="21"/>
                <w:highlight w:val="none"/>
              </w:rPr>
            </w:pPr>
          </w:p>
        </w:tc>
        <w:tc>
          <w:tcPr>
            <w:tcW w:w="390" w:type="pct"/>
            <w:vAlign w:val="center"/>
          </w:tcPr>
          <w:p w14:paraId="1D9D5B2B">
            <w:pPr>
              <w:adjustRightInd w:val="0"/>
              <w:snapToGrid w:val="0"/>
              <w:jc w:val="center"/>
              <w:rPr>
                <w:rFonts w:ascii="宋体" w:hAnsi="宋体" w:cs="宋体"/>
                <w:color w:val="auto"/>
                <w:szCs w:val="21"/>
                <w:highlight w:val="none"/>
              </w:rPr>
            </w:pPr>
          </w:p>
        </w:tc>
        <w:tc>
          <w:tcPr>
            <w:tcW w:w="744" w:type="pct"/>
            <w:vAlign w:val="center"/>
          </w:tcPr>
          <w:p w14:paraId="36F1FD7D">
            <w:pPr>
              <w:adjustRightInd w:val="0"/>
              <w:snapToGrid w:val="0"/>
              <w:jc w:val="center"/>
              <w:rPr>
                <w:rFonts w:ascii="宋体" w:hAnsi="宋体" w:cs="宋体"/>
                <w:color w:val="auto"/>
                <w:szCs w:val="21"/>
                <w:highlight w:val="none"/>
              </w:rPr>
            </w:pPr>
          </w:p>
        </w:tc>
        <w:tc>
          <w:tcPr>
            <w:tcW w:w="390" w:type="pct"/>
            <w:vAlign w:val="center"/>
          </w:tcPr>
          <w:p w14:paraId="35B055A8">
            <w:pPr>
              <w:adjustRightInd w:val="0"/>
              <w:snapToGrid w:val="0"/>
              <w:jc w:val="center"/>
              <w:rPr>
                <w:rFonts w:ascii="宋体" w:hAnsi="宋体" w:cs="宋体"/>
                <w:color w:val="auto"/>
                <w:szCs w:val="21"/>
                <w:highlight w:val="none"/>
              </w:rPr>
            </w:pPr>
          </w:p>
        </w:tc>
        <w:tc>
          <w:tcPr>
            <w:tcW w:w="488" w:type="pct"/>
            <w:vAlign w:val="center"/>
          </w:tcPr>
          <w:p w14:paraId="4321A3AF">
            <w:pPr>
              <w:adjustRightInd w:val="0"/>
              <w:snapToGrid w:val="0"/>
              <w:jc w:val="center"/>
              <w:rPr>
                <w:rFonts w:ascii="宋体" w:hAnsi="宋体" w:cs="宋体"/>
                <w:color w:val="auto"/>
                <w:szCs w:val="21"/>
                <w:highlight w:val="none"/>
              </w:rPr>
            </w:pPr>
          </w:p>
        </w:tc>
        <w:tc>
          <w:tcPr>
            <w:tcW w:w="463" w:type="pct"/>
            <w:vAlign w:val="center"/>
          </w:tcPr>
          <w:p w14:paraId="4CCF934F">
            <w:pPr>
              <w:adjustRightInd w:val="0"/>
              <w:snapToGrid w:val="0"/>
              <w:jc w:val="center"/>
              <w:rPr>
                <w:rFonts w:ascii="宋体" w:hAnsi="宋体" w:cs="宋体"/>
                <w:color w:val="auto"/>
                <w:szCs w:val="21"/>
                <w:highlight w:val="none"/>
              </w:rPr>
            </w:pPr>
          </w:p>
        </w:tc>
        <w:tc>
          <w:tcPr>
            <w:tcW w:w="434" w:type="pct"/>
            <w:vAlign w:val="center"/>
          </w:tcPr>
          <w:p w14:paraId="5A83E8ED">
            <w:pPr>
              <w:adjustRightInd w:val="0"/>
              <w:snapToGrid w:val="0"/>
              <w:jc w:val="center"/>
              <w:rPr>
                <w:rFonts w:ascii="宋体" w:hAnsi="宋体" w:cs="宋体"/>
                <w:color w:val="auto"/>
                <w:szCs w:val="21"/>
                <w:highlight w:val="none"/>
              </w:rPr>
            </w:pPr>
          </w:p>
        </w:tc>
        <w:tc>
          <w:tcPr>
            <w:tcW w:w="428" w:type="pct"/>
            <w:vAlign w:val="center"/>
          </w:tcPr>
          <w:p w14:paraId="1C57C6B3">
            <w:pPr>
              <w:adjustRightInd w:val="0"/>
              <w:snapToGrid w:val="0"/>
              <w:jc w:val="center"/>
              <w:rPr>
                <w:rFonts w:ascii="宋体" w:hAnsi="宋体" w:cs="宋体"/>
                <w:color w:val="auto"/>
                <w:szCs w:val="21"/>
                <w:highlight w:val="none"/>
              </w:rPr>
            </w:pPr>
          </w:p>
        </w:tc>
      </w:tr>
      <w:tr w14:paraId="3C5E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20" w:type="pct"/>
            <w:vAlign w:val="center"/>
          </w:tcPr>
          <w:p w14:paraId="5A2C0B41">
            <w:pPr>
              <w:tabs>
                <w:tab w:val="left" w:pos="9298"/>
              </w:tabs>
              <w:jc w:val="center"/>
              <w:rPr>
                <w:rFonts w:ascii="宋体" w:hAnsi="宋体" w:cs="宋体"/>
                <w:color w:val="auto"/>
                <w:szCs w:val="21"/>
                <w:highlight w:val="none"/>
              </w:rPr>
            </w:pPr>
            <w:r>
              <w:rPr>
                <w:rFonts w:hint="eastAsia" w:ascii="宋体" w:hAnsi="宋体" w:cs="宋体"/>
                <w:color w:val="auto"/>
                <w:kern w:val="1"/>
                <w:szCs w:val="21"/>
                <w:highlight w:val="none"/>
                <w:lang w:val="zh-CN"/>
              </w:rPr>
              <w:t>2</w:t>
            </w:r>
          </w:p>
        </w:tc>
        <w:tc>
          <w:tcPr>
            <w:tcW w:w="498" w:type="pct"/>
            <w:vAlign w:val="center"/>
          </w:tcPr>
          <w:p w14:paraId="458695B7">
            <w:pPr>
              <w:adjustRightInd w:val="0"/>
              <w:snapToGrid w:val="0"/>
              <w:jc w:val="center"/>
              <w:rPr>
                <w:rFonts w:ascii="宋体" w:hAnsi="宋体" w:cs="宋体"/>
                <w:color w:val="auto"/>
                <w:szCs w:val="21"/>
                <w:highlight w:val="none"/>
              </w:rPr>
            </w:pPr>
          </w:p>
        </w:tc>
        <w:tc>
          <w:tcPr>
            <w:tcW w:w="448" w:type="pct"/>
            <w:vAlign w:val="center"/>
          </w:tcPr>
          <w:p w14:paraId="127D2F6F">
            <w:pPr>
              <w:adjustRightInd w:val="0"/>
              <w:snapToGrid w:val="0"/>
              <w:jc w:val="center"/>
              <w:rPr>
                <w:rFonts w:ascii="宋体" w:hAnsi="宋体" w:cs="宋体"/>
                <w:color w:val="auto"/>
                <w:szCs w:val="21"/>
                <w:highlight w:val="none"/>
              </w:rPr>
            </w:pPr>
          </w:p>
        </w:tc>
        <w:tc>
          <w:tcPr>
            <w:tcW w:w="390" w:type="pct"/>
            <w:vAlign w:val="center"/>
          </w:tcPr>
          <w:p w14:paraId="66D8668A">
            <w:pPr>
              <w:adjustRightInd w:val="0"/>
              <w:snapToGrid w:val="0"/>
              <w:jc w:val="center"/>
              <w:rPr>
                <w:rFonts w:ascii="宋体" w:hAnsi="宋体" w:cs="宋体"/>
                <w:color w:val="auto"/>
                <w:szCs w:val="21"/>
                <w:highlight w:val="none"/>
              </w:rPr>
            </w:pPr>
          </w:p>
        </w:tc>
        <w:tc>
          <w:tcPr>
            <w:tcW w:w="390" w:type="pct"/>
            <w:vAlign w:val="center"/>
          </w:tcPr>
          <w:p w14:paraId="39CB0A10">
            <w:pPr>
              <w:adjustRightInd w:val="0"/>
              <w:snapToGrid w:val="0"/>
              <w:jc w:val="center"/>
              <w:rPr>
                <w:rFonts w:ascii="宋体" w:hAnsi="宋体" w:cs="宋体"/>
                <w:color w:val="auto"/>
                <w:szCs w:val="21"/>
                <w:highlight w:val="none"/>
              </w:rPr>
            </w:pPr>
          </w:p>
        </w:tc>
        <w:tc>
          <w:tcPr>
            <w:tcW w:w="744" w:type="pct"/>
            <w:vAlign w:val="center"/>
          </w:tcPr>
          <w:p w14:paraId="4224EA63">
            <w:pPr>
              <w:adjustRightInd w:val="0"/>
              <w:snapToGrid w:val="0"/>
              <w:jc w:val="center"/>
              <w:rPr>
                <w:rFonts w:ascii="宋体" w:hAnsi="宋体" w:cs="宋体"/>
                <w:color w:val="auto"/>
                <w:szCs w:val="21"/>
                <w:highlight w:val="none"/>
              </w:rPr>
            </w:pPr>
          </w:p>
        </w:tc>
        <w:tc>
          <w:tcPr>
            <w:tcW w:w="390" w:type="pct"/>
            <w:vAlign w:val="center"/>
          </w:tcPr>
          <w:p w14:paraId="098CE9B3">
            <w:pPr>
              <w:adjustRightInd w:val="0"/>
              <w:snapToGrid w:val="0"/>
              <w:jc w:val="center"/>
              <w:rPr>
                <w:rFonts w:ascii="宋体" w:hAnsi="宋体" w:cs="宋体"/>
                <w:color w:val="auto"/>
                <w:szCs w:val="21"/>
                <w:highlight w:val="none"/>
              </w:rPr>
            </w:pPr>
          </w:p>
        </w:tc>
        <w:tc>
          <w:tcPr>
            <w:tcW w:w="488" w:type="pct"/>
            <w:vAlign w:val="center"/>
          </w:tcPr>
          <w:p w14:paraId="176AFAC2">
            <w:pPr>
              <w:adjustRightInd w:val="0"/>
              <w:snapToGrid w:val="0"/>
              <w:jc w:val="center"/>
              <w:rPr>
                <w:rFonts w:ascii="宋体" w:hAnsi="宋体" w:cs="宋体"/>
                <w:color w:val="auto"/>
                <w:szCs w:val="21"/>
                <w:highlight w:val="none"/>
              </w:rPr>
            </w:pPr>
          </w:p>
        </w:tc>
        <w:tc>
          <w:tcPr>
            <w:tcW w:w="463" w:type="pct"/>
            <w:vAlign w:val="center"/>
          </w:tcPr>
          <w:p w14:paraId="266D9062">
            <w:pPr>
              <w:adjustRightInd w:val="0"/>
              <w:snapToGrid w:val="0"/>
              <w:jc w:val="center"/>
              <w:rPr>
                <w:rFonts w:ascii="宋体" w:hAnsi="宋体" w:cs="宋体"/>
                <w:color w:val="auto"/>
                <w:szCs w:val="21"/>
                <w:highlight w:val="none"/>
              </w:rPr>
            </w:pPr>
          </w:p>
        </w:tc>
        <w:tc>
          <w:tcPr>
            <w:tcW w:w="434" w:type="pct"/>
            <w:vAlign w:val="center"/>
          </w:tcPr>
          <w:p w14:paraId="000E9092">
            <w:pPr>
              <w:adjustRightInd w:val="0"/>
              <w:snapToGrid w:val="0"/>
              <w:jc w:val="center"/>
              <w:rPr>
                <w:rFonts w:ascii="宋体" w:hAnsi="宋体" w:cs="宋体"/>
                <w:color w:val="auto"/>
                <w:szCs w:val="21"/>
                <w:highlight w:val="none"/>
              </w:rPr>
            </w:pPr>
          </w:p>
        </w:tc>
        <w:tc>
          <w:tcPr>
            <w:tcW w:w="428" w:type="pct"/>
            <w:vAlign w:val="center"/>
          </w:tcPr>
          <w:p w14:paraId="4F369801">
            <w:pPr>
              <w:adjustRightInd w:val="0"/>
              <w:snapToGrid w:val="0"/>
              <w:jc w:val="center"/>
              <w:rPr>
                <w:rFonts w:ascii="宋体" w:hAnsi="宋体" w:cs="宋体"/>
                <w:color w:val="auto"/>
                <w:szCs w:val="21"/>
                <w:highlight w:val="none"/>
              </w:rPr>
            </w:pPr>
          </w:p>
        </w:tc>
      </w:tr>
      <w:tr w14:paraId="4985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20" w:type="pct"/>
            <w:vAlign w:val="center"/>
          </w:tcPr>
          <w:p w14:paraId="118B8890">
            <w:pPr>
              <w:tabs>
                <w:tab w:val="left" w:pos="9298"/>
              </w:tabs>
              <w:jc w:val="center"/>
              <w:rPr>
                <w:rFonts w:ascii="宋体" w:hAnsi="宋体" w:cs="宋体"/>
                <w:color w:val="auto"/>
                <w:szCs w:val="21"/>
                <w:highlight w:val="none"/>
              </w:rPr>
            </w:pPr>
            <w:r>
              <w:rPr>
                <w:rFonts w:hint="eastAsia" w:ascii="宋体" w:hAnsi="宋体" w:cs="宋体"/>
                <w:color w:val="auto"/>
                <w:kern w:val="1"/>
                <w:szCs w:val="21"/>
                <w:highlight w:val="none"/>
                <w:lang w:val="zh-CN"/>
              </w:rPr>
              <w:t>3</w:t>
            </w:r>
          </w:p>
        </w:tc>
        <w:tc>
          <w:tcPr>
            <w:tcW w:w="498" w:type="pct"/>
            <w:vAlign w:val="center"/>
          </w:tcPr>
          <w:p w14:paraId="5E8CB19B">
            <w:pPr>
              <w:adjustRightInd w:val="0"/>
              <w:snapToGrid w:val="0"/>
              <w:jc w:val="center"/>
              <w:rPr>
                <w:rFonts w:ascii="宋体" w:hAnsi="宋体" w:cs="宋体"/>
                <w:color w:val="auto"/>
                <w:szCs w:val="21"/>
                <w:highlight w:val="none"/>
              </w:rPr>
            </w:pPr>
          </w:p>
        </w:tc>
        <w:tc>
          <w:tcPr>
            <w:tcW w:w="448" w:type="pct"/>
            <w:vAlign w:val="center"/>
          </w:tcPr>
          <w:p w14:paraId="7B7B41D8">
            <w:pPr>
              <w:adjustRightInd w:val="0"/>
              <w:snapToGrid w:val="0"/>
              <w:jc w:val="center"/>
              <w:rPr>
                <w:rFonts w:ascii="宋体" w:hAnsi="宋体" w:cs="宋体"/>
                <w:color w:val="auto"/>
                <w:szCs w:val="21"/>
                <w:highlight w:val="none"/>
              </w:rPr>
            </w:pPr>
          </w:p>
        </w:tc>
        <w:tc>
          <w:tcPr>
            <w:tcW w:w="390" w:type="pct"/>
            <w:vAlign w:val="center"/>
          </w:tcPr>
          <w:p w14:paraId="05E870B2">
            <w:pPr>
              <w:adjustRightInd w:val="0"/>
              <w:snapToGrid w:val="0"/>
              <w:jc w:val="center"/>
              <w:rPr>
                <w:rFonts w:ascii="宋体" w:hAnsi="宋体" w:cs="宋体"/>
                <w:color w:val="auto"/>
                <w:szCs w:val="21"/>
                <w:highlight w:val="none"/>
              </w:rPr>
            </w:pPr>
          </w:p>
        </w:tc>
        <w:tc>
          <w:tcPr>
            <w:tcW w:w="390" w:type="pct"/>
            <w:vAlign w:val="center"/>
          </w:tcPr>
          <w:p w14:paraId="6270144A">
            <w:pPr>
              <w:adjustRightInd w:val="0"/>
              <w:snapToGrid w:val="0"/>
              <w:jc w:val="center"/>
              <w:rPr>
                <w:rFonts w:ascii="宋体" w:hAnsi="宋体" w:cs="宋体"/>
                <w:color w:val="auto"/>
                <w:szCs w:val="21"/>
                <w:highlight w:val="none"/>
              </w:rPr>
            </w:pPr>
          </w:p>
        </w:tc>
        <w:tc>
          <w:tcPr>
            <w:tcW w:w="744" w:type="pct"/>
            <w:vAlign w:val="center"/>
          </w:tcPr>
          <w:p w14:paraId="08CC5194">
            <w:pPr>
              <w:adjustRightInd w:val="0"/>
              <w:snapToGrid w:val="0"/>
              <w:jc w:val="center"/>
              <w:rPr>
                <w:rFonts w:ascii="宋体" w:hAnsi="宋体" w:cs="宋体"/>
                <w:color w:val="auto"/>
                <w:szCs w:val="21"/>
                <w:highlight w:val="none"/>
              </w:rPr>
            </w:pPr>
          </w:p>
        </w:tc>
        <w:tc>
          <w:tcPr>
            <w:tcW w:w="390" w:type="pct"/>
            <w:vAlign w:val="center"/>
          </w:tcPr>
          <w:p w14:paraId="63D08144">
            <w:pPr>
              <w:adjustRightInd w:val="0"/>
              <w:snapToGrid w:val="0"/>
              <w:jc w:val="center"/>
              <w:rPr>
                <w:rFonts w:ascii="宋体" w:hAnsi="宋体" w:cs="宋体"/>
                <w:color w:val="auto"/>
                <w:szCs w:val="21"/>
                <w:highlight w:val="none"/>
              </w:rPr>
            </w:pPr>
          </w:p>
        </w:tc>
        <w:tc>
          <w:tcPr>
            <w:tcW w:w="488" w:type="pct"/>
            <w:vAlign w:val="center"/>
          </w:tcPr>
          <w:p w14:paraId="14040EC4">
            <w:pPr>
              <w:adjustRightInd w:val="0"/>
              <w:snapToGrid w:val="0"/>
              <w:jc w:val="center"/>
              <w:rPr>
                <w:rFonts w:ascii="宋体" w:hAnsi="宋体" w:cs="宋体"/>
                <w:color w:val="auto"/>
                <w:szCs w:val="21"/>
                <w:highlight w:val="none"/>
              </w:rPr>
            </w:pPr>
          </w:p>
        </w:tc>
        <w:tc>
          <w:tcPr>
            <w:tcW w:w="463" w:type="pct"/>
            <w:vAlign w:val="center"/>
          </w:tcPr>
          <w:p w14:paraId="3AD3A2E4">
            <w:pPr>
              <w:adjustRightInd w:val="0"/>
              <w:snapToGrid w:val="0"/>
              <w:jc w:val="center"/>
              <w:rPr>
                <w:rFonts w:ascii="宋体" w:hAnsi="宋体" w:cs="宋体"/>
                <w:color w:val="auto"/>
                <w:szCs w:val="21"/>
                <w:highlight w:val="none"/>
              </w:rPr>
            </w:pPr>
          </w:p>
        </w:tc>
        <w:tc>
          <w:tcPr>
            <w:tcW w:w="434" w:type="pct"/>
            <w:vAlign w:val="center"/>
          </w:tcPr>
          <w:p w14:paraId="194A67BA">
            <w:pPr>
              <w:adjustRightInd w:val="0"/>
              <w:snapToGrid w:val="0"/>
              <w:jc w:val="center"/>
              <w:rPr>
                <w:rFonts w:ascii="宋体" w:hAnsi="宋体" w:cs="宋体"/>
                <w:color w:val="auto"/>
                <w:szCs w:val="21"/>
                <w:highlight w:val="none"/>
              </w:rPr>
            </w:pPr>
          </w:p>
        </w:tc>
        <w:tc>
          <w:tcPr>
            <w:tcW w:w="428" w:type="pct"/>
            <w:vAlign w:val="center"/>
          </w:tcPr>
          <w:p w14:paraId="5AE8980B">
            <w:pPr>
              <w:adjustRightInd w:val="0"/>
              <w:snapToGrid w:val="0"/>
              <w:jc w:val="center"/>
              <w:rPr>
                <w:rFonts w:ascii="宋体" w:hAnsi="宋体" w:cs="宋体"/>
                <w:color w:val="auto"/>
                <w:szCs w:val="21"/>
                <w:highlight w:val="none"/>
              </w:rPr>
            </w:pPr>
          </w:p>
        </w:tc>
      </w:tr>
      <w:tr w14:paraId="273B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20" w:type="pct"/>
            <w:vAlign w:val="center"/>
          </w:tcPr>
          <w:p w14:paraId="6E9CBAFE">
            <w:pPr>
              <w:tabs>
                <w:tab w:val="left" w:pos="9298"/>
              </w:tabs>
              <w:jc w:val="center"/>
              <w:rPr>
                <w:rFonts w:ascii="宋体" w:hAnsi="宋体" w:cs="宋体"/>
                <w:color w:val="auto"/>
                <w:szCs w:val="21"/>
                <w:highlight w:val="none"/>
              </w:rPr>
            </w:pPr>
            <w:r>
              <w:rPr>
                <w:rFonts w:hint="eastAsia" w:ascii="宋体" w:hAnsi="宋体" w:cs="宋体"/>
                <w:color w:val="auto"/>
                <w:kern w:val="1"/>
                <w:szCs w:val="21"/>
                <w:highlight w:val="none"/>
                <w:lang w:val="zh-CN"/>
              </w:rPr>
              <w:t>4</w:t>
            </w:r>
          </w:p>
        </w:tc>
        <w:tc>
          <w:tcPr>
            <w:tcW w:w="498" w:type="pct"/>
            <w:vAlign w:val="center"/>
          </w:tcPr>
          <w:p w14:paraId="6568D1EB">
            <w:pPr>
              <w:adjustRightInd w:val="0"/>
              <w:snapToGrid w:val="0"/>
              <w:jc w:val="center"/>
              <w:rPr>
                <w:rFonts w:ascii="宋体" w:hAnsi="宋体" w:cs="宋体"/>
                <w:color w:val="auto"/>
                <w:szCs w:val="21"/>
                <w:highlight w:val="none"/>
              </w:rPr>
            </w:pPr>
          </w:p>
        </w:tc>
        <w:tc>
          <w:tcPr>
            <w:tcW w:w="448" w:type="pct"/>
            <w:vAlign w:val="center"/>
          </w:tcPr>
          <w:p w14:paraId="4934EDB9">
            <w:pPr>
              <w:adjustRightInd w:val="0"/>
              <w:snapToGrid w:val="0"/>
              <w:jc w:val="center"/>
              <w:rPr>
                <w:rFonts w:ascii="宋体" w:hAnsi="宋体" w:cs="宋体"/>
                <w:color w:val="auto"/>
                <w:szCs w:val="21"/>
                <w:highlight w:val="none"/>
              </w:rPr>
            </w:pPr>
          </w:p>
        </w:tc>
        <w:tc>
          <w:tcPr>
            <w:tcW w:w="390" w:type="pct"/>
            <w:vAlign w:val="center"/>
          </w:tcPr>
          <w:p w14:paraId="502538C6">
            <w:pPr>
              <w:adjustRightInd w:val="0"/>
              <w:snapToGrid w:val="0"/>
              <w:jc w:val="center"/>
              <w:rPr>
                <w:rFonts w:ascii="宋体" w:hAnsi="宋体" w:cs="宋体"/>
                <w:color w:val="auto"/>
                <w:szCs w:val="21"/>
                <w:highlight w:val="none"/>
              </w:rPr>
            </w:pPr>
          </w:p>
        </w:tc>
        <w:tc>
          <w:tcPr>
            <w:tcW w:w="390" w:type="pct"/>
            <w:vAlign w:val="center"/>
          </w:tcPr>
          <w:p w14:paraId="58689AB5">
            <w:pPr>
              <w:adjustRightInd w:val="0"/>
              <w:snapToGrid w:val="0"/>
              <w:jc w:val="center"/>
              <w:rPr>
                <w:rFonts w:ascii="宋体" w:hAnsi="宋体" w:cs="宋体"/>
                <w:color w:val="auto"/>
                <w:szCs w:val="21"/>
                <w:highlight w:val="none"/>
              </w:rPr>
            </w:pPr>
          </w:p>
        </w:tc>
        <w:tc>
          <w:tcPr>
            <w:tcW w:w="744" w:type="pct"/>
            <w:vAlign w:val="center"/>
          </w:tcPr>
          <w:p w14:paraId="24845698">
            <w:pPr>
              <w:adjustRightInd w:val="0"/>
              <w:snapToGrid w:val="0"/>
              <w:jc w:val="center"/>
              <w:rPr>
                <w:rFonts w:ascii="宋体" w:hAnsi="宋体" w:cs="宋体"/>
                <w:color w:val="auto"/>
                <w:szCs w:val="21"/>
                <w:highlight w:val="none"/>
              </w:rPr>
            </w:pPr>
          </w:p>
        </w:tc>
        <w:tc>
          <w:tcPr>
            <w:tcW w:w="390" w:type="pct"/>
            <w:vAlign w:val="center"/>
          </w:tcPr>
          <w:p w14:paraId="79E39325">
            <w:pPr>
              <w:adjustRightInd w:val="0"/>
              <w:snapToGrid w:val="0"/>
              <w:jc w:val="center"/>
              <w:rPr>
                <w:rFonts w:ascii="宋体" w:hAnsi="宋体" w:cs="宋体"/>
                <w:color w:val="auto"/>
                <w:szCs w:val="21"/>
                <w:highlight w:val="none"/>
              </w:rPr>
            </w:pPr>
          </w:p>
        </w:tc>
        <w:tc>
          <w:tcPr>
            <w:tcW w:w="488" w:type="pct"/>
            <w:vAlign w:val="center"/>
          </w:tcPr>
          <w:p w14:paraId="70E970AF">
            <w:pPr>
              <w:adjustRightInd w:val="0"/>
              <w:snapToGrid w:val="0"/>
              <w:jc w:val="center"/>
              <w:rPr>
                <w:rFonts w:ascii="宋体" w:hAnsi="宋体" w:cs="宋体"/>
                <w:color w:val="auto"/>
                <w:szCs w:val="21"/>
                <w:highlight w:val="none"/>
              </w:rPr>
            </w:pPr>
          </w:p>
        </w:tc>
        <w:tc>
          <w:tcPr>
            <w:tcW w:w="463" w:type="pct"/>
            <w:vAlign w:val="center"/>
          </w:tcPr>
          <w:p w14:paraId="47EAC315">
            <w:pPr>
              <w:adjustRightInd w:val="0"/>
              <w:snapToGrid w:val="0"/>
              <w:jc w:val="center"/>
              <w:rPr>
                <w:rFonts w:ascii="宋体" w:hAnsi="宋体" w:cs="宋体"/>
                <w:color w:val="auto"/>
                <w:szCs w:val="21"/>
                <w:highlight w:val="none"/>
              </w:rPr>
            </w:pPr>
          </w:p>
        </w:tc>
        <w:tc>
          <w:tcPr>
            <w:tcW w:w="434" w:type="pct"/>
            <w:vAlign w:val="center"/>
          </w:tcPr>
          <w:p w14:paraId="146E58DE">
            <w:pPr>
              <w:adjustRightInd w:val="0"/>
              <w:snapToGrid w:val="0"/>
              <w:jc w:val="center"/>
              <w:rPr>
                <w:rFonts w:ascii="宋体" w:hAnsi="宋体" w:cs="宋体"/>
                <w:color w:val="auto"/>
                <w:szCs w:val="21"/>
                <w:highlight w:val="none"/>
              </w:rPr>
            </w:pPr>
          </w:p>
        </w:tc>
        <w:tc>
          <w:tcPr>
            <w:tcW w:w="428" w:type="pct"/>
            <w:vAlign w:val="center"/>
          </w:tcPr>
          <w:p w14:paraId="32430F82">
            <w:pPr>
              <w:adjustRightInd w:val="0"/>
              <w:snapToGrid w:val="0"/>
              <w:jc w:val="center"/>
              <w:rPr>
                <w:rFonts w:ascii="宋体" w:hAnsi="宋体" w:cs="宋体"/>
                <w:color w:val="auto"/>
                <w:szCs w:val="21"/>
                <w:highlight w:val="none"/>
              </w:rPr>
            </w:pPr>
          </w:p>
        </w:tc>
      </w:tr>
      <w:tr w14:paraId="491C0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20" w:type="pct"/>
            <w:vAlign w:val="center"/>
          </w:tcPr>
          <w:p w14:paraId="0EFD528A">
            <w:pPr>
              <w:tabs>
                <w:tab w:val="left" w:pos="9298"/>
              </w:tabs>
              <w:jc w:val="center"/>
              <w:rPr>
                <w:rFonts w:ascii="宋体" w:hAnsi="宋体" w:cs="宋体"/>
                <w:color w:val="auto"/>
                <w:szCs w:val="21"/>
                <w:highlight w:val="none"/>
              </w:rPr>
            </w:pPr>
            <w:r>
              <w:rPr>
                <w:rFonts w:hint="eastAsia" w:ascii="宋体" w:hAnsi="宋体" w:cs="宋体"/>
                <w:color w:val="auto"/>
                <w:kern w:val="1"/>
                <w:szCs w:val="21"/>
                <w:highlight w:val="none"/>
                <w:lang w:val="zh-CN"/>
              </w:rPr>
              <w:t>5</w:t>
            </w:r>
          </w:p>
        </w:tc>
        <w:tc>
          <w:tcPr>
            <w:tcW w:w="498" w:type="pct"/>
            <w:vAlign w:val="center"/>
          </w:tcPr>
          <w:p w14:paraId="39696A87">
            <w:pPr>
              <w:adjustRightInd w:val="0"/>
              <w:snapToGrid w:val="0"/>
              <w:jc w:val="center"/>
              <w:rPr>
                <w:rFonts w:ascii="宋体" w:hAnsi="宋体" w:cs="宋体"/>
                <w:color w:val="auto"/>
                <w:szCs w:val="21"/>
                <w:highlight w:val="none"/>
              </w:rPr>
            </w:pPr>
          </w:p>
        </w:tc>
        <w:tc>
          <w:tcPr>
            <w:tcW w:w="448" w:type="pct"/>
            <w:vAlign w:val="center"/>
          </w:tcPr>
          <w:p w14:paraId="2E3E6D29">
            <w:pPr>
              <w:adjustRightInd w:val="0"/>
              <w:snapToGrid w:val="0"/>
              <w:jc w:val="center"/>
              <w:rPr>
                <w:rFonts w:ascii="宋体" w:hAnsi="宋体" w:cs="宋体"/>
                <w:color w:val="auto"/>
                <w:szCs w:val="21"/>
                <w:highlight w:val="none"/>
              </w:rPr>
            </w:pPr>
          </w:p>
        </w:tc>
        <w:tc>
          <w:tcPr>
            <w:tcW w:w="390" w:type="pct"/>
            <w:vAlign w:val="center"/>
          </w:tcPr>
          <w:p w14:paraId="07F48E1F">
            <w:pPr>
              <w:adjustRightInd w:val="0"/>
              <w:snapToGrid w:val="0"/>
              <w:jc w:val="center"/>
              <w:rPr>
                <w:rFonts w:ascii="宋体" w:hAnsi="宋体" w:cs="宋体"/>
                <w:color w:val="auto"/>
                <w:szCs w:val="21"/>
                <w:highlight w:val="none"/>
              </w:rPr>
            </w:pPr>
          </w:p>
        </w:tc>
        <w:tc>
          <w:tcPr>
            <w:tcW w:w="390" w:type="pct"/>
            <w:vAlign w:val="center"/>
          </w:tcPr>
          <w:p w14:paraId="32AA1955">
            <w:pPr>
              <w:adjustRightInd w:val="0"/>
              <w:snapToGrid w:val="0"/>
              <w:jc w:val="center"/>
              <w:rPr>
                <w:rFonts w:ascii="宋体" w:hAnsi="宋体" w:cs="宋体"/>
                <w:color w:val="auto"/>
                <w:szCs w:val="21"/>
                <w:highlight w:val="none"/>
              </w:rPr>
            </w:pPr>
          </w:p>
        </w:tc>
        <w:tc>
          <w:tcPr>
            <w:tcW w:w="744" w:type="pct"/>
            <w:vAlign w:val="center"/>
          </w:tcPr>
          <w:p w14:paraId="3289D72C">
            <w:pPr>
              <w:adjustRightInd w:val="0"/>
              <w:snapToGrid w:val="0"/>
              <w:jc w:val="center"/>
              <w:rPr>
                <w:rFonts w:ascii="宋体" w:hAnsi="宋体" w:cs="宋体"/>
                <w:color w:val="auto"/>
                <w:szCs w:val="21"/>
                <w:highlight w:val="none"/>
              </w:rPr>
            </w:pPr>
          </w:p>
        </w:tc>
        <w:tc>
          <w:tcPr>
            <w:tcW w:w="390" w:type="pct"/>
            <w:vAlign w:val="center"/>
          </w:tcPr>
          <w:p w14:paraId="529302F1">
            <w:pPr>
              <w:adjustRightInd w:val="0"/>
              <w:snapToGrid w:val="0"/>
              <w:jc w:val="center"/>
              <w:rPr>
                <w:rFonts w:ascii="宋体" w:hAnsi="宋体" w:cs="宋体"/>
                <w:color w:val="auto"/>
                <w:szCs w:val="21"/>
                <w:highlight w:val="none"/>
              </w:rPr>
            </w:pPr>
          </w:p>
        </w:tc>
        <w:tc>
          <w:tcPr>
            <w:tcW w:w="488" w:type="pct"/>
            <w:vAlign w:val="center"/>
          </w:tcPr>
          <w:p w14:paraId="72453E16">
            <w:pPr>
              <w:adjustRightInd w:val="0"/>
              <w:snapToGrid w:val="0"/>
              <w:jc w:val="center"/>
              <w:rPr>
                <w:rFonts w:ascii="宋体" w:hAnsi="宋体" w:cs="宋体"/>
                <w:color w:val="auto"/>
                <w:szCs w:val="21"/>
                <w:highlight w:val="none"/>
              </w:rPr>
            </w:pPr>
          </w:p>
        </w:tc>
        <w:tc>
          <w:tcPr>
            <w:tcW w:w="463" w:type="pct"/>
            <w:vAlign w:val="center"/>
          </w:tcPr>
          <w:p w14:paraId="040D5652">
            <w:pPr>
              <w:adjustRightInd w:val="0"/>
              <w:snapToGrid w:val="0"/>
              <w:jc w:val="center"/>
              <w:rPr>
                <w:rFonts w:ascii="宋体" w:hAnsi="宋体" w:cs="宋体"/>
                <w:color w:val="auto"/>
                <w:szCs w:val="21"/>
                <w:highlight w:val="none"/>
              </w:rPr>
            </w:pPr>
          </w:p>
        </w:tc>
        <w:tc>
          <w:tcPr>
            <w:tcW w:w="434" w:type="pct"/>
            <w:vAlign w:val="center"/>
          </w:tcPr>
          <w:p w14:paraId="2521A3C6">
            <w:pPr>
              <w:adjustRightInd w:val="0"/>
              <w:snapToGrid w:val="0"/>
              <w:jc w:val="center"/>
              <w:rPr>
                <w:rFonts w:ascii="宋体" w:hAnsi="宋体" w:cs="宋体"/>
                <w:color w:val="auto"/>
                <w:szCs w:val="21"/>
                <w:highlight w:val="none"/>
              </w:rPr>
            </w:pPr>
          </w:p>
        </w:tc>
        <w:tc>
          <w:tcPr>
            <w:tcW w:w="428" w:type="pct"/>
            <w:vAlign w:val="center"/>
          </w:tcPr>
          <w:p w14:paraId="12326079">
            <w:pPr>
              <w:adjustRightInd w:val="0"/>
              <w:snapToGrid w:val="0"/>
              <w:jc w:val="center"/>
              <w:rPr>
                <w:rFonts w:ascii="宋体" w:hAnsi="宋体" w:cs="宋体"/>
                <w:color w:val="auto"/>
                <w:szCs w:val="21"/>
                <w:highlight w:val="none"/>
              </w:rPr>
            </w:pPr>
          </w:p>
        </w:tc>
      </w:tr>
      <w:tr w14:paraId="0F6D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20" w:type="pct"/>
            <w:vAlign w:val="center"/>
          </w:tcPr>
          <w:p w14:paraId="4B135E4C">
            <w:pPr>
              <w:tabs>
                <w:tab w:val="left" w:pos="9298"/>
              </w:tabs>
              <w:jc w:val="center"/>
              <w:rPr>
                <w:rFonts w:ascii="宋体" w:hAnsi="宋体" w:cs="宋体"/>
                <w:color w:val="auto"/>
                <w:szCs w:val="21"/>
                <w:highlight w:val="none"/>
              </w:rPr>
            </w:pPr>
            <w:r>
              <w:rPr>
                <w:rFonts w:hint="eastAsia" w:ascii="宋体" w:hAnsi="宋体" w:cs="宋体"/>
                <w:color w:val="auto"/>
                <w:kern w:val="1"/>
                <w:szCs w:val="21"/>
                <w:highlight w:val="none"/>
                <w:lang w:val="zh-CN"/>
              </w:rPr>
              <w:t>6</w:t>
            </w:r>
          </w:p>
        </w:tc>
        <w:tc>
          <w:tcPr>
            <w:tcW w:w="498" w:type="pct"/>
            <w:vAlign w:val="center"/>
          </w:tcPr>
          <w:p w14:paraId="079259E3">
            <w:pPr>
              <w:adjustRightInd w:val="0"/>
              <w:snapToGrid w:val="0"/>
              <w:jc w:val="center"/>
              <w:rPr>
                <w:rFonts w:ascii="宋体" w:hAnsi="宋体" w:cs="宋体"/>
                <w:color w:val="auto"/>
                <w:szCs w:val="21"/>
                <w:highlight w:val="none"/>
              </w:rPr>
            </w:pPr>
          </w:p>
        </w:tc>
        <w:tc>
          <w:tcPr>
            <w:tcW w:w="448" w:type="pct"/>
            <w:vAlign w:val="center"/>
          </w:tcPr>
          <w:p w14:paraId="162B1C7E">
            <w:pPr>
              <w:adjustRightInd w:val="0"/>
              <w:snapToGrid w:val="0"/>
              <w:jc w:val="center"/>
              <w:rPr>
                <w:rFonts w:ascii="宋体" w:hAnsi="宋体" w:cs="宋体"/>
                <w:color w:val="auto"/>
                <w:szCs w:val="21"/>
                <w:highlight w:val="none"/>
              </w:rPr>
            </w:pPr>
          </w:p>
        </w:tc>
        <w:tc>
          <w:tcPr>
            <w:tcW w:w="390" w:type="pct"/>
            <w:vAlign w:val="center"/>
          </w:tcPr>
          <w:p w14:paraId="1723C5BB">
            <w:pPr>
              <w:adjustRightInd w:val="0"/>
              <w:snapToGrid w:val="0"/>
              <w:jc w:val="center"/>
              <w:rPr>
                <w:rFonts w:ascii="宋体" w:hAnsi="宋体" w:cs="宋体"/>
                <w:color w:val="auto"/>
                <w:szCs w:val="21"/>
                <w:highlight w:val="none"/>
              </w:rPr>
            </w:pPr>
          </w:p>
        </w:tc>
        <w:tc>
          <w:tcPr>
            <w:tcW w:w="390" w:type="pct"/>
            <w:vAlign w:val="center"/>
          </w:tcPr>
          <w:p w14:paraId="7FE7400D">
            <w:pPr>
              <w:adjustRightInd w:val="0"/>
              <w:snapToGrid w:val="0"/>
              <w:jc w:val="center"/>
              <w:rPr>
                <w:rFonts w:ascii="宋体" w:hAnsi="宋体" w:cs="宋体"/>
                <w:color w:val="auto"/>
                <w:szCs w:val="21"/>
                <w:highlight w:val="none"/>
              </w:rPr>
            </w:pPr>
          </w:p>
        </w:tc>
        <w:tc>
          <w:tcPr>
            <w:tcW w:w="744" w:type="pct"/>
            <w:vAlign w:val="center"/>
          </w:tcPr>
          <w:p w14:paraId="367F546A">
            <w:pPr>
              <w:adjustRightInd w:val="0"/>
              <w:snapToGrid w:val="0"/>
              <w:jc w:val="center"/>
              <w:rPr>
                <w:rFonts w:ascii="宋体" w:hAnsi="宋体" w:cs="宋体"/>
                <w:color w:val="auto"/>
                <w:szCs w:val="21"/>
                <w:highlight w:val="none"/>
              </w:rPr>
            </w:pPr>
          </w:p>
        </w:tc>
        <w:tc>
          <w:tcPr>
            <w:tcW w:w="390" w:type="pct"/>
            <w:vAlign w:val="center"/>
          </w:tcPr>
          <w:p w14:paraId="6EA89830">
            <w:pPr>
              <w:adjustRightInd w:val="0"/>
              <w:snapToGrid w:val="0"/>
              <w:jc w:val="center"/>
              <w:rPr>
                <w:rFonts w:ascii="宋体" w:hAnsi="宋体" w:cs="宋体"/>
                <w:color w:val="auto"/>
                <w:szCs w:val="21"/>
                <w:highlight w:val="none"/>
              </w:rPr>
            </w:pPr>
          </w:p>
        </w:tc>
        <w:tc>
          <w:tcPr>
            <w:tcW w:w="488" w:type="pct"/>
            <w:vAlign w:val="center"/>
          </w:tcPr>
          <w:p w14:paraId="203F9BCD">
            <w:pPr>
              <w:adjustRightInd w:val="0"/>
              <w:snapToGrid w:val="0"/>
              <w:jc w:val="center"/>
              <w:rPr>
                <w:rFonts w:ascii="宋体" w:hAnsi="宋体" w:cs="宋体"/>
                <w:color w:val="auto"/>
                <w:szCs w:val="21"/>
                <w:highlight w:val="none"/>
              </w:rPr>
            </w:pPr>
          </w:p>
        </w:tc>
        <w:tc>
          <w:tcPr>
            <w:tcW w:w="463" w:type="pct"/>
            <w:vAlign w:val="center"/>
          </w:tcPr>
          <w:p w14:paraId="5B002772">
            <w:pPr>
              <w:adjustRightInd w:val="0"/>
              <w:snapToGrid w:val="0"/>
              <w:jc w:val="center"/>
              <w:rPr>
                <w:rFonts w:ascii="宋体" w:hAnsi="宋体" w:cs="宋体"/>
                <w:color w:val="auto"/>
                <w:szCs w:val="21"/>
                <w:highlight w:val="none"/>
              </w:rPr>
            </w:pPr>
          </w:p>
        </w:tc>
        <w:tc>
          <w:tcPr>
            <w:tcW w:w="434" w:type="pct"/>
            <w:vAlign w:val="center"/>
          </w:tcPr>
          <w:p w14:paraId="05E14906">
            <w:pPr>
              <w:adjustRightInd w:val="0"/>
              <w:snapToGrid w:val="0"/>
              <w:jc w:val="center"/>
              <w:rPr>
                <w:rFonts w:ascii="宋体" w:hAnsi="宋体" w:cs="宋体"/>
                <w:color w:val="auto"/>
                <w:szCs w:val="21"/>
                <w:highlight w:val="none"/>
              </w:rPr>
            </w:pPr>
          </w:p>
        </w:tc>
        <w:tc>
          <w:tcPr>
            <w:tcW w:w="428" w:type="pct"/>
            <w:vAlign w:val="center"/>
          </w:tcPr>
          <w:p w14:paraId="6CC520D2">
            <w:pPr>
              <w:adjustRightInd w:val="0"/>
              <w:snapToGrid w:val="0"/>
              <w:jc w:val="center"/>
              <w:rPr>
                <w:rFonts w:ascii="宋体" w:hAnsi="宋体" w:cs="宋体"/>
                <w:color w:val="auto"/>
                <w:szCs w:val="21"/>
                <w:highlight w:val="none"/>
              </w:rPr>
            </w:pPr>
          </w:p>
        </w:tc>
      </w:tr>
      <w:tr w14:paraId="6C945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20" w:type="pct"/>
            <w:vAlign w:val="center"/>
          </w:tcPr>
          <w:p w14:paraId="7DCFFD3F">
            <w:pPr>
              <w:tabs>
                <w:tab w:val="left" w:pos="9298"/>
              </w:tabs>
              <w:jc w:val="center"/>
              <w:rPr>
                <w:rFonts w:ascii="宋体" w:hAnsi="宋体" w:cs="宋体"/>
                <w:color w:val="auto"/>
                <w:szCs w:val="21"/>
                <w:highlight w:val="none"/>
              </w:rPr>
            </w:pPr>
            <w:r>
              <w:rPr>
                <w:rFonts w:hint="eastAsia" w:ascii="宋体" w:hAnsi="宋体" w:cs="宋体"/>
                <w:color w:val="auto"/>
                <w:kern w:val="1"/>
                <w:szCs w:val="21"/>
                <w:highlight w:val="none"/>
              </w:rPr>
              <w:t>...</w:t>
            </w:r>
          </w:p>
        </w:tc>
        <w:tc>
          <w:tcPr>
            <w:tcW w:w="498" w:type="pct"/>
            <w:vAlign w:val="center"/>
          </w:tcPr>
          <w:p w14:paraId="2C2634D0">
            <w:pPr>
              <w:adjustRightInd w:val="0"/>
              <w:snapToGrid w:val="0"/>
              <w:jc w:val="center"/>
              <w:rPr>
                <w:rFonts w:ascii="宋体" w:hAnsi="宋体" w:cs="宋体"/>
                <w:color w:val="auto"/>
                <w:szCs w:val="21"/>
                <w:highlight w:val="none"/>
              </w:rPr>
            </w:pPr>
          </w:p>
        </w:tc>
        <w:tc>
          <w:tcPr>
            <w:tcW w:w="448" w:type="pct"/>
            <w:vAlign w:val="center"/>
          </w:tcPr>
          <w:p w14:paraId="4519F226">
            <w:pPr>
              <w:adjustRightInd w:val="0"/>
              <w:snapToGrid w:val="0"/>
              <w:jc w:val="center"/>
              <w:rPr>
                <w:rFonts w:ascii="宋体" w:hAnsi="宋体" w:cs="宋体"/>
                <w:color w:val="auto"/>
                <w:szCs w:val="21"/>
                <w:highlight w:val="none"/>
              </w:rPr>
            </w:pPr>
          </w:p>
        </w:tc>
        <w:tc>
          <w:tcPr>
            <w:tcW w:w="390" w:type="pct"/>
            <w:vAlign w:val="center"/>
          </w:tcPr>
          <w:p w14:paraId="4A5C7B7E">
            <w:pPr>
              <w:adjustRightInd w:val="0"/>
              <w:snapToGrid w:val="0"/>
              <w:jc w:val="center"/>
              <w:rPr>
                <w:rFonts w:ascii="宋体" w:hAnsi="宋体" w:cs="宋体"/>
                <w:color w:val="auto"/>
                <w:szCs w:val="21"/>
                <w:highlight w:val="none"/>
              </w:rPr>
            </w:pPr>
          </w:p>
        </w:tc>
        <w:tc>
          <w:tcPr>
            <w:tcW w:w="390" w:type="pct"/>
            <w:vAlign w:val="center"/>
          </w:tcPr>
          <w:p w14:paraId="35A80651">
            <w:pPr>
              <w:adjustRightInd w:val="0"/>
              <w:snapToGrid w:val="0"/>
              <w:jc w:val="center"/>
              <w:rPr>
                <w:rFonts w:ascii="宋体" w:hAnsi="宋体" w:cs="宋体"/>
                <w:color w:val="auto"/>
                <w:szCs w:val="21"/>
                <w:highlight w:val="none"/>
              </w:rPr>
            </w:pPr>
          </w:p>
        </w:tc>
        <w:tc>
          <w:tcPr>
            <w:tcW w:w="744" w:type="pct"/>
            <w:vAlign w:val="center"/>
          </w:tcPr>
          <w:p w14:paraId="3F81D7CB">
            <w:pPr>
              <w:adjustRightInd w:val="0"/>
              <w:snapToGrid w:val="0"/>
              <w:jc w:val="center"/>
              <w:rPr>
                <w:rFonts w:ascii="宋体" w:hAnsi="宋体" w:cs="宋体"/>
                <w:color w:val="auto"/>
                <w:szCs w:val="21"/>
                <w:highlight w:val="none"/>
              </w:rPr>
            </w:pPr>
          </w:p>
        </w:tc>
        <w:tc>
          <w:tcPr>
            <w:tcW w:w="390" w:type="pct"/>
            <w:vAlign w:val="center"/>
          </w:tcPr>
          <w:p w14:paraId="5836704E">
            <w:pPr>
              <w:adjustRightInd w:val="0"/>
              <w:snapToGrid w:val="0"/>
              <w:jc w:val="center"/>
              <w:rPr>
                <w:rFonts w:ascii="宋体" w:hAnsi="宋体" w:cs="宋体"/>
                <w:color w:val="auto"/>
                <w:szCs w:val="21"/>
                <w:highlight w:val="none"/>
              </w:rPr>
            </w:pPr>
          </w:p>
        </w:tc>
        <w:tc>
          <w:tcPr>
            <w:tcW w:w="488" w:type="pct"/>
            <w:vAlign w:val="center"/>
          </w:tcPr>
          <w:p w14:paraId="0F4119D6">
            <w:pPr>
              <w:adjustRightInd w:val="0"/>
              <w:snapToGrid w:val="0"/>
              <w:jc w:val="center"/>
              <w:rPr>
                <w:rFonts w:ascii="宋体" w:hAnsi="宋体" w:cs="宋体"/>
                <w:color w:val="auto"/>
                <w:szCs w:val="21"/>
                <w:highlight w:val="none"/>
              </w:rPr>
            </w:pPr>
          </w:p>
        </w:tc>
        <w:tc>
          <w:tcPr>
            <w:tcW w:w="463" w:type="pct"/>
            <w:vAlign w:val="center"/>
          </w:tcPr>
          <w:p w14:paraId="6EA1CB70">
            <w:pPr>
              <w:adjustRightInd w:val="0"/>
              <w:snapToGrid w:val="0"/>
              <w:jc w:val="center"/>
              <w:rPr>
                <w:rFonts w:ascii="宋体" w:hAnsi="宋体" w:cs="宋体"/>
                <w:color w:val="auto"/>
                <w:szCs w:val="21"/>
                <w:highlight w:val="none"/>
              </w:rPr>
            </w:pPr>
          </w:p>
        </w:tc>
        <w:tc>
          <w:tcPr>
            <w:tcW w:w="434" w:type="pct"/>
            <w:vAlign w:val="center"/>
          </w:tcPr>
          <w:p w14:paraId="0979B116">
            <w:pPr>
              <w:adjustRightInd w:val="0"/>
              <w:snapToGrid w:val="0"/>
              <w:jc w:val="center"/>
              <w:rPr>
                <w:rFonts w:ascii="宋体" w:hAnsi="宋体" w:cs="宋体"/>
                <w:color w:val="auto"/>
                <w:szCs w:val="21"/>
                <w:highlight w:val="none"/>
              </w:rPr>
            </w:pPr>
          </w:p>
        </w:tc>
        <w:tc>
          <w:tcPr>
            <w:tcW w:w="428" w:type="pct"/>
            <w:vAlign w:val="center"/>
          </w:tcPr>
          <w:p w14:paraId="790AED02">
            <w:pPr>
              <w:adjustRightInd w:val="0"/>
              <w:snapToGrid w:val="0"/>
              <w:jc w:val="center"/>
              <w:rPr>
                <w:rFonts w:ascii="宋体" w:hAnsi="宋体" w:cs="宋体"/>
                <w:color w:val="auto"/>
                <w:szCs w:val="21"/>
                <w:highlight w:val="none"/>
              </w:rPr>
            </w:pPr>
          </w:p>
        </w:tc>
      </w:tr>
    </w:tbl>
    <w:p w14:paraId="29EE74CD">
      <w:pPr>
        <w:rPr>
          <w:rFonts w:hint="eastAsia" w:ascii="宋体" w:hAnsi="宋体" w:cs="宋体"/>
          <w:b w:val="0"/>
          <w:bCs/>
          <w:color w:val="auto"/>
          <w:kern w:val="1"/>
          <w:szCs w:val="21"/>
          <w:highlight w:val="none"/>
          <w:lang w:val="zh-CN"/>
        </w:rPr>
      </w:pPr>
      <w:r>
        <w:rPr>
          <w:rFonts w:hint="eastAsia" w:ascii="宋体" w:hAnsi="宋体" w:cs="宋体"/>
          <w:b w:val="0"/>
          <w:bCs/>
          <w:color w:val="auto"/>
          <w:kern w:val="1"/>
          <w:szCs w:val="21"/>
          <w:highlight w:val="none"/>
          <w:lang w:val="zh-CN"/>
        </w:rPr>
        <w:t>注：</w:t>
      </w:r>
      <w:r>
        <w:rPr>
          <w:rFonts w:hint="eastAsia" w:ascii="宋体" w:hAnsi="宋体" w:cs="宋体"/>
          <w:b w:val="0"/>
          <w:bCs/>
          <w:color w:val="auto"/>
          <w:kern w:val="1"/>
          <w:szCs w:val="21"/>
          <w:highlight w:val="none"/>
          <w:lang w:val="en-US" w:eastAsia="zh-CN"/>
        </w:rPr>
        <w:t>1、</w:t>
      </w:r>
      <w:r>
        <w:rPr>
          <w:rFonts w:hint="eastAsia" w:ascii="宋体" w:hAnsi="宋体" w:cs="宋体"/>
          <w:b w:val="0"/>
          <w:bCs/>
          <w:color w:val="auto"/>
          <w:kern w:val="1"/>
          <w:szCs w:val="21"/>
          <w:highlight w:val="none"/>
          <w:lang w:val="zh-CN"/>
        </w:rPr>
        <w:t>本表根据招标文件要求结合《项目管理部组成人员配备要求表（</w:t>
      </w:r>
      <w:r>
        <w:rPr>
          <w:rFonts w:hint="eastAsia" w:ascii="宋体" w:hAnsi="宋体" w:cs="宋体"/>
          <w:b w:val="0"/>
          <w:bCs/>
          <w:color w:val="auto"/>
          <w:kern w:val="1"/>
          <w:szCs w:val="21"/>
          <w:highlight w:val="none"/>
        </w:rPr>
        <w:t>主办方</w:t>
      </w:r>
      <w:r>
        <w:rPr>
          <w:rFonts w:hint="eastAsia" w:ascii="宋体" w:hAnsi="宋体" w:cs="宋体"/>
          <w:b w:val="0"/>
          <w:bCs/>
          <w:color w:val="auto"/>
          <w:kern w:val="1"/>
          <w:szCs w:val="21"/>
          <w:highlight w:val="none"/>
          <w:lang w:val="zh-CN"/>
        </w:rPr>
        <w:t>）》施工</w:t>
      </w:r>
      <w:r>
        <w:rPr>
          <w:rFonts w:hint="eastAsia" w:ascii="宋体" w:hAnsi="宋体" w:cs="宋体"/>
          <w:b w:val="0"/>
          <w:bCs/>
          <w:color w:val="auto"/>
          <w:kern w:val="1"/>
          <w:szCs w:val="21"/>
          <w:highlight w:val="none"/>
          <w:u w:val="single"/>
          <w:lang w:val="zh-CN"/>
        </w:rPr>
        <w:t>管理团队人员</w:t>
      </w:r>
      <w:r>
        <w:rPr>
          <w:rFonts w:hint="eastAsia" w:ascii="宋体" w:hAnsi="宋体" w:cs="宋体"/>
          <w:b w:val="0"/>
          <w:bCs/>
          <w:color w:val="auto"/>
          <w:kern w:val="1"/>
          <w:szCs w:val="21"/>
          <w:highlight w:val="none"/>
          <w:lang w:val="zh-CN"/>
        </w:rPr>
        <w:t>要求和投标人的自身实际填写，一旦中标，要求全部到位，否则严格按照合同条款执行。</w:t>
      </w:r>
    </w:p>
    <w:p w14:paraId="11AD4527">
      <w:pPr>
        <w:ind w:firstLine="400" w:firstLineChars="200"/>
        <w:rPr>
          <w:rFonts w:hint="eastAsia" w:ascii="宋体" w:hAnsi="宋体" w:cs="宋体"/>
          <w:b w:val="0"/>
          <w:bCs/>
          <w:color w:val="auto"/>
          <w:kern w:val="1"/>
          <w:szCs w:val="21"/>
          <w:highlight w:val="none"/>
          <w:lang w:val="zh-CN"/>
        </w:rPr>
      </w:pPr>
      <w:r>
        <w:rPr>
          <w:rFonts w:hint="eastAsia" w:ascii="宋体" w:hAnsi="宋体" w:eastAsia="宋体" w:cs="宋体"/>
          <w:b w:val="0"/>
          <w:bCs/>
          <w:color w:val="auto"/>
          <w:kern w:val="0"/>
          <w:sz w:val="20"/>
          <w:szCs w:val="21"/>
          <w:highlight w:val="none"/>
        </w:rPr>
        <w:t>2、须提供投标截止时间近</w:t>
      </w:r>
      <w:r>
        <w:rPr>
          <w:rFonts w:ascii="宋体" w:hAnsi="宋体" w:eastAsia="宋体" w:cs="宋体"/>
          <w:b w:val="0"/>
          <w:bCs/>
          <w:color w:val="auto"/>
          <w:kern w:val="0"/>
          <w:sz w:val="20"/>
          <w:szCs w:val="21"/>
          <w:highlight w:val="none"/>
        </w:rPr>
        <w:t>1</w:t>
      </w:r>
      <w:r>
        <w:rPr>
          <w:rFonts w:hint="eastAsia" w:ascii="宋体" w:hAnsi="宋体" w:eastAsia="宋体" w:cs="宋体"/>
          <w:b w:val="0"/>
          <w:bCs/>
          <w:color w:val="auto"/>
          <w:kern w:val="0"/>
          <w:sz w:val="20"/>
          <w:szCs w:val="21"/>
          <w:highlight w:val="none"/>
        </w:rPr>
        <w:t>个月（</w:t>
      </w:r>
      <w:r>
        <w:rPr>
          <w:rFonts w:ascii="宋体" w:hAnsi="宋体" w:eastAsia="宋体" w:cs="宋体"/>
          <w:b w:val="0"/>
          <w:bCs/>
          <w:color w:val="auto"/>
          <w:kern w:val="0"/>
          <w:sz w:val="20"/>
          <w:szCs w:val="21"/>
          <w:highlight w:val="none"/>
        </w:rPr>
        <w:t>2025</w:t>
      </w:r>
      <w:r>
        <w:rPr>
          <w:rFonts w:hint="eastAsia" w:ascii="宋体" w:hAnsi="宋体" w:eastAsia="宋体" w:cs="宋体"/>
          <w:b w:val="0"/>
          <w:bCs/>
          <w:color w:val="auto"/>
          <w:kern w:val="0"/>
          <w:sz w:val="20"/>
          <w:szCs w:val="21"/>
          <w:highlight w:val="none"/>
        </w:rPr>
        <w:t>年4月）在本单位（不含投标人的子公司，含分公司或分支机构）购买社保的缴费记录；因改制或重组的企业或事业单位人员社保由上级主管部门缴纳的，除提供上级主管部门缴纳社保证明扫描件外，需由上级主管部门出具证明说明</w:t>
      </w:r>
      <w:r>
        <w:rPr>
          <w:rFonts w:hint="eastAsia" w:ascii="宋体" w:hAnsi="宋体" w:eastAsia="宋体" w:cs="宋体"/>
          <w:b w:val="0"/>
          <w:bCs/>
          <w:color w:val="auto"/>
          <w:kern w:val="0"/>
          <w:sz w:val="20"/>
          <w:szCs w:val="21"/>
          <w:highlight w:val="none"/>
          <w:lang w:val="zh-CN"/>
        </w:rPr>
        <w:t>（上述人员为香港专业人士的，需提供资格备案的业务范围符合本招标项目对上述人员要求的香港专业人士的证明材料扫描件）。</w:t>
      </w:r>
    </w:p>
    <w:p w14:paraId="034689F2">
      <w:pPr>
        <w:tabs>
          <w:tab w:val="left" w:pos="7655"/>
        </w:tabs>
        <w:spacing w:line="360" w:lineRule="auto"/>
        <w:ind w:firstLine="1656" w:firstLineChars="600"/>
        <w:jc w:val="left"/>
        <w:rPr>
          <w:rFonts w:ascii="宋体" w:hAnsi="宋体" w:cs="宋体"/>
          <w:color w:val="auto"/>
          <w:spacing w:val="18"/>
          <w:kern w:val="1"/>
          <w:sz w:val="24"/>
          <w:highlight w:val="none"/>
          <w:lang w:val="zh-CN"/>
        </w:rPr>
      </w:pPr>
    </w:p>
    <w:p w14:paraId="5DC9FF00">
      <w:pPr>
        <w:tabs>
          <w:tab w:val="left" w:pos="7655"/>
        </w:tabs>
        <w:spacing w:line="360" w:lineRule="auto"/>
        <w:ind w:firstLine="1656" w:firstLineChars="600"/>
        <w:jc w:val="left"/>
        <w:rPr>
          <w:rFonts w:ascii="宋体" w:hAnsi="宋体" w:cs="宋体"/>
          <w:color w:val="auto"/>
          <w:spacing w:val="18"/>
          <w:kern w:val="1"/>
          <w:sz w:val="24"/>
          <w:highlight w:val="none"/>
        </w:rPr>
      </w:pPr>
      <w:r>
        <w:rPr>
          <w:rFonts w:hint="eastAsia" w:ascii="宋体" w:hAnsi="宋体" w:cs="宋体"/>
          <w:color w:val="auto"/>
          <w:spacing w:val="18"/>
          <w:kern w:val="1"/>
          <w:sz w:val="24"/>
          <w:highlight w:val="none"/>
          <w:lang w:val="zh-CN"/>
        </w:rPr>
        <w:t>投标人：(盖章)</w:t>
      </w:r>
    </w:p>
    <w:p w14:paraId="39A36D07">
      <w:pPr>
        <w:tabs>
          <w:tab w:val="left" w:pos="7655"/>
        </w:tabs>
        <w:spacing w:line="360" w:lineRule="auto"/>
        <w:ind w:firstLine="1656" w:firstLineChars="600"/>
        <w:jc w:val="left"/>
        <w:rPr>
          <w:rFonts w:ascii="宋体" w:hAnsi="宋体" w:cs="宋体"/>
          <w:color w:val="auto"/>
          <w:spacing w:val="18"/>
          <w:kern w:val="1"/>
          <w:sz w:val="24"/>
          <w:highlight w:val="none"/>
          <w:lang w:val="zh-CN"/>
        </w:rPr>
      </w:pPr>
      <w:r>
        <w:rPr>
          <w:rFonts w:hint="eastAsia" w:ascii="宋体" w:hAnsi="宋体" w:cs="宋体"/>
          <w:color w:val="auto"/>
          <w:spacing w:val="18"/>
          <w:kern w:val="1"/>
          <w:sz w:val="24"/>
          <w:highlight w:val="none"/>
          <w:lang w:val="zh-CN"/>
        </w:rPr>
        <w:t>日期：年月日</w:t>
      </w:r>
    </w:p>
    <w:p w14:paraId="0701453E">
      <w:pPr>
        <w:pStyle w:val="14"/>
        <w:ind w:firstLine="0"/>
        <w:rPr>
          <w:rFonts w:ascii="宋体" w:hAnsi="宋体" w:cs="宋体"/>
          <w:color w:val="auto"/>
          <w:szCs w:val="21"/>
          <w:highlight w:val="none"/>
        </w:rPr>
      </w:pPr>
    </w:p>
    <w:p w14:paraId="2FFD724C">
      <w:pPr>
        <w:pStyle w:val="14"/>
        <w:ind w:firstLine="0"/>
        <w:rPr>
          <w:rFonts w:ascii="宋体" w:hAnsi="宋体" w:cs="宋体"/>
          <w:color w:val="auto"/>
          <w:szCs w:val="21"/>
          <w:highlight w:val="none"/>
        </w:rPr>
      </w:pPr>
    </w:p>
    <w:p w14:paraId="7388DB50">
      <w:pPr>
        <w:pStyle w:val="163"/>
        <w:ind w:firstLine="400"/>
        <w:rPr>
          <w:rFonts w:ascii="宋体" w:hAnsi="宋体" w:cs="宋体"/>
          <w:color w:val="auto"/>
          <w:highlight w:val="none"/>
        </w:rPr>
      </w:pPr>
    </w:p>
    <w:p w14:paraId="10F5AC8F">
      <w:pPr>
        <w:spacing w:line="360" w:lineRule="auto"/>
        <w:jc w:val="center"/>
        <w:rPr>
          <w:rFonts w:ascii="宋体" w:hAnsi="宋体" w:cs="宋体"/>
          <w:b/>
          <w:color w:val="auto"/>
          <w:kern w:val="1"/>
          <w:sz w:val="24"/>
          <w:highlight w:val="none"/>
        </w:rPr>
      </w:pPr>
      <w:r>
        <w:rPr>
          <w:rFonts w:hint="eastAsia" w:ascii="宋体" w:hAnsi="宋体" w:cs="宋体"/>
          <w:b/>
          <w:color w:val="auto"/>
          <w:kern w:val="1"/>
          <w:sz w:val="24"/>
          <w:highlight w:val="none"/>
        </w:rPr>
        <w:br w:type="page"/>
      </w:r>
      <w:bookmarkStart w:id="606" w:name="_Hlk116425340"/>
    </w:p>
    <w:p w14:paraId="12951CD9">
      <w:pPr>
        <w:spacing w:line="360" w:lineRule="auto"/>
        <w:jc w:val="center"/>
        <w:rPr>
          <w:rFonts w:ascii="宋体" w:hAnsi="宋体" w:cs="宋体"/>
          <w:b/>
          <w:bCs/>
          <w:color w:val="auto"/>
          <w:kern w:val="1"/>
          <w:sz w:val="32"/>
          <w:szCs w:val="32"/>
          <w:highlight w:val="none"/>
          <w:lang w:val="zh-CN"/>
        </w:rPr>
      </w:pPr>
      <w:r>
        <w:rPr>
          <w:rFonts w:hint="eastAsia" w:ascii="宋体" w:hAnsi="宋体" w:cs="宋体"/>
          <w:b/>
          <w:bCs/>
          <w:color w:val="auto"/>
          <w:kern w:val="1"/>
          <w:sz w:val="32"/>
          <w:szCs w:val="32"/>
          <w:highlight w:val="none"/>
          <w:lang w:val="zh-CN"/>
        </w:rPr>
        <w:t>设计管理团队人员汇总表</w:t>
      </w:r>
    </w:p>
    <w:bookmarkEnd w:id="606"/>
    <w:tbl>
      <w:tblPr>
        <w:tblStyle w:val="45"/>
        <w:tblW w:w="4996" w:type="pct"/>
        <w:tblInd w:w="0" w:type="dxa"/>
        <w:tblLayout w:type="autofit"/>
        <w:tblCellMar>
          <w:top w:w="0" w:type="dxa"/>
          <w:left w:w="108" w:type="dxa"/>
          <w:bottom w:w="0" w:type="dxa"/>
          <w:right w:w="108" w:type="dxa"/>
        </w:tblCellMar>
      </w:tblPr>
      <w:tblGrid>
        <w:gridCol w:w="628"/>
        <w:gridCol w:w="582"/>
        <w:gridCol w:w="582"/>
        <w:gridCol w:w="580"/>
        <w:gridCol w:w="777"/>
        <w:gridCol w:w="827"/>
        <w:gridCol w:w="772"/>
        <w:gridCol w:w="772"/>
        <w:gridCol w:w="1082"/>
        <w:gridCol w:w="772"/>
        <w:gridCol w:w="1327"/>
        <w:gridCol w:w="580"/>
      </w:tblGrid>
      <w:tr w14:paraId="48FE8781">
        <w:tblPrEx>
          <w:tblCellMar>
            <w:top w:w="0" w:type="dxa"/>
            <w:left w:w="108" w:type="dxa"/>
            <w:bottom w:w="0" w:type="dxa"/>
            <w:right w:w="108" w:type="dxa"/>
          </w:tblCellMar>
        </w:tblPrEx>
        <w:trPr>
          <w:trHeight w:val="764" w:hRule="atLeast"/>
        </w:trPr>
        <w:tc>
          <w:tcPr>
            <w:tcW w:w="338" w:type="pct"/>
            <w:tcBorders>
              <w:top w:val="single" w:color="000000" w:sz="6" w:space="0"/>
              <w:left w:val="single" w:color="000000" w:sz="6" w:space="0"/>
              <w:bottom w:val="single" w:color="000000" w:sz="6" w:space="0"/>
              <w:right w:val="single" w:color="000000" w:sz="6" w:space="0"/>
            </w:tcBorders>
            <w:vAlign w:val="center"/>
          </w:tcPr>
          <w:p w14:paraId="556C0CEB">
            <w:pPr>
              <w:tabs>
                <w:tab w:val="left" w:pos="9298"/>
              </w:tabs>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序号</w:t>
            </w:r>
          </w:p>
        </w:tc>
        <w:tc>
          <w:tcPr>
            <w:tcW w:w="313" w:type="pct"/>
            <w:tcBorders>
              <w:top w:val="single" w:color="000000" w:sz="6" w:space="0"/>
              <w:left w:val="single" w:color="000000" w:sz="6" w:space="0"/>
              <w:bottom w:val="single" w:color="000000" w:sz="6" w:space="0"/>
              <w:right w:val="single" w:color="000000" w:sz="6" w:space="0"/>
            </w:tcBorders>
            <w:vAlign w:val="center"/>
          </w:tcPr>
          <w:p w14:paraId="0D272202">
            <w:pPr>
              <w:tabs>
                <w:tab w:val="left" w:pos="9298"/>
              </w:tabs>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姓名</w:t>
            </w:r>
          </w:p>
        </w:tc>
        <w:tc>
          <w:tcPr>
            <w:tcW w:w="313" w:type="pct"/>
            <w:tcBorders>
              <w:top w:val="single" w:color="000000" w:sz="6" w:space="0"/>
              <w:left w:val="single" w:color="000000" w:sz="6" w:space="0"/>
              <w:bottom w:val="single" w:color="000000" w:sz="6" w:space="0"/>
              <w:right w:val="single" w:color="000000" w:sz="6" w:space="0"/>
            </w:tcBorders>
            <w:vAlign w:val="center"/>
          </w:tcPr>
          <w:p w14:paraId="7D683735">
            <w:pPr>
              <w:tabs>
                <w:tab w:val="left" w:pos="9298"/>
              </w:tabs>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性别</w:t>
            </w:r>
          </w:p>
        </w:tc>
        <w:tc>
          <w:tcPr>
            <w:tcW w:w="312" w:type="pct"/>
            <w:tcBorders>
              <w:top w:val="single" w:color="000000" w:sz="6" w:space="0"/>
              <w:left w:val="single" w:color="000000" w:sz="6" w:space="0"/>
              <w:bottom w:val="single" w:color="000000" w:sz="6" w:space="0"/>
              <w:right w:val="single" w:color="000000" w:sz="6" w:space="0"/>
            </w:tcBorders>
            <w:vAlign w:val="center"/>
          </w:tcPr>
          <w:p w14:paraId="7955BA50">
            <w:pPr>
              <w:tabs>
                <w:tab w:val="left" w:pos="9298"/>
              </w:tabs>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年龄</w:t>
            </w:r>
          </w:p>
        </w:tc>
        <w:tc>
          <w:tcPr>
            <w:tcW w:w="418" w:type="pct"/>
            <w:tcBorders>
              <w:top w:val="single" w:color="000000" w:sz="6" w:space="0"/>
              <w:left w:val="single" w:color="000000" w:sz="6" w:space="0"/>
              <w:bottom w:val="single" w:color="000000" w:sz="6" w:space="0"/>
              <w:right w:val="single" w:color="000000" w:sz="6" w:space="0"/>
            </w:tcBorders>
            <w:vAlign w:val="center"/>
          </w:tcPr>
          <w:p w14:paraId="2824C01B">
            <w:pPr>
              <w:tabs>
                <w:tab w:val="left" w:pos="9298"/>
              </w:tabs>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技术职称</w:t>
            </w:r>
          </w:p>
        </w:tc>
        <w:tc>
          <w:tcPr>
            <w:tcW w:w="445" w:type="pct"/>
            <w:tcBorders>
              <w:top w:val="single" w:color="000000" w:sz="6" w:space="0"/>
              <w:left w:val="single" w:color="000000" w:sz="6" w:space="0"/>
              <w:bottom w:val="single" w:color="000000" w:sz="6" w:space="0"/>
              <w:right w:val="single" w:color="000000" w:sz="6" w:space="0"/>
            </w:tcBorders>
            <w:vAlign w:val="center"/>
          </w:tcPr>
          <w:p w14:paraId="29FCF538">
            <w:pPr>
              <w:tabs>
                <w:tab w:val="left" w:pos="9298"/>
              </w:tabs>
              <w:jc w:val="center"/>
              <w:rPr>
                <w:rFonts w:ascii="宋体" w:hAnsi="宋体" w:cs="宋体"/>
                <w:color w:val="auto"/>
                <w:spacing w:val="1"/>
                <w:kern w:val="1"/>
                <w:szCs w:val="21"/>
                <w:highlight w:val="none"/>
              </w:rPr>
            </w:pPr>
            <w:r>
              <w:rPr>
                <w:rFonts w:hint="eastAsia" w:ascii="宋体" w:hAnsi="宋体" w:cs="宋体"/>
                <w:color w:val="auto"/>
                <w:spacing w:val="1"/>
                <w:kern w:val="1"/>
                <w:szCs w:val="21"/>
                <w:highlight w:val="none"/>
                <w:lang w:val="zh-CN"/>
              </w:rPr>
              <w:t>所在</w:t>
            </w:r>
          </w:p>
          <w:p w14:paraId="7CF3B64E">
            <w:pPr>
              <w:tabs>
                <w:tab w:val="left" w:pos="9298"/>
              </w:tabs>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单位</w:t>
            </w:r>
          </w:p>
        </w:tc>
        <w:tc>
          <w:tcPr>
            <w:tcW w:w="415" w:type="pct"/>
            <w:tcBorders>
              <w:top w:val="single" w:color="000000" w:sz="6" w:space="0"/>
              <w:left w:val="single" w:color="000000" w:sz="6" w:space="0"/>
              <w:bottom w:val="single" w:color="000000" w:sz="6" w:space="0"/>
              <w:right w:val="single" w:color="000000" w:sz="6" w:space="0"/>
            </w:tcBorders>
            <w:vAlign w:val="center"/>
          </w:tcPr>
          <w:p w14:paraId="2A562932">
            <w:pPr>
              <w:tabs>
                <w:tab w:val="left" w:pos="9298"/>
              </w:tabs>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单位职务</w:t>
            </w:r>
          </w:p>
        </w:tc>
        <w:tc>
          <w:tcPr>
            <w:tcW w:w="415" w:type="pct"/>
            <w:tcBorders>
              <w:top w:val="single" w:color="000000" w:sz="6" w:space="0"/>
              <w:left w:val="single" w:color="000000" w:sz="6" w:space="0"/>
              <w:bottom w:val="single" w:color="000000" w:sz="6" w:space="0"/>
              <w:right w:val="single" w:color="000000" w:sz="6" w:space="0"/>
            </w:tcBorders>
            <w:vAlign w:val="center"/>
          </w:tcPr>
          <w:p w14:paraId="0FE61DA4">
            <w:pPr>
              <w:tabs>
                <w:tab w:val="left" w:pos="9298"/>
              </w:tabs>
              <w:jc w:val="center"/>
              <w:rPr>
                <w:rFonts w:ascii="宋体" w:hAnsi="宋体" w:cs="宋体"/>
                <w:color w:val="auto"/>
                <w:kern w:val="1"/>
                <w:szCs w:val="21"/>
                <w:highlight w:val="none"/>
              </w:rPr>
            </w:pPr>
            <w:r>
              <w:rPr>
                <w:rFonts w:hint="eastAsia" w:ascii="宋体" w:hAnsi="宋体" w:cs="宋体"/>
                <w:color w:val="auto"/>
                <w:szCs w:val="21"/>
                <w:highlight w:val="none"/>
              </w:rPr>
              <w:t>职称专业</w:t>
            </w:r>
          </w:p>
        </w:tc>
        <w:tc>
          <w:tcPr>
            <w:tcW w:w="582" w:type="pct"/>
            <w:tcBorders>
              <w:top w:val="single" w:color="000000" w:sz="6" w:space="0"/>
              <w:left w:val="single" w:color="000000" w:sz="6" w:space="0"/>
              <w:bottom w:val="single" w:color="000000" w:sz="6" w:space="0"/>
              <w:right w:val="single" w:color="000000" w:sz="6" w:space="0"/>
            </w:tcBorders>
            <w:vAlign w:val="center"/>
          </w:tcPr>
          <w:p w14:paraId="2EA16064">
            <w:pPr>
              <w:tabs>
                <w:tab w:val="left" w:pos="9298"/>
              </w:tabs>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本项目拟任职务</w:t>
            </w:r>
          </w:p>
        </w:tc>
        <w:tc>
          <w:tcPr>
            <w:tcW w:w="415" w:type="pct"/>
            <w:tcBorders>
              <w:top w:val="single" w:color="000000" w:sz="6" w:space="0"/>
              <w:left w:val="single" w:color="000000" w:sz="6" w:space="0"/>
              <w:bottom w:val="single" w:color="000000" w:sz="6" w:space="0"/>
              <w:right w:val="single" w:color="000000" w:sz="6" w:space="0"/>
            </w:tcBorders>
            <w:vAlign w:val="center"/>
          </w:tcPr>
          <w:p w14:paraId="2DE3782B">
            <w:pPr>
              <w:tabs>
                <w:tab w:val="left" w:pos="9298"/>
              </w:tabs>
              <w:jc w:val="center"/>
              <w:rPr>
                <w:rFonts w:ascii="宋体" w:hAnsi="宋体" w:cs="宋体"/>
                <w:color w:val="auto"/>
                <w:spacing w:val="1"/>
                <w:kern w:val="1"/>
                <w:szCs w:val="21"/>
                <w:highlight w:val="none"/>
              </w:rPr>
            </w:pPr>
            <w:r>
              <w:rPr>
                <w:rFonts w:hint="eastAsia" w:ascii="宋体" w:hAnsi="宋体" w:cs="宋体"/>
                <w:color w:val="auto"/>
                <w:spacing w:val="1"/>
                <w:kern w:val="1"/>
                <w:szCs w:val="21"/>
                <w:highlight w:val="none"/>
                <w:lang w:val="zh-CN"/>
              </w:rPr>
              <w:t>资格证书证号</w:t>
            </w:r>
          </w:p>
        </w:tc>
        <w:tc>
          <w:tcPr>
            <w:tcW w:w="714" w:type="pct"/>
            <w:tcBorders>
              <w:top w:val="single" w:color="000000" w:sz="6" w:space="0"/>
              <w:left w:val="single" w:color="000000" w:sz="6" w:space="0"/>
              <w:bottom w:val="single" w:color="000000" w:sz="6" w:space="0"/>
              <w:right w:val="single" w:color="000000" w:sz="6" w:space="0"/>
            </w:tcBorders>
            <w:vAlign w:val="center"/>
          </w:tcPr>
          <w:p w14:paraId="685338D3">
            <w:pPr>
              <w:tabs>
                <w:tab w:val="left" w:pos="9298"/>
              </w:tabs>
              <w:jc w:val="center"/>
              <w:rPr>
                <w:rFonts w:ascii="宋体" w:hAnsi="宋体" w:cs="宋体"/>
                <w:color w:val="auto"/>
                <w:spacing w:val="1"/>
                <w:kern w:val="1"/>
                <w:szCs w:val="21"/>
                <w:highlight w:val="none"/>
              </w:rPr>
            </w:pPr>
            <w:r>
              <w:rPr>
                <w:rFonts w:hint="eastAsia" w:ascii="宋体" w:hAnsi="宋体" w:cs="宋体"/>
                <w:color w:val="auto"/>
                <w:spacing w:val="1"/>
                <w:kern w:val="1"/>
                <w:szCs w:val="21"/>
                <w:highlight w:val="none"/>
                <w:lang w:val="zh-CN"/>
              </w:rPr>
              <w:t>目前正承担的其它项目情况</w:t>
            </w:r>
          </w:p>
        </w:tc>
        <w:tc>
          <w:tcPr>
            <w:tcW w:w="312" w:type="pct"/>
            <w:tcBorders>
              <w:top w:val="single" w:color="000000" w:sz="6" w:space="0"/>
              <w:left w:val="single" w:color="000000" w:sz="6" w:space="0"/>
              <w:bottom w:val="single" w:color="000000" w:sz="6" w:space="0"/>
              <w:right w:val="single" w:color="000000" w:sz="6" w:space="0"/>
            </w:tcBorders>
            <w:vAlign w:val="center"/>
          </w:tcPr>
          <w:p w14:paraId="394F8AA1">
            <w:pPr>
              <w:tabs>
                <w:tab w:val="left" w:pos="9298"/>
              </w:tabs>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备注</w:t>
            </w:r>
          </w:p>
        </w:tc>
      </w:tr>
      <w:tr w14:paraId="350C06D6">
        <w:tblPrEx>
          <w:tblCellMar>
            <w:top w:w="0" w:type="dxa"/>
            <w:left w:w="108" w:type="dxa"/>
            <w:bottom w:w="0" w:type="dxa"/>
            <w:right w:w="108" w:type="dxa"/>
          </w:tblCellMar>
        </w:tblPrEx>
        <w:trPr>
          <w:trHeight w:val="434" w:hRule="atLeast"/>
        </w:trPr>
        <w:tc>
          <w:tcPr>
            <w:tcW w:w="338" w:type="pct"/>
            <w:tcBorders>
              <w:top w:val="single" w:color="000000" w:sz="6" w:space="0"/>
              <w:left w:val="single" w:color="000000" w:sz="6" w:space="0"/>
              <w:bottom w:val="single" w:color="000000" w:sz="6" w:space="0"/>
              <w:right w:val="single" w:color="000000" w:sz="6" w:space="0"/>
            </w:tcBorders>
            <w:vAlign w:val="center"/>
          </w:tcPr>
          <w:p w14:paraId="269D9EB6">
            <w:pPr>
              <w:tabs>
                <w:tab w:val="left" w:pos="9298"/>
              </w:tabs>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1</w:t>
            </w:r>
          </w:p>
        </w:tc>
        <w:tc>
          <w:tcPr>
            <w:tcW w:w="313" w:type="pct"/>
            <w:tcBorders>
              <w:top w:val="single" w:color="000000" w:sz="6" w:space="0"/>
              <w:left w:val="single" w:color="000000" w:sz="6" w:space="0"/>
              <w:bottom w:val="single" w:color="000000" w:sz="6" w:space="0"/>
              <w:right w:val="single" w:color="000000" w:sz="6" w:space="0"/>
            </w:tcBorders>
            <w:vAlign w:val="center"/>
          </w:tcPr>
          <w:p w14:paraId="38011C56">
            <w:pPr>
              <w:tabs>
                <w:tab w:val="left" w:pos="9298"/>
              </w:tabs>
              <w:jc w:val="center"/>
              <w:rPr>
                <w:rFonts w:ascii="宋体" w:hAnsi="宋体" w:cs="宋体"/>
                <w:color w:val="auto"/>
                <w:kern w:val="1"/>
                <w:szCs w:val="21"/>
                <w:highlight w:val="none"/>
              </w:rPr>
            </w:pPr>
          </w:p>
        </w:tc>
        <w:tc>
          <w:tcPr>
            <w:tcW w:w="313" w:type="pct"/>
            <w:tcBorders>
              <w:top w:val="single" w:color="000000" w:sz="6" w:space="0"/>
              <w:left w:val="single" w:color="000000" w:sz="6" w:space="0"/>
              <w:bottom w:val="single" w:color="000000" w:sz="6" w:space="0"/>
              <w:right w:val="single" w:color="000000" w:sz="6" w:space="0"/>
            </w:tcBorders>
            <w:vAlign w:val="center"/>
          </w:tcPr>
          <w:p w14:paraId="3B312D2A">
            <w:pPr>
              <w:tabs>
                <w:tab w:val="left" w:pos="9298"/>
              </w:tabs>
              <w:jc w:val="center"/>
              <w:rPr>
                <w:rFonts w:ascii="宋体" w:hAnsi="宋体" w:cs="宋体"/>
                <w:color w:val="auto"/>
                <w:kern w:val="1"/>
                <w:szCs w:val="21"/>
                <w:highlight w:val="none"/>
              </w:rPr>
            </w:pPr>
          </w:p>
        </w:tc>
        <w:tc>
          <w:tcPr>
            <w:tcW w:w="312" w:type="pct"/>
            <w:tcBorders>
              <w:top w:val="single" w:color="000000" w:sz="6" w:space="0"/>
              <w:left w:val="single" w:color="000000" w:sz="6" w:space="0"/>
              <w:bottom w:val="single" w:color="000000" w:sz="6" w:space="0"/>
              <w:right w:val="single" w:color="000000" w:sz="6" w:space="0"/>
            </w:tcBorders>
            <w:vAlign w:val="center"/>
          </w:tcPr>
          <w:p w14:paraId="545E7CAB">
            <w:pPr>
              <w:tabs>
                <w:tab w:val="left" w:pos="9298"/>
              </w:tabs>
              <w:jc w:val="center"/>
              <w:rPr>
                <w:rFonts w:ascii="宋体" w:hAnsi="宋体" w:cs="宋体"/>
                <w:color w:val="auto"/>
                <w:kern w:val="1"/>
                <w:szCs w:val="21"/>
                <w:highlight w:val="none"/>
              </w:rPr>
            </w:pPr>
          </w:p>
        </w:tc>
        <w:tc>
          <w:tcPr>
            <w:tcW w:w="418" w:type="pct"/>
            <w:tcBorders>
              <w:top w:val="single" w:color="000000" w:sz="6" w:space="0"/>
              <w:left w:val="single" w:color="000000" w:sz="6" w:space="0"/>
              <w:bottom w:val="single" w:color="000000" w:sz="6" w:space="0"/>
              <w:right w:val="single" w:color="000000" w:sz="6" w:space="0"/>
            </w:tcBorders>
            <w:vAlign w:val="center"/>
          </w:tcPr>
          <w:p w14:paraId="419D85BF">
            <w:pPr>
              <w:tabs>
                <w:tab w:val="left" w:pos="9298"/>
              </w:tabs>
              <w:jc w:val="center"/>
              <w:rPr>
                <w:rFonts w:ascii="宋体" w:hAnsi="宋体" w:cs="宋体"/>
                <w:color w:val="auto"/>
                <w:kern w:val="1"/>
                <w:szCs w:val="21"/>
                <w:highlight w:val="none"/>
              </w:rPr>
            </w:pPr>
          </w:p>
        </w:tc>
        <w:tc>
          <w:tcPr>
            <w:tcW w:w="445" w:type="pct"/>
            <w:tcBorders>
              <w:top w:val="single" w:color="000000" w:sz="6" w:space="0"/>
              <w:left w:val="single" w:color="000000" w:sz="6" w:space="0"/>
              <w:bottom w:val="single" w:color="000000" w:sz="6" w:space="0"/>
              <w:right w:val="single" w:color="000000" w:sz="6" w:space="0"/>
            </w:tcBorders>
            <w:vAlign w:val="center"/>
          </w:tcPr>
          <w:p w14:paraId="73D1C76F">
            <w:pPr>
              <w:tabs>
                <w:tab w:val="left" w:pos="9298"/>
              </w:tabs>
              <w:jc w:val="center"/>
              <w:rPr>
                <w:rFonts w:ascii="宋体" w:hAnsi="宋体" w:cs="宋体"/>
                <w:color w:val="auto"/>
                <w:kern w:val="1"/>
                <w:szCs w:val="21"/>
                <w:highlight w:val="none"/>
              </w:rPr>
            </w:pPr>
          </w:p>
        </w:tc>
        <w:tc>
          <w:tcPr>
            <w:tcW w:w="415" w:type="pct"/>
            <w:tcBorders>
              <w:top w:val="single" w:color="000000" w:sz="6" w:space="0"/>
              <w:left w:val="single" w:color="000000" w:sz="6" w:space="0"/>
              <w:bottom w:val="single" w:color="000000" w:sz="6" w:space="0"/>
              <w:right w:val="single" w:color="000000" w:sz="6" w:space="0"/>
            </w:tcBorders>
            <w:vAlign w:val="center"/>
          </w:tcPr>
          <w:p w14:paraId="49A6C12C">
            <w:pPr>
              <w:tabs>
                <w:tab w:val="left" w:pos="9298"/>
              </w:tabs>
              <w:jc w:val="center"/>
              <w:rPr>
                <w:rFonts w:ascii="宋体" w:hAnsi="宋体" w:cs="宋体"/>
                <w:color w:val="auto"/>
                <w:kern w:val="1"/>
                <w:szCs w:val="21"/>
                <w:highlight w:val="none"/>
              </w:rPr>
            </w:pPr>
          </w:p>
        </w:tc>
        <w:tc>
          <w:tcPr>
            <w:tcW w:w="415" w:type="pct"/>
            <w:tcBorders>
              <w:top w:val="single" w:color="000000" w:sz="6" w:space="0"/>
              <w:left w:val="single" w:color="000000" w:sz="6" w:space="0"/>
              <w:bottom w:val="single" w:color="000000" w:sz="6" w:space="0"/>
              <w:right w:val="single" w:color="000000" w:sz="6" w:space="0"/>
            </w:tcBorders>
            <w:vAlign w:val="center"/>
          </w:tcPr>
          <w:p w14:paraId="2655C9D9">
            <w:pPr>
              <w:tabs>
                <w:tab w:val="left" w:pos="9298"/>
              </w:tabs>
              <w:jc w:val="center"/>
              <w:rPr>
                <w:rFonts w:ascii="宋体" w:hAnsi="宋体" w:cs="宋体"/>
                <w:color w:val="auto"/>
                <w:kern w:val="1"/>
                <w:szCs w:val="21"/>
                <w:highlight w:val="none"/>
              </w:rPr>
            </w:pPr>
          </w:p>
        </w:tc>
        <w:tc>
          <w:tcPr>
            <w:tcW w:w="582" w:type="pct"/>
            <w:tcBorders>
              <w:top w:val="single" w:color="000000" w:sz="6" w:space="0"/>
              <w:left w:val="single" w:color="000000" w:sz="6" w:space="0"/>
              <w:bottom w:val="single" w:color="000000" w:sz="6" w:space="0"/>
              <w:right w:val="single" w:color="000000" w:sz="6" w:space="0"/>
            </w:tcBorders>
            <w:vAlign w:val="center"/>
          </w:tcPr>
          <w:p w14:paraId="44A7A472">
            <w:pPr>
              <w:tabs>
                <w:tab w:val="left" w:pos="9298"/>
              </w:tabs>
              <w:jc w:val="center"/>
              <w:rPr>
                <w:rFonts w:ascii="宋体" w:hAnsi="宋体" w:cs="宋体"/>
                <w:color w:val="auto"/>
                <w:kern w:val="1"/>
                <w:szCs w:val="21"/>
                <w:highlight w:val="none"/>
              </w:rPr>
            </w:pPr>
          </w:p>
        </w:tc>
        <w:tc>
          <w:tcPr>
            <w:tcW w:w="415" w:type="pct"/>
            <w:tcBorders>
              <w:top w:val="single" w:color="000000" w:sz="6" w:space="0"/>
              <w:left w:val="single" w:color="000000" w:sz="6" w:space="0"/>
              <w:bottom w:val="single" w:color="000000" w:sz="6" w:space="0"/>
              <w:right w:val="single" w:color="000000" w:sz="6" w:space="0"/>
            </w:tcBorders>
            <w:vAlign w:val="center"/>
          </w:tcPr>
          <w:p w14:paraId="2D9BB452">
            <w:pPr>
              <w:tabs>
                <w:tab w:val="left" w:pos="9298"/>
              </w:tabs>
              <w:jc w:val="center"/>
              <w:rPr>
                <w:rFonts w:ascii="宋体" w:hAnsi="宋体" w:cs="宋体"/>
                <w:color w:val="auto"/>
                <w:kern w:val="1"/>
                <w:szCs w:val="21"/>
                <w:highlight w:val="none"/>
              </w:rPr>
            </w:pPr>
          </w:p>
        </w:tc>
        <w:tc>
          <w:tcPr>
            <w:tcW w:w="714" w:type="pct"/>
            <w:tcBorders>
              <w:top w:val="single" w:color="000000" w:sz="6" w:space="0"/>
              <w:left w:val="single" w:color="000000" w:sz="6" w:space="0"/>
              <w:bottom w:val="single" w:color="000000" w:sz="6" w:space="0"/>
              <w:right w:val="single" w:color="000000" w:sz="6" w:space="0"/>
            </w:tcBorders>
            <w:vAlign w:val="center"/>
          </w:tcPr>
          <w:p w14:paraId="136C0645">
            <w:pPr>
              <w:tabs>
                <w:tab w:val="left" w:pos="9298"/>
              </w:tabs>
              <w:jc w:val="center"/>
              <w:rPr>
                <w:rFonts w:ascii="宋体" w:hAnsi="宋体" w:cs="宋体"/>
                <w:color w:val="auto"/>
                <w:kern w:val="1"/>
                <w:szCs w:val="21"/>
                <w:highlight w:val="none"/>
              </w:rPr>
            </w:pPr>
          </w:p>
        </w:tc>
        <w:tc>
          <w:tcPr>
            <w:tcW w:w="312" w:type="pct"/>
            <w:tcBorders>
              <w:top w:val="single" w:color="000000" w:sz="6" w:space="0"/>
              <w:left w:val="single" w:color="000000" w:sz="6" w:space="0"/>
              <w:bottom w:val="single" w:color="000000" w:sz="6" w:space="0"/>
              <w:right w:val="single" w:color="000000" w:sz="6" w:space="0"/>
            </w:tcBorders>
            <w:vAlign w:val="center"/>
          </w:tcPr>
          <w:p w14:paraId="390943B3">
            <w:pPr>
              <w:tabs>
                <w:tab w:val="left" w:pos="9298"/>
              </w:tabs>
              <w:jc w:val="center"/>
              <w:rPr>
                <w:rFonts w:ascii="宋体" w:hAnsi="宋体" w:cs="宋体"/>
                <w:color w:val="auto"/>
                <w:kern w:val="1"/>
                <w:szCs w:val="21"/>
                <w:highlight w:val="none"/>
              </w:rPr>
            </w:pPr>
          </w:p>
        </w:tc>
      </w:tr>
      <w:tr w14:paraId="6184172C">
        <w:tblPrEx>
          <w:tblCellMar>
            <w:top w:w="0" w:type="dxa"/>
            <w:left w:w="108" w:type="dxa"/>
            <w:bottom w:w="0" w:type="dxa"/>
            <w:right w:w="108" w:type="dxa"/>
          </w:tblCellMar>
        </w:tblPrEx>
        <w:trPr>
          <w:trHeight w:val="453" w:hRule="atLeast"/>
        </w:trPr>
        <w:tc>
          <w:tcPr>
            <w:tcW w:w="338" w:type="pct"/>
            <w:tcBorders>
              <w:top w:val="single" w:color="000000" w:sz="6" w:space="0"/>
              <w:left w:val="single" w:color="000000" w:sz="6" w:space="0"/>
              <w:bottom w:val="single" w:color="000000" w:sz="6" w:space="0"/>
              <w:right w:val="single" w:color="000000" w:sz="6" w:space="0"/>
            </w:tcBorders>
            <w:vAlign w:val="center"/>
          </w:tcPr>
          <w:p w14:paraId="3F6A8211">
            <w:pPr>
              <w:tabs>
                <w:tab w:val="left" w:pos="9298"/>
              </w:tabs>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2</w:t>
            </w:r>
          </w:p>
        </w:tc>
        <w:tc>
          <w:tcPr>
            <w:tcW w:w="313" w:type="pct"/>
            <w:tcBorders>
              <w:top w:val="single" w:color="000000" w:sz="6" w:space="0"/>
              <w:left w:val="single" w:color="000000" w:sz="6" w:space="0"/>
              <w:bottom w:val="single" w:color="000000" w:sz="6" w:space="0"/>
              <w:right w:val="single" w:color="000000" w:sz="6" w:space="0"/>
            </w:tcBorders>
            <w:vAlign w:val="center"/>
          </w:tcPr>
          <w:p w14:paraId="62DC32E1">
            <w:pPr>
              <w:tabs>
                <w:tab w:val="left" w:pos="9298"/>
              </w:tabs>
              <w:jc w:val="center"/>
              <w:rPr>
                <w:rFonts w:ascii="宋体" w:hAnsi="宋体" w:cs="宋体"/>
                <w:color w:val="auto"/>
                <w:kern w:val="1"/>
                <w:szCs w:val="21"/>
                <w:highlight w:val="none"/>
              </w:rPr>
            </w:pPr>
          </w:p>
        </w:tc>
        <w:tc>
          <w:tcPr>
            <w:tcW w:w="313" w:type="pct"/>
            <w:tcBorders>
              <w:top w:val="single" w:color="000000" w:sz="6" w:space="0"/>
              <w:left w:val="single" w:color="000000" w:sz="6" w:space="0"/>
              <w:bottom w:val="single" w:color="000000" w:sz="6" w:space="0"/>
              <w:right w:val="single" w:color="000000" w:sz="6" w:space="0"/>
            </w:tcBorders>
            <w:vAlign w:val="center"/>
          </w:tcPr>
          <w:p w14:paraId="55C77901">
            <w:pPr>
              <w:tabs>
                <w:tab w:val="left" w:pos="9298"/>
              </w:tabs>
              <w:jc w:val="center"/>
              <w:rPr>
                <w:rFonts w:ascii="宋体" w:hAnsi="宋体" w:cs="宋体"/>
                <w:color w:val="auto"/>
                <w:kern w:val="1"/>
                <w:szCs w:val="21"/>
                <w:highlight w:val="none"/>
              </w:rPr>
            </w:pPr>
          </w:p>
        </w:tc>
        <w:tc>
          <w:tcPr>
            <w:tcW w:w="312" w:type="pct"/>
            <w:tcBorders>
              <w:top w:val="single" w:color="000000" w:sz="6" w:space="0"/>
              <w:left w:val="single" w:color="000000" w:sz="6" w:space="0"/>
              <w:bottom w:val="single" w:color="000000" w:sz="6" w:space="0"/>
              <w:right w:val="single" w:color="000000" w:sz="6" w:space="0"/>
            </w:tcBorders>
            <w:vAlign w:val="center"/>
          </w:tcPr>
          <w:p w14:paraId="0C34E751">
            <w:pPr>
              <w:tabs>
                <w:tab w:val="left" w:pos="9298"/>
              </w:tabs>
              <w:jc w:val="center"/>
              <w:rPr>
                <w:rFonts w:ascii="宋体" w:hAnsi="宋体" w:cs="宋体"/>
                <w:color w:val="auto"/>
                <w:kern w:val="1"/>
                <w:szCs w:val="21"/>
                <w:highlight w:val="none"/>
              </w:rPr>
            </w:pPr>
          </w:p>
        </w:tc>
        <w:tc>
          <w:tcPr>
            <w:tcW w:w="418" w:type="pct"/>
            <w:tcBorders>
              <w:top w:val="single" w:color="000000" w:sz="6" w:space="0"/>
              <w:left w:val="single" w:color="000000" w:sz="6" w:space="0"/>
              <w:bottom w:val="single" w:color="000000" w:sz="6" w:space="0"/>
              <w:right w:val="single" w:color="000000" w:sz="6" w:space="0"/>
            </w:tcBorders>
            <w:vAlign w:val="center"/>
          </w:tcPr>
          <w:p w14:paraId="244406FA">
            <w:pPr>
              <w:tabs>
                <w:tab w:val="left" w:pos="9298"/>
              </w:tabs>
              <w:jc w:val="center"/>
              <w:rPr>
                <w:rFonts w:ascii="宋体" w:hAnsi="宋体" w:cs="宋体"/>
                <w:color w:val="auto"/>
                <w:kern w:val="1"/>
                <w:szCs w:val="21"/>
                <w:highlight w:val="none"/>
              </w:rPr>
            </w:pPr>
          </w:p>
        </w:tc>
        <w:tc>
          <w:tcPr>
            <w:tcW w:w="445" w:type="pct"/>
            <w:tcBorders>
              <w:top w:val="single" w:color="000000" w:sz="6" w:space="0"/>
              <w:left w:val="single" w:color="000000" w:sz="6" w:space="0"/>
              <w:bottom w:val="single" w:color="000000" w:sz="6" w:space="0"/>
              <w:right w:val="single" w:color="000000" w:sz="6" w:space="0"/>
            </w:tcBorders>
            <w:vAlign w:val="center"/>
          </w:tcPr>
          <w:p w14:paraId="4F024061">
            <w:pPr>
              <w:tabs>
                <w:tab w:val="left" w:pos="9298"/>
              </w:tabs>
              <w:jc w:val="center"/>
              <w:rPr>
                <w:rFonts w:ascii="宋体" w:hAnsi="宋体" w:cs="宋体"/>
                <w:color w:val="auto"/>
                <w:kern w:val="1"/>
                <w:szCs w:val="21"/>
                <w:highlight w:val="none"/>
              </w:rPr>
            </w:pPr>
          </w:p>
        </w:tc>
        <w:tc>
          <w:tcPr>
            <w:tcW w:w="415" w:type="pct"/>
            <w:tcBorders>
              <w:top w:val="single" w:color="000000" w:sz="6" w:space="0"/>
              <w:left w:val="single" w:color="000000" w:sz="6" w:space="0"/>
              <w:bottom w:val="single" w:color="000000" w:sz="6" w:space="0"/>
              <w:right w:val="single" w:color="000000" w:sz="6" w:space="0"/>
            </w:tcBorders>
            <w:vAlign w:val="center"/>
          </w:tcPr>
          <w:p w14:paraId="7597C43A">
            <w:pPr>
              <w:tabs>
                <w:tab w:val="left" w:pos="9298"/>
              </w:tabs>
              <w:jc w:val="center"/>
              <w:rPr>
                <w:rFonts w:ascii="宋体" w:hAnsi="宋体" w:cs="宋体"/>
                <w:color w:val="auto"/>
                <w:kern w:val="1"/>
                <w:szCs w:val="21"/>
                <w:highlight w:val="none"/>
              </w:rPr>
            </w:pPr>
          </w:p>
        </w:tc>
        <w:tc>
          <w:tcPr>
            <w:tcW w:w="415" w:type="pct"/>
            <w:tcBorders>
              <w:top w:val="single" w:color="000000" w:sz="6" w:space="0"/>
              <w:left w:val="single" w:color="000000" w:sz="6" w:space="0"/>
              <w:bottom w:val="single" w:color="000000" w:sz="6" w:space="0"/>
              <w:right w:val="single" w:color="000000" w:sz="6" w:space="0"/>
            </w:tcBorders>
            <w:vAlign w:val="center"/>
          </w:tcPr>
          <w:p w14:paraId="64F00DC5">
            <w:pPr>
              <w:tabs>
                <w:tab w:val="left" w:pos="9298"/>
              </w:tabs>
              <w:jc w:val="center"/>
              <w:rPr>
                <w:rFonts w:ascii="宋体" w:hAnsi="宋体" w:cs="宋体"/>
                <w:color w:val="auto"/>
                <w:kern w:val="1"/>
                <w:szCs w:val="21"/>
                <w:highlight w:val="none"/>
              </w:rPr>
            </w:pPr>
          </w:p>
        </w:tc>
        <w:tc>
          <w:tcPr>
            <w:tcW w:w="582" w:type="pct"/>
            <w:tcBorders>
              <w:top w:val="single" w:color="000000" w:sz="6" w:space="0"/>
              <w:left w:val="single" w:color="000000" w:sz="6" w:space="0"/>
              <w:bottom w:val="single" w:color="000000" w:sz="6" w:space="0"/>
              <w:right w:val="single" w:color="000000" w:sz="6" w:space="0"/>
            </w:tcBorders>
            <w:vAlign w:val="center"/>
          </w:tcPr>
          <w:p w14:paraId="4BC9131A">
            <w:pPr>
              <w:tabs>
                <w:tab w:val="left" w:pos="9298"/>
              </w:tabs>
              <w:jc w:val="center"/>
              <w:rPr>
                <w:rFonts w:ascii="宋体" w:hAnsi="宋体" w:cs="宋体"/>
                <w:color w:val="auto"/>
                <w:kern w:val="1"/>
                <w:szCs w:val="21"/>
                <w:highlight w:val="none"/>
              </w:rPr>
            </w:pPr>
          </w:p>
        </w:tc>
        <w:tc>
          <w:tcPr>
            <w:tcW w:w="415" w:type="pct"/>
            <w:tcBorders>
              <w:top w:val="single" w:color="000000" w:sz="6" w:space="0"/>
              <w:left w:val="single" w:color="000000" w:sz="6" w:space="0"/>
              <w:bottom w:val="single" w:color="000000" w:sz="6" w:space="0"/>
              <w:right w:val="single" w:color="000000" w:sz="6" w:space="0"/>
            </w:tcBorders>
            <w:vAlign w:val="center"/>
          </w:tcPr>
          <w:p w14:paraId="0690978B">
            <w:pPr>
              <w:tabs>
                <w:tab w:val="left" w:pos="9298"/>
              </w:tabs>
              <w:jc w:val="center"/>
              <w:rPr>
                <w:rFonts w:ascii="宋体" w:hAnsi="宋体" w:cs="宋体"/>
                <w:color w:val="auto"/>
                <w:kern w:val="1"/>
                <w:szCs w:val="21"/>
                <w:highlight w:val="none"/>
              </w:rPr>
            </w:pPr>
          </w:p>
        </w:tc>
        <w:tc>
          <w:tcPr>
            <w:tcW w:w="714" w:type="pct"/>
            <w:tcBorders>
              <w:top w:val="single" w:color="000000" w:sz="6" w:space="0"/>
              <w:left w:val="single" w:color="000000" w:sz="6" w:space="0"/>
              <w:bottom w:val="single" w:color="000000" w:sz="6" w:space="0"/>
              <w:right w:val="single" w:color="000000" w:sz="6" w:space="0"/>
            </w:tcBorders>
            <w:vAlign w:val="center"/>
          </w:tcPr>
          <w:p w14:paraId="7A553D67">
            <w:pPr>
              <w:tabs>
                <w:tab w:val="left" w:pos="9298"/>
              </w:tabs>
              <w:jc w:val="center"/>
              <w:rPr>
                <w:rFonts w:ascii="宋体" w:hAnsi="宋体" w:cs="宋体"/>
                <w:color w:val="auto"/>
                <w:kern w:val="1"/>
                <w:szCs w:val="21"/>
                <w:highlight w:val="none"/>
              </w:rPr>
            </w:pPr>
          </w:p>
        </w:tc>
        <w:tc>
          <w:tcPr>
            <w:tcW w:w="312" w:type="pct"/>
            <w:tcBorders>
              <w:top w:val="single" w:color="000000" w:sz="6" w:space="0"/>
              <w:left w:val="single" w:color="000000" w:sz="6" w:space="0"/>
              <w:bottom w:val="single" w:color="000000" w:sz="6" w:space="0"/>
              <w:right w:val="single" w:color="000000" w:sz="6" w:space="0"/>
            </w:tcBorders>
            <w:vAlign w:val="center"/>
          </w:tcPr>
          <w:p w14:paraId="32EF376D">
            <w:pPr>
              <w:tabs>
                <w:tab w:val="left" w:pos="9298"/>
              </w:tabs>
              <w:jc w:val="center"/>
              <w:rPr>
                <w:rFonts w:ascii="宋体" w:hAnsi="宋体" w:cs="宋体"/>
                <w:color w:val="auto"/>
                <w:kern w:val="1"/>
                <w:szCs w:val="21"/>
                <w:highlight w:val="none"/>
              </w:rPr>
            </w:pPr>
          </w:p>
        </w:tc>
      </w:tr>
      <w:tr w14:paraId="6FFF80D5">
        <w:tblPrEx>
          <w:tblCellMar>
            <w:top w:w="0" w:type="dxa"/>
            <w:left w:w="108" w:type="dxa"/>
            <w:bottom w:w="0" w:type="dxa"/>
            <w:right w:w="108" w:type="dxa"/>
          </w:tblCellMar>
        </w:tblPrEx>
        <w:trPr>
          <w:trHeight w:val="458" w:hRule="atLeast"/>
        </w:trPr>
        <w:tc>
          <w:tcPr>
            <w:tcW w:w="338" w:type="pct"/>
            <w:tcBorders>
              <w:top w:val="single" w:color="000000" w:sz="6" w:space="0"/>
              <w:left w:val="single" w:color="000000" w:sz="6" w:space="0"/>
              <w:bottom w:val="single" w:color="000000" w:sz="6" w:space="0"/>
              <w:right w:val="single" w:color="000000" w:sz="6" w:space="0"/>
            </w:tcBorders>
            <w:vAlign w:val="center"/>
          </w:tcPr>
          <w:p w14:paraId="3E16E533">
            <w:pPr>
              <w:tabs>
                <w:tab w:val="left" w:pos="9298"/>
              </w:tabs>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3</w:t>
            </w:r>
          </w:p>
        </w:tc>
        <w:tc>
          <w:tcPr>
            <w:tcW w:w="313" w:type="pct"/>
            <w:tcBorders>
              <w:top w:val="single" w:color="000000" w:sz="6" w:space="0"/>
              <w:left w:val="single" w:color="000000" w:sz="6" w:space="0"/>
              <w:bottom w:val="single" w:color="000000" w:sz="6" w:space="0"/>
              <w:right w:val="single" w:color="000000" w:sz="6" w:space="0"/>
            </w:tcBorders>
            <w:vAlign w:val="center"/>
          </w:tcPr>
          <w:p w14:paraId="3FFBF1AA">
            <w:pPr>
              <w:tabs>
                <w:tab w:val="left" w:pos="9298"/>
              </w:tabs>
              <w:jc w:val="center"/>
              <w:rPr>
                <w:rFonts w:ascii="宋体" w:hAnsi="宋体" w:cs="宋体"/>
                <w:color w:val="auto"/>
                <w:kern w:val="1"/>
                <w:szCs w:val="21"/>
                <w:highlight w:val="none"/>
              </w:rPr>
            </w:pPr>
          </w:p>
        </w:tc>
        <w:tc>
          <w:tcPr>
            <w:tcW w:w="313" w:type="pct"/>
            <w:tcBorders>
              <w:top w:val="single" w:color="000000" w:sz="6" w:space="0"/>
              <w:left w:val="single" w:color="000000" w:sz="6" w:space="0"/>
              <w:bottom w:val="single" w:color="000000" w:sz="6" w:space="0"/>
              <w:right w:val="single" w:color="000000" w:sz="6" w:space="0"/>
            </w:tcBorders>
            <w:vAlign w:val="center"/>
          </w:tcPr>
          <w:p w14:paraId="72EC4FD9">
            <w:pPr>
              <w:tabs>
                <w:tab w:val="left" w:pos="9298"/>
              </w:tabs>
              <w:jc w:val="center"/>
              <w:rPr>
                <w:rFonts w:ascii="宋体" w:hAnsi="宋体" w:cs="宋体"/>
                <w:color w:val="auto"/>
                <w:kern w:val="1"/>
                <w:szCs w:val="21"/>
                <w:highlight w:val="none"/>
              </w:rPr>
            </w:pPr>
          </w:p>
        </w:tc>
        <w:tc>
          <w:tcPr>
            <w:tcW w:w="312" w:type="pct"/>
            <w:tcBorders>
              <w:top w:val="single" w:color="000000" w:sz="6" w:space="0"/>
              <w:left w:val="single" w:color="000000" w:sz="6" w:space="0"/>
              <w:bottom w:val="single" w:color="000000" w:sz="6" w:space="0"/>
              <w:right w:val="single" w:color="000000" w:sz="6" w:space="0"/>
            </w:tcBorders>
            <w:vAlign w:val="center"/>
          </w:tcPr>
          <w:p w14:paraId="65595E8F">
            <w:pPr>
              <w:tabs>
                <w:tab w:val="left" w:pos="9298"/>
              </w:tabs>
              <w:jc w:val="center"/>
              <w:rPr>
                <w:rFonts w:ascii="宋体" w:hAnsi="宋体" w:cs="宋体"/>
                <w:color w:val="auto"/>
                <w:kern w:val="1"/>
                <w:szCs w:val="21"/>
                <w:highlight w:val="none"/>
              </w:rPr>
            </w:pPr>
          </w:p>
        </w:tc>
        <w:tc>
          <w:tcPr>
            <w:tcW w:w="418" w:type="pct"/>
            <w:tcBorders>
              <w:top w:val="single" w:color="000000" w:sz="6" w:space="0"/>
              <w:left w:val="single" w:color="000000" w:sz="6" w:space="0"/>
              <w:bottom w:val="single" w:color="000000" w:sz="6" w:space="0"/>
              <w:right w:val="single" w:color="000000" w:sz="6" w:space="0"/>
            </w:tcBorders>
            <w:vAlign w:val="center"/>
          </w:tcPr>
          <w:p w14:paraId="0BF8AD12">
            <w:pPr>
              <w:tabs>
                <w:tab w:val="left" w:pos="9298"/>
              </w:tabs>
              <w:jc w:val="center"/>
              <w:rPr>
                <w:rFonts w:ascii="宋体" w:hAnsi="宋体" w:cs="宋体"/>
                <w:color w:val="auto"/>
                <w:kern w:val="1"/>
                <w:szCs w:val="21"/>
                <w:highlight w:val="none"/>
              </w:rPr>
            </w:pPr>
          </w:p>
        </w:tc>
        <w:tc>
          <w:tcPr>
            <w:tcW w:w="445" w:type="pct"/>
            <w:tcBorders>
              <w:top w:val="single" w:color="000000" w:sz="6" w:space="0"/>
              <w:left w:val="single" w:color="000000" w:sz="6" w:space="0"/>
              <w:bottom w:val="single" w:color="000000" w:sz="6" w:space="0"/>
              <w:right w:val="single" w:color="000000" w:sz="6" w:space="0"/>
            </w:tcBorders>
            <w:vAlign w:val="center"/>
          </w:tcPr>
          <w:p w14:paraId="6F74D670">
            <w:pPr>
              <w:tabs>
                <w:tab w:val="left" w:pos="9298"/>
              </w:tabs>
              <w:jc w:val="center"/>
              <w:rPr>
                <w:rFonts w:ascii="宋体" w:hAnsi="宋体" w:cs="宋体"/>
                <w:color w:val="auto"/>
                <w:kern w:val="1"/>
                <w:szCs w:val="21"/>
                <w:highlight w:val="none"/>
              </w:rPr>
            </w:pPr>
          </w:p>
        </w:tc>
        <w:tc>
          <w:tcPr>
            <w:tcW w:w="415" w:type="pct"/>
            <w:tcBorders>
              <w:top w:val="single" w:color="000000" w:sz="6" w:space="0"/>
              <w:left w:val="single" w:color="000000" w:sz="6" w:space="0"/>
              <w:bottom w:val="single" w:color="000000" w:sz="6" w:space="0"/>
              <w:right w:val="single" w:color="000000" w:sz="6" w:space="0"/>
            </w:tcBorders>
            <w:vAlign w:val="center"/>
          </w:tcPr>
          <w:p w14:paraId="2808F373">
            <w:pPr>
              <w:tabs>
                <w:tab w:val="left" w:pos="9298"/>
              </w:tabs>
              <w:jc w:val="center"/>
              <w:rPr>
                <w:rFonts w:ascii="宋体" w:hAnsi="宋体" w:cs="宋体"/>
                <w:color w:val="auto"/>
                <w:kern w:val="1"/>
                <w:szCs w:val="21"/>
                <w:highlight w:val="none"/>
              </w:rPr>
            </w:pPr>
          </w:p>
        </w:tc>
        <w:tc>
          <w:tcPr>
            <w:tcW w:w="415" w:type="pct"/>
            <w:tcBorders>
              <w:top w:val="single" w:color="000000" w:sz="6" w:space="0"/>
              <w:left w:val="single" w:color="000000" w:sz="6" w:space="0"/>
              <w:bottom w:val="single" w:color="000000" w:sz="6" w:space="0"/>
              <w:right w:val="single" w:color="000000" w:sz="6" w:space="0"/>
            </w:tcBorders>
            <w:vAlign w:val="center"/>
          </w:tcPr>
          <w:p w14:paraId="33E34302">
            <w:pPr>
              <w:tabs>
                <w:tab w:val="left" w:pos="9298"/>
              </w:tabs>
              <w:jc w:val="center"/>
              <w:rPr>
                <w:rFonts w:ascii="宋体" w:hAnsi="宋体" w:cs="宋体"/>
                <w:color w:val="auto"/>
                <w:kern w:val="1"/>
                <w:szCs w:val="21"/>
                <w:highlight w:val="none"/>
              </w:rPr>
            </w:pPr>
          </w:p>
        </w:tc>
        <w:tc>
          <w:tcPr>
            <w:tcW w:w="582" w:type="pct"/>
            <w:tcBorders>
              <w:top w:val="single" w:color="000000" w:sz="6" w:space="0"/>
              <w:left w:val="single" w:color="000000" w:sz="6" w:space="0"/>
              <w:bottom w:val="single" w:color="000000" w:sz="6" w:space="0"/>
              <w:right w:val="single" w:color="000000" w:sz="6" w:space="0"/>
            </w:tcBorders>
            <w:vAlign w:val="center"/>
          </w:tcPr>
          <w:p w14:paraId="7CFC5E30">
            <w:pPr>
              <w:tabs>
                <w:tab w:val="left" w:pos="9298"/>
              </w:tabs>
              <w:jc w:val="center"/>
              <w:rPr>
                <w:rFonts w:ascii="宋体" w:hAnsi="宋体" w:cs="宋体"/>
                <w:color w:val="auto"/>
                <w:kern w:val="1"/>
                <w:szCs w:val="21"/>
                <w:highlight w:val="none"/>
              </w:rPr>
            </w:pPr>
          </w:p>
        </w:tc>
        <w:tc>
          <w:tcPr>
            <w:tcW w:w="415" w:type="pct"/>
            <w:tcBorders>
              <w:top w:val="single" w:color="000000" w:sz="6" w:space="0"/>
              <w:left w:val="single" w:color="000000" w:sz="6" w:space="0"/>
              <w:bottom w:val="single" w:color="000000" w:sz="6" w:space="0"/>
              <w:right w:val="single" w:color="000000" w:sz="6" w:space="0"/>
            </w:tcBorders>
            <w:vAlign w:val="center"/>
          </w:tcPr>
          <w:p w14:paraId="4F9A973D">
            <w:pPr>
              <w:tabs>
                <w:tab w:val="left" w:pos="9298"/>
              </w:tabs>
              <w:jc w:val="center"/>
              <w:rPr>
                <w:rFonts w:ascii="宋体" w:hAnsi="宋体" w:cs="宋体"/>
                <w:color w:val="auto"/>
                <w:kern w:val="1"/>
                <w:szCs w:val="21"/>
                <w:highlight w:val="none"/>
              </w:rPr>
            </w:pPr>
          </w:p>
        </w:tc>
        <w:tc>
          <w:tcPr>
            <w:tcW w:w="714" w:type="pct"/>
            <w:tcBorders>
              <w:top w:val="single" w:color="000000" w:sz="6" w:space="0"/>
              <w:left w:val="single" w:color="000000" w:sz="6" w:space="0"/>
              <w:bottom w:val="single" w:color="000000" w:sz="6" w:space="0"/>
              <w:right w:val="single" w:color="000000" w:sz="6" w:space="0"/>
            </w:tcBorders>
            <w:vAlign w:val="center"/>
          </w:tcPr>
          <w:p w14:paraId="67DFC511">
            <w:pPr>
              <w:tabs>
                <w:tab w:val="left" w:pos="9298"/>
              </w:tabs>
              <w:jc w:val="center"/>
              <w:rPr>
                <w:rFonts w:ascii="宋体" w:hAnsi="宋体" w:cs="宋体"/>
                <w:color w:val="auto"/>
                <w:kern w:val="1"/>
                <w:szCs w:val="21"/>
                <w:highlight w:val="none"/>
              </w:rPr>
            </w:pPr>
          </w:p>
        </w:tc>
        <w:tc>
          <w:tcPr>
            <w:tcW w:w="312" w:type="pct"/>
            <w:tcBorders>
              <w:top w:val="single" w:color="000000" w:sz="6" w:space="0"/>
              <w:left w:val="single" w:color="000000" w:sz="6" w:space="0"/>
              <w:bottom w:val="single" w:color="000000" w:sz="6" w:space="0"/>
              <w:right w:val="single" w:color="000000" w:sz="6" w:space="0"/>
            </w:tcBorders>
            <w:vAlign w:val="center"/>
          </w:tcPr>
          <w:p w14:paraId="4CE54AB4">
            <w:pPr>
              <w:tabs>
                <w:tab w:val="left" w:pos="9298"/>
              </w:tabs>
              <w:jc w:val="center"/>
              <w:rPr>
                <w:rFonts w:ascii="宋体" w:hAnsi="宋体" w:cs="宋体"/>
                <w:color w:val="auto"/>
                <w:kern w:val="1"/>
                <w:szCs w:val="21"/>
                <w:highlight w:val="none"/>
              </w:rPr>
            </w:pPr>
          </w:p>
        </w:tc>
      </w:tr>
      <w:tr w14:paraId="6596EF50">
        <w:tblPrEx>
          <w:tblCellMar>
            <w:top w:w="0" w:type="dxa"/>
            <w:left w:w="108" w:type="dxa"/>
            <w:bottom w:w="0" w:type="dxa"/>
            <w:right w:w="108" w:type="dxa"/>
          </w:tblCellMar>
        </w:tblPrEx>
        <w:trPr>
          <w:trHeight w:val="450" w:hRule="atLeast"/>
        </w:trPr>
        <w:tc>
          <w:tcPr>
            <w:tcW w:w="338" w:type="pct"/>
            <w:tcBorders>
              <w:top w:val="single" w:color="000000" w:sz="6" w:space="0"/>
              <w:left w:val="single" w:color="000000" w:sz="6" w:space="0"/>
              <w:bottom w:val="single" w:color="000000" w:sz="6" w:space="0"/>
              <w:right w:val="single" w:color="000000" w:sz="6" w:space="0"/>
            </w:tcBorders>
            <w:vAlign w:val="center"/>
          </w:tcPr>
          <w:p w14:paraId="2BA6DE61">
            <w:pPr>
              <w:tabs>
                <w:tab w:val="left" w:pos="9298"/>
              </w:tabs>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4</w:t>
            </w:r>
          </w:p>
        </w:tc>
        <w:tc>
          <w:tcPr>
            <w:tcW w:w="313" w:type="pct"/>
            <w:tcBorders>
              <w:top w:val="single" w:color="000000" w:sz="6" w:space="0"/>
              <w:left w:val="single" w:color="000000" w:sz="6" w:space="0"/>
              <w:bottom w:val="single" w:color="000000" w:sz="6" w:space="0"/>
              <w:right w:val="single" w:color="000000" w:sz="6" w:space="0"/>
            </w:tcBorders>
            <w:vAlign w:val="center"/>
          </w:tcPr>
          <w:p w14:paraId="399C238B">
            <w:pPr>
              <w:tabs>
                <w:tab w:val="left" w:pos="9298"/>
              </w:tabs>
              <w:jc w:val="center"/>
              <w:rPr>
                <w:rFonts w:ascii="宋体" w:hAnsi="宋体" w:cs="宋体"/>
                <w:color w:val="auto"/>
                <w:kern w:val="1"/>
                <w:szCs w:val="21"/>
                <w:highlight w:val="none"/>
              </w:rPr>
            </w:pPr>
          </w:p>
        </w:tc>
        <w:tc>
          <w:tcPr>
            <w:tcW w:w="313" w:type="pct"/>
            <w:tcBorders>
              <w:top w:val="single" w:color="000000" w:sz="6" w:space="0"/>
              <w:left w:val="single" w:color="000000" w:sz="6" w:space="0"/>
              <w:bottom w:val="single" w:color="000000" w:sz="6" w:space="0"/>
              <w:right w:val="single" w:color="000000" w:sz="6" w:space="0"/>
            </w:tcBorders>
            <w:vAlign w:val="center"/>
          </w:tcPr>
          <w:p w14:paraId="059F3934">
            <w:pPr>
              <w:tabs>
                <w:tab w:val="left" w:pos="9298"/>
              </w:tabs>
              <w:jc w:val="center"/>
              <w:rPr>
                <w:rFonts w:ascii="宋体" w:hAnsi="宋体" w:cs="宋体"/>
                <w:color w:val="auto"/>
                <w:kern w:val="1"/>
                <w:szCs w:val="21"/>
                <w:highlight w:val="none"/>
              </w:rPr>
            </w:pPr>
          </w:p>
        </w:tc>
        <w:tc>
          <w:tcPr>
            <w:tcW w:w="312" w:type="pct"/>
            <w:tcBorders>
              <w:top w:val="single" w:color="000000" w:sz="6" w:space="0"/>
              <w:left w:val="single" w:color="000000" w:sz="6" w:space="0"/>
              <w:bottom w:val="single" w:color="000000" w:sz="6" w:space="0"/>
              <w:right w:val="single" w:color="000000" w:sz="6" w:space="0"/>
            </w:tcBorders>
            <w:vAlign w:val="center"/>
          </w:tcPr>
          <w:p w14:paraId="0D6207A4">
            <w:pPr>
              <w:tabs>
                <w:tab w:val="left" w:pos="9298"/>
              </w:tabs>
              <w:jc w:val="center"/>
              <w:rPr>
                <w:rFonts w:ascii="宋体" w:hAnsi="宋体" w:cs="宋体"/>
                <w:color w:val="auto"/>
                <w:kern w:val="1"/>
                <w:szCs w:val="21"/>
                <w:highlight w:val="none"/>
              </w:rPr>
            </w:pPr>
          </w:p>
        </w:tc>
        <w:tc>
          <w:tcPr>
            <w:tcW w:w="418" w:type="pct"/>
            <w:tcBorders>
              <w:top w:val="single" w:color="000000" w:sz="6" w:space="0"/>
              <w:left w:val="single" w:color="000000" w:sz="6" w:space="0"/>
              <w:bottom w:val="single" w:color="000000" w:sz="6" w:space="0"/>
              <w:right w:val="single" w:color="000000" w:sz="6" w:space="0"/>
            </w:tcBorders>
            <w:vAlign w:val="center"/>
          </w:tcPr>
          <w:p w14:paraId="1A040E5A">
            <w:pPr>
              <w:tabs>
                <w:tab w:val="left" w:pos="9298"/>
              </w:tabs>
              <w:jc w:val="center"/>
              <w:rPr>
                <w:rFonts w:ascii="宋体" w:hAnsi="宋体" w:cs="宋体"/>
                <w:color w:val="auto"/>
                <w:kern w:val="1"/>
                <w:szCs w:val="21"/>
                <w:highlight w:val="none"/>
              </w:rPr>
            </w:pPr>
          </w:p>
        </w:tc>
        <w:tc>
          <w:tcPr>
            <w:tcW w:w="445" w:type="pct"/>
            <w:tcBorders>
              <w:top w:val="single" w:color="000000" w:sz="6" w:space="0"/>
              <w:left w:val="single" w:color="000000" w:sz="6" w:space="0"/>
              <w:bottom w:val="single" w:color="000000" w:sz="6" w:space="0"/>
              <w:right w:val="single" w:color="000000" w:sz="6" w:space="0"/>
            </w:tcBorders>
            <w:vAlign w:val="center"/>
          </w:tcPr>
          <w:p w14:paraId="0D452881">
            <w:pPr>
              <w:tabs>
                <w:tab w:val="left" w:pos="9298"/>
              </w:tabs>
              <w:jc w:val="center"/>
              <w:rPr>
                <w:rFonts w:ascii="宋体" w:hAnsi="宋体" w:cs="宋体"/>
                <w:color w:val="auto"/>
                <w:kern w:val="1"/>
                <w:szCs w:val="21"/>
                <w:highlight w:val="none"/>
              </w:rPr>
            </w:pPr>
          </w:p>
        </w:tc>
        <w:tc>
          <w:tcPr>
            <w:tcW w:w="415" w:type="pct"/>
            <w:tcBorders>
              <w:top w:val="single" w:color="000000" w:sz="6" w:space="0"/>
              <w:left w:val="single" w:color="000000" w:sz="6" w:space="0"/>
              <w:bottom w:val="single" w:color="000000" w:sz="6" w:space="0"/>
              <w:right w:val="single" w:color="000000" w:sz="6" w:space="0"/>
            </w:tcBorders>
            <w:vAlign w:val="center"/>
          </w:tcPr>
          <w:p w14:paraId="0EDEFBC4">
            <w:pPr>
              <w:tabs>
                <w:tab w:val="left" w:pos="9298"/>
              </w:tabs>
              <w:jc w:val="center"/>
              <w:rPr>
                <w:rFonts w:ascii="宋体" w:hAnsi="宋体" w:cs="宋体"/>
                <w:color w:val="auto"/>
                <w:kern w:val="1"/>
                <w:szCs w:val="21"/>
                <w:highlight w:val="none"/>
              </w:rPr>
            </w:pPr>
          </w:p>
        </w:tc>
        <w:tc>
          <w:tcPr>
            <w:tcW w:w="415" w:type="pct"/>
            <w:tcBorders>
              <w:top w:val="single" w:color="000000" w:sz="6" w:space="0"/>
              <w:left w:val="single" w:color="000000" w:sz="6" w:space="0"/>
              <w:bottom w:val="single" w:color="000000" w:sz="6" w:space="0"/>
              <w:right w:val="single" w:color="000000" w:sz="6" w:space="0"/>
            </w:tcBorders>
            <w:vAlign w:val="center"/>
          </w:tcPr>
          <w:p w14:paraId="7D125FB7">
            <w:pPr>
              <w:tabs>
                <w:tab w:val="left" w:pos="9298"/>
              </w:tabs>
              <w:jc w:val="center"/>
              <w:rPr>
                <w:rFonts w:ascii="宋体" w:hAnsi="宋体" w:cs="宋体"/>
                <w:color w:val="auto"/>
                <w:kern w:val="1"/>
                <w:szCs w:val="21"/>
                <w:highlight w:val="none"/>
              </w:rPr>
            </w:pPr>
          </w:p>
        </w:tc>
        <w:tc>
          <w:tcPr>
            <w:tcW w:w="582" w:type="pct"/>
            <w:tcBorders>
              <w:top w:val="single" w:color="000000" w:sz="6" w:space="0"/>
              <w:left w:val="single" w:color="000000" w:sz="6" w:space="0"/>
              <w:bottom w:val="single" w:color="000000" w:sz="6" w:space="0"/>
              <w:right w:val="single" w:color="000000" w:sz="6" w:space="0"/>
            </w:tcBorders>
            <w:vAlign w:val="center"/>
          </w:tcPr>
          <w:p w14:paraId="210865D7">
            <w:pPr>
              <w:tabs>
                <w:tab w:val="left" w:pos="9298"/>
              </w:tabs>
              <w:jc w:val="center"/>
              <w:rPr>
                <w:rFonts w:ascii="宋体" w:hAnsi="宋体" w:cs="宋体"/>
                <w:color w:val="auto"/>
                <w:kern w:val="1"/>
                <w:szCs w:val="21"/>
                <w:highlight w:val="none"/>
              </w:rPr>
            </w:pPr>
          </w:p>
        </w:tc>
        <w:tc>
          <w:tcPr>
            <w:tcW w:w="415" w:type="pct"/>
            <w:tcBorders>
              <w:top w:val="single" w:color="000000" w:sz="6" w:space="0"/>
              <w:left w:val="single" w:color="000000" w:sz="6" w:space="0"/>
              <w:bottom w:val="single" w:color="000000" w:sz="6" w:space="0"/>
              <w:right w:val="single" w:color="000000" w:sz="6" w:space="0"/>
            </w:tcBorders>
            <w:vAlign w:val="center"/>
          </w:tcPr>
          <w:p w14:paraId="4A448BDC">
            <w:pPr>
              <w:tabs>
                <w:tab w:val="left" w:pos="9298"/>
              </w:tabs>
              <w:jc w:val="center"/>
              <w:rPr>
                <w:rFonts w:ascii="宋体" w:hAnsi="宋体" w:cs="宋体"/>
                <w:color w:val="auto"/>
                <w:kern w:val="1"/>
                <w:szCs w:val="21"/>
                <w:highlight w:val="none"/>
              </w:rPr>
            </w:pPr>
          </w:p>
        </w:tc>
        <w:tc>
          <w:tcPr>
            <w:tcW w:w="714" w:type="pct"/>
            <w:tcBorders>
              <w:top w:val="single" w:color="000000" w:sz="6" w:space="0"/>
              <w:left w:val="single" w:color="000000" w:sz="6" w:space="0"/>
              <w:bottom w:val="single" w:color="000000" w:sz="6" w:space="0"/>
              <w:right w:val="single" w:color="000000" w:sz="6" w:space="0"/>
            </w:tcBorders>
            <w:vAlign w:val="center"/>
          </w:tcPr>
          <w:p w14:paraId="0050F834">
            <w:pPr>
              <w:tabs>
                <w:tab w:val="left" w:pos="9298"/>
              </w:tabs>
              <w:jc w:val="center"/>
              <w:rPr>
                <w:rFonts w:ascii="宋体" w:hAnsi="宋体" w:cs="宋体"/>
                <w:color w:val="auto"/>
                <w:kern w:val="1"/>
                <w:szCs w:val="21"/>
                <w:highlight w:val="none"/>
              </w:rPr>
            </w:pPr>
          </w:p>
        </w:tc>
        <w:tc>
          <w:tcPr>
            <w:tcW w:w="312" w:type="pct"/>
            <w:tcBorders>
              <w:top w:val="single" w:color="000000" w:sz="6" w:space="0"/>
              <w:left w:val="single" w:color="000000" w:sz="6" w:space="0"/>
              <w:bottom w:val="single" w:color="000000" w:sz="6" w:space="0"/>
              <w:right w:val="single" w:color="000000" w:sz="6" w:space="0"/>
            </w:tcBorders>
            <w:vAlign w:val="center"/>
          </w:tcPr>
          <w:p w14:paraId="01A602FB">
            <w:pPr>
              <w:tabs>
                <w:tab w:val="left" w:pos="9298"/>
              </w:tabs>
              <w:jc w:val="center"/>
              <w:rPr>
                <w:rFonts w:ascii="宋体" w:hAnsi="宋体" w:cs="宋体"/>
                <w:color w:val="auto"/>
                <w:kern w:val="1"/>
                <w:szCs w:val="21"/>
                <w:highlight w:val="none"/>
              </w:rPr>
            </w:pPr>
          </w:p>
        </w:tc>
      </w:tr>
      <w:tr w14:paraId="01E26431">
        <w:tblPrEx>
          <w:tblCellMar>
            <w:top w:w="0" w:type="dxa"/>
            <w:left w:w="108" w:type="dxa"/>
            <w:bottom w:w="0" w:type="dxa"/>
            <w:right w:w="108" w:type="dxa"/>
          </w:tblCellMar>
        </w:tblPrEx>
        <w:trPr>
          <w:trHeight w:val="442" w:hRule="atLeast"/>
        </w:trPr>
        <w:tc>
          <w:tcPr>
            <w:tcW w:w="338" w:type="pct"/>
            <w:tcBorders>
              <w:top w:val="single" w:color="000000" w:sz="6" w:space="0"/>
              <w:left w:val="single" w:color="000000" w:sz="6" w:space="0"/>
              <w:bottom w:val="single" w:color="000000" w:sz="6" w:space="0"/>
              <w:right w:val="single" w:color="000000" w:sz="6" w:space="0"/>
            </w:tcBorders>
            <w:vAlign w:val="center"/>
          </w:tcPr>
          <w:p w14:paraId="11E4EF1E">
            <w:pPr>
              <w:tabs>
                <w:tab w:val="left" w:pos="9298"/>
              </w:tabs>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5</w:t>
            </w:r>
          </w:p>
        </w:tc>
        <w:tc>
          <w:tcPr>
            <w:tcW w:w="313" w:type="pct"/>
            <w:tcBorders>
              <w:top w:val="single" w:color="000000" w:sz="6" w:space="0"/>
              <w:left w:val="single" w:color="000000" w:sz="6" w:space="0"/>
              <w:bottom w:val="single" w:color="000000" w:sz="6" w:space="0"/>
              <w:right w:val="single" w:color="000000" w:sz="6" w:space="0"/>
            </w:tcBorders>
            <w:vAlign w:val="center"/>
          </w:tcPr>
          <w:p w14:paraId="6F4943EC">
            <w:pPr>
              <w:tabs>
                <w:tab w:val="left" w:pos="9298"/>
              </w:tabs>
              <w:jc w:val="center"/>
              <w:rPr>
                <w:rFonts w:ascii="宋体" w:hAnsi="宋体" w:cs="宋体"/>
                <w:color w:val="auto"/>
                <w:kern w:val="1"/>
                <w:szCs w:val="21"/>
                <w:highlight w:val="none"/>
              </w:rPr>
            </w:pPr>
          </w:p>
        </w:tc>
        <w:tc>
          <w:tcPr>
            <w:tcW w:w="313" w:type="pct"/>
            <w:tcBorders>
              <w:top w:val="single" w:color="000000" w:sz="6" w:space="0"/>
              <w:left w:val="single" w:color="000000" w:sz="6" w:space="0"/>
              <w:bottom w:val="single" w:color="000000" w:sz="6" w:space="0"/>
              <w:right w:val="single" w:color="000000" w:sz="6" w:space="0"/>
            </w:tcBorders>
            <w:vAlign w:val="center"/>
          </w:tcPr>
          <w:p w14:paraId="72A573FD">
            <w:pPr>
              <w:tabs>
                <w:tab w:val="left" w:pos="9298"/>
              </w:tabs>
              <w:jc w:val="center"/>
              <w:rPr>
                <w:rFonts w:ascii="宋体" w:hAnsi="宋体" w:cs="宋体"/>
                <w:color w:val="auto"/>
                <w:kern w:val="1"/>
                <w:szCs w:val="21"/>
                <w:highlight w:val="none"/>
              </w:rPr>
            </w:pPr>
          </w:p>
        </w:tc>
        <w:tc>
          <w:tcPr>
            <w:tcW w:w="312" w:type="pct"/>
            <w:tcBorders>
              <w:top w:val="single" w:color="000000" w:sz="6" w:space="0"/>
              <w:left w:val="single" w:color="000000" w:sz="6" w:space="0"/>
              <w:bottom w:val="single" w:color="000000" w:sz="6" w:space="0"/>
              <w:right w:val="single" w:color="000000" w:sz="6" w:space="0"/>
            </w:tcBorders>
            <w:vAlign w:val="center"/>
          </w:tcPr>
          <w:p w14:paraId="66424652">
            <w:pPr>
              <w:tabs>
                <w:tab w:val="left" w:pos="9298"/>
              </w:tabs>
              <w:jc w:val="center"/>
              <w:rPr>
                <w:rFonts w:ascii="宋体" w:hAnsi="宋体" w:cs="宋体"/>
                <w:color w:val="auto"/>
                <w:kern w:val="1"/>
                <w:szCs w:val="21"/>
                <w:highlight w:val="none"/>
              </w:rPr>
            </w:pPr>
          </w:p>
        </w:tc>
        <w:tc>
          <w:tcPr>
            <w:tcW w:w="418" w:type="pct"/>
            <w:tcBorders>
              <w:top w:val="single" w:color="000000" w:sz="6" w:space="0"/>
              <w:left w:val="single" w:color="000000" w:sz="6" w:space="0"/>
              <w:bottom w:val="single" w:color="000000" w:sz="6" w:space="0"/>
              <w:right w:val="single" w:color="000000" w:sz="6" w:space="0"/>
            </w:tcBorders>
            <w:vAlign w:val="center"/>
          </w:tcPr>
          <w:p w14:paraId="64D8A61B">
            <w:pPr>
              <w:tabs>
                <w:tab w:val="left" w:pos="9298"/>
              </w:tabs>
              <w:jc w:val="center"/>
              <w:rPr>
                <w:rFonts w:ascii="宋体" w:hAnsi="宋体" w:cs="宋体"/>
                <w:color w:val="auto"/>
                <w:kern w:val="1"/>
                <w:szCs w:val="21"/>
                <w:highlight w:val="none"/>
              </w:rPr>
            </w:pPr>
          </w:p>
        </w:tc>
        <w:tc>
          <w:tcPr>
            <w:tcW w:w="445" w:type="pct"/>
            <w:tcBorders>
              <w:top w:val="single" w:color="000000" w:sz="6" w:space="0"/>
              <w:left w:val="single" w:color="000000" w:sz="6" w:space="0"/>
              <w:bottom w:val="single" w:color="000000" w:sz="6" w:space="0"/>
              <w:right w:val="single" w:color="000000" w:sz="6" w:space="0"/>
            </w:tcBorders>
            <w:vAlign w:val="center"/>
          </w:tcPr>
          <w:p w14:paraId="51F90846">
            <w:pPr>
              <w:tabs>
                <w:tab w:val="left" w:pos="9298"/>
              </w:tabs>
              <w:jc w:val="center"/>
              <w:rPr>
                <w:rFonts w:ascii="宋体" w:hAnsi="宋体" w:cs="宋体"/>
                <w:color w:val="auto"/>
                <w:kern w:val="1"/>
                <w:szCs w:val="21"/>
                <w:highlight w:val="none"/>
              </w:rPr>
            </w:pPr>
          </w:p>
        </w:tc>
        <w:tc>
          <w:tcPr>
            <w:tcW w:w="415" w:type="pct"/>
            <w:tcBorders>
              <w:top w:val="single" w:color="000000" w:sz="6" w:space="0"/>
              <w:left w:val="single" w:color="000000" w:sz="6" w:space="0"/>
              <w:bottom w:val="single" w:color="000000" w:sz="6" w:space="0"/>
              <w:right w:val="single" w:color="000000" w:sz="6" w:space="0"/>
            </w:tcBorders>
            <w:vAlign w:val="center"/>
          </w:tcPr>
          <w:p w14:paraId="4170CFDA">
            <w:pPr>
              <w:tabs>
                <w:tab w:val="left" w:pos="9298"/>
              </w:tabs>
              <w:jc w:val="center"/>
              <w:rPr>
                <w:rFonts w:ascii="宋体" w:hAnsi="宋体" w:cs="宋体"/>
                <w:color w:val="auto"/>
                <w:kern w:val="1"/>
                <w:szCs w:val="21"/>
                <w:highlight w:val="none"/>
              </w:rPr>
            </w:pPr>
          </w:p>
        </w:tc>
        <w:tc>
          <w:tcPr>
            <w:tcW w:w="415" w:type="pct"/>
            <w:tcBorders>
              <w:top w:val="single" w:color="000000" w:sz="6" w:space="0"/>
              <w:left w:val="single" w:color="000000" w:sz="6" w:space="0"/>
              <w:bottom w:val="single" w:color="000000" w:sz="6" w:space="0"/>
              <w:right w:val="single" w:color="000000" w:sz="6" w:space="0"/>
            </w:tcBorders>
            <w:vAlign w:val="center"/>
          </w:tcPr>
          <w:p w14:paraId="0441FC31">
            <w:pPr>
              <w:tabs>
                <w:tab w:val="left" w:pos="9298"/>
              </w:tabs>
              <w:jc w:val="center"/>
              <w:rPr>
                <w:rFonts w:ascii="宋体" w:hAnsi="宋体" w:cs="宋体"/>
                <w:color w:val="auto"/>
                <w:kern w:val="1"/>
                <w:szCs w:val="21"/>
                <w:highlight w:val="none"/>
              </w:rPr>
            </w:pPr>
          </w:p>
        </w:tc>
        <w:tc>
          <w:tcPr>
            <w:tcW w:w="582" w:type="pct"/>
            <w:tcBorders>
              <w:top w:val="single" w:color="000000" w:sz="6" w:space="0"/>
              <w:left w:val="single" w:color="000000" w:sz="6" w:space="0"/>
              <w:bottom w:val="single" w:color="000000" w:sz="6" w:space="0"/>
              <w:right w:val="single" w:color="000000" w:sz="6" w:space="0"/>
            </w:tcBorders>
            <w:vAlign w:val="center"/>
          </w:tcPr>
          <w:p w14:paraId="20571551">
            <w:pPr>
              <w:tabs>
                <w:tab w:val="left" w:pos="9298"/>
              </w:tabs>
              <w:jc w:val="center"/>
              <w:rPr>
                <w:rFonts w:ascii="宋体" w:hAnsi="宋体" w:cs="宋体"/>
                <w:color w:val="auto"/>
                <w:kern w:val="1"/>
                <w:szCs w:val="21"/>
                <w:highlight w:val="none"/>
              </w:rPr>
            </w:pPr>
          </w:p>
        </w:tc>
        <w:tc>
          <w:tcPr>
            <w:tcW w:w="415" w:type="pct"/>
            <w:tcBorders>
              <w:top w:val="single" w:color="000000" w:sz="6" w:space="0"/>
              <w:left w:val="single" w:color="000000" w:sz="6" w:space="0"/>
              <w:bottom w:val="single" w:color="000000" w:sz="6" w:space="0"/>
              <w:right w:val="single" w:color="000000" w:sz="6" w:space="0"/>
            </w:tcBorders>
            <w:vAlign w:val="center"/>
          </w:tcPr>
          <w:p w14:paraId="7139C2E6">
            <w:pPr>
              <w:tabs>
                <w:tab w:val="left" w:pos="9298"/>
              </w:tabs>
              <w:jc w:val="center"/>
              <w:rPr>
                <w:rFonts w:ascii="宋体" w:hAnsi="宋体" w:cs="宋体"/>
                <w:color w:val="auto"/>
                <w:kern w:val="1"/>
                <w:szCs w:val="21"/>
                <w:highlight w:val="none"/>
              </w:rPr>
            </w:pPr>
          </w:p>
        </w:tc>
        <w:tc>
          <w:tcPr>
            <w:tcW w:w="714" w:type="pct"/>
            <w:tcBorders>
              <w:top w:val="single" w:color="000000" w:sz="6" w:space="0"/>
              <w:left w:val="single" w:color="000000" w:sz="6" w:space="0"/>
              <w:bottom w:val="single" w:color="000000" w:sz="6" w:space="0"/>
              <w:right w:val="single" w:color="000000" w:sz="6" w:space="0"/>
            </w:tcBorders>
            <w:vAlign w:val="center"/>
          </w:tcPr>
          <w:p w14:paraId="726B129D">
            <w:pPr>
              <w:tabs>
                <w:tab w:val="left" w:pos="9298"/>
              </w:tabs>
              <w:jc w:val="center"/>
              <w:rPr>
                <w:rFonts w:ascii="宋体" w:hAnsi="宋体" w:cs="宋体"/>
                <w:color w:val="auto"/>
                <w:kern w:val="1"/>
                <w:szCs w:val="21"/>
                <w:highlight w:val="none"/>
              </w:rPr>
            </w:pPr>
          </w:p>
        </w:tc>
        <w:tc>
          <w:tcPr>
            <w:tcW w:w="312" w:type="pct"/>
            <w:tcBorders>
              <w:top w:val="single" w:color="000000" w:sz="6" w:space="0"/>
              <w:left w:val="single" w:color="000000" w:sz="6" w:space="0"/>
              <w:bottom w:val="single" w:color="000000" w:sz="6" w:space="0"/>
              <w:right w:val="single" w:color="000000" w:sz="6" w:space="0"/>
            </w:tcBorders>
            <w:vAlign w:val="center"/>
          </w:tcPr>
          <w:p w14:paraId="6C8AC81F">
            <w:pPr>
              <w:tabs>
                <w:tab w:val="left" w:pos="9298"/>
              </w:tabs>
              <w:jc w:val="center"/>
              <w:rPr>
                <w:rFonts w:ascii="宋体" w:hAnsi="宋体" w:cs="宋体"/>
                <w:color w:val="auto"/>
                <w:kern w:val="1"/>
                <w:szCs w:val="21"/>
                <w:highlight w:val="none"/>
              </w:rPr>
            </w:pPr>
          </w:p>
        </w:tc>
      </w:tr>
      <w:tr w14:paraId="6D43AE8A">
        <w:tblPrEx>
          <w:tblCellMar>
            <w:top w:w="0" w:type="dxa"/>
            <w:left w:w="108" w:type="dxa"/>
            <w:bottom w:w="0" w:type="dxa"/>
            <w:right w:w="108" w:type="dxa"/>
          </w:tblCellMar>
        </w:tblPrEx>
        <w:trPr>
          <w:trHeight w:val="462" w:hRule="atLeast"/>
        </w:trPr>
        <w:tc>
          <w:tcPr>
            <w:tcW w:w="338" w:type="pct"/>
            <w:tcBorders>
              <w:top w:val="single" w:color="000000" w:sz="6" w:space="0"/>
              <w:left w:val="single" w:color="000000" w:sz="6" w:space="0"/>
              <w:bottom w:val="single" w:color="000000" w:sz="6" w:space="0"/>
              <w:right w:val="single" w:color="000000" w:sz="6" w:space="0"/>
            </w:tcBorders>
            <w:vAlign w:val="center"/>
          </w:tcPr>
          <w:p w14:paraId="18615503">
            <w:pPr>
              <w:tabs>
                <w:tab w:val="left" w:pos="9298"/>
              </w:tabs>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6</w:t>
            </w:r>
          </w:p>
        </w:tc>
        <w:tc>
          <w:tcPr>
            <w:tcW w:w="313" w:type="pct"/>
            <w:tcBorders>
              <w:top w:val="single" w:color="000000" w:sz="6" w:space="0"/>
              <w:left w:val="single" w:color="000000" w:sz="6" w:space="0"/>
              <w:bottom w:val="single" w:color="000000" w:sz="6" w:space="0"/>
              <w:right w:val="single" w:color="000000" w:sz="6" w:space="0"/>
            </w:tcBorders>
            <w:vAlign w:val="center"/>
          </w:tcPr>
          <w:p w14:paraId="56DACD21">
            <w:pPr>
              <w:tabs>
                <w:tab w:val="left" w:pos="9298"/>
              </w:tabs>
              <w:jc w:val="center"/>
              <w:rPr>
                <w:rFonts w:ascii="宋体" w:hAnsi="宋体" w:cs="宋体"/>
                <w:color w:val="auto"/>
                <w:kern w:val="1"/>
                <w:szCs w:val="21"/>
                <w:highlight w:val="none"/>
              </w:rPr>
            </w:pPr>
          </w:p>
        </w:tc>
        <w:tc>
          <w:tcPr>
            <w:tcW w:w="313" w:type="pct"/>
            <w:tcBorders>
              <w:top w:val="single" w:color="000000" w:sz="6" w:space="0"/>
              <w:left w:val="single" w:color="000000" w:sz="6" w:space="0"/>
              <w:bottom w:val="single" w:color="000000" w:sz="6" w:space="0"/>
              <w:right w:val="single" w:color="000000" w:sz="6" w:space="0"/>
            </w:tcBorders>
            <w:vAlign w:val="center"/>
          </w:tcPr>
          <w:p w14:paraId="27471CE1">
            <w:pPr>
              <w:tabs>
                <w:tab w:val="left" w:pos="9298"/>
              </w:tabs>
              <w:jc w:val="center"/>
              <w:rPr>
                <w:rFonts w:ascii="宋体" w:hAnsi="宋体" w:cs="宋体"/>
                <w:color w:val="auto"/>
                <w:kern w:val="1"/>
                <w:szCs w:val="21"/>
                <w:highlight w:val="none"/>
              </w:rPr>
            </w:pPr>
          </w:p>
        </w:tc>
        <w:tc>
          <w:tcPr>
            <w:tcW w:w="312" w:type="pct"/>
            <w:tcBorders>
              <w:top w:val="single" w:color="000000" w:sz="6" w:space="0"/>
              <w:left w:val="single" w:color="000000" w:sz="6" w:space="0"/>
              <w:bottom w:val="single" w:color="000000" w:sz="6" w:space="0"/>
              <w:right w:val="single" w:color="000000" w:sz="6" w:space="0"/>
            </w:tcBorders>
            <w:vAlign w:val="center"/>
          </w:tcPr>
          <w:p w14:paraId="6CE139E1">
            <w:pPr>
              <w:tabs>
                <w:tab w:val="left" w:pos="9298"/>
              </w:tabs>
              <w:jc w:val="center"/>
              <w:rPr>
                <w:rFonts w:ascii="宋体" w:hAnsi="宋体" w:cs="宋体"/>
                <w:color w:val="auto"/>
                <w:kern w:val="1"/>
                <w:szCs w:val="21"/>
                <w:highlight w:val="none"/>
              </w:rPr>
            </w:pPr>
          </w:p>
        </w:tc>
        <w:tc>
          <w:tcPr>
            <w:tcW w:w="418" w:type="pct"/>
            <w:tcBorders>
              <w:top w:val="single" w:color="000000" w:sz="6" w:space="0"/>
              <w:left w:val="single" w:color="000000" w:sz="6" w:space="0"/>
              <w:bottom w:val="single" w:color="000000" w:sz="6" w:space="0"/>
              <w:right w:val="single" w:color="000000" w:sz="6" w:space="0"/>
            </w:tcBorders>
            <w:vAlign w:val="center"/>
          </w:tcPr>
          <w:p w14:paraId="752CBC56">
            <w:pPr>
              <w:tabs>
                <w:tab w:val="left" w:pos="9298"/>
              </w:tabs>
              <w:jc w:val="center"/>
              <w:rPr>
                <w:rFonts w:ascii="宋体" w:hAnsi="宋体" w:cs="宋体"/>
                <w:color w:val="auto"/>
                <w:kern w:val="1"/>
                <w:szCs w:val="21"/>
                <w:highlight w:val="none"/>
              </w:rPr>
            </w:pPr>
          </w:p>
        </w:tc>
        <w:tc>
          <w:tcPr>
            <w:tcW w:w="445" w:type="pct"/>
            <w:tcBorders>
              <w:top w:val="single" w:color="000000" w:sz="6" w:space="0"/>
              <w:left w:val="single" w:color="000000" w:sz="6" w:space="0"/>
              <w:bottom w:val="single" w:color="000000" w:sz="6" w:space="0"/>
              <w:right w:val="single" w:color="000000" w:sz="6" w:space="0"/>
            </w:tcBorders>
            <w:vAlign w:val="center"/>
          </w:tcPr>
          <w:p w14:paraId="7CC306FB">
            <w:pPr>
              <w:tabs>
                <w:tab w:val="left" w:pos="9298"/>
              </w:tabs>
              <w:jc w:val="center"/>
              <w:rPr>
                <w:rFonts w:ascii="宋体" w:hAnsi="宋体" w:cs="宋体"/>
                <w:color w:val="auto"/>
                <w:kern w:val="1"/>
                <w:szCs w:val="21"/>
                <w:highlight w:val="none"/>
              </w:rPr>
            </w:pPr>
          </w:p>
        </w:tc>
        <w:tc>
          <w:tcPr>
            <w:tcW w:w="415" w:type="pct"/>
            <w:tcBorders>
              <w:top w:val="single" w:color="000000" w:sz="6" w:space="0"/>
              <w:left w:val="single" w:color="000000" w:sz="6" w:space="0"/>
              <w:bottom w:val="single" w:color="000000" w:sz="6" w:space="0"/>
              <w:right w:val="single" w:color="000000" w:sz="6" w:space="0"/>
            </w:tcBorders>
            <w:vAlign w:val="center"/>
          </w:tcPr>
          <w:p w14:paraId="34B44E18">
            <w:pPr>
              <w:tabs>
                <w:tab w:val="left" w:pos="9298"/>
              </w:tabs>
              <w:jc w:val="center"/>
              <w:rPr>
                <w:rFonts w:ascii="宋体" w:hAnsi="宋体" w:cs="宋体"/>
                <w:color w:val="auto"/>
                <w:kern w:val="1"/>
                <w:szCs w:val="21"/>
                <w:highlight w:val="none"/>
              </w:rPr>
            </w:pPr>
          </w:p>
        </w:tc>
        <w:tc>
          <w:tcPr>
            <w:tcW w:w="415" w:type="pct"/>
            <w:tcBorders>
              <w:top w:val="single" w:color="000000" w:sz="6" w:space="0"/>
              <w:left w:val="single" w:color="000000" w:sz="6" w:space="0"/>
              <w:bottom w:val="single" w:color="000000" w:sz="6" w:space="0"/>
              <w:right w:val="single" w:color="000000" w:sz="6" w:space="0"/>
            </w:tcBorders>
            <w:vAlign w:val="center"/>
          </w:tcPr>
          <w:p w14:paraId="33E18953">
            <w:pPr>
              <w:tabs>
                <w:tab w:val="left" w:pos="9298"/>
              </w:tabs>
              <w:jc w:val="center"/>
              <w:rPr>
                <w:rFonts w:ascii="宋体" w:hAnsi="宋体" w:cs="宋体"/>
                <w:color w:val="auto"/>
                <w:kern w:val="1"/>
                <w:szCs w:val="21"/>
                <w:highlight w:val="none"/>
              </w:rPr>
            </w:pPr>
          </w:p>
        </w:tc>
        <w:tc>
          <w:tcPr>
            <w:tcW w:w="582" w:type="pct"/>
            <w:tcBorders>
              <w:top w:val="single" w:color="000000" w:sz="6" w:space="0"/>
              <w:left w:val="single" w:color="000000" w:sz="6" w:space="0"/>
              <w:bottom w:val="single" w:color="000000" w:sz="6" w:space="0"/>
              <w:right w:val="single" w:color="000000" w:sz="6" w:space="0"/>
            </w:tcBorders>
            <w:vAlign w:val="center"/>
          </w:tcPr>
          <w:p w14:paraId="0839B87C">
            <w:pPr>
              <w:tabs>
                <w:tab w:val="left" w:pos="9298"/>
              </w:tabs>
              <w:jc w:val="center"/>
              <w:rPr>
                <w:rFonts w:ascii="宋体" w:hAnsi="宋体" w:cs="宋体"/>
                <w:color w:val="auto"/>
                <w:kern w:val="1"/>
                <w:szCs w:val="21"/>
                <w:highlight w:val="none"/>
              </w:rPr>
            </w:pPr>
          </w:p>
        </w:tc>
        <w:tc>
          <w:tcPr>
            <w:tcW w:w="415" w:type="pct"/>
            <w:tcBorders>
              <w:top w:val="single" w:color="000000" w:sz="6" w:space="0"/>
              <w:left w:val="single" w:color="000000" w:sz="6" w:space="0"/>
              <w:bottom w:val="single" w:color="000000" w:sz="6" w:space="0"/>
              <w:right w:val="single" w:color="000000" w:sz="6" w:space="0"/>
            </w:tcBorders>
            <w:vAlign w:val="center"/>
          </w:tcPr>
          <w:p w14:paraId="2E158AF3">
            <w:pPr>
              <w:tabs>
                <w:tab w:val="left" w:pos="9298"/>
              </w:tabs>
              <w:jc w:val="center"/>
              <w:rPr>
                <w:rFonts w:ascii="宋体" w:hAnsi="宋体" w:cs="宋体"/>
                <w:color w:val="auto"/>
                <w:kern w:val="1"/>
                <w:szCs w:val="21"/>
                <w:highlight w:val="none"/>
              </w:rPr>
            </w:pPr>
          </w:p>
        </w:tc>
        <w:tc>
          <w:tcPr>
            <w:tcW w:w="714" w:type="pct"/>
            <w:tcBorders>
              <w:top w:val="single" w:color="000000" w:sz="6" w:space="0"/>
              <w:left w:val="single" w:color="000000" w:sz="6" w:space="0"/>
              <w:bottom w:val="single" w:color="000000" w:sz="6" w:space="0"/>
              <w:right w:val="single" w:color="000000" w:sz="6" w:space="0"/>
            </w:tcBorders>
            <w:vAlign w:val="center"/>
          </w:tcPr>
          <w:p w14:paraId="0F21C0C3">
            <w:pPr>
              <w:tabs>
                <w:tab w:val="left" w:pos="9298"/>
              </w:tabs>
              <w:jc w:val="center"/>
              <w:rPr>
                <w:rFonts w:ascii="宋体" w:hAnsi="宋体" w:cs="宋体"/>
                <w:color w:val="auto"/>
                <w:kern w:val="1"/>
                <w:szCs w:val="21"/>
                <w:highlight w:val="none"/>
              </w:rPr>
            </w:pPr>
          </w:p>
        </w:tc>
        <w:tc>
          <w:tcPr>
            <w:tcW w:w="312" w:type="pct"/>
            <w:tcBorders>
              <w:top w:val="single" w:color="000000" w:sz="6" w:space="0"/>
              <w:left w:val="single" w:color="000000" w:sz="6" w:space="0"/>
              <w:bottom w:val="single" w:color="000000" w:sz="6" w:space="0"/>
              <w:right w:val="single" w:color="000000" w:sz="6" w:space="0"/>
            </w:tcBorders>
            <w:vAlign w:val="center"/>
          </w:tcPr>
          <w:p w14:paraId="23B205AD">
            <w:pPr>
              <w:tabs>
                <w:tab w:val="left" w:pos="9298"/>
              </w:tabs>
              <w:jc w:val="center"/>
              <w:rPr>
                <w:rFonts w:ascii="宋体" w:hAnsi="宋体" w:cs="宋体"/>
                <w:color w:val="auto"/>
                <w:kern w:val="1"/>
                <w:szCs w:val="21"/>
                <w:highlight w:val="none"/>
              </w:rPr>
            </w:pPr>
          </w:p>
        </w:tc>
      </w:tr>
      <w:tr w14:paraId="5C91E5B2">
        <w:tblPrEx>
          <w:tblCellMar>
            <w:top w:w="0" w:type="dxa"/>
            <w:left w:w="108" w:type="dxa"/>
            <w:bottom w:w="0" w:type="dxa"/>
            <w:right w:w="108" w:type="dxa"/>
          </w:tblCellMar>
        </w:tblPrEx>
        <w:trPr>
          <w:trHeight w:val="454" w:hRule="atLeast"/>
        </w:trPr>
        <w:tc>
          <w:tcPr>
            <w:tcW w:w="338" w:type="pct"/>
            <w:tcBorders>
              <w:top w:val="single" w:color="000000" w:sz="6" w:space="0"/>
              <w:left w:val="single" w:color="000000" w:sz="6" w:space="0"/>
              <w:bottom w:val="single" w:color="000000" w:sz="6" w:space="0"/>
              <w:right w:val="single" w:color="000000" w:sz="6" w:space="0"/>
            </w:tcBorders>
            <w:vAlign w:val="center"/>
          </w:tcPr>
          <w:p w14:paraId="23AE5066">
            <w:pPr>
              <w:tabs>
                <w:tab w:val="left" w:pos="9298"/>
              </w:tabs>
              <w:jc w:val="center"/>
              <w:rPr>
                <w:rFonts w:ascii="宋体" w:hAnsi="宋体" w:cs="宋体"/>
                <w:color w:val="auto"/>
                <w:kern w:val="1"/>
                <w:szCs w:val="21"/>
                <w:highlight w:val="none"/>
              </w:rPr>
            </w:pPr>
            <w:r>
              <w:rPr>
                <w:rFonts w:hint="eastAsia" w:ascii="宋体" w:hAnsi="宋体" w:cs="宋体"/>
                <w:color w:val="auto"/>
                <w:kern w:val="1"/>
                <w:szCs w:val="21"/>
                <w:highlight w:val="none"/>
              </w:rPr>
              <w:t>...</w:t>
            </w:r>
          </w:p>
        </w:tc>
        <w:tc>
          <w:tcPr>
            <w:tcW w:w="313" w:type="pct"/>
            <w:tcBorders>
              <w:top w:val="single" w:color="000000" w:sz="6" w:space="0"/>
              <w:left w:val="single" w:color="000000" w:sz="6" w:space="0"/>
              <w:bottom w:val="single" w:color="000000" w:sz="6" w:space="0"/>
              <w:right w:val="single" w:color="000000" w:sz="6" w:space="0"/>
            </w:tcBorders>
            <w:vAlign w:val="center"/>
          </w:tcPr>
          <w:p w14:paraId="2E80938C">
            <w:pPr>
              <w:tabs>
                <w:tab w:val="left" w:pos="9298"/>
              </w:tabs>
              <w:jc w:val="center"/>
              <w:rPr>
                <w:rFonts w:ascii="宋体" w:hAnsi="宋体" w:cs="宋体"/>
                <w:color w:val="auto"/>
                <w:kern w:val="1"/>
                <w:szCs w:val="21"/>
                <w:highlight w:val="none"/>
              </w:rPr>
            </w:pPr>
          </w:p>
        </w:tc>
        <w:tc>
          <w:tcPr>
            <w:tcW w:w="313" w:type="pct"/>
            <w:tcBorders>
              <w:top w:val="single" w:color="000000" w:sz="6" w:space="0"/>
              <w:left w:val="single" w:color="000000" w:sz="6" w:space="0"/>
              <w:bottom w:val="single" w:color="000000" w:sz="6" w:space="0"/>
              <w:right w:val="single" w:color="000000" w:sz="6" w:space="0"/>
            </w:tcBorders>
            <w:vAlign w:val="center"/>
          </w:tcPr>
          <w:p w14:paraId="2DF85DD8">
            <w:pPr>
              <w:tabs>
                <w:tab w:val="left" w:pos="9298"/>
              </w:tabs>
              <w:jc w:val="center"/>
              <w:rPr>
                <w:rFonts w:ascii="宋体" w:hAnsi="宋体" w:cs="宋体"/>
                <w:color w:val="auto"/>
                <w:kern w:val="1"/>
                <w:szCs w:val="21"/>
                <w:highlight w:val="none"/>
              </w:rPr>
            </w:pPr>
          </w:p>
        </w:tc>
        <w:tc>
          <w:tcPr>
            <w:tcW w:w="312" w:type="pct"/>
            <w:tcBorders>
              <w:top w:val="single" w:color="000000" w:sz="6" w:space="0"/>
              <w:left w:val="single" w:color="000000" w:sz="6" w:space="0"/>
              <w:bottom w:val="single" w:color="000000" w:sz="6" w:space="0"/>
              <w:right w:val="single" w:color="000000" w:sz="6" w:space="0"/>
            </w:tcBorders>
            <w:vAlign w:val="center"/>
          </w:tcPr>
          <w:p w14:paraId="76E10DF6">
            <w:pPr>
              <w:tabs>
                <w:tab w:val="left" w:pos="9298"/>
              </w:tabs>
              <w:jc w:val="center"/>
              <w:rPr>
                <w:rFonts w:ascii="宋体" w:hAnsi="宋体" w:cs="宋体"/>
                <w:color w:val="auto"/>
                <w:kern w:val="1"/>
                <w:szCs w:val="21"/>
                <w:highlight w:val="none"/>
              </w:rPr>
            </w:pPr>
          </w:p>
        </w:tc>
        <w:tc>
          <w:tcPr>
            <w:tcW w:w="418" w:type="pct"/>
            <w:tcBorders>
              <w:top w:val="single" w:color="000000" w:sz="6" w:space="0"/>
              <w:left w:val="single" w:color="000000" w:sz="6" w:space="0"/>
              <w:bottom w:val="single" w:color="000000" w:sz="6" w:space="0"/>
              <w:right w:val="single" w:color="000000" w:sz="6" w:space="0"/>
            </w:tcBorders>
            <w:vAlign w:val="center"/>
          </w:tcPr>
          <w:p w14:paraId="0DA693C1">
            <w:pPr>
              <w:tabs>
                <w:tab w:val="left" w:pos="9298"/>
              </w:tabs>
              <w:jc w:val="center"/>
              <w:rPr>
                <w:rFonts w:ascii="宋体" w:hAnsi="宋体" w:cs="宋体"/>
                <w:color w:val="auto"/>
                <w:kern w:val="1"/>
                <w:szCs w:val="21"/>
                <w:highlight w:val="none"/>
              </w:rPr>
            </w:pPr>
          </w:p>
        </w:tc>
        <w:tc>
          <w:tcPr>
            <w:tcW w:w="445" w:type="pct"/>
            <w:tcBorders>
              <w:top w:val="single" w:color="000000" w:sz="6" w:space="0"/>
              <w:left w:val="single" w:color="000000" w:sz="6" w:space="0"/>
              <w:bottom w:val="single" w:color="000000" w:sz="6" w:space="0"/>
              <w:right w:val="single" w:color="000000" w:sz="6" w:space="0"/>
            </w:tcBorders>
            <w:vAlign w:val="center"/>
          </w:tcPr>
          <w:p w14:paraId="798E2D14">
            <w:pPr>
              <w:tabs>
                <w:tab w:val="left" w:pos="9298"/>
              </w:tabs>
              <w:jc w:val="center"/>
              <w:rPr>
                <w:rFonts w:ascii="宋体" w:hAnsi="宋体" w:cs="宋体"/>
                <w:color w:val="auto"/>
                <w:kern w:val="1"/>
                <w:szCs w:val="21"/>
                <w:highlight w:val="none"/>
              </w:rPr>
            </w:pPr>
          </w:p>
        </w:tc>
        <w:tc>
          <w:tcPr>
            <w:tcW w:w="415" w:type="pct"/>
            <w:tcBorders>
              <w:top w:val="single" w:color="000000" w:sz="6" w:space="0"/>
              <w:left w:val="single" w:color="000000" w:sz="6" w:space="0"/>
              <w:bottom w:val="single" w:color="000000" w:sz="6" w:space="0"/>
              <w:right w:val="single" w:color="000000" w:sz="6" w:space="0"/>
            </w:tcBorders>
            <w:vAlign w:val="center"/>
          </w:tcPr>
          <w:p w14:paraId="7B6CBF53">
            <w:pPr>
              <w:tabs>
                <w:tab w:val="left" w:pos="9298"/>
              </w:tabs>
              <w:jc w:val="center"/>
              <w:rPr>
                <w:rFonts w:ascii="宋体" w:hAnsi="宋体" w:cs="宋体"/>
                <w:color w:val="auto"/>
                <w:kern w:val="1"/>
                <w:szCs w:val="21"/>
                <w:highlight w:val="none"/>
              </w:rPr>
            </w:pPr>
          </w:p>
        </w:tc>
        <w:tc>
          <w:tcPr>
            <w:tcW w:w="415" w:type="pct"/>
            <w:tcBorders>
              <w:top w:val="single" w:color="000000" w:sz="6" w:space="0"/>
              <w:left w:val="single" w:color="000000" w:sz="6" w:space="0"/>
              <w:bottom w:val="single" w:color="000000" w:sz="6" w:space="0"/>
              <w:right w:val="single" w:color="000000" w:sz="6" w:space="0"/>
            </w:tcBorders>
            <w:vAlign w:val="center"/>
          </w:tcPr>
          <w:p w14:paraId="4A7CC91E">
            <w:pPr>
              <w:tabs>
                <w:tab w:val="left" w:pos="9298"/>
              </w:tabs>
              <w:jc w:val="center"/>
              <w:rPr>
                <w:rFonts w:ascii="宋体" w:hAnsi="宋体" w:cs="宋体"/>
                <w:color w:val="auto"/>
                <w:kern w:val="1"/>
                <w:szCs w:val="21"/>
                <w:highlight w:val="none"/>
              </w:rPr>
            </w:pPr>
          </w:p>
        </w:tc>
        <w:tc>
          <w:tcPr>
            <w:tcW w:w="582" w:type="pct"/>
            <w:tcBorders>
              <w:top w:val="single" w:color="000000" w:sz="6" w:space="0"/>
              <w:left w:val="single" w:color="000000" w:sz="6" w:space="0"/>
              <w:bottom w:val="single" w:color="000000" w:sz="6" w:space="0"/>
              <w:right w:val="single" w:color="000000" w:sz="6" w:space="0"/>
            </w:tcBorders>
            <w:vAlign w:val="center"/>
          </w:tcPr>
          <w:p w14:paraId="5BFE63DA">
            <w:pPr>
              <w:tabs>
                <w:tab w:val="left" w:pos="9298"/>
              </w:tabs>
              <w:jc w:val="center"/>
              <w:rPr>
                <w:rFonts w:ascii="宋体" w:hAnsi="宋体" w:cs="宋体"/>
                <w:color w:val="auto"/>
                <w:kern w:val="1"/>
                <w:szCs w:val="21"/>
                <w:highlight w:val="none"/>
              </w:rPr>
            </w:pPr>
          </w:p>
        </w:tc>
        <w:tc>
          <w:tcPr>
            <w:tcW w:w="415" w:type="pct"/>
            <w:tcBorders>
              <w:top w:val="single" w:color="000000" w:sz="6" w:space="0"/>
              <w:left w:val="single" w:color="000000" w:sz="6" w:space="0"/>
              <w:bottom w:val="single" w:color="000000" w:sz="6" w:space="0"/>
              <w:right w:val="single" w:color="000000" w:sz="6" w:space="0"/>
            </w:tcBorders>
            <w:vAlign w:val="center"/>
          </w:tcPr>
          <w:p w14:paraId="69F4F879">
            <w:pPr>
              <w:tabs>
                <w:tab w:val="left" w:pos="9298"/>
              </w:tabs>
              <w:jc w:val="center"/>
              <w:rPr>
                <w:rFonts w:ascii="宋体" w:hAnsi="宋体" w:cs="宋体"/>
                <w:color w:val="auto"/>
                <w:kern w:val="1"/>
                <w:szCs w:val="21"/>
                <w:highlight w:val="none"/>
              </w:rPr>
            </w:pPr>
          </w:p>
        </w:tc>
        <w:tc>
          <w:tcPr>
            <w:tcW w:w="714" w:type="pct"/>
            <w:tcBorders>
              <w:top w:val="single" w:color="000000" w:sz="6" w:space="0"/>
              <w:left w:val="single" w:color="000000" w:sz="6" w:space="0"/>
              <w:bottom w:val="single" w:color="000000" w:sz="6" w:space="0"/>
              <w:right w:val="single" w:color="000000" w:sz="6" w:space="0"/>
            </w:tcBorders>
            <w:vAlign w:val="center"/>
          </w:tcPr>
          <w:p w14:paraId="28C5E0CC">
            <w:pPr>
              <w:tabs>
                <w:tab w:val="left" w:pos="9298"/>
              </w:tabs>
              <w:jc w:val="center"/>
              <w:rPr>
                <w:rFonts w:ascii="宋体" w:hAnsi="宋体" w:cs="宋体"/>
                <w:color w:val="auto"/>
                <w:kern w:val="1"/>
                <w:szCs w:val="21"/>
                <w:highlight w:val="none"/>
              </w:rPr>
            </w:pPr>
          </w:p>
        </w:tc>
        <w:tc>
          <w:tcPr>
            <w:tcW w:w="312" w:type="pct"/>
            <w:tcBorders>
              <w:top w:val="single" w:color="000000" w:sz="6" w:space="0"/>
              <w:left w:val="single" w:color="000000" w:sz="6" w:space="0"/>
              <w:bottom w:val="single" w:color="000000" w:sz="6" w:space="0"/>
              <w:right w:val="single" w:color="000000" w:sz="6" w:space="0"/>
            </w:tcBorders>
            <w:vAlign w:val="center"/>
          </w:tcPr>
          <w:p w14:paraId="687985C2">
            <w:pPr>
              <w:tabs>
                <w:tab w:val="left" w:pos="9298"/>
              </w:tabs>
              <w:jc w:val="center"/>
              <w:rPr>
                <w:rFonts w:ascii="宋体" w:hAnsi="宋体" w:cs="宋体"/>
                <w:color w:val="auto"/>
                <w:kern w:val="1"/>
                <w:szCs w:val="21"/>
                <w:highlight w:val="none"/>
              </w:rPr>
            </w:pPr>
          </w:p>
        </w:tc>
      </w:tr>
    </w:tbl>
    <w:p w14:paraId="44188093">
      <w:pPr>
        <w:rPr>
          <w:rFonts w:hint="eastAsia" w:ascii="宋体" w:hAnsi="宋体" w:cs="宋体"/>
          <w:b w:val="0"/>
          <w:bCs/>
          <w:color w:val="auto"/>
          <w:kern w:val="1"/>
          <w:szCs w:val="21"/>
          <w:highlight w:val="none"/>
          <w:lang w:val="zh-CN"/>
        </w:rPr>
      </w:pPr>
      <w:r>
        <w:rPr>
          <w:rFonts w:hint="eastAsia" w:ascii="宋体" w:hAnsi="宋体" w:cs="宋体"/>
          <w:b w:val="0"/>
          <w:bCs/>
          <w:color w:val="auto"/>
          <w:kern w:val="1"/>
          <w:szCs w:val="21"/>
          <w:highlight w:val="none"/>
          <w:lang w:val="zh-CN"/>
        </w:rPr>
        <w:t>注：</w:t>
      </w:r>
      <w:r>
        <w:rPr>
          <w:rFonts w:hint="eastAsia" w:ascii="宋体" w:hAnsi="宋体" w:cs="宋体"/>
          <w:b w:val="0"/>
          <w:bCs/>
          <w:color w:val="auto"/>
          <w:kern w:val="1"/>
          <w:szCs w:val="21"/>
          <w:highlight w:val="none"/>
          <w:lang w:val="en-US" w:eastAsia="zh-CN"/>
        </w:rPr>
        <w:t>1、</w:t>
      </w:r>
      <w:r>
        <w:rPr>
          <w:rFonts w:hint="eastAsia" w:ascii="宋体" w:hAnsi="宋体" w:cs="宋体"/>
          <w:b w:val="0"/>
          <w:bCs/>
          <w:color w:val="auto"/>
          <w:kern w:val="1"/>
          <w:szCs w:val="21"/>
          <w:highlight w:val="none"/>
          <w:lang w:val="zh-CN"/>
        </w:rPr>
        <w:t>本表根据招标文件要求结合《项目管理部组成人员配备要求表（设计方）》中</w:t>
      </w:r>
      <w:r>
        <w:rPr>
          <w:rFonts w:hint="eastAsia" w:ascii="宋体" w:hAnsi="宋体" w:cs="宋体"/>
          <w:b w:val="0"/>
          <w:bCs/>
          <w:color w:val="auto"/>
          <w:kern w:val="1"/>
          <w:szCs w:val="21"/>
          <w:highlight w:val="none"/>
          <w:u w:val="single"/>
          <w:lang w:val="zh-CN"/>
        </w:rPr>
        <w:t>设计管理团队人员</w:t>
      </w:r>
      <w:r>
        <w:rPr>
          <w:rFonts w:hint="eastAsia" w:ascii="宋体" w:hAnsi="宋体" w:cs="宋体"/>
          <w:b w:val="0"/>
          <w:bCs/>
          <w:color w:val="auto"/>
          <w:kern w:val="1"/>
          <w:szCs w:val="21"/>
          <w:highlight w:val="none"/>
          <w:lang w:val="zh-CN"/>
        </w:rPr>
        <w:t>要求和投标人的自身实际填写，一旦中标，要求全部到位，否则严格按照合同条款执行。</w:t>
      </w:r>
    </w:p>
    <w:p w14:paraId="116618E7">
      <w:pPr>
        <w:ind w:firstLine="400" w:firstLineChars="200"/>
        <w:rPr>
          <w:rFonts w:hint="eastAsia" w:ascii="宋体" w:hAnsi="宋体" w:cs="宋体"/>
          <w:b w:val="0"/>
          <w:bCs/>
          <w:color w:val="auto"/>
          <w:kern w:val="1"/>
          <w:szCs w:val="21"/>
          <w:highlight w:val="none"/>
          <w:lang w:val="zh-CN"/>
        </w:rPr>
      </w:pPr>
      <w:r>
        <w:rPr>
          <w:rFonts w:hint="eastAsia" w:ascii="宋体" w:hAnsi="宋体" w:eastAsia="宋体" w:cs="宋体"/>
          <w:b w:val="0"/>
          <w:bCs/>
          <w:color w:val="auto"/>
          <w:kern w:val="0"/>
          <w:sz w:val="20"/>
          <w:szCs w:val="21"/>
          <w:highlight w:val="none"/>
        </w:rPr>
        <w:t>2、须提供投标截止时间近</w:t>
      </w:r>
      <w:r>
        <w:rPr>
          <w:rFonts w:ascii="宋体" w:hAnsi="宋体" w:eastAsia="宋体" w:cs="宋体"/>
          <w:b w:val="0"/>
          <w:bCs/>
          <w:color w:val="auto"/>
          <w:kern w:val="0"/>
          <w:sz w:val="20"/>
          <w:szCs w:val="21"/>
          <w:highlight w:val="none"/>
        </w:rPr>
        <w:t>1</w:t>
      </w:r>
      <w:r>
        <w:rPr>
          <w:rFonts w:hint="eastAsia" w:ascii="宋体" w:hAnsi="宋体" w:eastAsia="宋体" w:cs="宋体"/>
          <w:b w:val="0"/>
          <w:bCs/>
          <w:color w:val="auto"/>
          <w:kern w:val="0"/>
          <w:sz w:val="20"/>
          <w:szCs w:val="21"/>
          <w:highlight w:val="none"/>
        </w:rPr>
        <w:t>个月（</w:t>
      </w:r>
      <w:r>
        <w:rPr>
          <w:rFonts w:ascii="宋体" w:hAnsi="宋体" w:eastAsia="宋体" w:cs="宋体"/>
          <w:b w:val="0"/>
          <w:bCs/>
          <w:color w:val="auto"/>
          <w:kern w:val="0"/>
          <w:sz w:val="20"/>
          <w:szCs w:val="21"/>
          <w:highlight w:val="none"/>
        </w:rPr>
        <w:t>2025</w:t>
      </w:r>
      <w:r>
        <w:rPr>
          <w:rFonts w:hint="eastAsia" w:ascii="宋体" w:hAnsi="宋体" w:eastAsia="宋体" w:cs="宋体"/>
          <w:b w:val="0"/>
          <w:bCs/>
          <w:color w:val="auto"/>
          <w:kern w:val="0"/>
          <w:sz w:val="20"/>
          <w:szCs w:val="21"/>
          <w:highlight w:val="none"/>
        </w:rPr>
        <w:t>年4月）在本单位（不含投标人的子公司，含分公司或分支机构）购买社保的缴费记录；因改制或重组的企业或事业单位人员社保由上级主管部门缴纳的，除提供上级主管部门缴纳社保证明扫描件外，需由上级主管部门出具证明说明</w:t>
      </w:r>
      <w:r>
        <w:rPr>
          <w:rFonts w:hint="eastAsia" w:ascii="宋体" w:hAnsi="宋体" w:eastAsia="宋体" w:cs="宋体"/>
          <w:b w:val="0"/>
          <w:bCs/>
          <w:color w:val="auto"/>
          <w:kern w:val="0"/>
          <w:sz w:val="20"/>
          <w:szCs w:val="21"/>
          <w:highlight w:val="none"/>
          <w:lang w:val="zh-CN"/>
        </w:rPr>
        <w:t>（上述人员为香港专业人士的，需提供资格备案的业务范围符合本招标项目对上述人员要求的香港专业人士的证明材料扫描件）。</w:t>
      </w:r>
    </w:p>
    <w:p w14:paraId="4325AF35">
      <w:pPr>
        <w:tabs>
          <w:tab w:val="left" w:pos="7655"/>
        </w:tabs>
        <w:spacing w:line="360" w:lineRule="auto"/>
        <w:ind w:firstLine="1656" w:firstLineChars="600"/>
        <w:jc w:val="left"/>
        <w:rPr>
          <w:rFonts w:ascii="宋体" w:hAnsi="宋体" w:cs="宋体"/>
          <w:color w:val="auto"/>
          <w:spacing w:val="18"/>
          <w:kern w:val="1"/>
          <w:sz w:val="24"/>
          <w:highlight w:val="none"/>
          <w:lang w:val="zh-CN"/>
        </w:rPr>
      </w:pPr>
    </w:p>
    <w:p w14:paraId="058F5461">
      <w:pPr>
        <w:tabs>
          <w:tab w:val="left" w:pos="7655"/>
        </w:tabs>
        <w:spacing w:line="360" w:lineRule="auto"/>
        <w:ind w:firstLine="1656" w:firstLineChars="600"/>
        <w:jc w:val="left"/>
        <w:rPr>
          <w:rFonts w:ascii="宋体" w:hAnsi="宋体" w:cs="宋体"/>
          <w:color w:val="auto"/>
          <w:spacing w:val="18"/>
          <w:kern w:val="1"/>
          <w:sz w:val="24"/>
          <w:highlight w:val="none"/>
        </w:rPr>
      </w:pPr>
      <w:r>
        <w:rPr>
          <w:rFonts w:hint="eastAsia" w:ascii="宋体" w:hAnsi="宋体" w:cs="宋体"/>
          <w:color w:val="auto"/>
          <w:spacing w:val="18"/>
          <w:kern w:val="1"/>
          <w:sz w:val="24"/>
          <w:highlight w:val="none"/>
          <w:lang w:val="zh-CN"/>
        </w:rPr>
        <w:t>投标人：(盖章)</w:t>
      </w:r>
    </w:p>
    <w:p w14:paraId="54658AB8">
      <w:pPr>
        <w:tabs>
          <w:tab w:val="left" w:pos="7655"/>
        </w:tabs>
        <w:spacing w:line="360" w:lineRule="auto"/>
        <w:ind w:firstLine="1656" w:firstLineChars="600"/>
        <w:jc w:val="left"/>
        <w:rPr>
          <w:rFonts w:ascii="宋体" w:hAnsi="宋体" w:cs="宋体"/>
          <w:color w:val="auto"/>
          <w:spacing w:val="18"/>
          <w:kern w:val="1"/>
          <w:sz w:val="24"/>
          <w:highlight w:val="none"/>
          <w:lang w:val="zh-CN"/>
        </w:rPr>
      </w:pPr>
      <w:r>
        <w:rPr>
          <w:rFonts w:hint="eastAsia" w:ascii="宋体" w:hAnsi="宋体" w:cs="宋体"/>
          <w:color w:val="auto"/>
          <w:spacing w:val="18"/>
          <w:kern w:val="1"/>
          <w:sz w:val="24"/>
          <w:highlight w:val="none"/>
          <w:lang w:val="zh-CN"/>
        </w:rPr>
        <w:t>日期：年月日</w:t>
      </w:r>
    </w:p>
    <w:p w14:paraId="47B0D1AB">
      <w:pPr>
        <w:pStyle w:val="14"/>
        <w:ind w:firstLine="0"/>
        <w:rPr>
          <w:rFonts w:ascii="宋体" w:hAnsi="宋体" w:cs="宋体"/>
          <w:color w:val="auto"/>
          <w:szCs w:val="21"/>
          <w:highlight w:val="none"/>
        </w:rPr>
      </w:pPr>
    </w:p>
    <w:p w14:paraId="3AA1BFB4">
      <w:pPr>
        <w:pStyle w:val="14"/>
        <w:ind w:firstLine="0"/>
        <w:rPr>
          <w:rFonts w:ascii="宋体" w:hAnsi="宋体" w:cs="宋体"/>
          <w:color w:val="auto"/>
          <w:szCs w:val="21"/>
          <w:highlight w:val="none"/>
        </w:rPr>
      </w:pPr>
    </w:p>
    <w:p w14:paraId="4ACC76C0">
      <w:pPr>
        <w:pStyle w:val="163"/>
        <w:ind w:firstLine="400"/>
        <w:rPr>
          <w:rFonts w:ascii="宋体" w:hAnsi="宋体" w:cs="宋体"/>
          <w:color w:val="auto"/>
          <w:highlight w:val="none"/>
        </w:rPr>
      </w:pPr>
    </w:p>
    <w:p w14:paraId="3F759061">
      <w:pPr>
        <w:spacing w:line="360" w:lineRule="auto"/>
        <w:jc w:val="center"/>
        <w:rPr>
          <w:rFonts w:ascii="宋体" w:hAnsi="宋体" w:cs="宋体"/>
          <w:b/>
          <w:bCs/>
          <w:color w:val="auto"/>
          <w:kern w:val="1"/>
          <w:sz w:val="32"/>
          <w:szCs w:val="32"/>
          <w:highlight w:val="none"/>
          <w:lang w:val="zh-CN"/>
        </w:rPr>
      </w:pPr>
      <w:r>
        <w:rPr>
          <w:rFonts w:hint="eastAsia" w:ascii="宋体" w:hAnsi="宋体" w:cs="宋体"/>
          <w:b/>
          <w:color w:val="auto"/>
          <w:kern w:val="1"/>
          <w:sz w:val="24"/>
          <w:highlight w:val="none"/>
        </w:rPr>
        <w:br w:type="page"/>
      </w:r>
      <w:bookmarkStart w:id="607" w:name="_Toc25991"/>
      <w:bookmarkStart w:id="608" w:name="_Toc29329"/>
      <w:bookmarkStart w:id="609" w:name="_Hlk116425372"/>
    </w:p>
    <w:bookmarkEnd w:id="607"/>
    <w:bookmarkEnd w:id="608"/>
    <w:p w14:paraId="79713B4D">
      <w:pPr>
        <w:spacing w:line="360" w:lineRule="auto"/>
        <w:jc w:val="center"/>
        <w:rPr>
          <w:rFonts w:ascii="宋体" w:hAnsi="宋体" w:cs="宋体"/>
          <w:b/>
          <w:bCs/>
          <w:color w:val="auto"/>
          <w:kern w:val="1"/>
          <w:sz w:val="32"/>
          <w:szCs w:val="32"/>
          <w:highlight w:val="none"/>
          <w:lang w:val="zh-CN"/>
        </w:rPr>
      </w:pPr>
      <w:r>
        <w:rPr>
          <w:rFonts w:hint="eastAsia" w:ascii="宋体" w:hAnsi="宋体" w:cs="宋体"/>
          <w:b/>
          <w:bCs/>
          <w:color w:val="auto"/>
          <w:kern w:val="1"/>
          <w:sz w:val="32"/>
          <w:szCs w:val="32"/>
          <w:highlight w:val="none"/>
          <w:lang w:val="zh-CN"/>
        </w:rPr>
        <w:t>主要技术人员简历表</w:t>
      </w:r>
    </w:p>
    <w:bookmarkEnd w:id="609"/>
    <w:tbl>
      <w:tblPr>
        <w:tblStyle w:val="45"/>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77"/>
        <w:gridCol w:w="1442"/>
        <w:gridCol w:w="16"/>
        <w:gridCol w:w="547"/>
        <w:gridCol w:w="955"/>
        <w:gridCol w:w="111"/>
        <w:gridCol w:w="1408"/>
        <w:gridCol w:w="625"/>
        <w:gridCol w:w="702"/>
        <w:gridCol w:w="191"/>
        <w:gridCol w:w="383"/>
        <w:gridCol w:w="1140"/>
      </w:tblGrid>
      <w:tr w14:paraId="63CA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596" w:type="dxa"/>
            <w:gridSpan w:val="2"/>
            <w:tcBorders>
              <w:top w:val="single" w:color="auto" w:sz="4" w:space="0"/>
              <w:left w:val="single" w:color="auto" w:sz="4" w:space="0"/>
              <w:bottom w:val="single" w:color="auto" w:sz="4" w:space="0"/>
              <w:right w:val="single" w:color="auto" w:sz="4" w:space="0"/>
            </w:tcBorders>
            <w:vAlign w:val="center"/>
          </w:tcPr>
          <w:p w14:paraId="47866EC5">
            <w:pPr>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2005" w:type="dxa"/>
            <w:gridSpan w:val="3"/>
            <w:tcBorders>
              <w:top w:val="single" w:color="auto" w:sz="4" w:space="0"/>
              <w:left w:val="nil"/>
              <w:bottom w:val="single" w:color="auto" w:sz="4" w:space="0"/>
              <w:right w:val="single" w:color="auto" w:sz="4" w:space="0"/>
            </w:tcBorders>
            <w:vAlign w:val="center"/>
          </w:tcPr>
          <w:p w14:paraId="613DD95E">
            <w:pPr>
              <w:topLinePunct/>
              <w:adjustRightInd w:val="0"/>
              <w:snapToGrid w:val="0"/>
              <w:spacing w:line="360" w:lineRule="auto"/>
              <w:jc w:val="center"/>
              <w:rPr>
                <w:rFonts w:ascii="宋体" w:hAnsi="宋体"/>
                <w:color w:val="auto"/>
                <w:spacing w:val="4"/>
                <w:szCs w:val="21"/>
                <w:highlight w:val="none"/>
              </w:rPr>
            </w:pPr>
          </w:p>
        </w:tc>
        <w:tc>
          <w:tcPr>
            <w:tcW w:w="1066" w:type="dxa"/>
            <w:gridSpan w:val="2"/>
            <w:tcBorders>
              <w:top w:val="single" w:color="auto" w:sz="4" w:space="0"/>
              <w:left w:val="nil"/>
              <w:bottom w:val="single" w:color="auto" w:sz="4" w:space="0"/>
              <w:right w:val="single" w:color="auto" w:sz="4" w:space="0"/>
            </w:tcBorders>
            <w:vAlign w:val="center"/>
          </w:tcPr>
          <w:p w14:paraId="380584E6">
            <w:pPr>
              <w:spacing w:line="360" w:lineRule="auto"/>
              <w:jc w:val="center"/>
              <w:rPr>
                <w:rFonts w:ascii="宋体" w:hAnsi="宋体"/>
                <w:color w:val="auto"/>
                <w:szCs w:val="21"/>
                <w:highlight w:val="none"/>
              </w:rPr>
            </w:pPr>
            <w:r>
              <w:rPr>
                <w:rFonts w:hint="eastAsia" w:ascii="宋体" w:hAnsi="宋体"/>
                <w:color w:val="auto"/>
                <w:szCs w:val="21"/>
                <w:highlight w:val="none"/>
              </w:rPr>
              <w:t>性别</w:t>
            </w:r>
          </w:p>
        </w:tc>
        <w:tc>
          <w:tcPr>
            <w:tcW w:w="2033" w:type="dxa"/>
            <w:gridSpan w:val="2"/>
            <w:tcBorders>
              <w:top w:val="single" w:color="auto" w:sz="4" w:space="0"/>
              <w:left w:val="nil"/>
              <w:bottom w:val="single" w:color="auto" w:sz="4" w:space="0"/>
              <w:right w:val="single" w:color="auto" w:sz="4" w:space="0"/>
            </w:tcBorders>
            <w:vAlign w:val="center"/>
          </w:tcPr>
          <w:p w14:paraId="1262EF1C">
            <w:pPr>
              <w:topLinePunct/>
              <w:adjustRightInd w:val="0"/>
              <w:snapToGrid w:val="0"/>
              <w:spacing w:line="360" w:lineRule="auto"/>
              <w:jc w:val="center"/>
              <w:rPr>
                <w:rFonts w:ascii="宋体" w:hAnsi="宋体"/>
                <w:color w:val="auto"/>
                <w:spacing w:val="4"/>
                <w:szCs w:val="21"/>
                <w:highlight w:val="none"/>
              </w:rPr>
            </w:pPr>
          </w:p>
        </w:tc>
        <w:tc>
          <w:tcPr>
            <w:tcW w:w="1276" w:type="dxa"/>
            <w:gridSpan w:val="3"/>
            <w:tcBorders>
              <w:top w:val="single" w:color="auto" w:sz="4" w:space="0"/>
              <w:left w:val="nil"/>
              <w:bottom w:val="single" w:color="auto" w:sz="4" w:space="0"/>
              <w:right w:val="single" w:color="auto" w:sz="4" w:space="0"/>
            </w:tcBorders>
            <w:vAlign w:val="center"/>
          </w:tcPr>
          <w:p w14:paraId="0E0BA849">
            <w:pPr>
              <w:spacing w:line="360" w:lineRule="auto"/>
              <w:jc w:val="center"/>
              <w:rPr>
                <w:rFonts w:ascii="宋体" w:hAnsi="宋体"/>
                <w:color w:val="auto"/>
                <w:szCs w:val="21"/>
                <w:highlight w:val="none"/>
              </w:rPr>
            </w:pPr>
            <w:r>
              <w:rPr>
                <w:rFonts w:hint="eastAsia" w:ascii="宋体" w:hAnsi="宋体"/>
                <w:color w:val="auto"/>
                <w:szCs w:val="21"/>
                <w:highlight w:val="none"/>
              </w:rPr>
              <w:t>年龄</w:t>
            </w:r>
          </w:p>
        </w:tc>
        <w:tc>
          <w:tcPr>
            <w:tcW w:w="1140" w:type="dxa"/>
            <w:tcBorders>
              <w:top w:val="single" w:color="auto" w:sz="4" w:space="0"/>
              <w:left w:val="nil"/>
              <w:bottom w:val="single" w:color="auto" w:sz="4" w:space="0"/>
              <w:right w:val="single" w:color="auto" w:sz="4" w:space="0"/>
            </w:tcBorders>
            <w:vAlign w:val="center"/>
          </w:tcPr>
          <w:p w14:paraId="2418590E">
            <w:pPr>
              <w:topLinePunct/>
              <w:adjustRightInd w:val="0"/>
              <w:snapToGrid w:val="0"/>
              <w:spacing w:line="360" w:lineRule="auto"/>
              <w:jc w:val="center"/>
              <w:rPr>
                <w:rFonts w:ascii="宋体" w:hAnsi="宋体"/>
                <w:color w:val="auto"/>
                <w:spacing w:val="4"/>
                <w:szCs w:val="21"/>
                <w:highlight w:val="none"/>
              </w:rPr>
            </w:pPr>
          </w:p>
        </w:tc>
      </w:tr>
      <w:tr w14:paraId="7F67C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596" w:type="dxa"/>
            <w:gridSpan w:val="2"/>
            <w:tcBorders>
              <w:top w:val="single" w:color="auto" w:sz="4" w:space="0"/>
              <w:left w:val="single" w:color="auto" w:sz="4" w:space="0"/>
              <w:bottom w:val="single" w:color="auto" w:sz="4" w:space="0"/>
              <w:right w:val="single" w:color="auto" w:sz="4" w:space="0"/>
            </w:tcBorders>
            <w:vAlign w:val="center"/>
          </w:tcPr>
          <w:p w14:paraId="6523C9BB">
            <w:pPr>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005" w:type="dxa"/>
            <w:gridSpan w:val="3"/>
            <w:tcBorders>
              <w:top w:val="single" w:color="auto" w:sz="4" w:space="0"/>
              <w:left w:val="nil"/>
              <w:bottom w:val="single" w:color="auto" w:sz="4" w:space="0"/>
              <w:right w:val="single" w:color="auto" w:sz="4" w:space="0"/>
            </w:tcBorders>
            <w:vAlign w:val="center"/>
          </w:tcPr>
          <w:p w14:paraId="17723636">
            <w:pPr>
              <w:topLinePunct/>
              <w:adjustRightInd w:val="0"/>
              <w:snapToGrid w:val="0"/>
              <w:spacing w:line="360" w:lineRule="auto"/>
              <w:jc w:val="center"/>
              <w:rPr>
                <w:rFonts w:ascii="宋体" w:hAnsi="宋体"/>
                <w:color w:val="auto"/>
                <w:spacing w:val="4"/>
                <w:szCs w:val="21"/>
                <w:highlight w:val="none"/>
              </w:rPr>
            </w:pPr>
          </w:p>
        </w:tc>
        <w:tc>
          <w:tcPr>
            <w:tcW w:w="1066" w:type="dxa"/>
            <w:gridSpan w:val="2"/>
            <w:tcBorders>
              <w:top w:val="single" w:color="auto" w:sz="4" w:space="0"/>
              <w:left w:val="nil"/>
              <w:bottom w:val="single" w:color="auto" w:sz="4" w:space="0"/>
              <w:right w:val="single" w:color="auto" w:sz="4" w:space="0"/>
            </w:tcBorders>
            <w:vAlign w:val="center"/>
          </w:tcPr>
          <w:p w14:paraId="03C95FE0">
            <w:pPr>
              <w:spacing w:line="360" w:lineRule="auto"/>
              <w:jc w:val="center"/>
              <w:rPr>
                <w:rFonts w:ascii="宋体" w:hAnsi="宋体"/>
                <w:color w:val="auto"/>
                <w:szCs w:val="21"/>
                <w:highlight w:val="none"/>
              </w:rPr>
            </w:pPr>
            <w:r>
              <w:rPr>
                <w:rFonts w:hint="eastAsia" w:ascii="宋体" w:hAnsi="宋体"/>
                <w:color w:val="auto"/>
                <w:szCs w:val="21"/>
                <w:highlight w:val="none"/>
              </w:rPr>
              <w:t>职称</w:t>
            </w:r>
          </w:p>
        </w:tc>
        <w:tc>
          <w:tcPr>
            <w:tcW w:w="2033" w:type="dxa"/>
            <w:gridSpan w:val="2"/>
            <w:tcBorders>
              <w:top w:val="single" w:color="auto" w:sz="4" w:space="0"/>
              <w:left w:val="nil"/>
              <w:bottom w:val="single" w:color="auto" w:sz="4" w:space="0"/>
              <w:right w:val="single" w:color="auto" w:sz="4" w:space="0"/>
            </w:tcBorders>
            <w:vAlign w:val="center"/>
          </w:tcPr>
          <w:p w14:paraId="47134A37">
            <w:pPr>
              <w:topLinePunct/>
              <w:adjustRightInd w:val="0"/>
              <w:snapToGrid w:val="0"/>
              <w:spacing w:line="360" w:lineRule="auto"/>
              <w:jc w:val="center"/>
              <w:rPr>
                <w:rFonts w:ascii="宋体" w:hAnsi="宋体"/>
                <w:color w:val="auto"/>
                <w:spacing w:val="4"/>
                <w:szCs w:val="21"/>
                <w:highlight w:val="none"/>
              </w:rPr>
            </w:pPr>
          </w:p>
        </w:tc>
        <w:tc>
          <w:tcPr>
            <w:tcW w:w="1276" w:type="dxa"/>
            <w:gridSpan w:val="3"/>
            <w:tcBorders>
              <w:top w:val="single" w:color="auto" w:sz="4" w:space="0"/>
              <w:left w:val="nil"/>
              <w:bottom w:val="single" w:color="auto" w:sz="4" w:space="0"/>
              <w:right w:val="single" w:color="auto" w:sz="4" w:space="0"/>
            </w:tcBorders>
            <w:vAlign w:val="center"/>
          </w:tcPr>
          <w:p w14:paraId="28E770AD">
            <w:pPr>
              <w:spacing w:line="360" w:lineRule="auto"/>
              <w:jc w:val="center"/>
              <w:rPr>
                <w:rFonts w:ascii="宋体" w:hAnsi="宋体"/>
                <w:color w:val="auto"/>
                <w:szCs w:val="21"/>
                <w:highlight w:val="none"/>
              </w:rPr>
            </w:pPr>
            <w:r>
              <w:rPr>
                <w:rFonts w:hint="eastAsia" w:ascii="宋体" w:hAnsi="宋体"/>
                <w:color w:val="auto"/>
                <w:szCs w:val="21"/>
                <w:highlight w:val="none"/>
              </w:rPr>
              <w:t>学历</w:t>
            </w:r>
          </w:p>
        </w:tc>
        <w:tc>
          <w:tcPr>
            <w:tcW w:w="1140" w:type="dxa"/>
            <w:tcBorders>
              <w:top w:val="single" w:color="auto" w:sz="4" w:space="0"/>
              <w:left w:val="nil"/>
              <w:bottom w:val="single" w:color="auto" w:sz="4" w:space="0"/>
              <w:right w:val="single" w:color="auto" w:sz="4" w:space="0"/>
            </w:tcBorders>
            <w:vAlign w:val="center"/>
          </w:tcPr>
          <w:p w14:paraId="079563E4">
            <w:pPr>
              <w:topLinePunct/>
              <w:adjustRightInd w:val="0"/>
              <w:snapToGrid w:val="0"/>
              <w:spacing w:line="360" w:lineRule="auto"/>
              <w:jc w:val="center"/>
              <w:rPr>
                <w:rFonts w:ascii="宋体" w:hAnsi="宋体"/>
                <w:color w:val="auto"/>
                <w:spacing w:val="4"/>
                <w:szCs w:val="21"/>
                <w:highlight w:val="none"/>
              </w:rPr>
            </w:pPr>
          </w:p>
        </w:tc>
      </w:tr>
      <w:tr w14:paraId="50433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3054" w:type="dxa"/>
            <w:gridSpan w:val="4"/>
            <w:tcBorders>
              <w:top w:val="single" w:color="auto" w:sz="4" w:space="0"/>
              <w:left w:val="single" w:color="auto" w:sz="4" w:space="0"/>
              <w:bottom w:val="single" w:color="auto" w:sz="4" w:space="0"/>
              <w:right w:val="single" w:color="auto" w:sz="4" w:space="0"/>
            </w:tcBorders>
            <w:vAlign w:val="center"/>
          </w:tcPr>
          <w:p w14:paraId="58574AB6">
            <w:pPr>
              <w:spacing w:line="360" w:lineRule="auto"/>
              <w:jc w:val="center"/>
              <w:rPr>
                <w:rFonts w:ascii="宋体" w:hAnsi="宋体"/>
                <w:color w:val="auto"/>
                <w:szCs w:val="21"/>
                <w:highlight w:val="none"/>
              </w:rPr>
            </w:pPr>
            <w:r>
              <w:rPr>
                <w:rFonts w:hint="eastAsia" w:ascii="宋体" w:hAnsi="宋体"/>
                <w:color w:val="auto"/>
                <w:szCs w:val="21"/>
                <w:highlight w:val="none"/>
              </w:rPr>
              <w:t>参加工作时间</w:t>
            </w:r>
          </w:p>
        </w:tc>
        <w:tc>
          <w:tcPr>
            <w:tcW w:w="1613" w:type="dxa"/>
            <w:gridSpan w:val="3"/>
            <w:tcBorders>
              <w:top w:val="single" w:color="auto" w:sz="4" w:space="0"/>
              <w:left w:val="nil"/>
              <w:bottom w:val="single" w:color="auto" w:sz="4" w:space="0"/>
              <w:right w:val="single" w:color="auto" w:sz="4" w:space="0"/>
            </w:tcBorders>
            <w:vAlign w:val="center"/>
          </w:tcPr>
          <w:p w14:paraId="0796A33D">
            <w:pPr>
              <w:topLinePunct/>
              <w:adjustRightInd w:val="0"/>
              <w:snapToGrid w:val="0"/>
              <w:spacing w:line="360" w:lineRule="auto"/>
              <w:jc w:val="center"/>
              <w:rPr>
                <w:rFonts w:ascii="宋体" w:hAnsi="宋体"/>
                <w:color w:val="auto"/>
                <w:spacing w:val="4"/>
                <w:szCs w:val="21"/>
                <w:highlight w:val="none"/>
              </w:rPr>
            </w:pPr>
          </w:p>
        </w:tc>
        <w:tc>
          <w:tcPr>
            <w:tcW w:w="2735" w:type="dxa"/>
            <w:gridSpan w:val="3"/>
            <w:tcBorders>
              <w:top w:val="single" w:color="auto" w:sz="4" w:space="0"/>
              <w:left w:val="nil"/>
              <w:bottom w:val="single" w:color="auto" w:sz="4" w:space="0"/>
              <w:right w:val="single" w:color="auto" w:sz="4" w:space="0"/>
            </w:tcBorders>
            <w:vAlign w:val="center"/>
          </w:tcPr>
          <w:p w14:paraId="711018C7">
            <w:pPr>
              <w:topLinePunct/>
              <w:adjustRightInd w:val="0"/>
              <w:snapToGrid w:val="0"/>
              <w:spacing w:line="360" w:lineRule="auto"/>
              <w:jc w:val="center"/>
              <w:rPr>
                <w:rFonts w:ascii="宋体" w:hAnsi="宋体"/>
                <w:color w:val="auto"/>
                <w:spacing w:val="4"/>
                <w:szCs w:val="21"/>
                <w:highlight w:val="none"/>
              </w:rPr>
            </w:pPr>
            <w:r>
              <w:rPr>
                <w:rFonts w:hint="eastAsia" w:ascii="宋体" w:hAnsi="宋体"/>
                <w:color w:val="auto"/>
                <w:spacing w:val="4"/>
                <w:szCs w:val="21"/>
                <w:highlight w:val="none"/>
              </w:rPr>
              <w:t>担任相应职务年限</w:t>
            </w:r>
          </w:p>
        </w:tc>
        <w:tc>
          <w:tcPr>
            <w:tcW w:w="1714" w:type="dxa"/>
            <w:gridSpan w:val="3"/>
            <w:tcBorders>
              <w:top w:val="single" w:color="auto" w:sz="4" w:space="0"/>
              <w:left w:val="nil"/>
              <w:bottom w:val="single" w:color="auto" w:sz="4" w:space="0"/>
              <w:right w:val="single" w:color="auto" w:sz="4" w:space="0"/>
            </w:tcBorders>
            <w:vAlign w:val="center"/>
          </w:tcPr>
          <w:p w14:paraId="59006F4D">
            <w:pPr>
              <w:topLinePunct/>
              <w:adjustRightInd w:val="0"/>
              <w:snapToGrid w:val="0"/>
              <w:spacing w:line="360" w:lineRule="auto"/>
              <w:jc w:val="center"/>
              <w:rPr>
                <w:rFonts w:ascii="宋体" w:hAnsi="宋体"/>
                <w:color w:val="auto"/>
                <w:spacing w:val="4"/>
                <w:szCs w:val="21"/>
                <w:highlight w:val="none"/>
              </w:rPr>
            </w:pPr>
          </w:p>
        </w:tc>
      </w:tr>
      <w:tr w14:paraId="587DB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3054" w:type="dxa"/>
            <w:gridSpan w:val="4"/>
            <w:tcBorders>
              <w:top w:val="single" w:color="auto" w:sz="4" w:space="0"/>
              <w:left w:val="single" w:color="auto" w:sz="4" w:space="0"/>
              <w:bottom w:val="single" w:color="auto" w:sz="4" w:space="0"/>
              <w:right w:val="single" w:color="auto" w:sz="4" w:space="0"/>
            </w:tcBorders>
            <w:vAlign w:val="center"/>
          </w:tcPr>
          <w:p w14:paraId="0DED2BE3">
            <w:pPr>
              <w:spacing w:line="360" w:lineRule="auto"/>
              <w:jc w:val="center"/>
              <w:rPr>
                <w:rFonts w:ascii="宋体" w:hAnsi="宋体"/>
                <w:color w:val="auto"/>
                <w:szCs w:val="21"/>
                <w:highlight w:val="none"/>
              </w:rPr>
            </w:pPr>
            <w:r>
              <w:rPr>
                <w:rFonts w:hint="eastAsia" w:ascii="宋体" w:hAnsi="宋体"/>
                <w:color w:val="auto"/>
                <w:szCs w:val="21"/>
                <w:highlight w:val="none"/>
              </w:rPr>
              <w:t>资格证书号</w:t>
            </w:r>
          </w:p>
        </w:tc>
        <w:tc>
          <w:tcPr>
            <w:tcW w:w="6062" w:type="dxa"/>
            <w:gridSpan w:val="9"/>
            <w:tcBorders>
              <w:top w:val="single" w:color="auto" w:sz="4" w:space="0"/>
              <w:left w:val="nil"/>
              <w:bottom w:val="single" w:color="auto" w:sz="4" w:space="0"/>
              <w:right w:val="single" w:color="auto" w:sz="4" w:space="0"/>
            </w:tcBorders>
            <w:vAlign w:val="center"/>
          </w:tcPr>
          <w:p w14:paraId="2C1C69D5">
            <w:pPr>
              <w:topLinePunct/>
              <w:adjustRightInd w:val="0"/>
              <w:snapToGrid w:val="0"/>
              <w:spacing w:line="360" w:lineRule="auto"/>
              <w:jc w:val="center"/>
              <w:rPr>
                <w:rFonts w:ascii="宋体" w:hAnsi="宋体"/>
                <w:color w:val="auto"/>
                <w:spacing w:val="4"/>
                <w:szCs w:val="21"/>
                <w:highlight w:val="none"/>
              </w:rPr>
            </w:pPr>
          </w:p>
        </w:tc>
      </w:tr>
      <w:tr w14:paraId="14C5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9116" w:type="dxa"/>
            <w:gridSpan w:val="13"/>
            <w:tcBorders>
              <w:top w:val="single" w:color="auto" w:sz="4" w:space="0"/>
              <w:left w:val="single" w:color="auto" w:sz="4" w:space="0"/>
              <w:bottom w:val="single" w:color="auto" w:sz="4" w:space="0"/>
              <w:right w:val="single" w:color="auto" w:sz="4" w:space="0"/>
            </w:tcBorders>
            <w:vAlign w:val="center"/>
          </w:tcPr>
          <w:p w14:paraId="7B0B9990">
            <w:pPr>
              <w:topLinePunct/>
              <w:adjustRightInd w:val="0"/>
              <w:snapToGrid w:val="0"/>
              <w:spacing w:line="360" w:lineRule="auto"/>
              <w:jc w:val="center"/>
              <w:rPr>
                <w:rFonts w:ascii="宋体" w:hAnsi="宋体"/>
                <w:color w:val="auto"/>
                <w:spacing w:val="4"/>
                <w:szCs w:val="21"/>
                <w:highlight w:val="none"/>
              </w:rPr>
            </w:pPr>
            <w:r>
              <w:rPr>
                <w:rFonts w:hint="eastAsia" w:ascii="宋体" w:hAnsi="宋体"/>
                <w:color w:val="auto"/>
                <w:spacing w:val="4"/>
                <w:szCs w:val="21"/>
                <w:highlight w:val="none"/>
              </w:rPr>
              <w:t>业绩简介</w:t>
            </w:r>
          </w:p>
        </w:tc>
      </w:tr>
      <w:tr w14:paraId="64DB8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519" w:type="dxa"/>
            <w:tcBorders>
              <w:top w:val="single" w:color="auto" w:sz="4" w:space="0"/>
              <w:left w:val="single" w:color="auto" w:sz="4" w:space="0"/>
              <w:bottom w:val="single" w:color="auto" w:sz="4" w:space="0"/>
              <w:right w:val="single" w:color="auto" w:sz="4" w:space="0"/>
            </w:tcBorders>
            <w:vAlign w:val="center"/>
          </w:tcPr>
          <w:p w14:paraId="01F99307">
            <w:pPr>
              <w:spacing w:line="360" w:lineRule="auto"/>
              <w:jc w:val="center"/>
              <w:rPr>
                <w:rFonts w:ascii="宋体" w:hAnsi="宋体"/>
                <w:color w:val="auto"/>
                <w:szCs w:val="21"/>
                <w:highlight w:val="none"/>
              </w:rPr>
            </w:pPr>
            <w:r>
              <w:rPr>
                <w:rFonts w:hint="eastAsia" w:ascii="宋体" w:hAnsi="宋体"/>
                <w:color w:val="auto"/>
                <w:szCs w:val="21"/>
                <w:highlight w:val="none"/>
              </w:rPr>
              <w:t>建设单位</w:t>
            </w:r>
          </w:p>
        </w:tc>
        <w:tc>
          <w:tcPr>
            <w:tcW w:w="1519" w:type="dxa"/>
            <w:gridSpan w:val="2"/>
            <w:tcBorders>
              <w:top w:val="single" w:color="auto" w:sz="4" w:space="0"/>
              <w:left w:val="nil"/>
              <w:bottom w:val="single" w:color="auto" w:sz="4" w:space="0"/>
              <w:right w:val="single" w:color="auto" w:sz="4" w:space="0"/>
            </w:tcBorders>
            <w:vAlign w:val="center"/>
          </w:tcPr>
          <w:p w14:paraId="7F08F620">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1518" w:type="dxa"/>
            <w:gridSpan w:val="3"/>
            <w:tcBorders>
              <w:top w:val="single" w:color="auto" w:sz="4" w:space="0"/>
              <w:left w:val="nil"/>
              <w:bottom w:val="single" w:color="auto" w:sz="4" w:space="0"/>
              <w:right w:val="single" w:color="auto" w:sz="4" w:space="0"/>
            </w:tcBorders>
            <w:vAlign w:val="center"/>
          </w:tcPr>
          <w:p w14:paraId="28A64DC7">
            <w:pPr>
              <w:spacing w:line="360" w:lineRule="auto"/>
              <w:jc w:val="center"/>
              <w:rPr>
                <w:rFonts w:ascii="宋体" w:hAnsi="宋体"/>
                <w:color w:val="auto"/>
                <w:szCs w:val="21"/>
                <w:highlight w:val="none"/>
              </w:rPr>
            </w:pPr>
            <w:r>
              <w:rPr>
                <w:rFonts w:hint="eastAsia" w:ascii="宋体" w:hAnsi="宋体"/>
                <w:color w:val="auto"/>
                <w:szCs w:val="21"/>
                <w:highlight w:val="none"/>
              </w:rPr>
              <w:t>建设规模</w:t>
            </w:r>
          </w:p>
        </w:tc>
        <w:tc>
          <w:tcPr>
            <w:tcW w:w="1519" w:type="dxa"/>
            <w:gridSpan w:val="2"/>
            <w:tcBorders>
              <w:top w:val="single" w:color="auto" w:sz="4" w:space="0"/>
              <w:left w:val="nil"/>
              <w:bottom w:val="single" w:color="auto" w:sz="4" w:space="0"/>
              <w:right w:val="single" w:color="auto" w:sz="4" w:space="0"/>
            </w:tcBorders>
            <w:vAlign w:val="center"/>
          </w:tcPr>
          <w:p w14:paraId="630B7657">
            <w:pPr>
              <w:spacing w:line="360" w:lineRule="auto"/>
              <w:jc w:val="center"/>
              <w:rPr>
                <w:rFonts w:ascii="宋体" w:hAnsi="宋体"/>
                <w:color w:val="auto"/>
                <w:szCs w:val="21"/>
                <w:highlight w:val="none"/>
              </w:rPr>
            </w:pPr>
            <w:r>
              <w:rPr>
                <w:rFonts w:hint="eastAsia" w:ascii="宋体" w:hAnsi="宋体"/>
                <w:color w:val="auto"/>
                <w:szCs w:val="21"/>
                <w:highlight w:val="none"/>
              </w:rPr>
              <w:t>开、竣工日期</w:t>
            </w:r>
          </w:p>
        </w:tc>
        <w:tc>
          <w:tcPr>
            <w:tcW w:w="1518" w:type="dxa"/>
            <w:gridSpan w:val="3"/>
            <w:tcBorders>
              <w:top w:val="single" w:color="auto" w:sz="4" w:space="0"/>
              <w:left w:val="nil"/>
              <w:bottom w:val="single" w:color="auto" w:sz="4" w:space="0"/>
              <w:right w:val="single" w:color="auto" w:sz="4" w:space="0"/>
            </w:tcBorders>
            <w:vAlign w:val="center"/>
          </w:tcPr>
          <w:p w14:paraId="462FB580">
            <w:pPr>
              <w:spacing w:line="360" w:lineRule="auto"/>
              <w:jc w:val="center"/>
              <w:rPr>
                <w:rFonts w:ascii="宋体" w:hAnsi="宋体"/>
                <w:color w:val="auto"/>
                <w:szCs w:val="21"/>
                <w:highlight w:val="none"/>
              </w:rPr>
            </w:pPr>
            <w:r>
              <w:rPr>
                <w:rFonts w:hint="eastAsia" w:ascii="宋体" w:hAnsi="宋体"/>
                <w:color w:val="auto"/>
                <w:szCs w:val="21"/>
                <w:highlight w:val="none"/>
              </w:rPr>
              <w:t>在建或已完</w:t>
            </w:r>
          </w:p>
        </w:tc>
        <w:tc>
          <w:tcPr>
            <w:tcW w:w="1523" w:type="dxa"/>
            <w:gridSpan w:val="2"/>
            <w:tcBorders>
              <w:top w:val="single" w:color="auto" w:sz="4" w:space="0"/>
              <w:left w:val="nil"/>
              <w:bottom w:val="single" w:color="auto" w:sz="4" w:space="0"/>
              <w:right w:val="single" w:color="auto" w:sz="4" w:space="0"/>
            </w:tcBorders>
            <w:vAlign w:val="center"/>
          </w:tcPr>
          <w:p w14:paraId="65739E6B">
            <w:pPr>
              <w:spacing w:line="360" w:lineRule="auto"/>
              <w:jc w:val="center"/>
              <w:rPr>
                <w:rFonts w:ascii="宋体" w:hAnsi="宋体"/>
                <w:color w:val="auto"/>
                <w:szCs w:val="21"/>
                <w:highlight w:val="none"/>
              </w:rPr>
            </w:pPr>
            <w:r>
              <w:rPr>
                <w:rFonts w:hint="eastAsia" w:ascii="宋体" w:hAnsi="宋体"/>
                <w:color w:val="auto"/>
                <w:szCs w:val="21"/>
                <w:highlight w:val="none"/>
              </w:rPr>
              <w:t>工程质量</w:t>
            </w:r>
          </w:p>
        </w:tc>
      </w:tr>
      <w:tr w14:paraId="18ED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519" w:type="dxa"/>
            <w:tcBorders>
              <w:top w:val="single" w:color="auto" w:sz="4" w:space="0"/>
              <w:left w:val="single" w:color="auto" w:sz="4" w:space="0"/>
              <w:bottom w:val="single" w:color="auto" w:sz="4" w:space="0"/>
              <w:right w:val="single" w:color="auto" w:sz="4" w:space="0"/>
            </w:tcBorders>
            <w:vAlign w:val="center"/>
          </w:tcPr>
          <w:p w14:paraId="0A29A0E7">
            <w:pPr>
              <w:topLinePunct/>
              <w:adjustRightInd w:val="0"/>
              <w:snapToGrid w:val="0"/>
              <w:spacing w:line="360" w:lineRule="auto"/>
              <w:jc w:val="center"/>
              <w:rPr>
                <w:rFonts w:ascii="宋体" w:hAnsi="宋体"/>
                <w:color w:val="auto"/>
                <w:spacing w:val="4"/>
                <w:szCs w:val="21"/>
                <w:highlight w:val="none"/>
              </w:rPr>
            </w:pPr>
          </w:p>
        </w:tc>
        <w:tc>
          <w:tcPr>
            <w:tcW w:w="1519" w:type="dxa"/>
            <w:gridSpan w:val="2"/>
            <w:tcBorders>
              <w:top w:val="single" w:color="auto" w:sz="4" w:space="0"/>
              <w:left w:val="nil"/>
              <w:bottom w:val="single" w:color="auto" w:sz="4" w:space="0"/>
              <w:right w:val="single" w:color="auto" w:sz="4" w:space="0"/>
            </w:tcBorders>
            <w:vAlign w:val="center"/>
          </w:tcPr>
          <w:p w14:paraId="340BFA7C">
            <w:pPr>
              <w:topLinePunct/>
              <w:adjustRightInd w:val="0"/>
              <w:snapToGrid w:val="0"/>
              <w:spacing w:line="360" w:lineRule="auto"/>
              <w:jc w:val="center"/>
              <w:rPr>
                <w:rFonts w:ascii="宋体" w:hAnsi="宋体"/>
                <w:color w:val="auto"/>
                <w:spacing w:val="4"/>
                <w:szCs w:val="21"/>
                <w:highlight w:val="none"/>
              </w:rPr>
            </w:pPr>
          </w:p>
        </w:tc>
        <w:tc>
          <w:tcPr>
            <w:tcW w:w="1518" w:type="dxa"/>
            <w:gridSpan w:val="3"/>
            <w:tcBorders>
              <w:top w:val="single" w:color="auto" w:sz="4" w:space="0"/>
              <w:left w:val="nil"/>
              <w:bottom w:val="single" w:color="auto" w:sz="4" w:space="0"/>
              <w:right w:val="single" w:color="auto" w:sz="4" w:space="0"/>
            </w:tcBorders>
            <w:vAlign w:val="center"/>
          </w:tcPr>
          <w:p w14:paraId="480173E8">
            <w:pPr>
              <w:topLinePunct/>
              <w:adjustRightInd w:val="0"/>
              <w:snapToGrid w:val="0"/>
              <w:spacing w:line="360" w:lineRule="auto"/>
              <w:jc w:val="center"/>
              <w:rPr>
                <w:rFonts w:ascii="宋体" w:hAnsi="宋体"/>
                <w:color w:val="auto"/>
                <w:spacing w:val="4"/>
                <w:szCs w:val="21"/>
                <w:highlight w:val="none"/>
              </w:rPr>
            </w:pPr>
          </w:p>
        </w:tc>
        <w:tc>
          <w:tcPr>
            <w:tcW w:w="1519" w:type="dxa"/>
            <w:gridSpan w:val="2"/>
            <w:tcBorders>
              <w:top w:val="single" w:color="auto" w:sz="4" w:space="0"/>
              <w:left w:val="nil"/>
              <w:bottom w:val="single" w:color="auto" w:sz="4" w:space="0"/>
              <w:right w:val="single" w:color="auto" w:sz="4" w:space="0"/>
            </w:tcBorders>
            <w:vAlign w:val="center"/>
          </w:tcPr>
          <w:p w14:paraId="72F0ED41">
            <w:pPr>
              <w:topLinePunct/>
              <w:adjustRightInd w:val="0"/>
              <w:snapToGrid w:val="0"/>
              <w:spacing w:line="360" w:lineRule="auto"/>
              <w:jc w:val="center"/>
              <w:rPr>
                <w:rFonts w:ascii="宋体" w:hAnsi="宋体"/>
                <w:color w:val="auto"/>
                <w:spacing w:val="4"/>
                <w:szCs w:val="21"/>
                <w:highlight w:val="none"/>
              </w:rPr>
            </w:pPr>
          </w:p>
        </w:tc>
        <w:tc>
          <w:tcPr>
            <w:tcW w:w="1518" w:type="dxa"/>
            <w:gridSpan w:val="3"/>
            <w:tcBorders>
              <w:top w:val="single" w:color="auto" w:sz="4" w:space="0"/>
              <w:left w:val="nil"/>
              <w:bottom w:val="single" w:color="auto" w:sz="4" w:space="0"/>
              <w:right w:val="single" w:color="auto" w:sz="4" w:space="0"/>
            </w:tcBorders>
            <w:vAlign w:val="center"/>
          </w:tcPr>
          <w:p w14:paraId="74A6D18D">
            <w:pPr>
              <w:topLinePunct/>
              <w:adjustRightInd w:val="0"/>
              <w:snapToGrid w:val="0"/>
              <w:spacing w:line="360" w:lineRule="auto"/>
              <w:jc w:val="center"/>
              <w:rPr>
                <w:rFonts w:ascii="宋体" w:hAnsi="宋体"/>
                <w:color w:val="auto"/>
                <w:spacing w:val="4"/>
                <w:szCs w:val="21"/>
                <w:highlight w:val="none"/>
              </w:rPr>
            </w:pPr>
          </w:p>
        </w:tc>
        <w:tc>
          <w:tcPr>
            <w:tcW w:w="1523" w:type="dxa"/>
            <w:gridSpan w:val="2"/>
            <w:tcBorders>
              <w:top w:val="single" w:color="auto" w:sz="4" w:space="0"/>
              <w:left w:val="nil"/>
              <w:bottom w:val="single" w:color="auto" w:sz="4" w:space="0"/>
              <w:right w:val="single" w:color="auto" w:sz="4" w:space="0"/>
            </w:tcBorders>
            <w:vAlign w:val="center"/>
          </w:tcPr>
          <w:p w14:paraId="553DCB02">
            <w:pPr>
              <w:topLinePunct/>
              <w:adjustRightInd w:val="0"/>
              <w:snapToGrid w:val="0"/>
              <w:spacing w:line="360" w:lineRule="auto"/>
              <w:jc w:val="center"/>
              <w:rPr>
                <w:rFonts w:ascii="宋体" w:hAnsi="宋体"/>
                <w:color w:val="auto"/>
                <w:spacing w:val="4"/>
                <w:szCs w:val="21"/>
                <w:highlight w:val="none"/>
              </w:rPr>
            </w:pPr>
          </w:p>
        </w:tc>
      </w:tr>
      <w:tr w14:paraId="685C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519" w:type="dxa"/>
            <w:tcBorders>
              <w:top w:val="single" w:color="auto" w:sz="4" w:space="0"/>
              <w:left w:val="single" w:color="auto" w:sz="4" w:space="0"/>
              <w:bottom w:val="single" w:color="auto" w:sz="4" w:space="0"/>
              <w:right w:val="single" w:color="auto" w:sz="4" w:space="0"/>
            </w:tcBorders>
            <w:vAlign w:val="center"/>
          </w:tcPr>
          <w:p w14:paraId="6873131B">
            <w:pPr>
              <w:topLinePunct/>
              <w:adjustRightInd w:val="0"/>
              <w:snapToGrid w:val="0"/>
              <w:spacing w:line="360" w:lineRule="auto"/>
              <w:jc w:val="center"/>
              <w:rPr>
                <w:rFonts w:ascii="宋体" w:hAnsi="宋体"/>
                <w:color w:val="auto"/>
                <w:spacing w:val="4"/>
                <w:szCs w:val="21"/>
                <w:highlight w:val="none"/>
              </w:rPr>
            </w:pPr>
          </w:p>
        </w:tc>
        <w:tc>
          <w:tcPr>
            <w:tcW w:w="1519" w:type="dxa"/>
            <w:gridSpan w:val="2"/>
            <w:tcBorders>
              <w:top w:val="single" w:color="auto" w:sz="4" w:space="0"/>
              <w:left w:val="nil"/>
              <w:bottom w:val="single" w:color="auto" w:sz="4" w:space="0"/>
              <w:right w:val="single" w:color="auto" w:sz="4" w:space="0"/>
            </w:tcBorders>
            <w:vAlign w:val="center"/>
          </w:tcPr>
          <w:p w14:paraId="654C3824">
            <w:pPr>
              <w:topLinePunct/>
              <w:adjustRightInd w:val="0"/>
              <w:snapToGrid w:val="0"/>
              <w:spacing w:line="360" w:lineRule="auto"/>
              <w:jc w:val="center"/>
              <w:rPr>
                <w:rFonts w:ascii="宋体" w:hAnsi="宋体"/>
                <w:color w:val="auto"/>
                <w:spacing w:val="4"/>
                <w:szCs w:val="21"/>
                <w:highlight w:val="none"/>
              </w:rPr>
            </w:pPr>
          </w:p>
        </w:tc>
        <w:tc>
          <w:tcPr>
            <w:tcW w:w="1518" w:type="dxa"/>
            <w:gridSpan w:val="3"/>
            <w:tcBorders>
              <w:top w:val="single" w:color="auto" w:sz="4" w:space="0"/>
              <w:left w:val="nil"/>
              <w:bottom w:val="single" w:color="auto" w:sz="4" w:space="0"/>
              <w:right w:val="single" w:color="auto" w:sz="4" w:space="0"/>
            </w:tcBorders>
            <w:vAlign w:val="center"/>
          </w:tcPr>
          <w:p w14:paraId="29EB99A4">
            <w:pPr>
              <w:topLinePunct/>
              <w:adjustRightInd w:val="0"/>
              <w:snapToGrid w:val="0"/>
              <w:spacing w:line="360" w:lineRule="auto"/>
              <w:jc w:val="center"/>
              <w:rPr>
                <w:rFonts w:ascii="宋体" w:hAnsi="宋体"/>
                <w:color w:val="auto"/>
                <w:spacing w:val="4"/>
                <w:szCs w:val="21"/>
                <w:highlight w:val="none"/>
              </w:rPr>
            </w:pPr>
          </w:p>
        </w:tc>
        <w:tc>
          <w:tcPr>
            <w:tcW w:w="1519" w:type="dxa"/>
            <w:gridSpan w:val="2"/>
            <w:tcBorders>
              <w:top w:val="single" w:color="auto" w:sz="4" w:space="0"/>
              <w:left w:val="nil"/>
              <w:bottom w:val="single" w:color="auto" w:sz="4" w:space="0"/>
              <w:right w:val="single" w:color="auto" w:sz="4" w:space="0"/>
            </w:tcBorders>
            <w:vAlign w:val="center"/>
          </w:tcPr>
          <w:p w14:paraId="2681F01F">
            <w:pPr>
              <w:topLinePunct/>
              <w:adjustRightInd w:val="0"/>
              <w:snapToGrid w:val="0"/>
              <w:spacing w:line="360" w:lineRule="auto"/>
              <w:jc w:val="center"/>
              <w:rPr>
                <w:rFonts w:ascii="宋体" w:hAnsi="宋体"/>
                <w:color w:val="auto"/>
                <w:spacing w:val="4"/>
                <w:szCs w:val="21"/>
                <w:highlight w:val="none"/>
              </w:rPr>
            </w:pPr>
          </w:p>
        </w:tc>
        <w:tc>
          <w:tcPr>
            <w:tcW w:w="1518" w:type="dxa"/>
            <w:gridSpan w:val="3"/>
            <w:tcBorders>
              <w:top w:val="single" w:color="auto" w:sz="4" w:space="0"/>
              <w:left w:val="nil"/>
              <w:bottom w:val="single" w:color="auto" w:sz="4" w:space="0"/>
              <w:right w:val="single" w:color="auto" w:sz="4" w:space="0"/>
            </w:tcBorders>
            <w:vAlign w:val="center"/>
          </w:tcPr>
          <w:p w14:paraId="38211108">
            <w:pPr>
              <w:topLinePunct/>
              <w:adjustRightInd w:val="0"/>
              <w:snapToGrid w:val="0"/>
              <w:spacing w:line="360" w:lineRule="auto"/>
              <w:jc w:val="center"/>
              <w:rPr>
                <w:rFonts w:ascii="宋体" w:hAnsi="宋体"/>
                <w:color w:val="auto"/>
                <w:spacing w:val="4"/>
                <w:szCs w:val="21"/>
                <w:highlight w:val="none"/>
              </w:rPr>
            </w:pPr>
          </w:p>
        </w:tc>
        <w:tc>
          <w:tcPr>
            <w:tcW w:w="1523" w:type="dxa"/>
            <w:gridSpan w:val="2"/>
            <w:tcBorders>
              <w:top w:val="single" w:color="auto" w:sz="4" w:space="0"/>
              <w:left w:val="nil"/>
              <w:bottom w:val="single" w:color="auto" w:sz="4" w:space="0"/>
              <w:right w:val="single" w:color="auto" w:sz="4" w:space="0"/>
            </w:tcBorders>
            <w:vAlign w:val="center"/>
          </w:tcPr>
          <w:p w14:paraId="6E376E47">
            <w:pPr>
              <w:topLinePunct/>
              <w:adjustRightInd w:val="0"/>
              <w:snapToGrid w:val="0"/>
              <w:spacing w:line="360" w:lineRule="auto"/>
              <w:jc w:val="center"/>
              <w:rPr>
                <w:rFonts w:ascii="宋体" w:hAnsi="宋体"/>
                <w:color w:val="auto"/>
                <w:spacing w:val="4"/>
                <w:szCs w:val="21"/>
                <w:highlight w:val="none"/>
              </w:rPr>
            </w:pPr>
          </w:p>
        </w:tc>
      </w:tr>
      <w:tr w14:paraId="08FA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519" w:type="dxa"/>
            <w:tcBorders>
              <w:top w:val="single" w:color="auto" w:sz="4" w:space="0"/>
              <w:left w:val="single" w:color="auto" w:sz="4" w:space="0"/>
              <w:bottom w:val="single" w:color="auto" w:sz="4" w:space="0"/>
              <w:right w:val="single" w:color="auto" w:sz="4" w:space="0"/>
            </w:tcBorders>
            <w:vAlign w:val="center"/>
          </w:tcPr>
          <w:p w14:paraId="434781A5">
            <w:pPr>
              <w:topLinePunct/>
              <w:adjustRightInd w:val="0"/>
              <w:snapToGrid w:val="0"/>
              <w:spacing w:line="360" w:lineRule="auto"/>
              <w:jc w:val="center"/>
              <w:rPr>
                <w:rFonts w:ascii="宋体" w:hAnsi="宋体"/>
                <w:color w:val="auto"/>
                <w:spacing w:val="4"/>
                <w:szCs w:val="21"/>
                <w:highlight w:val="none"/>
              </w:rPr>
            </w:pPr>
          </w:p>
        </w:tc>
        <w:tc>
          <w:tcPr>
            <w:tcW w:w="1519" w:type="dxa"/>
            <w:gridSpan w:val="2"/>
            <w:tcBorders>
              <w:top w:val="single" w:color="auto" w:sz="4" w:space="0"/>
              <w:left w:val="nil"/>
              <w:bottom w:val="single" w:color="auto" w:sz="4" w:space="0"/>
              <w:right w:val="single" w:color="auto" w:sz="4" w:space="0"/>
            </w:tcBorders>
            <w:vAlign w:val="center"/>
          </w:tcPr>
          <w:p w14:paraId="63CFFECF">
            <w:pPr>
              <w:topLinePunct/>
              <w:adjustRightInd w:val="0"/>
              <w:snapToGrid w:val="0"/>
              <w:spacing w:line="360" w:lineRule="auto"/>
              <w:jc w:val="center"/>
              <w:rPr>
                <w:rFonts w:ascii="宋体" w:hAnsi="宋体"/>
                <w:color w:val="auto"/>
                <w:spacing w:val="4"/>
                <w:szCs w:val="21"/>
                <w:highlight w:val="none"/>
              </w:rPr>
            </w:pPr>
          </w:p>
        </w:tc>
        <w:tc>
          <w:tcPr>
            <w:tcW w:w="1518" w:type="dxa"/>
            <w:gridSpan w:val="3"/>
            <w:tcBorders>
              <w:top w:val="single" w:color="auto" w:sz="4" w:space="0"/>
              <w:left w:val="nil"/>
              <w:bottom w:val="single" w:color="auto" w:sz="4" w:space="0"/>
              <w:right w:val="single" w:color="auto" w:sz="4" w:space="0"/>
            </w:tcBorders>
            <w:vAlign w:val="center"/>
          </w:tcPr>
          <w:p w14:paraId="3CAE96F1">
            <w:pPr>
              <w:topLinePunct/>
              <w:adjustRightInd w:val="0"/>
              <w:snapToGrid w:val="0"/>
              <w:spacing w:line="360" w:lineRule="auto"/>
              <w:jc w:val="center"/>
              <w:rPr>
                <w:rFonts w:ascii="宋体" w:hAnsi="宋体"/>
                <w:color w:val="auto"/>
                <w:spacing w:val="4"/>
                <w:szCs w:val="21"/>
                <w:highlight w:val="none"/>
              </w:rPr>
            </w:pPr>
          </w:p>
        </w:tc>
        <w:tc>
          <w:tcPr>
            <w:tcW w:w="1519" w:type="dxa"/>
            <w:gridSpan w:val="2"/>
            <w:tcBorders>
              <w:top w:val="single" w:color="auto" w:sz="4" w:space="0"/>
              <w:left w:val="nil"/>
              <w:bottom w:val="single" w:color="auto" w:sz="4" w:space="0"/>
              <w:right w:val="single" w:color="auto" w:sz="4" w:space="0"/>
            </w:tcBorders>
            <w:vAlign w:val="center"/>
          </w:tcPr>
          <w:p w14:paraId="493C4F69">
            <w:pPr>
              <w:topLinePunct/>
              <w:adjustRightInd w:val="0"/>
              <w:snapToGrid w:val="0"/>
              <w:spacing w:line="360" w:lineRule="auto"/>
              <w:jc w:val="center"/>
              <w:rPr>
                <w:rFonts w:ascii="宋体" w:hAnsi="宋体"/>
                <w:color w:val="auto"/>
                <w:spacing w:val="4"/>
                <w:szCs w:val="21"/>
                <w:highlight w:val="none"/>
              </w:rPr>
            </w:pPr>
          </w:p>
        </w:tc>
        <w:tc>
          <w:tcPr>
            <w:tcW w:w="1518" w:type="dxa"/>
            <w:gridSpan w:val="3"/>
            <w:tcBorders>
              <w:top w:val="single" w:color="auto" w:sz="4" w:space="0"/>
              <w:left w:val="nil"/>
              <w:bottom w:val="single" w:color="auto" w:sz="4" w:space="0"/>
              <w:right w:val="single" w:color="auto" w:sz="4" w:space="0"/>
            </w:tcBorders>
            <w:vAlign w:val="center"/>
          </w:tcPr>
          <w:p w14:paraId="07F00F6C">
            <w:pPr>
              <w:topLinePunct/>
              <w:adjustRightInd w:val="0"/>
              <w:snapToGrid w:val="0"/>
              <w:spacing w:line="360" w:lineRule="auto"/>
              <w:jc w:val="center"/>
              <w:rPr>
                <w:rFonts w:ascii="宋体" w:hAnsi="宋体"/>
                <w:color w:val="auto"/>
                <w:spacing w:val="4"/>
                <w:szCs w:val="21"/>
                <w:highlight w:val="none"/>
              </w:rPr>
            </w:pPr>
          </w:p>
        </w:tc>
        <w:tc>
          <w:tcPr>
            <w:tcW w:w="1523" w:type="dxa"/>
            <w:gridSpan w:val="2"/>
            <w:tcBorders>
              <w:top w:val="single" w:color="auto" w:sz="4" w:space="0"/>
              <w:left w:val="nil"/>
              <w:bottom w:val="single" w:color="auto" w:sz="4" w:space="0"/>
              <w:right w:val="single" w:color="auto" w:sz="4" w:space="0"/>
            </w:tcBorders>
            <w:vAlign w:val="center"/>
          </w:tcPr>
          <w:p w14:paraId="3DCD731D">
            <w:pPr>
              <w:topLinePunct/>
              <w:adjustRightInd w:val="0"/>
              <w:snapToGrid w:val="0"/>
              <w:spacing w:line="360" w:lineRule="auto"/>
              <w:jc w:val="center"/>
              <w:rPr>
                <w:rFonts w:ascii="宋体" w:hAnsi="宋体"/>
                <w:color w:val="auto"/>
                <w:spacing w:val="4"/>
                <w:szCs w:val="21"/>
                <w:highlight w:val="none"/>
              </w:rPr>
            </w:pPr>
          </w:p>
        </w:tc>
      </w:tr>
    </w:tbl>
    <w:p w14:paraId="129D3C81">
      <w:pPr>
        <w:pStyle w:val="14"/>
        <w:ind w:firstLine="0"/>
        <w:rPr>
          <w:rFonts w:ascii="宋体" w:hAnsi="宋体"/>
          <w:color w:val="auto"/>
          <w:highlight w:val="none"/>
        </w:rPr>
      </w:pPr>
      <w:r>
        <w:rPr>
          <w:rFonts w:hint="eastAsia" w:ascii="宋体" w:hAnsi="宋体"/>
          <w:color w:val="auto"/>
          <w:highlight w:val="none"/>
        </w:rPr>
        <w:t>注：投入主要人员（项目负责人、施工技术负责人、设计负责人）需填写本表并后附相关证明材料（包括但不限于人员职称证、注册证书等），其他人员简历自拟。</w:t>
      </w:r>
    </w:p>
    <w:p w14:paraId="7B5C7CDE">
      <w:pPr>
        <w:tabs>
          <w:tab w:val="left" w:pos="7655"/>
        </w:tabs>
        <w:spacing w:line="360" w:lineRule="auto"/>
        <w:ind w:firstLine="1656" w:firstLineChars="600"/>
        <w:jc w:val="left"/>
        <w:rPr>
          <w:rFonts w:ascii="宋体" w:hAnsi="宋体" w:cs="宋体"/>
          <w:color w:val="auto"/>
          <w:spacing w:val="18"/>
          <w:kern w:val="1"/>
          <w:sz w:val="24"/>
          <w:highlight w:val="none"/>
          <w:lang w:val="zh-CN"/>
        </w:rPr>
      </w:pPr>
    </w:p>
    <w:p w14:paraId="2E2B8D30">
      <w:pPr>
        <w:tabs>
          <w:tab w:val="left" w:pos="7655"/>
        </w:tabs>
        <w:spacing w:line="360" w:lineRule="auto"/>
        <w:ind w:firstLine="1656" w:firstLineChars="600"/>
        <w:jc w:val="left"/>
        <w:rPr>
          <w:rFonts w:ascii="宋体" w:hAnsi="宋体" w:cs="宋体"/>
          <w:color w:val="auto"/>
          <w:spacing w:val="18"/>
          <w:kern w:val="1"/>
          <w:sz w:val="24"/>
          <w:highlight w:val="none"/>
        </w:rPr>
      </w:pPr>
      <w:r>
        <w:rPr>
          <w:rFonts w:hint="eastAsia" w:ascii="宋体" w:hAnsi="宋体" w:cs="宋体"/>
          <w:color w:val="auto"/>
          <w:spacing w:val="18"/>
          <w:kern w:val="1"/>
          <w:sz w:val="24"/>
          <w:highlight w:val="none"/>
          <w:lang w:val="zh-CN"/>
        </w:rPr>
        <w:t>投标人：(盖章)</w:t>
      </w:r>
    </w:p>
    <w:p w14:paraId="752A8006">
      <w:pPr>
        <w:tabs>
          <w:tab w:val="left" w:pos="7655"/>
        </w:tabs>
        <w:spacing w:line="360" w:lineRule="auto"/>
        <w:ind w:firstLine="1656" w:firstLineChars="600"/>
        <w:jc w:val="left"/>
        <w:rPr>
          <w:rFonts w:ascii="宋体" w:hAnsi="宋体" w:cs="宋体"/>
          <w:color w:val="auto"/>
          <w:spacing w:val="18"/>
          <w:kern w:val="1"/>
          <w:sz w:val="24"/>
          <w:highlight w:val="none"/>
          <w:lang w:val="zh-CN"/>
        </w:rPr>
      </w:pPr>
      <w:r>
        <w:rPr>
          <w:rFonts w:hint="eastAsia" w:ascii="宋体" w:hAnsi="宋体" w:cs="宋体"/>
          <w:color w:val="auto"/>
          <w:spacing w:val="18"/>
          <w:kern w:val="1"/>
          <w:sz w:val="24"/>
          <w:highlight w:val="none"/>
          <w:lang w:val="zh-CN"/>
        </w:rPr>
        <w:t>日期： 年 月 日</w:t>
      </w:r>
    </w:p>
    <w:p w14:paraId="497281E6">
      <w:pPr>
        <w:pStyle w:val="14"/>
        <w:ind w:firstLine="0"/>
        <w:rPr>
          <w:rFonts w:ascii="宋体" w:hAnsi="宋体" w:cs="宋体"/>
          <w:color w:val="auto"/>
          <w:szCs w:val="21"/>
          <w:highlight w:val="none"/>
        </w:rPr>
      </w:pPr>
    </w:p>
    <w:p w14:paraId="14CAF482">
      <w:pPr>
        <w:pStyle w:val="14"/>
        <w:ind w:firstLine="0"/>
        <w:rPr>
          <w:rFonts w:ascii="宋体" w:hAnsi="宋体" w:cs="宋体"/>
          <w:color w:val="auto"/>
          <w:szCs w:val="21"/>
          <w:highlight w:val="none"/>
        </w:rPr>
      </w:pPr>
    </w:p>
    <w:p w14:paraId="1B8B4D20">
      <w:pPr>
        <w:pStyle w:val="14"/>
        <w:ind w:firstLine="0"/>
        <w:rPr>
          <w:rFonts w:ascii="宋体" w:hAnsi="宋体" w:cs="宋体"/>
          <w:color w:val="auto"/>
          <w:highlight w:val="none"/>
        </w:rPr>
      </w:pPr>
    </w:p>
    <w:p w14:paraId="1A027988">
      <w:pPr>
        <w:outlineLvl w:val="1"/>
        <w:rPr>
          <w:rFonts w:ascii="宋体" w:hAnsi="宋体" w:cs="宋体"/>
          <w:b/>
          <w:color w:val="auto"/>
          <w:kern w:val="1"/>
          <w:szCs w:val="21"/>
          <w:highlight w:val="none"/>
          <w:lang w:val="zh-CN"/>
        </w:rPr>
      </w:pPr>
      <w:r>
        <w:rPr>
          <w:rFonts w:hint="eastAsia" w:ascii="宋体" w:hAnsi="宋体" w:cs="宋体"/>
          <w:color w:val="auto"/>
          <w:kern w:val="1"/>
          <w:highlight w:val="none"/>
        </w:rPr>
        <w:br w:type="page"/>
      </w:r>
      <w:bookmarkStart w:id="610" w:name="_Toc123901767"/>
      <w:bookmarkStart w:id="611" w:name="_Toc116461805"/>
      <w:r>
        <w:rPr>
          <w:rFonts w:hint="eastAsia" w:ascii="宋体" w:hAnsi="宋体" w:cs="宋体"/>
          <w:b/>
          <w:color w:val="auto"/>
          <w:kern w:val="1"/>
          <w:szCs w:val="21"/>
          <w:highlight w:val="none"/>
          <w:lang w:val="zh-CN"/>
        </w:rPr>
        <w:t>格式8：</w:t>
      </w:r>
      <w:bookmarkEnd w:id="610"/>
      <w:bookmarkEnd w:id="611"/>
      <w:r>
        <w:rPr>
          <w:rFonts w:hint="eastAsia" w:ascii="宋体" w:hAnsi="宋体" w:cs="宋体"/>
          <w:b/>
          <w:color w:val="auto"/>
          <w:kern w:val="1"/>
          <w:szCs w:val="21"/>
          <w:highlight w:val="none"/>
          <w:lang w:val="zh-CN"/>
        </w:rPr>
        <w:t>工程总承包实施方案</w:t>
      </w:r>
    </w:p>
    <w:p w14:paraId="607278DC">
      <w:pPr>
        <w:spacing w:line="360" w:lineRule="auto"/>
        <w:rPr>
          <w:rFonts w:ascii="宋体" w:hAnsi="宋体" w:cs="宋体"/>
          <w:b/>
          <w:bCs/>
          <w:color w:val="auto"/>
          <w:kern w:val="1"/>
          <w:sz w:val="24"/>
          <w:highlight w:val="none"/>
          <w:lang w:val="zh-CN"/>
        </w:rPr>
      </w:pPr>
      <w:bookmarkStart w:id="612" w:name="_Hlk116425395"/>
    </w:p>
    <w:p w14:paraId="1642596F">
      <w:pPr>
        <w:spacing w:line="360" w:lineRule="auto"/>
        <w:rPr>
          <w:rFonts w:ascii="宋体" w:hAnsi="宋体" w:cs="宋体"/>
          <w:b/>
          <w:color w:val="auto"/>
          <w:spacing w:val="20"/>
          <w:kern w:val="1"/>
          <w:highlight w:val="none"/>
        </w:rPr>
      </w:pPr>
      <w:r>
        <w:rPr>
          <w:rFonts w:hint="eastAsia" w:ascii="宋体" w:hAnsi="宋体" w:cs="宋体"/>
          <w:b/>
          <w:bCs/>
          <w:color w:val="auto"/>
          <w:sz w:val="28"/>
          <w:highlight w:val="none"/>
        </w:rPr>
        <w:t>工程总承包实施方案</w:t>
      </w:r>
      <w:r>
        <w:rPr>
          <w:rFonts w:hint="eastAsia" w:ascii="宋体" w:hAnsi="宋体" w:cs="宋体"/>
          <w:b/>
          <w:bCs/>
          <w:color w:val="auto"/>
          <w:sz w:val="28"/>
          <w:highlight w:val="none"/>
          <w:lang w:val="zh-CN"/>
        </w:rPr>
        <w:t>（</w:t>
      </w:r>
      <w:r>
        <w:rPr>
          <w:rFonts w:hint="eastAsia" w:ascii="宋体" w:hAnsi="宋体" w:cs="宋体"/>
          <w:b/>
          <w:bCs/>
          <w:color w:val="auto"/>
          <w:sz w:val="28"/>
          <w:highlight w:val="none"/>
        </w:rPr>
        <w:t>内容格式自拟</w:t>
      </w:r>
      <w:r>
        <w:rPr>
          <w:rFonts w:hint="eastAsia" w:ascii="宋体" w:hAnsi="宋体" w:cs="宋体"/>
          <w:b/>
          <w:bCs/>
          <w:color w:val="auto"/>
          <w:kern w:val="1"/>
          <w:sz w:val="24"/>
          <w:highlight w:val="none"/>
          <w:lang w:val="zh-CN"/>
        </w:rPr>
        <w:t>）</w:t>
      </w:r>
    </w:p>
    <w:p w14:paraId="65F0796F">
      <w:pPr>
        <w:pStyle w:val="14"/>
        <w:ind w:firstLine="428"/>
        <w:rPr>
          <w:rFonts w:ascii="宋体" w:hAnsi="宋体"/>
          <w:color w:val="auto"/>
          <w:highlight w:val="none"/>
        </w:rPr>
      </w:pPr>
    </w:p>
    <w:p w14:paraId="3843220C">
      <w:pPr>
        <w:spacing w:line="360" w:lineRule="auto"/>
        <w:jc w:val="center"/>
        <w:rPr>
          <w:rFonts w:ascii="宋体" w:hAnsi="宋体" w:cs="宋体"/>
          <w:b/>
          <w:bCs/>
          <w:color w:val="auto"/>
          <w:kern w:val="1"/>
          <w:sz w:val="32"/>
          <w:szCs w:val="32"/>
          <w:highlight w:val="none"/>
        </w:rPr>
      </w:pPr>
    </w:p>
    <w:p w14:paraId="1AD4DA8C">
      <w:pPr>
        <w:outlineLvl w:val="1"/>
        <w:rPr>
          <w:rFonts w:ascii="宋体" w:hAnsi="宋体" w:cs="宋体"/>
          <w:b/>
          <w:color w:val="auto"/>
          <w:kern w:val="1"/>
          <w:szCs w:val="21"/>
          <w:highlight w:val="none"/>
          <w:lang w:val="zh-CN"/>
        </w:rPr>
      </w:pPr>
      <w:r>
        <w:rPr>
          <w:rFonts w:ascii="宋体" w:hAnsi="宋体" w:cs="宋体"/>
          <w:b/>
          <w:bCs/>
          <w:color w:val="auto"/>
          <w:kern w:val="1"/>
          <w:sz w:val="32"/>
          <w:szCs w:val="32"/>
          <w:highlight w:val="none"/>
          <w:lang w:val="zh-CN"/>
        </w:rPr>
        <w:br w:type="page"/>
      </w:r>
      <w:bookmarkEnd w:id="612"/>
      <w:bookmarkStart w:id="613" w:name="_Toc123901769"/>
      <w:bookmarkStart w:id="614" w:name="_Toc116461807"/>
      <w:r>
        <w:rPr>
          <w:rFonts w:hint="eastAsia" w:ascii="宋体" w:hAnsi="宋体" w:cs="宋体"/>
          <w:b/>
          <w:color w:val="auto"/>
          <w:kern w:val="1"/>
          <w:szCs w:val="21"/>
          <w:highlight w:val="none"/>
          <w:lang w:val="zh-CN"/>
        </w:rPr>
        <w:t>格式</w:t>
      </w:r>
      <w:r>
        <w:rPr>
          <w:rFonts w:hint="eastAsia" w:ascii="宋体" w:hAnsi="宋体" w:cs="宋体"/>
          <w:b/>
          <w:color w:val="auto"/>
          <w:kern w:val="1"/>
          <w:szCs w:val="21"/>
          <w:highlight w:val="none"/>
          <w:lang w:val="en-US" w:eastAsia="zh-CN"/>
        </w:rPr>
        <w:t>9</w:t>
      </w:r>
      <w:r>
        <w:rPr>
          <w:rFonts w:hint="eastAsia" w:ascii="宋体" w:hAnsi="宋体" w:cs="宋体"/>
          <w:b/>
          <w:color w:val="auto"/>
          <w:kern w:val="1"/>
          <w:szCs w:val="21"/>
          <w:highlight w:val="none"/>
          <w:lang w:val="zh-CN"/>
        </w:rPr>
        <w:t>：投标文件编制人员名单</w:t>
      </w:r>
      <w:bookmarkEnd w:id="613"/>
      <w:bookmarkEnd w:id="614"/>
    </w:p>
    <w:p w14:paraId="32553491">
      <w:pPr>
        <w:spacing w:line="360" w:lineRule="auto"/>
        <w:jc w:val="center"/>
        <w:rPr>
          <w:rFonts w:ascii="宋体" w:hAnsi="宋体" w:cs="宋体"/>
          <w:b/>
          <w:bCs/>
          <w:color w:val="auto"/>
          <w:kern w:val="1"/>
          <w:sz w:val="32"/>
          <w:szCs w:val="32"/>
          <w:highlight w:val="none"/>
          <w:lang w:val="zh-CN"/>
        </w:rPr>
      </w:pPr>
    </w:p>
    <w:p w14:paraId="4AB1D34A">
      <w:pPr>
        <w:spacing w:line="360" w:lineRule="auto"/>
        <w:jc w:val="center"/>
        <w:rPr>
          <w:rFonts w:ascii="宋体" w:hAnsi="宋体" w:cs="宋体"/>
          <w:b/>
          <w:bCs/>
          <w:color w:val="auto"/>
          <w:kern w:val="1"/>
          <w:sz w:val="32"/>
          <w:szCs w:val="32"/>
          <w:highlight w:val="none"/>
          <w:lang w:val="zh-CN"/>
        </w:rPr>
      </w:pPr>
      <w:r>
        <w:rPr>
          <w:rFonts w:hint="eastAsia" w:ascii="宋体" w:hAnsi="宋体" w:cs="宋体"/>
          <w:b/>
          <w:bCs/>
          <w:color w:val="auto"/>
          <w:kern w:val="1"/>
          <w:sz w:val="32"/>
          <w:szCs w:val="32"/>
          <w:highlight w:val="none"/>
          <w:lang w:val="zh-CN"/>
        </w:rPr>
        <w:t>投标文件编制人员名单</w:t>
      </w:r>
    </w:p>
    <w:tbl>
      <w:tblPr>
        <w:tblStyle w:val="45"/>
        <w:tblW w:w="5000" w:type="pct"/>
        <w:jc w:val="center"/>
        <w:tblLayout w:type="autofit"/>
        <w:tblCellMar>
          <w:top w:w="0" w:type="dxa"/>
          <w:left w:w="108" w:type="dxa"/>
          <w:bottom w:w="0" w:type="dxa"/>
          <w:right w:w="108" w:type="dxa"/>
        </w:tblCellMar>
      </w:tblPr>
      <w:tblGrid>
        <w:gridCol w:w="1287"/>
        <w:gridCol w:w="1497"/>
        <w:gridCol w:w="2563"/>
        <w:gridCol w:w="2458"/>
        <w:gridCol w:w="1483"/>
      </w:tblGrid>
      <w:tr w14:paraId="3423A0A1">
        <w:tblPrEx>
          <w:tblCellMar>
            <w:top w:w="0" w:type="dxa"/>
            <w:left w:w="108" w:type="dxa"/>
            <w:bottom w:w="0" w:type="dxa"/>
            <w:right w:w="108" w:type="dxa"/>
          </w:tblCellMar>
        </w:tblPrEx>
        <w:trPr>
          <w:trHeight w:val="318"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7A13E324">
            <w:pPr>
              <w:tabs>
                <w:tab w:val="left" w:pos="720"/>
              </w:tabs>
              <w:spacing w:line="360" w:lineRule="auto"/>
              <w:rPr>
                <w:rFonts w:ascii="宋体" w:hAnsi="宋体" w:cs="宋体"/>
                <w:color w:val="auto"/>
                <w:szCs w:val="21"/>
                <w:highlight w:val="none"/>
              </w:rPr>
            </w:pPr>
            <w:r>
              <w:rPr>
                <w:rFonts w:hint="eastAsia" w:ascii="宋体" w:hAnsi="宋体" w:cs="宋体"/>
                <w:color w:val="auto"/>
                <w:szCs w:val="21"/>
                <w:highlight w:val="none"/>
              </w:rPr>
              <w:t>投标单位名称：</w:t>
            </w:r>
          </w:p>
        </w:tc>
      </w:tr>
      <w:tr w14:paraId="629A61B7">
        <w:tblPrEx>
          <w:tblCellMar>
            <w:top w:w="0" w:type="dxa"/>
            <w:left w:w="108" w:type="dxa"/>
            <w:bottom w:w="0" w:type="dxa"/>
            <w:right w:w="108" w:type="dxa"/>
          </w:tblCellMar>
        </w:tblPrEx>
        <w:trPr>
          <w:trHeight w:val="212" w:hRule="atLeast"/>
          <w:jc w:val="center"/>
        </w:trPr>
        <w:tc>
          <w:tcPr>
            <w:tcW w:w="693" w:type="pct"/>
            <w:tcBorders>
              <w:top w:val="single" w:color="auto" w:sz="4" w:space="0"/>
              <w:left w:val="single" w:color="auto" w:sz="4" w:space="0"/>
              <w:bottom w:val="single" w:color="auto" w:sz="4" w:space="0"/>
              <w:right w:val="single" w:color="auto" w:sz="4" w:space="0"/>
            </w:tcBorders>
            <w:vAlign w:val="center"/>
          </w:tcPr>
          <w:p w14:paraId="6B833F90">
            <w:pPr>
              <w:tabs>
                <w:tab w:val="left" w:pos="7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806" w:type="pct"/>
            <w:tcBorders>
              <w:top w:val="single" w:color="auto" w:sz="4" w:space="0"/>
              <w:left w:val="single" w:color="auto" w:sz="4" w:space="0"/>
              <w:bottom w:val="single" w:color="auto" w:sz="4" w:space="0"/>
              <w:right w:val="single" w:color="auto" w:sz="4" w:space="0"/>
            </w:tcBorders>
            <w:vAlign w:val="center"/>
          </w:tcPr>
          <w:p w14:paraId="6BF853E8">
            <w:pPr>
              <w:tabs>
                <w:tab w:val="left" w:pos="7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380" w:type="pct"/>
            <w:tcBorders>
              <w:top w:val="single" w:color="auto" w:sz="4" w:space="0"/>
              <w:left w:val="single" w:color="auto" w:sz="4" w:space="0"/>
              <w:bottom w:val="single" w:color="auto" w:sz="4" w:space="0"/>
              <w:right w:val="single" w:color="auto" w:sz="4" w:space="0"/>
            </w:tcBorders>
            <w:vAlign w:val="center"/>
          </w:tcPr>
          <w:p w14:paraId="5DDDD0A5">
            <w:pPr>
              <w:tabs>
                <w:tab w:val="left" w:pos="7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所承担工作</w:t>
            </w:r>
          </w:p>
        </w:tc>
        <w:tc>
          <w:tcPr>
            <w:tcW w:w="1323" w:type="pct"/>
            <w:tcBorders>
              <w:top w:val="single" w:color="auto" w:sz="4" w:space="0"/>
              <w:left w:val="single" w:color="auto" w:sz="4" w:space="0"/>
              <w:bottom w:val="single" w:color="auto" w:sz="4" w:space="0"/>
              <w:right w:val="single" w:color="auto" w:sz="4" w:space="0"/>
            </w:tcBorders>
            <w:vAlign w:val="center"/>
          </w:tcPr>
          <w:p w14:paraId="2B0D40C8">
            <w:pPr>
              <w:tabs>
                <w:tab w:val="left" w:pos="7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身份证号码</w:t>
            </w:r>
          </w:p>
        </w:tc>
        <w:tc>
          <w:tcPr>
            <w:tcW w:w="796" w:type="pct"/>
            <w:tcBorders>
              <w:top w:val="single" w:color="auto" w:sz="4" w:space="0"/>
              <w:left w:val="single" w:color="auto" w:sz="4" w:space="0"/>
              <w:bottom w:val="single" w:color="auto" w:sz="4" w:space="0"/>
              <w:right w:val="single" w:color="auto" w:sz="4" w:space="0"/>
            </w:tcBorders>
            <w:vAlign w:val="center"/>
          </w:tcPr>
          <w:p w14:paraId="204941CD">
            <w:pPr>
              <w:tabs>
                <w:tab w:val="left" w:pos="7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本人签名栏</w:t>
            </w:r>
          </w:p>
        </w:tc>
      </w:tr>
      <w:tr w14:paraId="1E97DFCC">
        <w:tblPrEx>
          <w:tblCellMar>
            <w:top w:w="0" w:type="dxa"/>
            <w:left w:w="108" w:type="dxa"/>
            <w:bottom w:w="0" w:type="dxa"/>
            <w:right w:w="108" w:type="dxa"/>
          </w:tblCellMar>
        </w:tblPrEx>
        <w:trPr>
          <w:trHeight w:val="58" w:hRule="atLeast"/>
          <w:jc w:val="center"/>
        </w:trPr>
        <w:tc>
          <w:tcPr>
            <w:tcW w:w="693" w:type="pct"/>
            <w:tcBorders>
              <w:top w:val="single" w:color="auto" w:sz="4" w:space="0"/>
              <w:left w:val="single" w:color="auto" w:sz="4" w:space="0"/>
              <w:bottom w:val="single" w:color="auto" w:sz="4" w:space="0"/>
              <w:right w:val="single" w:color="auto" w:sz="4" w:space="0"/>
            </w:tcBorders>
            <w:vAlign w:val="center"/>
          </w:tcPr>
          <w:p w14:paraId="5930CAAC">
            <w:pPr>
              <w:tabs>
                <w:tab w:val="left" w:pos="720"/>
              </w:tabs>
              <w:spacing w:line="360" w:lineRule="auto"/>
              <w:jc w:val="center"/>
              <w:rPr>
                <w:rFonts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05FDAE5B">
            <w:pPr>
              <w:tabs>
                <w:tab w:val="left" w:pos="720"/>
              </w:tabs>
              <w:spacing w:line="360" w:lineRule="auto"/>
              <w:jc w:val="center"/>
              <w:rPr>
                <w:rFonts w:ascii="宋体" w:hAnsi="宋体" w:cs="宋体"/>
                <w:color w:val="auto"/>
                <w:szCs w:val="21"/>
                <w:highlight w:val="none"/>
              </w:rPr>
            </w:pPr>
          </w:p>
        </w:tc>
        <w:tc>
          <w:tcPr>
            <w:tcW w:w="1380" w:type="pct"/>
            <w:tcBorders>
              <w:top w:val="single" w:color="auto" w:sz="4" w:space="0"/>
              <w:left w:val="single" w:color="auto" w:sz="4" w:space="0"/>
              <w:bottom w:val="single" w:color="auto" w:sz="4" w:space="0"/>
              <w:right w:val="single" w:color="auto" w:sz="4" w:space="0"/>
            </w:tcBorders>
            <w:vAlign w:val="center"/>
          </w:tcPr>
          <w:p w14:paraId="5F06DBC5">
            <w:pPr>
              <w:tabs>
                <w:tab w:val="left" w:pos="720"/>
              </w:tabs>
              <w:spacing w:line="360" w:lineRule="auto"/>
              <w:jc w:val="center"/>
              <w:rPr>
                <w:rFonts w:ascii="宋体" w:hAnsi="宋体" w:cs="宋体"/>
                <w:color w:val="auto"/>
                <w:szCs w:val="21"/>
                <w:highlight w:val="none"/>
              </w:rPr>
            </w:pPr>
          </w:p>
        </w:tc>
        <w:tc>
          <w:tcPr>
            <w:tcW w:w="1323" w:type="pct"/>
            <w:tcBorders>
              <w:top w:val="single" w:color="auto" w:sz="4" w:space="0"/>
              <w:left w:val="single" w:color="auto" w:sz="4" w:space="0"/>
              <w:bottom w:val="single" w:color="auto" w:sz="4" w:space="0"/>
              <w:right w:val="single" w:color="auto" w:sz="4" w:space="0"/>
            </w:tcBorders>
            <w:vAlign w:val="center"/>
          </w:tcPr>
          <w:p w14:paraId="22396A82">
            <w:pPr>
              <w:tabs>
                <w:tab w:val="left" w:pos="720"/>
              </w:tabs>
              <w:spacing w:line="360" w:lineRule="auto"/>
              <w:jc w:val="center"/>
              <w:rPr>
                <w:rFonts w:ascii="宋体" w:hAnsi="宋体" w:cs="宋体"/>
                <w:color w:val="auto"/>
                <w:szCs w:val="21"/>
                <w:highlight w:val="none"/>
              </w:rPr>
            </w:pPr>
          </w:p>
        </w:tc>
        <w:tc>
          <w:tcPr>
            <w:tcW w:w="796" w:type="pct"/>
            <w:tcBorders>
              <w:top w:val="single" w:color="auto" w:sz="4" w:space="0"/>
              <w:left w:val="single" w:color="auto" w:sz="4" w:space="0"/>
              <w:bottom w:val="single" w:color="auto" w:sz="4" w:space="0"/>
              <w:right w:val="single" w:color="auto" w:sz="4" w:space="0"/>
            </w:tcBorders>
            <w:vAlign w:val="center"/>
          </w:tcPr>
          <w:p w14:paraId="37B1853C">
            <w:pPr>
              <w:tabs>
                <w:tab w:val="left" w:pos="720"/>
              </w:tabs>
              <w:spacing w:line="360" w:lineRule="auto"/>
              <w:jc w:val="center"/>
              <w:rPr>
                <w:rFonts w:ascii="宋体" w:hAnsi="宋体" w:cs="宋体"/>
                <w:color w:val="auto"/>
                <w:szCs w:val="21"/>
                <w:highlight w:val="none"/>
              </w:rPr>
            </w:pPr>
          </w:p>
        </w:tc>
      </w:tr>
      <w:tr w14:paraId="0EF06762">
        <w:tblPrEx>
          <w:tblCellMar>
            <w:top w:w="0" w:type="dxa"/>
            <w:left w:w="108" w:type="dxa"/>
            <w:bottom w:w="0" w:type="dxa"/>
            <w:right w:w="108" w:type="dxa"/>
          </w:tblCellMar>
        </w:tblPrEx>
        <w:trPr>
          <w:trHeight w:val="162" w:hRule="atLeast"/>
          <w:jc w:val="center"/>
        </w:trPr>
        <w:tc>
          <w:tcPr>
            <w:tcW w:w="693" w:type="pct"/>
            <w:tcBorders>
              <w:top w:val="single" w:color="auto" w:sz="4" w:space="0"/>
              <w:left w:val="single" w:color="auto" w:sz="4" w:space="0"/>
              <w:bottom w:val="single" w:color="auto" w:sz="4" w:space="0"/>
              <w:right w:val="single" w:color="auto" w:sz="4" w:space="0"/>
            </w:tcBorders>
            <w:vAlign w:val="center"/>
          </w:tcPr>
          <w:p w14:paraId="57D534BE">
            <w:pPr>
              <w:tabs>
                <w:tab w:val="left" w:pos="720"/>
              </w:tabs>
              <w:spacing w:line="360" w:lineRule="auto"/>
              <w:jc w:val="center"/>
              <w:rPr>
                <w:rFonts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033C9AE1">
            <w:pPr>
              <w:tabs>
                <w:tab w:val="left" w:pos="720"/>
              </w:tabs>
              <w:spacing w:line="360" w:lineRule="auto"/>
              <w:jc w:val="center"/>
              <w:rPr>
                <w:rFonts w:ascii="宋体" w:hAnsi="宋体" w:cs="宋体"/>
                <w:color w:val="auto"/>
                <w:szCs w:val="21"/>
                <w:highlight w:val="none"/>
              </w:rPr>
            </w:pPr>
          </w:p>
        </w:tc>
        <w:tc>
          <w:tcPr>
            <w:tcW w:w="1380" w:type="pct"/>
            <w:tcBorders>
              <w:top w:val="single" w:color="auto" w:sz="4" w:space="0"/>
              <w:left w:val="single" w:color="auto" w:sz="4" w:space="0"/>
              <w:bottom w:val="single" w:color="auto" w:sz="4" w:space="0"/>
              <w:right w:val="single" w:color="auto" w:sz="4" w:space="0"/>
            </w:tcBorders>
            <w:vAlign w:val="center"/>
          </w:tcPr>
          <w:p w14:paraId="2F68BFC1">
            <w:pPr>
              <w:tabs>
                <w:tab w:val="left" w:pos="720"/>
              </w:tabs>
              <w:spacing w:line="360" w:lineRule="auto"/>
              <w:jc w:val="center"/>
              <w:rPr>
                <w:rFonts w:ascii="宋体" w:hAnsi="宋体" w:cs="宋体"/>
                <w:color w:val="auto"/>
                <w:szCs w:val="21"/>
                <w:highlight w:val="none"/>
              </w:rPr>
            </w:pPr>
          </w:p>
        </w:tc>
        <w:tc>
          <w:tcPr>
            <w:tcW w:w="1323" w:type="pct"/>
            <w:tcBorders>
              <w:top w:val="single" w:color="auto" w:sz="4" w:space="0"/>
              <w:left w:val="single" w:color="auto" w:sz="4" w:space="0"/>
              <w:bottom w:val="single" w:color="auto" w:sz="4" w:space="0"/>
              <w:right w:val="single" w:color="auto" w:sz="4" w:space="0"/>
            </w:tcBorders>
            <w:vAlign w:val="center"/>
          </w:tcPr>
          <w:p w14:paraId="5E408F8A">
            <w:pPr>
              <w:tabs>
                <w:tab w:val="left" w:pos="720"/>
              </w:tabs>
              <w:spacing w:line="360" w:lineRule="auto"/>
              <w:jc w:val="center"/>
              <w:rPr>
                <w:rFonts w:ascii="宋体" w:hAnsi="宋体" w:cs="宋体"/>
                <w:color w:val="auto"/>
                <w:szCs w:val="21"/>
                <w:highlight w:val="none"/>
              </w:rPr>
            </w:pPr>
          </w:p>
        </w:tc>
        <w:tc>
          <w:tcPr>
            <w:tcW w:w="796" w:type="pct"/>
            <w:tcBorders>
              <w:top w:val="single" w:color="auto" w:sz="4" w:space="0"/>
              <w:left w:val="single" w:color="auto" w:sz="4" w:space="0"/>
              <w:bottom w:val="single" w:color="auto" w:sz="4" w:space="0"/>
              <w:right w:val="single" w:color="auto" w:sz="4" w:space="0"/>
            </w:tcBorders>
            <w:vAlign w:val="center"/>
          </w:tcPr>
          <w:p w14:paraId="724668B3">
            <w:pPr>
              <w:tabs>
                <w:tab w:val="left" w:pos="720"/>
              </w:tabs>
              <w:spacing w:line="360" w:lineRule="auto"/>
              <w:jc w:val="center"/>
              <w:rPr>
                <w:rFonts w:ascii="宋体" w:hAnsi="宋体" w:cs="宋体"/>
                <w:color w:val="auto"/>
                <w:szCs w:val="21"/>
                <w:highlight w:val="none"/>
              </w:rPr>
            </w:pPr>
          </w:p>
        </w:tc>
      </w:tr>
      <w:tr w14:paraId="3322B496">
        <w:tblPrEx>
          <w:tblCellMar>
            <w:top w:w="0" w:type="dxa"/>
            <w:left w:w="108" w:type="dxa"/>
            <w:bottom w:w="0" w:type="dxa"/>
            <w:right w:w="108" w:type="dxa"/>
          </w:tblCellMar>
        </w:tblPrEx>
        <w:trPr>
          <w:trHeight w:val="123" w:hRule="atLeast"/>
          <w:jc w:val="center"/>
        </w:trPr>
        <w:tc>
          <w:tcPr>
            <w:tcW w:w="693" w:type="pct"/>
            <w:tcBorders>
              <w:top w:val="single" w:color="auto" w:sz="4" w:space="0"/>
              <w:left w:val="single" w:color="auto" w:sz="4" w:space="0"/>
              <w:bottom w:val="single" w:color="auto" w:sz="4" w:space="0"/>
              <w:right w:val="single" w:color="auto" w:sz="4" w:space="0"/>
            </w:tcBorders>
            <w:vAlign w:val="center"/>
          </w:tcPr>
          <w:p w14:paraId="7AA35B8A">
            <w:pPr>
              <w:tabs>
                <w:tab w:val="left" w:pos="720"/>
              </w:tabs>
              <w:spacing w:line="360" w:lineRule="auto"/>
              <w:jc w:val="center"/>
              <w:rPr>
                <w:rFonts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5D8D4492">
            <w:pPr>
              <w:tabs>
                <w:tab w:val="left" w:pos="720"/>
              </w:tabs>
              <w:spacing w:line="360" w:lineRule="auto"/>
              <w:jc w:val="center"/>
              <w:rPr>
                <w:rFonts w:ascii="宋体" w:hAnsi="宋体" w:cs="宋体"/>
                <w:color w:val="auto"/>
                <w:szCs w:val="21"/>
                <w:highlight w:val="none"/>
              </w:rPr>
            </w:pPr>
          </w:p>
        </w:tc>
        <w:tc>
          <w:tcPr>
            <w:tcW w:w="1380" w:type="pct"/>
            <w:tcBorders>
              <w:top w:val="single" w:color="auto" w:sz="4" w:space="0"/>
              <w:left w:val="single" w:color="auto" w:sz="4" w:space="0"/>
              <w:bottom w:val="single" w:color="auto" w:sz="4" w:space="0"/>
              <w:right w:val="single" w:color="auto" w:sz="4" w:space="0"/>
            </w:tcBorders>
            <w:vAlign w:val="center"/>
          </w:tcPr>
          <w:p w14:paraId="77899712">
            <w:pPr>
              <w:tabs>
                <w:tab w:val="left" w:pos="720"/>
              </w:tabs>
              <w:spacing w:line="360" w:lineRule="auto"/>
              <w:jc w:val="center"/>
              <w:rPr>
                <w:rFonts w:ascii="宋体" w:hAnsi="宋体" w:cs="宋体"/>
                <w:color w:val="auto"/>
                <w:szCs w:val="21"/>
                <w:highlight w:val="none"/>
              </w:rPr>
            </w:pPr>
          </w:p>
        </w:tc>
        <w:tc>
          <w:tcPr>
            <w:tcW w:w="1323" w:type="pct"/>
            <w:tcBorders>
              <w:top w:val="single" w:color="auto" w:sz="4" w:space="0"/>
              <w:left w:val="single" w:color="auto" w:sz="4" w:space="0"/>
              <w:bottom w:val="single" w:color="auto" w:sz="4" w:space="0"/>
              <w:right w:val="single" w:color="auto" w:sz="4" w:space="0"/>
            </w:tcBorders>
            <w:vAlign w:val="center"/>
          </w:tcPr>
          <w:p w14:paraId="1E831D9C">
            <w:pPr>
              <w:tabs>
                <w:tab w:val="left" w:pos="720"/>
              </w:tabs>
              <w:spacing w:line="360" w:lineRule="auto"/>
              <w:jc w:val="center"/>
              <w:rPr>
                <w:rFonts w:ascii="宋体" w:hAnsi="宋体" w:cs="宋体"/>
                <w:color w:val="auto"/>
                <w:szCs w:val="21"/>
                <w:highlight w:val="none"/>
              </w:rPr>
            </w:pPr>
          </w:p>
        </w:tc>
        <w:tc>
          <w:tcPr>
            <w:tcW w:w="796" w:type="pct"/>
            <w:tcBorders>
              <w:top w:val="single" w:color="auto" w:sz="4" w:space="0"/>
              <w:left w:val="single" w:color="auto" w:sz="4" w:space="0"/>
              <w:bottom w:val="single" w:color="auto" w:sz="4" w:space="0"/>
              <w:right w:val="single" w:color="auto" w:sz="4" w:space="0"/>
            </w:tcBorders>
            <w:vAlign w:val="center"/>
          </w:tcPr>
          <w:p w14:paraId="3D9F8FE6">
            <w:pPr>
              <w:tabs>
                <w:tab w:val="left" w:pos="720"/>
              </w:tabs>
              <w:spacing w:line="360" w:lineRule="auto"/>
              <w:jc w:val="center"/>
              <w:rPr>
                <w:rFonts w:ascii="宋体" w:hAnsi="宋体" w:cs="宋体"/>
                <w:color w:val="auto"/>
                <w:szCs w:val="21"/>
                <w:highlight w:val="none"/>
              </w:rPr>
            </w:pPr>
          </w:p>
        </w:tc>
      </w:tr>
      <w:tr w14:paraId="0E8EA0D4">
        <w:tblPrEx>
          <w:tblCellMar>
            <w:top w:w="0" w:type="dxa"/>
            <w:left w:w="108" w:type="dxa"/>
            <w:bottom w:w="0" w:type="dxa"/>
            <w:right w:w="108" w:type="dxa"/>
          </w:tblCellMar>
        </w:tblPrEx>
        <w:trPr>
          <w:trHeight w:val="214" w:hRule="atLeast"/>
          <w:jc w:val="center"/>
        </w:trPr>
        <w:tc>
          <w:tcPr>
            <w:tcW w:w="693" w:type="pct"/>
            <w:tcBorders>
              <w:top w:val="single" w:color="auto" w:sz="4" w:space="0"/>
              <w:left w:val="single" w:color="auto" w:sz="4" w:space="0"/>
              <w:bottom w:val="single" w:color="auto" w:sz="4" w:space="0"/>
              <w:right w:val="single" w:color="auto" w:sz="4" w:space="0"/>
            </w:tcBorders>
            <w:vAlign w:val="center"/>
          </w:tcPr>
          <w:p w14:paraId="26A1850B">
            <w:pPr>
              <w:tabs>
                <w:tab w:val="left" w:pos="720"/>
              </w:tabs>
              <w:spacing w:line="360" w:lineRule="auto"/>
              <w:jc w:val="center"/>
              <w:rPr>
                <w:rFonts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0EB7F38D">
            <w:pPr>
              <w:tabs>
                <w:tab w:val="left" w:pos="720"/>
              </w:tabs>
              <w:spacing w:line="360" w:lineRule="auto"/>
              <w:jc w:val="center"/>
              <w:rPr>
                <w:rFonts w:ascii="宋体" w:hAnsi="宋体" w:cs="宋体"/>
                <w:color w:val="auto"/>
                <w:szCs w:val="21"/>
                <w:highlight w:val="none"/>
              </w:rPr>
            </w:pPr>
          </w:p>
        </w:tc>
        <w:tc>
          <w:tcPr>
            <w:tcW w:w="1380" w:type="pct"/>
            <w:tcBorders>
              <w:top w:val="single" w:color="auto" w:sz="4" w:space="0"/>
              <w:left w:val="single" w:color="auto" w:sz="4" w:space="0"/>
              <w:bottom w:val="single" w:color="auto" w:sz="4" w:space="0"/>
              <w:right w:val="single" w:color="auto" w:sz="4" w:space="0"/>
            </w:tcBorders>
            <w:vAlign w:val="center"/>
          </w:tcPr>
          <w:p w14:paraId="797D1580">
            <w:pPr>
              <w:tabs>
                <w:tab w:val="left" w:pos="720"/>
              </w:tabs>
              <w:spacing w:line="360" w:lineRule="auto"/>
              <w:jc w:val="center"/>
              <w:rPr>
                <w:rFonts w:ascii="宋体" w:hAnsi="宋体" w:cs="宋体"/>
                <w:color w:val="auto"/>
                <w:szCs w:val="21"/>
                <w:highlight w:val="none"/>
              </w:rPr>
            </w:pPr>
          </w:p>
        </w:tc>
        <w:tc>
          <w:tcPr>
            <w:tcW w:w="1323" w:type="pct"/>
            <w:tcBorders>
              <w:top w:val="single" w:color="auto" w:sz="4" w:space="0"/>
              <w:left w:val="single" w:color="auto" w:sz="4" w:space="0"/>
              <w:bottom w:val="single" w:color="auto" w:sz="4" w:space="0"/>
              <w:right w:val="single" w:color="auto" w:sz="4" w:space="0"/>
            </w:tcBorders>
            <w:vAlign w:val="center"/>
          </w:tcPr>
          <w:p w14:paraId="5505FF5C">
            <w:pPr>
              <w:tabs>
                <w:tab w:val="left" w:pos="720"/>
              </w:tabs>
              <w:spacing w:line="360" w:lineRule="auto"/>
              <w:jc w:val="center"/>
              <w:rPr>
                <w:rFonts w:ascii="宋体" w:hAnsi="宋体" w:cs="宋体"/>
                <w:color w:val="auto"/>
                <w:szCs w:val="21"/>
                <w:highlight w:val="none"/>
              </w:rPr>
            </w:pPr>
          </w:p>
        </w:tc>
        <w:tc>
          <w:tcPr>
            <w:tcW w:w="796" w:type="pct"/>
            <w:tcBorders>
              <w:top w:val="single" w:color="auto" w:sz="4" w:space="0"/>
              <w:left w:val="single" w:color="auto" w:sz="4" w:space="0"/>
              <w:bottom w:val="single" w:color="auto" w:sz="4" w:space="0"/>
              <w:right w:val="single" w:color="auto" w:sz="4" w:space="0"/>
            </w:tcBorders>
            <w:vAlign w:val="center"/>
          </w:tcPr>
          <w:p w14:paraId="516F8308">
            <w:pPr>
              <w:tabs>
                <w:tab w:val="left" w:pos="720"/>
              </w:tabs>
              <w:spacing w:line="360" w:lineRule="auto"/>
              <w:jc w:val="center"/>
              <w:rPr>
                <w:rFonts w:ascii="宋体" w:hAnsi="宋体" w:cs="宋体"/>
                <w:color w:val="auto"/>
                <w:szCs w:val="21"/>
                <w:highlight w:val="none"/>
              </w:rPr>
            </w:pPr>
          </w:p>
        </w:tc>
      </w:tr>
      <w:tr w14:paraId="0887B9DE">
        <w:tblPrEx>
          <w:tblCellMar>
            <w:top w:w="0" w:type="dxa"/>
            <w:left w:w="108" w:type="dxa"/>
            <w:bottom w:w="0" w:type="dxa"/>
            <w:right w:w="108" w:type="dxa"/>
          </w:tblCellMar>
        </w:tblPrEx>
        <w:trPr>
          <w:trHeight w:val="175" w:hRule="atLeast"/>
          <w:jc w:val="center"/>
        </w:trPr>
        <w:tc>
          <w:tcPr>
            <w:tcW w:w="693" w:type="pct"/>
            <w:tcBorders>
              <w:top w:val="single" w:color="auto" w:sz="4" w:space="0"/>
              <w:left w:val="single" w:color="auto" w:sz="4" w:space="0"/>
              <w:bottom w:val="single" w:color="auto" w:sz="4" w:space="0"/>
              <w:right w:val="single" w:color="auto" w:sz="4" w:space="0"/>
            </w:tcBorders>
            <w:vAlign w:val="center"/>
          </w:tcPr>
          <w:p w14:paraId="576F29EE">
            <w:pPr>
              <w:tabs>
                <w:tab w:val="left" w:pos="720"/>
              </w:tabs>
              <w:spacing w:line="360" w:lineRule="auto"/>
              <w:jc w:val="center"/>
              <w:rPr>
                <w:rFonts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76F3FCDC">
            <w:pPr>
              <w:tabs>
                <w:tab w:val="left" w:pos="720"/>
              </w:tabs>
              <w:spacing w:line="360" w:lineRule="auto"/>
              <w:jc w:val="center"/>
              <w:rPr>
                <w:rFonts w:ascii="宋体" w:hAnsi="宋体" w:cs="宋体"/>
                <w:color w:val="auto"/>
                <w:szCs w:val="21"/>
                <w:highlight w:val="none"/>
              </w:rPr>
            </w:pPr>
          </w:p>
        </w:tc>
        <w:tc>
          <w:tcPr>
            <w:tcW w:w="1380" w:type="pct"/>
            <w:tcBorders>
              <w:top w:val="single" w:color="auto" w:sz="4" w:space="0"/>
              <w:left w:val="single" w:color="auto" w:sz="4" w:space="0"/>
              <w:bottom w:val="single" w:color="auto" w:sz="4" w:space="0"/>
              <w:right w:val="single" w:color="auto" w:sz="4" w:space="0"/>
            </w:tcBorders>
            <w:vAlign w:val="center"/>
          </w:tcPr>
          <w:p w14:paraId="68263A9C">
            <w:pPr>
              <w:tabs>
                <w:tab w:val="left" w:pos="720"/>
              </w:tabs>
              <w:spacing w:line="360" w:lineRule="auto"/>
              <w:jc w:val="center"/>
              <w:rPr>
                <w:rFonts w:ascii="宋体" w:hAnsi="宋体" w:cs="宋体"/>
                <w:color w:val="auto"/>
                <w:szCs w:val="21"/>
                <w:highlight w:val="none"/>
              </w:rPr>
            </w:pPr>
          </w:p>
        </w:tc>
        <w:tc>
          <w:tcPr>
            <w:tcW w:w="1323" w:type="pct"/>
            <w:tcBorders>
              <w:top w:val="single" w:color="auto" w:sz="4" w:space="0"/>
              <w:left w:val="single" w:color="auto" w:sz="4" w:space="0"/>
              <w:bottom w:val="single" w:color="auto" w:sz="4" w:space="0"/>
              <w:right w:val="single" w:color="auto" w:sz="4" w:space="0"/>
            </w:tcBorders>
            <w:vAlign w:val="center"/>
          </w:tcPr>
          <w:p w14:paraId="3061D800">
            <w:pPr>
              <w:tabs>
                <w:tab w:val="left" w:pos="720"/>
              </w:tabs>
              <w:spacing w:line="360" w:lineRule="auto"/>
              <w:jc w:val="center"/>
              <w:rPr>
                <w:rFonts w:ascii="宋体" w:hAnsi="宋体" w:cs="宋体"/>
                <w:color w:val="auto"/>
                <w:szCs w:val="21"/>
                <w:highlight w:val="none"/>
              </w:rPr>
            </w:pPr>
          </w:p>
        </w:tc>
        <w:tc>
          <w:tcPr>
            <w:tcW w:w="796" w:type="pct"/>
            <w:tcBorders>
              <w:top w:val="single" w:color="auto" w:sz="4" w:space="0"/>
              <w:left w:val="single" w:color="auto" w:sz="4" w:space="0"/>
              <w:bottom w:val="single" w:color="auto" w:sz="4" w:space="0"/>
              <w:right w:val="single" w:color="auto" w:sz="4" w:space="0"/>
            </w:tcBorders>
            <w:vAlign w:val="center"/>
          </w:tcPr>
          <w:p w14:paraId="4158EFCC">
            <w:pPr>
              <w:tabs>
                <w:tab w:val="left" w:pos="720"/>
              </w:tabs>
              <w:spacing w:line="360" w:lineRule="auto"/>
              <w:jc w:val="center"/>
              <w:rPr>
                <w:rFonts w:ascii="宋体" w:hAnsi="宋体" w:cs="宋体"/>
                <w:color w:val="auto"/>
                <w:szCs w:val="21"/>
                <w:highlight w:val="none"/>
              </w:rPr>
            </w:pPr>
          </w:p>
        </w:tc>
      </w:tr>
    </w:tbl>
    <w:p w14:paraId="2605E18D">
      <w:pPr>
        <w:tabs>
          <w:tab w:val="left" w:pos="720"/>
        </w:tabs>
        <w:snapToGrid w:val="0"/>
        <w:rPr>
          <w:rFonts w:ascii="宋体" w:hAnsi="宋体" w:cs="宋体"/>
          <w:color w:val="auto"/>
          <w:szCs w:val="21"/>
          <w:highlight w:val="none"/>
        </w:rPr>
      </w:pPr>
      <w:r>
        <w:rPr>
          <w:rFonts w:hint="eastAsia" w:ascii="宋体" w:hAnsi="宋体" w:cs="宋体"/>
          <w:color w:val="auto"/>
          <w:szCs w:val="21"/>
          <w:highlight w:val="none"/>
        </w:rPr>
        <w:t>编制负责人：                          解释负责人：</w:t>
      </w:r>
    </w:p>
    <w:p w14:paraId="64F8E4F4">
      <w:pPr>
        <w:pStyle w:val="43"/>
        <w:spacing w:after="0"/>
        <w:ind w:firstLine="200"/>
        <w:rPr>
          <w:rFonts w:ascii="宋体" w:hAnsi="宋体" w:cs="宋体"/>
          <w:color w:val="auto"/>
          <w:szCs w:val="21"/>
          <w:highlight w:val="none"/>
        </w:rPr>
      </w:pPr>
    </w:p>
    <w:p w14:paraId="15412FFB">
      <w:pPr>
        <w:pStyle w:val="43"/>
        <w:spacing w:after="0"/>
        <w:ind w:firstLine="200"/>
        <w:rPr>
          <w:rFonts w:ascii="宋体" w:hAnsi="宋体" w:cs="宋体"/>
          <w:b/>
          <w:color w:val="auto"/>
          <w:kern w:val="1"/>
          <w:szCs w:val="21"/>
          <w:highlight w:val="none"/>
        </w:rPr>
      </w:pPr>
      <w:r>
        <w:rPr>
          <w:rFonts w:hint="eastAsia" w:ascii="宋体" w:hAnsi="宋体" w:cs="宋体"/>
          <w:color w:val="auto"/>
          <w:szCs w:val="21"/>
          <w:highlight w:val="none"/>
        </w:rPr>
        <w:t>注：</w:t>
      </w:r>
      <w:r>
        <w:rPr>
          <w:rFonts w:hint="eastAsia" w:ascii="宋体" w:hAnsi="宋体" w:cs="宋体"/>
          <w:bCs/>
          <w:iCs/>
          <w:color w:val="auto"/>
          <w:szCs w:val="21"/>
          <w:highlight w:val="none"/>
        </w:rPr>
        <w:t>参与编制标书所有人员名单应包括如编制工程总承包实施方案、投标报价、负责清样校对、负责加密打包、负责上传、负责密封、负责打印及复印等所有人员在内的人员名单。</w:t>
      </w:r>
    </w:p>
    <w:p w14:paraId="0773B14D">
      <w:pPr>
        <w:outlineLvl w:val="1"/>
        <w:rPr>
          <w:rFonts w:ascii="宋体" w:hAnsi="宋体" w:cs="宋体"/>
          <w:b/>
          <w:color w:val="auto"/>
          <w:spacing w:val="-20"/>
          <w:kern w:val="21"/>
          <w:szCs w:val="21"/>
          <w:highlight w:val="none"/>
          <w:lang w:val="zh-CN"/>
        </w:rPr>
      </w:pPr>
      <w:r>
        <w:rPr>
          <w:rFonts w:ascii="宋体" w:hAnsi="宋体" w:cs="宋体"/>
          <w:b/>
          <w:color w:val="auto"/>
          <w:kern w:val="1"/>
          <w:highlight w:val="none"/>
          <w:lang w:val="zh-CN"/>
        </w:rPr>
        <w:br w:type="page"/>
      </w:r>
      <w:bookmarkStart w:id="615" w:name="_Toc116461808"/>
      <w:bookmarkStart w:id="616" w:name="_Toc123901770"/>
      <w:r>
        <w:rPr>
          <w:rFonts w:hint="eastAsia" w:ascii="宋体" w:hAnsi="宋体" w:cs="宋体"/>
          <w:b/>
          <w:color w:val="auto"/>
          <w:kern w:val="1"/>
          <w:szCs w:val="21"/>
          <w:highlight w:val="none"/>
          <w:lang w:val="zh-CN"/>
        </w:rPr>
        <w:t>格式</w:t>
      </w:r>
      <w:r>
        <w:rPr>
          <w:rFonts w:ascii="宋体" w:hAnsi="宋体" w:cs="宋体"/>
          <w:b/>
          <w:color w:val="auto"/>
          <w:kern w:val="1"/>
          <w:szCs w:val="21"/>
          <w:highlight w:val="none"/>
          <w:lang w:val="zh-CN"/>
        </w:rPr>
        <w:t>1</w:t>
      </w:r>
      <w:r>
        <w:rPr>
          <w:rFonts w:hint="eastAsia" w:ascii="宋体" w:hAnsi="宋体" w:cs="宋体"/>
          <w:b/>
          <w:color w:val="auto"/>
          <w:kern w:val="1"/>
          <w:szCs w:val="21"/>
          <w:highlight w:val="none"/>
          <w:lang w:val="en-US" w:eastAsia="zh-CN"/>
        </w:rPr>
        <w:t>0</w:t>
      </w:r>
      <w:r>
        <w:rPr>
          <w:rFonts w:hint="eastAsia" w:ascii="宋体" w:hAnsi="宋体" w:cs="宋体"/>
          <w:b/>
          <w:color w:val="auto"/>
          <w:kern w:val="1"/>
          <w:szCs w:val="21"/>
          <w:highlight w:val="none"/>
          <w:lang w:val="zh-CN"/>
        </w:rPr>
        <w:t>：</w:t>
      </w:r>
      <w:r>
        <w:rPr>
          <w:rFonts w:hint="eastAsia" w:ascii="宋体" w:hAnsi="宋体" w:cs="宋体"/>
          <w:b/>
          <w:color w:val="auto"/>
          <w:szCs w:val="21"/>
          <w:highlight w:val="none"/>
        </w:rPr>
        <w:t>危险性较大的分部分项工程清单及超过一定规模的危险性较大的分部分项工程清单</w:t>
      </w:r>
      <w:bookmarkEnd w:id="615"/>
      <w:bookmarkEnd w:id="616"/>
    </w:p>
    <w:p w14:paraId="63412930">
      <w:pPr>
        <w:spacing w:line="360" w:lineRule="auto"/>
        <w:jc w:val="center"/>
        <w:rPr>
          <w:rFonts w:ascii="宋体" w:hAnsi="宋体" w:cs="宋体"/>
          <w:b/>
          <w:bCs/>
          <w:color w:val="auto"/>
          <w:kern w:val="1"/>
          <w:sz w:val="32"/>
          <w:szCs w:val="32"/>
          <w:highlight w:val="none"/>
          <w:lang w:val="zh-CN"/>
        </w:rPr>
      </w:pPr>
      <w:bookmarkStart w:id="617" w:name="_Hlk116425437"/>
    </w:p>
    <w:bookmarkEnd w:id="617"/>
    <w:p w14:paraId="13AF2082">
      <w:pPr>
        <w:autoSpaceDE w:val="0"/>
        <w:autoSpaceDN w:val="0"/>
        <w:adjustRightInd w:val="0"/>
        <w:spacing w:line="360" w:lineRule="auto"/>
        <w:jc w:val="center"/>
        <w:rPr>
          <w:rFonts w:ascii="黑体" w:hAnsi="黑体" w:eastAsia="黑体" w:cs="黑体"/>
          <w:b/>
          <w:bCs/>
          <w:color w:val="auto"/>
          <w:sz w:val="32"/>
          <w:szCs w:val="32"/>
          <w:highlight w:val="none"/>
          <w:lang w:val="zh-CN"/>
        </w:rPr>
      </w:pPr>
      <w:r>
        <w:rPr>
          <w:rFonts w:hint="eastAsia" w:ascii="黑体" w:hAnsi="黑体" w:eastAsia="黑体" w:cs="黑体"/>
          <w:b/>
          <w:bCs/>
          <w:color w:val="auto"/>
          <w:sz w:val="32"/>
          <w:szCs w:val="32"/>
          <w:highlight w:val="none"/>
          <w:lang w:val="zh-CN"/>
        </w:rPr>
        <w:t>危险性较大的分部分项工程清单及超过一定规模的危险性较大的分部分项工程清单</w:t>
      </w:r>
    </w:p>
    <w:p w14:paraId="1978A141">
      <w:pPr>
        <w:pStyle w:val="172"/>
        <w:autoSpaceDE w:val="0"/>
        <w:autoSpaceDN w:val="0"/>
        <w:adjustRightIn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1、根据中华人民共和国住房和城乡建设部令第37号《危险性较大的分部分项工程安全管理规定》（以下简称“37号文”），投标人在投标时须补充完善危大工程清单并明确相应的安全管理措施。</w:t>
      </w:r>
    </w:p>
    <w:p w14:paraId="6A60A2AF">
      <w:pPr>
        <w:pStyle w:val="172"/>
        <w:autoSpaceDE w:val="0"/>
        <w:autoSpaceDN w:val="0"/>
        <w:adjustRightIn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2、招标人根据设计文件的要求及37号文的规定列出“危险性较大的分部分项工程清单及超过一定规模的危险性较大的分部分项工程清单”中与本招标项目相关的清单项，具体详见第5点“打√”标识。</w:t>
      </w:r>
    </w:p>
    <w:p w14:paraId="2E51927A">
      <w:pPr>
        <w:pStyle w:val="172"/>
        <w:autoSpaceDE w:val="0"/>
        <w:autoSpaceDN w:val="0"/>
        <w:adjustRightIn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（1）投标单位同意建设单位在清单中标识的该项请在对应项打“√”标识，并与投标文件中提供相应的安全管理措施。</w:t>
      </w:r>
    </w:p>
    <w:p w14:paraId="3A45BE16">
      <w:pPr>
        <w:pStyle w:val="172"/>
        <w:autoSpaceDE w:val="0"/>
        <w:autoSpaceDN w:val="0"/>
        <w:adjustRightIn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（2）投标单位对清单中认为需要补充的该项请在对应项打“√”标识，并与投标文件中提供相应的安全管理措施。</w:t>
      </w:r>
    </w:p>
    <w:p w14:paraId="0C53EFE8">
      <w:pPr>
        <w:pStyle w:val="172"/>
        <w:autoSpaceDE w:val="0"/>
        <w:autoSpaceDN w:val="0"/>
        <w:adjustRightIn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（3）投标单位不同意建设单位在清单中标识的该项请在对应项打“×”标识，并在备注栏填上相关说明。</w:t>
      </w:r>
    </w:p>
    <w:p w14:paraId="6867FE8F">
      <w:pPr>
        <w:pStyle w:val="172"/>
        <w:autoSpaceDE w:val="0"/>
        <w:autoSpaceDN w:val="0"/>
        <w:adjustRightIn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3、投标单位应当在投标时根据招标人提供的下述第5点清单，在中标后提供的施工组织中编制专项施工方案。</w:t>
      </w:r>
    </w:p>
    <w:p w14:paraId="3E0CAD6B">
      <w:pPr>
        <w:pStyle w:val="172"/>
        <w:autoSpaceDE w:val="0"/>
        <w:autoSpaceDN w:val="0"/>
        <w:adjustRightIn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4、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7569D652">
      <w:pPr>
        <w:pStyle w:val="172"/>
        <w:autoSpaceDE w:val="0"/>
        <w:autoSpaceDN w:val="0"/>
        <w:adjustRightIn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5、危险性较大的分部分项工程清单及超过一定规模的危险性较大的分部分项工程清单：</w:t>
      </w:r>
    </w:p>
    <w:tbl>
      <w:tblPr>
        <w:tblStyle w:val="4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8"/>
        <w:gridCol w:w="1116"/>
        <w:gridCol w:w="1284"/>
        <w:gridCol w:w="1533"/>
        <w:gridCol w:w="1050"/>
      </w:tblGrid>
      <w:tr w14:paraId="78AD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614FDE6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一、危险性较大的分部分项工程清单</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AE0792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建设单位</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501023A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5AAE73C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安全管理措施</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00A44A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3C2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1B11462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一、基坑支护</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C973A3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6DA0BBB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21750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F13D9D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57FD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5043F44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（一）开挖深度超过3m（含3m）的基坑（槽）的土方开挖、支护、降水工程。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AAD4EA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244C648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B2294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3B2ED9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2BBF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3B9C3DB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（二）开挖深度虽未超过3m，但地质条件、周围环境和地下管线复杂，或影响毗邻建、构筑物安全的基坑（槽）的土方开挖、支护、降水工程。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199264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0FA0FFD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76ED3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56AB01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546B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23C4E2F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二、模板工程及支撑体系</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395356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479A7D9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523C5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195E76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3EC0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17D0A65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（一）各类工具式模板工程：包括滑模、爬模、飞模、隧道模等工程。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1969A8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49F827A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7B217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B75D22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0E62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534D428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BC875E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69C349F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91E1C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031CE1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2510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175661A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（三）承重支撑体系：用于钢结构安装等满堂支撑体系。</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70665E6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2BB79F9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43A04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7C6377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2E778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6FAB750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三、起重吊装及起重机械安装拆卸工程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5EEE71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3FFC636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EDF98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5DEA90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18E5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591AC1F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（一）采用非常规起重设备、方法，且单件起吊重量在10kN及以上的起重吊装工程。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DC1D70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2B29060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919CB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FDDA62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0BFAE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487DFC2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（二）采用起重机械进行安装的工程。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B11BB7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2EDCD34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7084D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D7260B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1619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09742EE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（三）起重机械安装和拆卸工程。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41013D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2AEE1E4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EE733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8FB02B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3F1C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5950E9D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四、脚手架工程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DD276B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7DA227F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0604F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F09D5B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37D18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495E9FE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（一）搭设高度24m及以上的落地式钢管脚手架工程（包括采光井、电梯井脚手架）。</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7D67C34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02BC099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AB437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2E17C2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2011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02F0377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（二）附着式升降脚手架工程。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52E445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427EFBD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A9671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B2ECE4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6274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676C5DE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（三）悬挑式脚手架工程。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EE22C4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2A959E0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3C0D6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BB83AA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6DF6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466E97B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（四）高处作业吊篮。</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E87706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54B9FC4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AA66A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30BE46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77F58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5F54681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（五）卸料平台、操作平台工程。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678ED4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05575DD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EE84D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7AC8B7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4E29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43CD4C3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（六）异型脚手架工程。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6EB9C3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199EAE7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9132D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2FADDE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1EC6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6942C72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五、拆除工程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E552DD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3BFB7FF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A105A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7A6F1F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1E31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1A125DB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可能影响行人、交通、电力设施、通讯设施或其它建、构筑物安全的拆除工程。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304D84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104B153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68BB4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868E0D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18FE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54032A8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六、暗挖工程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CC0A64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6C23AA3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C612C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78081E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2F51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26E32BD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采用矿山法、盾构法、顶管法施工的隧道、洞室工程。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3B0A76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79CF254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32E36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B77FD3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47AFD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3F67B60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七、其它</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784814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2293727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4E3EF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76B8D0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4CD0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30ED45E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（一）建筑幕墙安装工程。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6E1712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5422DB3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E9856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97F919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2477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0401672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（二）钢结构、网架和索膜结构安装工程。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EAEEFE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3F2863B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DC4BF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0D3FB3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316E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29EE728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（三）人工挖孔桩工程。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9623BA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0D76E62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4C725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D39EE8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1568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674C628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（四）水下作业工程。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B4ED7E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380AEA1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31975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A90988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1378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57ECC14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（五）装配式建筑混凝土预制构件安装工程。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297828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1312641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05A33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EE31DD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6094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59E3DD0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（六）采用新技术、新工艺、新材料、新设备可能影响工程施工安全，尚无国家、行业及地方技术标准的分部分项工程。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14EC89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62F3392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F67A8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73271A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4A20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40167C7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二、超过一定规模的危险性较大的分部分项工程清单</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F1D9B0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392B3D1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D1DEE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644EA8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742D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7509060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一、深基坑工程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6C2BB9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26DB51A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D24C2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008C14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7BE6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5FE1626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开挖深度超过5m（含5m）的基坑（槽）的土方开挖、支护、降水工程。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684135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5A45D3C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F1B89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0D9EDC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2903B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718762F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二、模板工程及支撑体系</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C37882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570AEBB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B0CCB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8F1C2E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62F5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1801D55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（一）各类工具式模板工程：包括滑模、爬模、飞模、隧道模等工程。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ACDC1E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294F47D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7E50F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17AB06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02D0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286B397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（二）混凝土模板支撑工程：搭设高度8m及以上，或搭设跨度18m及以上，或施工总荷载（设计值）15kN/m2及以上，或集中线荷载（设计值）20kN/m及以上。</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E55DC5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6930073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163AE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8DFD12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5521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5E93894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（三）承重支撑体系：用于钢结构安装等满堂支撑体系，承受单点集中荷载7kN及以上。</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7713DB6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6A70A9F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8F056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00AD74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3096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68CB64F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三、起重吊装及起重机械安装拆卸工程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66420C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3BEA637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BE9B1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A2BFBA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5FA5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55605BD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（一）采用非常规起重设备、方法，且单件起吊重量在100kN及以上的起重吊装工程。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DD0F12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7A0C597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22B81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A04642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21B8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116F1ED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（二）起重量300kN及以上，或搭设总高度200m及以上，或搭设基础标高在200m及以上的起重机械安装和拆卸工程。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2C8CBE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7F8E121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DAC01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A54D1C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2D39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658A4FE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四、脚手架工程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32AE3F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08D2ACC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B02C5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8E1F94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1AEA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662FE0C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（一）搭设高度50m及以上的落地式钢管脚手架工程。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CE7085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7FD6B18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9DEE6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9FB93C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38BE3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3CF4616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（二）提升高度在150m及以上的附着式升降脚手架工程或附着式升降操作平台工程。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EDCEAF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40CB6DE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C5FD3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63087D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466FC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6FC8E06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（三）分段架体搭设高度20m及以上的悬挑式脚手架工程。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701D0C1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5DDF2A4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516A6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88D52E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14E1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6E2EC87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五、拆除工程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4B3035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6F778D2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D2C2D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25D07C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21C0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74C2155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（一）码头、桥梁、高架、烟囱、水塔或拆除中容易引起有毒有害气（液）体或粉尘扩散、易燃易爆事故发生的特殊建、构筑物的拆除工程。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71C485F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6D31E90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F13E2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386F39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7BC1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2B1A978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（二）文物保护建筑、优秀历史建筑或历史文化风貌区影响范围内的拆除工程。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4FAC33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165D186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9F623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4932A3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2CE8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22EF65E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六、暗挖工程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0C039B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464DAE3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4E276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9B5ABB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1E5A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67550FF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采用矿山法、盾构法、顶管法施工的隧道、洞室工程。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EA1654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25FDABC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4EC0A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3539DB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31846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48B04CB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七、其它</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7536CF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7384CB3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F7CD7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41BB33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49F4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68F61C4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（一）施工高度50m及以上的建筑幕墙安装工程。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ED0339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28DFBEF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0405C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C5C868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3EEB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2F895BF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（二）跨度36m及以上的钢结构安装工程，或跨度60m及以上的网架和索膜结构安装工程。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6A24B6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2C09A89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094CB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580337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63E9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5D7A182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（三）开挖深度16m及以上的人工挖孔桩工程。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C29E9E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4E1B2EC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340B7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557FD7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176E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5FA3B34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（四）水下作业工程。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B65329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59BE79A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4CEDC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8B152C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7CF69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336ACBF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（五）重量1000kN及以上的大型结构整体顶升、平移、转体等施工工艺。</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780D5AB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357B467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495D1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9546FD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36BA3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noWrap w:val="0"/>
            <w:vAlign w:val="center"/>
          </w:tcPr>
          <w:p w14:paraId="289B5EA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（六）采用新技术、新工艺、新材料、新设备可能影响工程施工安全，尚无国家、行业及地方技术标准的分部分项工程。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270F26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7CE897A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8343C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FA8667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bl>
    <w:p w14:paraId="3528621A">
      <w:pPr>
        <w:spacing w:line="360" w:lineRule="auto"/>
        <w:ind w:firstLine="3675" w:firstLineChars="1750"/>
        <w:rPr>
          <w:rFonts w:hint="eastAsia" w:ascii="宋体" w:hAnsi="宋体" w:eastAsia="宋体" w:cs="宋体"/>
          <w:color w:val="auto"/>
          <w:szCs w:val="16"/>
          <w:highlight w:val="none"/>
        </w:rPr>
      </w:pPr>
    </w:p>
    <w:p w14:paraId="4B33C5AF">
      <w:pPr>
        <w:spacing w:line="360" w:lineRule="auto"/>
        <w:ind w:firstLine="3675" w:firstLineChars="1750"/>
        <w:rPr>
          <w:rFonts w:hint="eastAsia" w:ascii="宋体" w:hAnsi="宋体" w:eastAsia="宋体" w:cs="宋体"/>
          <w:color w:val="auto"/>
          <w:szCs w:val="16"/>
          <w:highlight w:val="none"/>
          <w:u w:val="single"/>
        </w:rPr>
      </w:pPr>
      <w:r>
        <w:rPr>
          <w:rFonts w:hint="eastAsia" w:ascii="宋体" w:hAnsi="宋体" w:eastAsia="宋体" w:cs="宋体"/>
          <w:color w:val="auto"/>
          <w:szCs w:val="16"/>
          <w:highlight w:val="none"/>
        </w:rPr>
        <w:t>投标人（盖章）：</w:t>
      </w:r>
    </w:p>
    <w:p w14:paraId="0E41A288">
      <w:pPr>
        <w:autoSpaceDE w:val="0"/>
        <w:autoSpaceDN w:val="0"/>
        <w:adjustRightInd w:val="0"/>
        <w:spacing w:line="360" w:lineRule="auto"/>
        <w:jc w:val="center"/>
        <w:rPr>
          <w:rFonts w:hint="eastAsia" w:ascii="宋体" w:hAnsi="宋体" w:eastAsia="宋体" w:cs="宋体"/>
          <w:color w:val="auto"/>
          <w:szCs w:val="16"/>
          <w:highlight w:val="none"/>
        </w:rPr>
      </w:pPr>
      <w:r>
        <w:rPr>
          <w:rFonts w:hint="eastAsia" w:ascii="宋体" w:hAnsi="宋体" w:eastAsia="宋体" w:cs="宋体"/>
          <w:color w:val="auto"/>
          <w:szCs w:val="16"/>
          <w:highlight w:val="none"/>
        </w:rPr>
        <w:t xml:space="preserve">     日  期：   年  月  日</w:t>
      </w:r>
    </w:p>
    <w:p w14:paraId="14E5971E">
      <w:pPr>
        <w:rPr>
          <w:color w:val="auto"/>
          <w:highlight w:val="none"/>
        </w:rPr>
      </w:pPr>
    </w:p>
    <w:p w14:paraId="369F855E">
      <w:pPr>
        <w:pStyle w:val="23"/>
        <w:jc w:val="center"/>
        <w:rPr>
          <w:rFonts w:hAnsi="宋体" w:cs="宋体"/>
          <w:color w:val="auto"/>
          <w:highlight w:val="none"/>
        </w:rPr>
      </w:pPr>
    </w:p>
    <w:p w14:paraId="12C9A1C4">
      <w:pPr>
        <w:rPr>
          <w:color w:val="auto"/>
          <w:highlight w:val="none"/>
        </w:rPr>
      </w:pPr>
    </w:p>
    <w:p w14:paraId="0AEF777E">
      <w:pPr>
        <w:tabs>
          <w:tab w:val="left" w:pos="7655"/>
        </w:tabs>
        <w:spacing w:line="360" w:lineRule="auto"/>
        <w:ind w:firstLine="1656" w:firstLineChars="600"/>
        <w:jc w:val="left"/>
        <w:rPr>
          <w:rFonts w:ascii="宋体" w:hAnsi="宋体" w:cs="宋体"/>
          <w:color w:val="auto"/>
          <w:spacing w:val="18"/>
          <w:kern w:val="1"/>
          <w:sz w:val="24"/>
          <w:highlight w:val="none"/>
          <w:lang w:val="zh-CN"/>
        </w:rPr>
      </w:pPr>
    </w:p>
    <w:p w14:paraId="2F64033D">
      <w:pPr>
        <w:pStyle w:val="14"/>
        <w:ind w:firstLine="0"/>
        <w:rPr>
          <w:rFonts w:ascii="宋体" w:hAnsi="宋体" w:cs="宋体"/>
          <w:color w:val="auto"/>
          <w:szCs w:val="21"/>
          <w:highlight w:val="none"/>
        </w:rPr>
      </w:pPr>
    </w:p>
    <w:p w14:paraId="742909C3">
      <w:pPr>
        <w:pStyle w:val="23"/>
        <w:rPr>
          <w:rFonts w:hAnsi="宋体" w:cs="宋体"/>
          <w:b/>
          <w:color w:val="auto"/>
          <w:kern w:val="1"/>
          <w:szCs w:val="21"/>
          <w:highlight w:val="none"/>
        </w:rPr>
      </w:pPr>
      <w:bookmarkStart w:id="618" w:name="_Toc116461809"/>
      <w:bookmarkStart w:id="619" w:name="_Toc123901771"/>
    </w:p>
    <w:p w14:paraId="58F247F6">
      <w:pPr>
        <w:pStyle w:val="23"/>
        <w:rPr>
          <w:rFonts w:hAnsi="宋体" w:cs="宋体"/>
          <w:b/>
          <w:color w:val="auto"/>
          <w:kern w:val="1"/>
          <w:szCs w:val="21"/>
          <w:highlight w:val="none"/>
        </w:rPr>
      </w:pPr>
    </w:p>
    <w:p w14:paraId="6E00B798">
      <w:pPr>
        <w:pStyle w:val="23"/>
        <w:rPr>
          <w:rFonts w:hAnsi="宋体" w:cs="宋体"/>
          <w:b/>
          <w:color w:val="auto"/>
          <w:kern w:val="1"/>
          <w:szCs w:val="21"/>
          <w:highlight w:val="none"/>
        </w:rPr>
      </w:pPr>
    </w:p>
    <w:p w14:paraId="2D8065F1">
      <w:pPr>
        <w:outlineLvl w:val="1"/>
        <w:rPr>
          <w:rFonts w:ascii="宋体" w:hAnsi="宋体" w:cs="宋体"/>
          <w:b/>
          <w:color w:val="auto"/>
          <w:kern w:val="1"/>
          <w:szCs w:val="21"/>
          <w:highlight w:val="none"/>
          <w:lang w:val="zh-CN"/>
        </w:rPr>
      </w:pPr>
      <w:r>
        <w:rPr>
          <w:rFonts w:ascii="宋体" w:hAnsi="宋体" w:cs="宋体"/>
          <w:b/>
          <w:color w:val="auto"/>
          <w:kern w:val="1"/>
          <w:szCs w:val="21"/>
          <w:highlight w:val="none"/>
          <w:lang w:val="zh-CN"/>
        </w:rPr>
        <w:br w:type="page"/>
      </w:r>
      <w:bookmarkStart w:id="620" w:name="OLE_LINK125"/>
      <w:r>
        <w:rPr>
          <w:rFonts w:hint="eastAsia" w:ascii="宋体" w:hAnsi="宋体" w:cs="宋体"/>
          <w:b/>
          <w:color w:val="auto"/>
          <w:kern w:val="1"/>
          <w:szCs w:val="21"/>
          <w:highlight w:val="none"/>
          <w:lang w:val="zh-CN"/>
        </w:rPr>
        <w:t>格式</w:t>
      </w:r>
      <w:r>
        <w:rPr>
          <w:rFonts w:ascii="宋体" w:hAnsi="宋体" w:cs="宋体"/>
          <w:b/>
          <w:color w:val="auto"/>
          <w:kern w:val="1"/>
          <w:szCs w:val="21"/>
          <w:highlight w:val="none"/>
          <w:lang w:val="zh-CN"/>
        </w:rPr>
        <w:t>1</w:t>
      </w:r>
      <w:r>
        <w:rPr>
          <w:rFonts w:hint="eastAsia" w:ascii="宋体" w:hAnsi="宋体" w:cs="宋体"/>
          <w:b/>
          <w:color w:val="auto"/>
          <w:kern w:val="1"/>
          <w:szCs w:val="21"/>
          <w:highlight w:val="none"/>
          <w:lang w:val="en-US" w:eastAsia="zh-CN"/>
        </w:rPr>
        <w:t>1</w:t>
      </w:r>
      <w:r>
        <w:rPr>
          <w:rFonts w:hint="eastAsia" w:ascii="宋体" w:hAnsi="宋体" w:cs="宋体"/>
          <w:b/>
          <w:color w:val="auto"/>
          <w:kern w:val="1"/>
          <w:szCs w:val="21"/>
          <w:highlight w:val="none"/>
          <w:lang w:val="zh-CN"/>
        </w:rPr>
        <w:t>：</w:t>
      </w:r>
      <w:bookmarkEnd w:id="620"/>
      <w:r>
        <w:rPr>
          <w:rFonts w:hint="eastAsia" w:ascii="宋体" w:hAnsi="宋体" w:cs="宋体"/>
          <w:b/>
          <w:color w:val="auto"/>
          <w:kern w:val="1"/>
          <w:szCs w:val="21"/>
          <w:highlight w:val="none"/>
          <w:lang w:val="zh-CN"/>
        </w:rPr>
        <w:t>投标人认为应该补充的资料</w:t>
      </w:r>
      <w:bookmarkEnd w:id="618"/>
      <w:bookmarkEnd w:id="619"/>
    </w:p>
    <w:p w14:paraId="2669FFFB">
      <w:pPr>
        <w:pStyle w:val="87"/>
        <w:ind w:firstLine="0" w:firstLineChars="0"/>
        <w:jc w:val="center"/>
        <w:rPr>
          <w:rFonts w:ascii="宋体" w:hAnsi="宋体" w:eastAsia="宋体" w:cs="宋体"/>
          <w:b/>
          <w:bCs/>
          <w:color w:val="auto"/>
          <w:spacing w:val="0"/>
          <w:kern w:val="1"/>
          <w:sz w:val="32"/>
          <w:szCs w:val="32"/>
          <w:highlight w:val="none"/>
          <w:lang w:val="zh-CN"/>
        </w:rPr>
      </w:pPr>
      <w:bookmarkStart w:id="621" w:name="_Hlk116425454"/>
    </w:p>
    <w:p w14:paraId="7860A313">
      <w:pPr>
        <w:pStyle w:val="87"/>
        <w:snapToGrid/>
        <w:ind w:firstLine="0" w:firstLineChars="0"/>
        <w:jc w:val="center"/>
        <w:rPr>
          <w:rFonts w:ascii="宋体" w:hAnsi="宋体" w:eastAsia="宋体" w:cs="宋体"/>
          <w:b/>
          <w:bCs/>
          <w:color w:val="auto"/>
          <w:spacing w:val="0"/>
          <w:kern w:val="1"/>
          <w:sz w:val="32"/>
          <w:szCs w:val="32"/>
          <w:highlight w:val="none"/>
          <w:lang w:val="zh-CN"/>
        </w:rPr>
      </w:pPr>
      <w:r>
        <w:rPr>
          <w:rFonts w:hint="eastAsia" w:ascii="宋体" w:hAnsi="宋体" w:eastAsia="宋体" w:cs="宋体"/>
          <w:b/>
          <w:bCs/>
          <w:color w:val="auto"/>
          <w:spacing w:val="0"/>
          <w:kern w:val="1"/>
          <w:sz w:val="32"/>
          <w:szCs w:val="32"/>
          <w:highlight w:val="none"/>
          <w:lang w:val="zh-CN"/>
        </w:rPr>
        <w:t>投标人认为应该补充的资料</w:t>
      </w:r>
    </w:p>
    <w:bookmarkEnd w:id="621"/>
    <w:p w14:paraId="23E2F499">
      <w:pPr>
        <w:pStyle w:val="87"/>
        <w:ind w:firstLine="0" w:firstLineChars="0"/>
        <w:jc w:val="center"/>
        <w:rPr>
          <w:rFonts w:ascii="宋体" w:hAnsi="宋体" w:eastAsia="宋体" w:cs="宋体"/>
          <w:b/>
          <w:color w:val="auto"/>
          <w:kern w:val="1"/>
          <w:highlight w:val="none"/>
          <w:lang w:val="zh-CN"/>
        </w:rPr>
      </w:pPr>
      <w:r>
        <w:rPr>
          <w:rFonts w:hint="eastAsia" w:ascii="宋体" w:hAnsi="宋体" w:eastAsia="宋体" w:cs="宋体"/>
          <w:b/>
          <w:bCs/>
          <w:color w:val="auto"/>
          <w:sz w:val="28"/>
          <w:highlight w:val="none"/>
        </w:rPr>
        <w:t>（内容格式自拟）</w:t>
      </w:r>
    </w:p>
    <w:p w14:paraId="2A550923">
      <w:pPr>
        <w:outlineLvl w:val="9"/>
        <w:rPr>
          <w:rFonts w:ascii="Times New Roman" w:hAnsi="Times New Roman" w:cs="Times New Roman"/>
          <w:b w:val="0"/>
          <w:color w:val="auto"/>
          <w:kern w:val="2"/>
          <w:szCs w:val="24"/>
          <w:highlight w:val="none"/>
          <w:lang w:val="zh-CN"/>
        </w:rPr>
      </w:pPr>
      <w:r>
        <w:rPr>
          <w:rFonts w:hint="default" w:ascii="Times New Roman" w:hAnsi="Times New Roman" w:cs="Times New Roman"/>
          <w:b w:val="0"/>
          <w:color w:val="auto"/>
          <w:kern w:val="2"/>
          <w:sz w:val="21"/>
          <w:highlight w:val="none"/>
          <w:lang w:val="zh-CN"/>
        </w:rPr>
        <w:br w:type="page"/>
      </w:r>
      <w:bookmarkStart w:id="622" w:name="_Toc116461810"/>
      <w:bookmarkStart w:id="623" w:name="_Toc123901772"/>
    </w:p>
    <w:bookmarkEnd w:id="622"/>
    <w:bookmarkEnd w:id="623"/>
    <w:p w14:paraId="32EEADA7">
      <w:pPr>
        <w:pStyle w:val="44"/>
        <w:spacing w:line="360" w:lineRule="auto"/>
        <w:ind w:left="0" w:leftChars="0" w:firstLine="0" w:firstLineChars="0"/>
        <w:rPr>
          <w:rFonts w:ascii="宋体" w:hAnsi="宋体" w:cs="宋体"/>
          <w:b/>
          <w:snapToGrid/>
          <w:color w:val="auto"/>
          <w:spacing w:val="0"/>
          <w:kern w:val="1"/>
          <w:sz w:val="21"/>
          <w:szCs w:val="21"/>
          <w:highlight w:val="none"/>
          <w:lang w:val="zh-CN"/>
        </w:rPr>
      </w:pPr>
    </w:p>
    <w:p w14:paraId="3E99D90F">
      <w:pPr>
        <w:pStyle w:val="44"/>
        <w:spacing w:line="360" w:lineRule="auto"/>
        <w:ind w:left="0" w:leftChars="0" w:firstLine="0" w:firstLineChars="0"/>
        <w:rPr>
          <w:rFonts w:ascii="宋体" w:hAnsi="宋体" w:cs="宋体"/>
          <w:b/>
          <w:snapToGrid w:val="0"/>
          <w:color w:val="auto"/>
          <w:spacing w:val="4"/>
          <w:kern w:val="0"/>
          <w:sz w:val="30"/>
          <w:szCs w:val="30"/>
          <w:highlight w:val="none"/>
        </w:rPr>
      </w:pPr>
    </w:p>
    <w:p w14:paraId="5A6E2B69">
      <w:pPr>
        <w:pStyle w:val="127"/>
        <w:spacing w:beforeLines="0" w:afterLines="0"/>
        <w:ind w:firstLineChars="0"/>
        <w:jc w:val="center"/>
        <w:rPr>
          <w:rFonts w:hint="eastAsia" w:ascii="宋体" w:hAnsi="宋体" w:eastAsia="宋体" w:cs="宋体"/>
          <w:b w:val="0"/>
          <w:color w:val="auto"/>
          <w:sz w:val="32"/>
          <w:szCs w:val="32"/>
          <w:highlight w:val="none"/>
        </w:rPr>
      </w:pPr>
      <w:bookmarkStart w:id="624" w:name="_Toc165358859"/>
      <w:r>
        <w:rPr>
          <w:rFonts w:hint="eastAsia" w:ascii="宋体" w:hAnsi="宋体" w:eastAsia="宋体" w:cs="宋体"/>
          <w:b w:val="0"/>
          <w:color w:val="auto"/>
          <w:sz w:val="32"/>
          <w:szCs w:val="32"/>
          <w:highlight w:val="none"/>
        </w:rPr>
        <w:t>定标文件封面</w:t>
      </w:r>
      <w:bookmarkEnd w:id="624"/>
    </w:p>
    <w:p w14:paraId="1817E4D0">
      <w:pPr>
        <w:pStyle w:val="87"/>
        <w:ind w:firstLine="496"/>
        <w:rPr>
          <w:rFonts w:ascii="宋体" w:hAnsi="宋体" w:eastAsia="宋体" w:cs="宋体"/>
          <w:color w:val="auto"/>
          <w:highlight w:val="none"/>
        </w:rPr>
      </w:pPr>
    </w:p>
    <w:p w14:paraId="0DA42E5A">
      <w:pPr>
        <w:pStyle w:val="87"/>
        <w:ind w:firstLine="496"/>
        <w:rPr>
          <w:rFonts w:ascii="宋体" w:hAnsi="宋体" w:eastAsia="宋体" w:cs="宋体"/>
          <w:color w:val="auto"/>
          <w:highlight w:val="none"/>
        </w:rPr>
      </w:pPr>
    </w:p>
    <w:p w14:paraId="551E7577">
      <w:pPr>
        <w:pStyle w:val="87"/>
        <w:ind w:firstLine="496"/>
        <w:rPr>
          <w:rFonts w:ascii="宋体" w:hAnsi="宋体" w:eastAsia="宋体" w:cs="宋体"/>
          <w:color w:val="auto"/>
          <w:highlight w:val="none"/>
        </w:rPr>
      </w:pPr>
    </w:p>
    <w:p w14:paraId="785C1379">
      <w:pPr>
        <w:pStyle w:val="175"/>
        <w:rPr>
          <w:rFonts w:ascii="宋体" w:hAnsi="宋体" w:eastAsia="宋体" w:cs="宋体"/>
          <w:b w:val="0"/>
          <w:color w:val="auto"/>
          <w:highlight w:val="none"/>
          <w:u w:val="single"/>
        </w:rPr>
      </w:pPr>
      <w:r>
        <w:rPr>
          <w:rFonts w:hint="eastAsia" w:ascii="宋体" w:hAnsi="宋体" w:eastAsia="宋体" w:cs="宋体"/>
          <w:b w:val="0"/>
          <w:color w:val="auto"/>
          <w:highlight w:val="none"/>
          <w:u w:val="single"/>
        </w:rPr>
        <w:t xml:space="preserve">[项目名称] </w:t>
      </w:r>
    </w:p>
    <w:p w14:paraId="1BFD7538">
      <w:pPr>
        <w:pStyle w:val="87"/>
        <w:ind w:firstLine="496"/>
        <w:rPr>
          <w:rFonts w:ascii="宋体" w:hAnsi="宋体" w:eastAsia="宋体" w:cs="宋体"/>
          <w:color w:val="auto"/>
          <w:highlight w:val="none"/>
        </w:rPr>
      </w:pPr>
    </w:p>
    <w:p w14:paraId="30DD7575">
      <w:pPr>
        <w:pStyle w:val="87"/>
        <w:ind w:firstLine="496"/>
        <w:rPr>
          <w:rFonts w:ascii="宋体" w:hAnsi="宋体" w:eastAsia="宋体" w:cs="宋体"/>
          <w:color w:val="auto"/>
          <w:highlight w:val="none"/>
        </w:rPr>
      </w:pPr>
    </w:p>
    <w:p w14:paraId="08853DA7">
      <w:pPr>
        <w:pStyle w:val="87"/>
        <w:ind w:firstLine="496"/>
        <w:rPr>
          <w:rFonts w:ascii="宋体" w:hAnsi="宋体" w:eastAsia="宋体" w:cs="宋体"/>
          <w:color w:val="auto"/>
          <w:highlight w:val="none"/>
        </w:rPr>
      </w:pPr>
    </w:p>
    <w:p w14:paraId="08E53176">
      <w:pPr>
        <w:pStyle w:val="87"/>
        <w:ind w:firstLine="496"/>
        <w:rPr>
          <w:rFonts w:ascii="宋体" w:hAnsi="宋体" w:eastAsia="宋体" w:cs="宋体"/>
          <w:color w:val="auto"/>
          <w:highlight w:val="none"/>
        </w:rPr>
      </w:pPr>
    </w:p>
    <w:p w14:paraId="15AD2993">
      <w:pPr>
        <w:pStyle w:val="127"/>
        <w:rPr>
          <w:rFonts w:ascii="宋体" w:hAnsi="宋体" w:eastAsia="宋体" w:cs="宋体"/>
          <w:b w:val="0"/>
          <w:color w:val="auto"/>
          <w:highlight w:val="none"/>
        </w:rPr>
      </w:pPr>
      <w:r>
        <w:rPr>
          <w:rFonts w:hint="eastAsia" w:ascii="宋体" w:hAnsi="宋体" w:eastAsia="宋体" w:cs="宋体"/>
          <w:b w:val="0"/>
          <w:color w:val="auto"/>
          <w:highlight w:val="none"/>
        </w:rPr>
        <w:t>定标文件</w:t>
      </w:r>
    </w:p>
    <w:p w14:paraId="0A86A4BE">
      <w:pPr>
        <w:pStyle w:val="87"/>
        <w:ind w:firstLine="496"/>
        <w:rPr>
          <w:rFonts w:ascii="宋体" w:hAnsi="宋体" w:eastAsia="宋体" w:cs="宋体"/>
          <w:color w:val="auto"/>
          <w:highlight w:val="none"/>
        </w:rPr>
      </w:pPr>
    </w:p>
    <w:p w14:paraId="7F791EEC">
      <w:pPr>
        <w:pStyle w:val="87"/>
        <w:ind w:firstLine="496"/>
        <w:rPr>
          <w:rFonts w:ascii="宋体" w:hAnsi="宋体" w:eastAsia="宋体" w:cs="宋体"/>
          <w:color w:val="auto"/>
          <w:highlight w:val="none"/>
        </w:rPr>
      </w:pPr>
    </w:p>
    <w:p w14:paraId="18B97B87">
      <w:pPr>
        <w:pStyle w:val="87"/>
        <w:ind w:firstLine="496"/>
        <w:rPr>
          <w:rFonts w:ascii="宋体" w:hAnsi="宋体" w:eastAsia="宋体" w:cs="宋体"/>
          <w:color w:val="auto"/>
          <w:highlight w:val="none"/>
        </w:rPr>
      </w:pPr>
    </w:p>
    <w:p w14:paraId="269E4DD0">
      <w:pPr>
        <w:pStyle w:val="87"/>
        <w:ind w:firstLine="496"/>
        <w:rPr>
          <w:rFonts w:ascii="宋体" w:hAnsi="宋体" w:eastAsia="宋体" w:cs="宋体"/>
          <w:color w:val="auto"/>
          <w:highlight w:val="none"/>
        </w:rPr>
      </w:pPr>
    </w:p>
    <w:p w14:paraId="4E7A0843">
      <w:pPr>
        <w:pStyle w:val="171"/>
        <w:ind w:firstLine="616"/>
        <w:rPr>
          <w:rFonts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 xml:space="preserve">    （填写投标人单位名称）    （盖章）</w:t>
      </w:r>
    </w:p>
    <w:p w14:paraId="4C93C0E7">
      <w:pPr>
        <w:ind w:firstLine="616" w:firstLineChars="200"/>
        <w:rPr>
          <w:rFonts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rPr>
        <w:t xml:space="preserve">日  期： </w:t>
      </w:r>
    </w:p>
    <w:p w14:paraId="6ECD868D">
      <w:pPr>
        <w:pStyle w:val="18"/>
        <w:rPr>
          <w:rFonts w:ascii="宋体" w:hAnsi="宋体" w:cs="宋体"/>
          <w:color w:val="auto"/>
          <w:spacing w:val="4"/>
          <w:kern w:val="0"/>
          <w:sz w:val="30"/>
          <w:szCs w:val="30"/>
          <w:highlight w:val="none"/>
        </w:rPr>
      </w:pPr>
    </w:p>
    <w:p w14:paraId="4803C614">
      <w:pPr>
        <w:rPr>
          <w:rFonts w:ascii="宋体" w:hAnsi="宋体" w:cs="宋体"/>
          <w:color w:val="auto"/>
          <w:spacing w:val="4"/>
          <w:kern w:val="0"/>
          <w:sz w:val="30"/>
          <w:szCs w:val="30"/>
          <w:highlight w:val="none"/>
        </w:rPr>
      </w:pPr>
    </w:p>
    <w:p w14:paraId="77073C7B">
      <w:pPr>
        <w:pStyle w:val="18"/>
        <w:rPr>
          <w:rFonts w:ascii="宋体" w:hAnsi="宋体" w:cs="宋体"/>
          <w:color w:val="auto"/>
          <w:spacing w:val="4"/>
          <w:kern w:val="0"/>
          <w:sz w:val="30"/>
          <w:szCs w:val="30"/>
          <w:highlight w:val="none"/>
        </w:rPr>
      </w:pPr>
    </w:p>
    <w:p w14:paraId="49DA228B">
      <w:pPr>
        <w:pStyle w:val="18"/>
        <w:jc w:val="center"/>
        <w:rPr>
          <w:rFonts w:hint="eastAsia" w:ascii="宋体" w:hAnsi="宋体" w:cs="宋体"/>
          <w:color w:val="auto"/>
          <w:spacing w:val="4"/>
          <w:kern w:val="0"/>
          <w:sz w:val="30"/>
          <w:szCs w:val="30"/>
          <w:highlight w:val="none"/>
        </w:rPr>
      </w:pPr>
      <w:r>
        <w:rPr>
          <w:rFonts w:ascii="宋体" w:hAnsi="宋体" w:cs="宋体"/>
          <w:color w:val="auto"/>
          <w:spacing w:val="4"/>
          <w:kern w:val="0"/>
          <w:sz w:val="30"/>
          <w:szCs w:val="30"/>
          <w:highlight w:val="none"/>
        </w:rPr>
        <w:br w:type="page"/>
      </w:r>
    </w:p>
    <w:p w14:paraId="442F5D98">
      <w:pPr>
        <w:jc w:val="both"/>
        <w:outlineLvl w:val="1"/>
        <w:rPr>
          <w:rFonts w:hint="default" w:ascii="宋体" w:hAnsi="宋体" w:eastAsia="宋体" w:cs="宋体"/>
          <w:b/>
          <w:color w:val="auto"/>
          <w:spacing w:val="0"/>
          <w:kern w:val="1"/>
          <w:sz w:val="21"/>
          <w:szCs w:val="21"/>
          <w:highlight w:val="none"/>
          <w:lang w:val="zh-CN"/>
        </w:rPr>
      </w:pPr>
      <w:r>
        <w:rPr>
          <w:rFonts w:hint="default" w:ascii="宋体" w:hAnsi="宋体" w:eastAsia="宋体" w:cs="宋体"/>
          <w:b/>
          <w:color w:val="auto"/>
          <w:kern w:val="1"/>
          <w:szCs w:val="21"/>
          <w:highlight w:val="none"/>
          <w:lang w:val="zh-CN"/>
        </w:rPr>
        <w:t>格式</w:t>
      </w:r>
      <w:r>
        <w:rPr>
          <w:rFonts w:ascii="宋体" w:hAnsi="宋体" w:eastAsia="宋体" w:cs="宋体"/>
          <w:b/>
          <w:color w:val="auto"/>
          <w:kern w:val="1"/>
          <w:szCs w:val="21"/>
          <w:highlight w:val="none"/>
          <w:lang w:val="zh-CN"/>
        </w:rPr>
        <w:t>1</w:t>
      </w:r>
      <w:r>
        <w:rPr>
          <w:rFonts w:hint="eastAsia" w:ascii="宋体" w:hAnsi="宋体" w:eastAsia="宋体" w:cs="宋体"/>
          <w:b/>
          <w:color w:val="auto"/>
          <w:kern w:val="1"/>
          <w:szCs w:val="21"/>
          <w:highlight w:val="none"/>
          <w:lang w:val="en-US" w:eastAsia="zh-CN"/>
        </w:rPr>
        <w:t>2</w:t>
      </w:r>
      <w:r>
        <w:rPr>
          <w:rFonts w:hint="default" w:ascii="宋体" w:hAnsi="宋体" w:eastAsia="宋体" w:cs="宋体"/>
          <w:b/>
          <w:color w:val="auto"/>
          <w:kern w:val="1"/>
          <w:szCs w:val="21"/>
          <w:highlight w:val="none"/>
          <w:lang w:val="zh-CN"/>
        </w:rPr>
        <w:t>：</w:t>
      </w:r>
      <w:r>
        <w:rPr>
          <w:rFonts w:hint="default" w:ascii="宋体" w:hAnsi="宋体" w:eastAsia="宋体" w:cs="宋体"/>
          <w:b/>
          <w:color w:val="auto"/>
          <w:spacing w:val="0"/>
          <w:kern w:val="1"/>
          <w:sz w:val="21"/>
          <w:szCs w:val="21"/>
          <w:highlight w:val="none"/>
          <w:lang w:val="zh-CN"/>
        </w:rPr>
        <w:t>定标文件内容格式</w:t>
      </w:r>
    </w:p>
    <w:p w14:paraId="29F87371">
      <w:pPr>
        <w:pStyle w:val="18"/>
        <w:jc w:val="center"/>
        <w:rPr>
          <w:rFonts w:ascii="宋体" w:hAnsi="宋体" w:cs="宋体"/>
          <w:color w:val="auto"/>
          <w:spacing w:val="4"/>
          <w:kern w:val="0"/>
          <w:sz w:val="30"/>
          <w:szCs w:val="30"/>
          <w:highlight w:val="none"/>
        </w:rPr>
      </w:pPr>
      <w:bookmarkStart w:id="625" w:name="OLE_LINK127"/>
      <w:bookmarkStart w:id="626" w:name="OLE_LINK133"/>
      <w:r>
        <w:rPr>
          <w:rFonts w:hint="eastAsia" w:ascii="宋体" w:hAnsi="宋体" w:cs="宋体"/>
          <w:color w:val="auto"/>
          <w:spacing w:val="4"/>
          <w:kern w:val="0"/>
          <w:sz w:val="30"/>
          <w:szCs w:val="30"/>
          <w:highlight w:val="none"/>
        </w:rPr>
        <w:t>定标文件内容格式</w:t>
      </w:r>
      <w:bookmarkEnd w:id="625"/>
      <w:bookmarkEnd w:id="626"/>
      <w:r>
        <w:rPr>
          <w:rFonts w:hint="eastAsia" w:ascii="宋体" w:hAnsi="宋体" w:cs="宋体"/>
          <w:color w:val="auto"/>
          <w:spacing w:val="4"/>
          <w:kern w:val="0"/>
          <w:sz w:val="30"/>
          <w:szCs w:val="30"/>
          <w:highlight w:val="none"/>
        </w:rPr>
        <w:t>自拟</w:t>
      </w:r>
    </w:p>
    <w:p w14:paraId="306C9563">
      <w:pPr>
        <w:rPr>
          <w:rFonts w:ascii="宋体" w:hAnsi="宋体"/>
          <w:strike/>
          <w:color w:val="auto"/>
          <w:highlight w:val="none"/>
        </w:rPr>
      </w:pPr>
    </w:p>
    <w:sectPr>
      <w:pgSz w:w="11906" w:h="16838"/>
      <w:pgMar w:top="1134" w:right="1417" w:bottom="1134" w:left="1417" w:header="567"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listo MT">
    <w:panose1 w:val="02040603050505030304"/>
    <w:charset w:val="00"/>
    <w:family w:val="roman"/>
    <w:pitch w:val="default"/>
    <w:sig w:usb0="00000003" w:usb1="00000000" w:usb2="00000000" w:usb3="00000000" w:csb0="2000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40E20">
    <w:pPr>
      <w:pStyle w:val="28"/>
    </w:pPr>
  </w:p>
  <w:p w14:paraId="2F5DD924"/>
  <w:p w14:paraId="61D7A6DB">
    <w:pPr>
      <w:pStyle w:val="2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9A5A4">
    <w:pPr>
      <w:pStyle w:val="28"/>
      <w:jc w:val="center"/>
    </w:pPr>
    <w:r>
      <w:pict>
        <v:shape id="文本框 28" o:spid="_x0000_s3077" o:spt="202" type="#_x0000_t202" style="position:absolute;left:0pt;margin-top:0pt;height:10.35pt;width:9.05pt;mso-position-horizontal:center;mso-position-horizontal-relative:margin;mso-wrap-style:none;z-index:251662336;mso-width-relative:page;mso-height-relative:page;" filled="f" stroked="f" coordsize="21600,21600">
          <v:path/>
          <v:fill on="f" focussize="0,0"/>
          <v:stroke on="f" weight="1.25pt" joinstyle="miter"/>
          <v:imagedata o:title=""/>
          <o:lock v:ext="edit"/>
          <v:textbox inset="0mm,0mm,0mm,0mm" style="mso-fit-shape-to-text:t;">
            <w:txbxContent>
              <w:p w14:paraId="0C9F1834">
                <w:pPr>
                  <w:pStyle w:val="28"/>
                </w:pPr>
                <w:r>
                  <w:fldChar w:fldCharType="begin"/>
                </w:r>
                <w:r>
                  <w:instrText xml:space="preserve"> PAGE  \* MERGEFORMAT </w:instrText>
                </w:r>
                <w:r>
                  <w:fldChar w:fldCharType="separate"/>
                </w:r>
                <w:r>
                  <w:t>57</w:t>
                </w:r>
                <w:r>
                  <w:fldChar w:fldCharType="end"/>
                </w:r>
              </w:p>
            </w:txbxContent>
          </v:textbox>
        </v:shape>
      </w:pict>
    </w:r>
  </w:p>
  <w:p w14:paraId="165B1F55">
    <w:pPr>
      <w:pStyle w:val="2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D45E3">
    <w:pPr>
      <w:pStyle w:val="28"/>
      <w:jc w:val="center"/>
    </w:pPr>
    <w:r>
      <w:pict>
        <v:shape id="文本框 17" o:spid="_x0000_s3078" o:spt="202" type="#_x0000_t202" style="position:absolute;left:0pt;margin-top:0pt;height:10.35pt;width:9.05pt;mso-position-horizontal:center;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14:paraId="40805F1D">
                <w:pPr>
                  <w:pStyle w:val="28"/>
                  <w:jc w:val="center"/>
                </w:pPr>
                <w:r>
                  <w:fldChar w:fldCharType="begin"/>
                </w:r>
                <w:r>
                  <w:instrText xml:space="preserve"> PAGE  \* MERGEFORMAT </w:instrText>
                </w:r>
                <w:r>
                  <w:fldChar w:fldCharType="separate"/>
                </w:r>
                <w:r>
                  <w:t>69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765A3">
    <w:pPr>
      <w:pStyle w:val="28"/>
      <w:framePr w:wrap="around" w:vAnchor="text" w:hAnchor="margin" w:xAlign="center" w:y="1"/>
      <w:rPr>
        <w:rStyle w:val="50"/>
      </w:rPr>
    </w:pPr>
    <w:r>
      <w:fldChar w:fldCharType="begin"/>
    </w:r>
    <w:r>
      <w:rPr>
        <w:rStyle w:val="50"/>
      </w:rPr>
      <w:instrText xml:space="preserve">PAGE  </w:instrText>
    </w:r>
    <w:r>
      <w:fldChar w:fldCharType="separate"/>
    </w:r>
    <w:r>
      <w:rPr>
        <w:rStyle w:val="50"/>
      </w:rPr>
      <w:t>91</w:t>
    </w:r>
    <w:r>
      <w:fldChar w:fldCharType="end"/>
    </w:r>
  </w:p>
  <w:p w14:paraId="3B40FB05">
    <w:pPr>
      <w:spacing w:line="400" w:lineRule="exact"/>
    </w:pPr>
  </w:p>
  <w:p w14:paraId="6DC0A969"/>
  <w:p w14:paraId="16DC1257"/>
  <w:p w14:paraId="4635CB39"/>
  <w:p w14:paraId="1CBD6BDE"/>
  <w:p w14:paraId="3E075223"/>
  <w:p w14:paraId="42CFB59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473FA">
    <w:pPr>
      <w:pStyle w:val="28"/>
    </w:pPr>
    <w:r>
      <w:pict>
        <v:shape id="文本框 29" o:spid="_x0000_s3074" o:spt="202" type="#_x0000_t202" style="position:absolute;left:0pt;margin-top:0pt;height:10.35pt;width:13.7pt;mso-position-horizontal:center;mso-position-horizontal-relative:margin;z-index:251663360;mso-width-relative:page;mso-height-relative:page;" filled="f" stroked="f" coordsize="21600,21600">
          <v:path/>
          <v:fill on="f" focussize="0,0"/>
          <v:stroke on="f" weight="1.25pt" joinstyle="miter"/>
          <v:imagedata o:title=""/>
          <o:lock v:ext="edit"/>
          <v:textbox inset="0mm,0mm,0mm,0mm" style="mso-fit-shape-to-text:t;">
            <w:txbxContent>
              <w:p w14:paraId="3ECFF0F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w:r>
  </w:p>
  <w:p w14:paraId="59A0F1C2"/>
  <w:p w14:paraId="18EEDACD">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01391">
    <w:r>
      <w:pict>
        <v:shape id="文本框 3075" o:spid="_x0000_s3075" o:spt="202" type="#_x0000_t202" style="position:absolute;left:0pt;margin-top:0pt;height:10.35pt;width:9.05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239942D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A9CA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506F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8706A">
    <w:pPr>
      <w:pStyle w:val="28"/>
    </w:pPr>
    <w:r>
      <w:pict>
        <v:shape id="文本框 14" o:spid="_x0000_s3076" o:spt="202" type="#_x0000_t202" style="position:absolute;left:0pt;margin-top:0pt;height:10.35pt;width:9.05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14:paraId="50823E79">
                <w:pPr>
                  <w:pStyle w:val="28"/>
                </w:pPr>
                <w:r>
                  <w:fldChar w:fldCharType="begin"/>
                </w:r>
                <w:r>
                  <w:instrText xml:space="preserve"> PAGE  \* MERGEFORMAT </w:instrText>
                </w:r>
                <w:r>
                  <w:fldChar w:fldCharType="separate"/>
                </w:r>
                <w:r>
                  <w:t>50</w:t>
                </w:r>
                <w:r>
                  <w:fldChar w:fldCharType="end"/>
                </w:r>
              </w:p>
            </w:txbxContent>
          </v:textbox>
        </v:shape>
      </w:pict>
    </w:r>
  </w:p>
  <w:p w14:paraId="5014F1AE"/>
  <w:p w14:paraId="40AD1561">
    <w:pPr>
      <w:pStyle w:val="2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58BA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C70E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40EA6">
    <w:pPr>
      <w:pStyle w:val="29"/>
      <w:pBdr>
        <w:bottom w:val="none" w:color="auto" w:sz="0" w:space="0"/>
      </w:pBdr>
      <w:rPr>
        <w:szCs w:val="24"/>
      </w:rPr>
    </w:pPr>
    <w:r>
      <w:rPr>
        <w:b/>
        <w:sz w:val="24"/>
        <w:szCs w:val="24"/>
      </w:rPr>
      <w:pict>
        <v:line id="Line 1" o:spid="_x0000_s3073" o:spt="20" style="position:absolute;left:0pt;margin-left:-1.35pt;margin-top:35pt;height:0pt;width:484.5pt;z-index:251659264;mso-width-relative:page;mso-height-relative:page;" stroked="t" coordsize="21600,21600">
          <v:path arrowok="t"/>
          <v:fill focussize="0,0"/>
          <v:stroke weight="0.25pt" color="#FFFFFF"/>
          <v:imagedata o:title=""/>
          <o:lock v:ext="edit"/>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DA46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CDE6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421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BDBC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5AE4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EB3E9">
    <w:pPr>
      <w:pStyle w:val="29"/>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FB342">
    <w:pPr>
      <w:pStyle w:val="18"/>
      <w:tabs>
        <w:tab w:val="left" w:pos="3240"/>
      </w:tabs>
      <w:kinsoku w:val="0"/>
      <w:overflowPunct w:val="0"/>
      <w:spacing w:line="14" w:lineRule="auto"/>
      <w:rPr>
        <w:sz w:val="20"/>
      </w:rPr>
    </w:pPr>
    <w:r>
      <w:rPr>
        <w:rFonts w:hint="eastAsia"/>
        <w:sz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EyNzJhYjMzYjI1M2U5OWFmZDZlZjE5YWM4NTczYzEifQ=="/>
  </w:docVars>
  <w:rsids>
    <w:rsidRoot w:val="00172A27"/>
    <w:rsid w:val="000003D3"/>
    <w:rsid w:val="00001676"/>
    <w:rsid w:val="00003634"/>
    <w:rsid w:val="00003A0F"/>
    <w:rsid w:val="00003B51"/>
    <w:rsid w:val="00003C90"/>
    <w:rsid w:val="000065BE"/>
    <w:rsid w:val="000072A0"/>
    <w:rsid w:val="000072F1"/>
    <w:rsid w:val="00014572"/>
    <w:rsid w:val="0001575B"/>
    <w:rsid w:val="00015A28"/>
    <w:rsid w:val="000172C9"/>
    <w:rsid w:val="000175BC"/>
    <w:rsid w:val="00021871"/>
    <w:rsid w:val="00023604"/>
    <w:rsid w:val="00025003"/>
    <w:rsid w:val="00027452"/>
    <w:rsid w:val="0002795A"/>
    <w:rsid w:val="00027FAA"/>
    <w:rsid w:val="000302B0"/>
    <w:rsid w:val="0003183F"/>
    <w:rsid w:val="00031EF6"/>
    <w:rsid w:val="000320C1"/>
    <w:rsid w:val="000340DD"/>
    <w:rsid w:val="00034A4E"/>
    <w:rsid w:val="00034D37"/>
    <w:rsid w:val="00035689"/>
    <w:rsid w:val="00035B67"/>
    <w:rsid w:val="0003646E"/>
    <w:rsid w:val="00040032"/>
    <w:rsid w:val="000404D5"/>
    <w:rsid w:val="00040E4C"/>
    <w:rsid w:val="00041AD5"/>
    <w:rsid w:val="00046241"/>
    <w:rsid w:val="0004727B"/>
    <w:rsid w:val="0004782D"/>
    <w:rsid w:val="00052D66"/>
    <w:rsid w:val="000534FB"/>
    <w:rsid w:val="0005505A"/>
    <w:rsid w:val="00060807"/>
    <w:rsid w:val="00061CAF"/>
    <w:rsid w:val="000625C7"/>
    <w:rsid w:val="00062C89"/>
    <w:rsid w:val="0006595B"/>
    <w:rsid w:val="000668D3"/>
    <w:rsid w:val="000701BC"/>
    <w:rsid w:val="00070F23"/>
    <w:rsid w:val="00070F3D"/>
    <w:rsid w:val="00071DFC"/>
    <w:rsid w:val="00072583"/>
    <w:rsid w:val="00073E1A"/>
    <w:rsid w:val="000742B3"/>
    <w:rsid w:val="0007455D"/>
    <w:rsid w:val="0007550C"/>
    <w:rsid w:val="0007578C"/>
    <w:rsid w:val="000762EC"/>
    <w:rsid w:val="0007727F"/>
    <w:rsid w:val="00081DE6"/>
    <w:rsid w:val="00090C9D"/>
    <w:rsid w:val="00093C24"/>
    <w:rsid w:val="000949BD"/>
    <w:rsid w:val="000968AE"/>
    <w:rsid w:val="00096E7A"/>
    <w:rsid w:val="000A189B"/>
    <w:rsid w:val="000A2396"/>
    <w:rsid w:val="000A2B9B"/>
    <w:rsid w:val="000A2BA9"/>
    <w:rsid w:val="000A6BEB"/>
    <w:rsid w:val="000A7A55"/>
    <w:rsid w:val="000B3C38"/>
    <w:rsid w:val="000B4154"/>
    <w:rsid w:val="000B472A"/>
    <w:rsid w:val="000B5183"/>
    <w:rsid w:val="000B5201"/>
    <w:rsid w:val="000B55BF"/>
    <w:rsid w:val="000B63C8"/>
    <w:rsid w:val="000C0D38"/>
    <w:rsid w:val="000C3D5C"/>
    <w:rsid w:val="000C6692"/>
    <w:rsid w:val="000C69F3"/>
    <w:rsid w:val="000C6B0B"/>
    <w:rsid w:val="000D11F5"/>
    <w:rsid w:val="000D1536"/>
    <w:rsid w:val="000D1B2B"/>
    <w:rsid w:val="000D3A52"/>
    <w:rsid w:val="000D56B6"/>
    <w:rsid w:val="000D621A"/>
    <w:rsid w:val="000D6283"/>
    <w:rsid w:val="000E1AFF"/>
    <w:rsid w:val="000E5841"/>
    <w:rsid w:val="000E59C5"/>
    <w:rsid w:val="000E5E43"/>
    <w:rsid w:val="000E5EB8"/>
    <w:rsid w:val="000F16C4"/>
    <w:rsid w:val="000F1E63"/>
    <w:rsid w:val="000F2236"/>
    <w:rsid w:val="000F2C2F"/>
    <w:rsid w:val="000F31AC"/>
    <w:rsid w:val="000F3CB3"/>
    <w:rsid w:val="000F4AA0"/>
    <w:rsid w:val="000F4D98"/>
    <w:rsid w:val="000F589D"/>
    <w:rsid w:val="000F6877"/>
    <w:rsid w:val="001024ED"/>
    <w:rsid w:val="00102AB4"/>
    <w:rsid w:val="00103391"/>
    <w:rsid w:val="001033A8"/>
    <w:rsid w:val="00104240"/>
    <w:rsid w:val="00106177"/>
    <w:rsid w:val="00110EA2"/>
    <w:rsid w:val="001112AA"/>
    <w:rsid w:val="00111B83"/>
    <w:rsid w:val="00111FE2"/>
    <w:rsid w:val="0011230E"/>
    <w:rsid w:val="00113466"/>
    <w:rsid w:val="0011592E"/>
    <w:rsid w:val="00115974"/>
    <w:rsid w:val="001159C1"/>
    <w:rsid w:val="00116308"/>
    <w:rsid w:val="00122279"/>
    <w:rsid w:val="00124006"/>
    <w:rsid w:val="001248E9"/>
    <w:rsid w:val="00124AD7"/>
    <w:rsid w:val="00124B00"/>
    <w:rsid w:val="001251DD"/>
    <w:rsid w:val="00125E36"/>
    <w:rsid w:val="0012623F"/>
    <w:rsid w:val="001271E7"/>
    <w:rsid w:val="00130406"/>
    <w:rsid w:val="00130471"/>
    <w:rsid w:val="00130501"/>
    <w:rsid w:val="00132007"/>
    <w:rsid w:val="001345C8"/>
    <w:rsid w:val="0013644C"/>
    <w:rsid w:val="0014024E"/>
    <w:rsid w:val="001406C6"/>
    <w:rsid w:val="00141127"/>
    <w:rsid w:val="001459B1"/>
    <w:rsid w:val="001467EA"/>
    <w:rsid w:val="00150873"/>
    <w:rsid w:val="00152D18"/>
    <w:rsid w:val="00153FD1"/>
    <w:rsid w:val="0015406B"/>
    <w:rsid w:val="00155264"/>
    <w:rsid w:val="00156446"/>
    <w:rsid w:val="00156ACF"/>
    <w:rsid w:val="00157B15"/>
    <w:rsid w:val="001612BA"/>
    <w:rsid w:val="00164FCE"/>
    <w:rsid w:val="00166788"/>
    <w:rsid w:val="001668DD"/>
    <w:rsid w:val="00167793"/>
    <w:rsid w:val="00167BCD"/>
    <w:rsid w:val="0017119C"/>
    <w:rsid w:val="001721D3"/>
    <w:rsid w:val="00172412"/>
    <w:rsid w:val="00172A27"/>
    <w:rsid w:val="00172FC8"/>
    <w:rsid w:val="0017552A"/>
    <w:rsid w:val="001761EC"/>
    <w:rsid w:val="00177F8A"/>
    <w:rsid w:val="00180678"/>
    <w:rsid w:val="001806FC"/>
    <w:rsid w:val="0018198F"/>
    <w:rsid w:val="00181EFE"/>
    <w:rsid w:val="0018346A"/>
    <w:rsid w:val="00183655"/>
    <w:rsid w:val="00191232"/>
    <w:rsid w:val="0019240E"/>
    <w:rsid w:val="00192ACD"/>
    <w:rsid w:val="00192F24"/>
    <w:rsid w:val="00194775"/>
    <w:rsid w:val="001975DE"/>
    <w:rsid w:val="001A050E"/>
    <w:rsid w:val="001A35A3"/>
    <w:rsid w:val="001A35FC"/>
    <w:rsid w:val="001A3860"/>
    <w:rsid w:val="001A684C"/>
    <w:rsid w:val="001B0CC4"/>
    <w:rsid w:val="001B3099"/>
    <w:rsid w:val="001B41A8"/>
    <w:rsid w:val="001B4904"/>
    <w:rsid w:val="001C2609"/>
    <w:rsid w:val="001C2AD6"/>
    <w:rsid w:val="001C35B6"/>
    <w:rsid w:val="001C7A0B"/>
    <w:rsid w:val="001C7EAB"/>
    <w:rsid w:val="001D4553"/>
    <w:rsid w:val="001D6082"/>
    <w:rsid w:val="001D7764"/>
    <w:rsid w:val="001E0834"/>
    <w:rsid w:val="001E0FAF"/>
    <w:rsid w:val="001E494A"/>
    <w:rsid w:val="001E6DE4"/>
    <w:rsid w:val="001F1DE3"/>
    <w:rsid w:val="001F4B36"/>
    <w:rsid w:val="001F7480"/>
    <w:rsid w:val="0020100D"/>
    <w:rsid w:val="00205203"/>
    <w:rsid w:val="00206880"/>
    <w:rsid w:val="00206945"/>
    <w:rsid w:val="00207FCA"/>
    <w:rsid w:val="00210B48"/>
    <w:rsid w:val="002125B2"/>
    <w:rsid w:val="00212D6C"/>
    <w:rsid w:val="00213097"/>
    <w:rsid w:val="002130C2"/>
    <w:rsid w:val="002164AE"/>
    <w:rsid w:val="002166DB"/>
    <w:rsid w:val="00217638"/>
    <w:rsid w:val="0022020C"/>
    <w:rsid w:val="00220637"/>
    <w:rsid w:val="002237D9"/>
    <w:rsid w:val="00223C10"/>
    <w:rsid w:val="002250BA"/>
    <w:rsid w:val="002262C0"/>
    <w:rsid w:val="0022704C"/>
    <w:rsid w:val="00227458"/>
    <w:rsid w:val="00230D0D"/>
    <w:rsid w:val="002313C2"/>
    <w:rsid w:val="0023171B"/>
    <w:rsid w:val="00232A96"/>
    <w:rsid w:val="002338F2"/>
    <w:rsid w:val="002345BE"/>
    <w:rsid w:val="00234807"/>
    <w:rsid w:val="0023522C"/>
    <w:rsid w:val="002352CC"/>
    <w:rsid w:val="0023550E"/>
    <w:rsid w:val="002368C4"/>
    <w:rsid w:val="00243253"/>
    <w:rsid w:val="00244B62"/>
    <w:rsid w:val="00245229"/>
    <w:rsid w:val="0024604F"/>
    <w:rsid w:val="00247314"/>
    <w:rsid w:val="00250263"/>
    <w:rsid w:val="00254749"/>
    <w:rsid w:val="00255AEF"/>
    <w:rsid w:val="00256500"/>
    <w:rsid w:val="00261B8E"/>
    <w:rsid w:val="00263BA8"/>
    <w:rsid w:val="00265659"/>
    <w:rsid w:val="00267D1A"/>
    <w:rsid w:val="00273B55"/>
    <w:rsid w:val="00274024"/>
    <w:rsid w:val="00275D26"/>
    <w:rsid w:val="0027628D"/>
    <w:rsid w:val="00277419"/>
    <w:rsid w:val="00277734"/>
    <w:rsid w:val="00280405"/>
    <w:rsid w:val="00283FFD"/>
    <w:rsid w:val="00284100"/>
    <w:rsid w:val="00284660"/>
    <w:rsid w:val="00287567"/>
    <w:rsid w:val="002907FB"/>
    <w:rsid w:val="00290EA3"/>
    <w:rsid w:val="00291D9B"/>
    <w:rsid w:val="002938B5"/>
    <w:rsid w:val="00293FEA"/>
    <w:rsid w:val="00295718"/>
    <w:rsid w:val="00295DD3"/>
    <w:rsid w:val="00296228"/>
    <w:rsid w:val="00296CEC"/>
    <w:rsid w:val="002A049B"/>
    <w:rsid w:val="002A38AF"/>
    <w:rsid w:val="002A43D3"/>
    <w:rsid w:val="002A507F"/>
    <w:rsid w:val="002A54F5"/>
    <w:rsid w:val="002A6B05"/>
    <w:rsid w:val="002A7BFF"/>
    <w:rsid w:val="002B079B"/>
    <w:rsid w:val="002B1D41"/>
    <w:rsid w:val="002B34DC"/>
    <w:rsid w:val="002B37A8"/>
    <w:rsid w:val="002B3A76"/>
    <w:rsid w:val="002B48F8"/>
    <w:rsid w:val="002B58F1"/>
    <w:rsid w:val="002B591F"/>
    <w:rsid w:val="002C0712"/>
    <w:rsid w:val="002C1D12"/>
    <w:rsid w:val="002C2539"/>
    <w:rsid w:val="002C4A6F"/>
    <w:rsid w:val="002C4C8E"/>
    <w:rsid w:val="002C5B63"/>
    <w:rsid w:val="002C72A1"/>
    <w:rsid w:val="002D0E2B"/>
    <w:rsid w:val="002D12FC"/>
    <w:rsid w:val="002D4AF5"/>
    <w:rsid w:val="002D5669"/>
    <w:rsid w:val="002D6119"/>
    <w:rsid w:val="002E026F"/>
    <w:rsid w:val="002E0616"/>
    <w:rsid w:val="002E1697"/>
    <w:rsid w:val="002E1E42"/>
    <w:rsid w:val="002E3B7D"/>
    <w:rsid w:val="002E6785"/>
    <w:rsid w:val="002F270D"/>
    <w:rsid w:val="002F37DF"/>
    <w:rsid w:val="002F3E34"/>
    <w:rsid w:val="002F54DF"/>
    <w:rsid w:val="002F5BB0"/>
    <w:rsid w:val="002F5ED2"/>
    <w:rsid w:val="002F6891"/>
    <w:rsid w:val="002F6F7C"/>
    <w:rsid w:val="00300965"/>
    <w:rsid w:val="00301AF8"/>
    <w:rsid w:val="00301E32"/>
    <w:rsid w:val="00303714"/>
    <w:rsid w:val="00304EFA"/>
    <w:rsid w:val="00305F3D"/>
    <w:rsid w:val="0031037B"/>
    <w:rsid w:val="0031187B"/>
    <w:rsid w:val="00311D70"/>
    <w:rsid w:val="00312159"/>
    <w:rsid w:val="003168EB"/>
    <w:rsid w:val="0032213E"/>
    <w:rsid w:val="00323D29"/>
    <w:rsid w:val="00324626"/>
    <w:rsid w:val="00325633"/>
    <w:rsid w:val="003305BC"/>
    <w:rsid w:val="00332F7E"/>
    <w:rsid w:val="00333C50"/>
    <w:rsid w:val="00333E23"/>
    <w:rsid w:val="00335DFB"/>
    <w:rsid w:val="00336B39"/>
    <w:rsid w:val="00337D8C"/>
    <w:rsid w:val="003407C0"/>
    <w:rsid w:val="00340B34"/>
    <w:rsid w:val="00340D97"/>
    <w:rsid w:val="00342DDD"/>
    <w:rsid w:val="003436C2"/>
    <w:rsid w:val="00344C78"/>
    <w:rsid w:val="003461DC"/>
    <w:rsid w:val="0035001E"/>
    <w:rsid w:val="003556C0"/>
    <w:rsid w:val="00355C0A"/>
    <w:rsid w:val="00356538"/>
    <w:rsid w:val="003573A7"/>
    <w:rsid w:val="00357AD3"/>
    <w:rsid w:val="00360702"/>
    <w:rsid w:val="003613C1"/>
    <w:rsid w:val="00361C34"/>
    <w:rsid w:val="00361E0D"/>
    <w:rsid w:val="003635B9"/>
    <w:rsid w:val="00365274"/>
    <w:rsid w:val="00367A4D"/>
    <w:rsid w:val="0037207F"/>
    <w:rsid w:val="00372343"/>
    <w:rsid w:val="003725E1"/>
    <w:rsid w:val="00372F32"/>
    <w:rsid w:val="00373A0F"/>
    <w:rsid w:val="00374054"/>
    <w:rsid w:val="00375009"/>
    <w:rsid w:val="003753FA"/>
    <w:rsid w:val="00375658"/>
    <w:rsid w:val="00375FDD"/>
    <w:rsid w:val="00376028"/>
    <w:rsid w:val="00377D12"/>
    <w:rsid w:val="00382B43"/>
    <w:rsid w:val="00385D64"/>
    <w:rsid w:val="003867F6"/>
    <w:rsid w:val="00387302"/>
    <w:rsid w:val="00387BEC"/>
    <w:rsid w:val="003921D5"/>
    <w:rsid w:val="00392BA1"/>
    <w:rsid w:val="003950C6"/>
    <w:rsid w:val="003964F9"/>
    <w:rsid w:val="003A5692"/>
    <w:rsid w:val="003A5E80"/>
    <w:rsid w:val="003A6E42"/>
    <w:rsid w:val="003B036C"/>
    <w:rsid w:val="003B125F"/>
    <w:rsid w:val="003B185B"/>
    <w:rsid w:val="003B4D57"/>
    <w:rsid w:val="003B71CE"/>
    <w:rsid w:val="003C07DD"/>
    <w:rsid w:val="003C10D0"/>
    <w:rsid w:val="003C1731"/>
    <w:rsid w:val="003C2E98"/>
    <w:rsid w:val="003C388C"/>
    <w:rsid w:val="003C3BC1"/>
    <w:rsid w:val="003C40D9"/>
    <w:rsid w:val="003C49DD"/>
    <w:rsid w:val="003C742A"/>
    <w:rsid w:val="003D0496"/>
    <w:rsid w:val="003D1507"/>
    <w:rsid w:val="003D1CED"/>
    <w:rsid w:val="003D2933"/>
    <w:rsid w:val="003D43DE"/>
    <w:rsid w:val="003D4723"/>
    <w:rsid w:val="003D47F3"/>
    <w:rsid w:val="003D6FE1"/>
    <w:rsid w:val="003D7AE4"/>
    <w:rsid w:val="003E1349"/>
    <w:rsid w:val="003E3344"/>
    <w:rsid w:val="003E34DA"/>
    <w:rsid w:val="003E3892"/>
    <w:rsid w:val="003E5E20"/>
    <w:rsid w:val="003F4327"/>
    <w:rsid w:val="003F4AB6"/>
    <w:rsid w:val="003F699D"/>
    <w:rsid w:val="003F69DE"/>
    <w:rsid w:val="003F75AC"/>
    <w:rsid w:val="003F79F6"/>
    <w:rsid w:val="00402445"/>
    <w:rsid w:val="00402E14"/>
    <w:rsid w:val="00403814"/>
    <w:rsid w:val="00404971"/>
    <w:rsid w:val="004050BA"/>
    <w:rsid w:val="00407B99"/>
    <w:rsid w:val="00413902"/>
    <w:rsid w:val="00415E2B"/>
    <w:rsid w:val="00416401"/>
    <w:rsid w:val="004206CF"/>
    <w:rsid w:val="004248B3"/>
    <w:rsid w:val="00424CF3"/>
    <w:rsid w:val="0042761D"/>
    <w:rsid w:val="00430984"/>
    <w:rsid w:val="00434377"/>
    <w:rsid w:val="00437447"/>
    <w:rsid w:val="00441309"/>
    <w:rsid w:val="0044158E"/>
    <w:rsid w:val="004424E4"/>
    <w:rsid w:val="004431D9"/>
    <w:rsid w:val="00445E98"/>
    <w:rsid w:val="004526F5"/>
    <w:rsid w:val="00452A31"/>
    <w:rsid w:val="00454C2C"/>
    <w:rsid w:val="0045566A"/>
    <w:rsid w:val="004564C7"/>
    <w:rsid w:val="00456B01"/>
    <w:rsid w:val="00457872"/>
    <w:rsid w:val="00460BF5"/>
    <w:rsid w:val="00460D9D"/>
    <w:rsid w:val="00460E5C"/>
    <w:rsid w:val="00462F55"/>
    <w:rsid w:val="0046337D"/>
    <w:rsid w:val="004636C1"/>
    <w:rsid w:val="00463F38"/>
    <w:rsid w:val="00467455"/>
    <w:rsid w:val="00472A8A"/>
    <w:rsid w:val="0047609F"/>
    <w:rsid w:val="0047703D"/>
    <w:rsid w:val="00477C9E"/>
    <w:rsid w:val="0048131F"/>
    <w:rsid w:val="00481380"/>
    <w:rsid w:val="00484094"/>
    <w:rsid w:val="004869A1"/>
    <w:rsid w:val="004870C7"/>
    <w:rsid w:val="00487F0E"/>
    <w:rsid w:val="00490693"/>
    <w:rsid w:val="00491CAA"/>
    <w:rsid w:val="0049414E"/>
    <w:rsid w:val="004959A7"/>
    <w:rsid w:val="00497AD6"/>
    <w:rsid w:val="004A34F1"/>
    <w:rsid w:val="004A35F5"/>
    <w:rsid w:val="004A437B"/>
    <w:rsid w:val="004A48E9"/>
    <w:rsid w:val="004A64B7"/>
    <w:rsid w:val="004A6E24"/>
    <w:rsid w:val="004B1CAF"/>
    <w:rsid w:val="004B1DDE"/>
    <w:rsid w:val="004B20F1"/>
    <w:rsid w:val="004B3C5A"/>
    <w:rsid w:val="004B458D"/>
    <w:rsid w:val="004B7BF8"/>
    <w:rsid w:val="004B7E58"/>
    <w:rsid w:val="004C22B2"/>
    <w:rsid w:val="004C2579"/>
    <w:rsid w:val="004C3B3E"/>
    <w:rsid w:val="004C474A"/>
    <w:rsid w:val="004C5DB4"/>
    <w:rsid w:val="004C6993"/>
    <w:rsid w:val="004C6999"/>
    <w:rsid w:val="004C6B9B"/>
    <w:rsid w:val="004D128E"/>
    <w:rsid w:val="004D25B5"/>
    <w:rsid w:val="004D47F5"/>
    <w:rsid w:val="004D6997"/>
    <w:rsid w:val="004D6D1C"/>
    <w:rsid w:val="004D6D5E"/>
    <w:rsid w:val="004E13B8"/>
    <w:rsid w:val="004E248F"/>
    <w:rsid w:val="004E38D0"/>
    <w:rsid w:val="004E3D43"/>
    <w:rsid w:val="004E658F"/>
    <w:rsid w:val="004E76C9"/>
    <w:rsid w:val="004F2467"/>
    <w:rsid w:val="004F2578"/>
    <w:rsid w:val="004F4A76"/>
    <w:rsid w:val="004F6E2F"/>
    <w:rsid w:val="004F6EDD"/>
    <w:rsid w:val="0050248B"/>
    <w:rsid w:val="005034A4"/>
    <w:rsid w:val="005052E6"/>
    <w:rsid w:val="005059B4"/>
    <w:rsid w:val="00506D85"/>
    <w:rsid w:val="00506EEB"/>
    <w:rsid w:val="005126D1"/>
    <w:rsid w:val="00515254"/>
    <w:rsid w:val="005171B6"/>
    <w:rsid w:val="00520469"/>
    <w:rsid w:val="005219BD"/>
    <w:rsid w:val="005222D0"/>
    <w:rsid w:val="005227C7"/>
    <w:rsid w:val="00523609"/>
    <w:rsid w:val="0052419C"/>
    <w:rsid w:val="00525474"/>
    <w:rsid w:val="00525A68"/>
    <w:rsid w:val="005263E5"/>
    <w:rsid w:val="00526F60"/>
    <w:rsid w:val="00527264"/>
    <w:rsid w:val="005300E4"/>
    <w:rsid w:val="005332EB"/>
    <w:rsid w:val="00533BB0"/>
    <w:rsid w:val="00534DF9"/>
    <w:rsid w:val="0053511D"/>
    <w:rsid w:val="00541A08"/>
    <w:rsid w:val="00543244"/>
    <w:rsid w:val="00543598"/>
    <w:rsid w:val="0054576B"/>
    <w:rsid w:val="00546E4F"/>
    <w:rsid w:val="0055031A"/>
    <w:rsid w:val="005506DA"/>
    <w:rsid w:val="00551287"/>
    <w:rsid w:val="00551981"/>
    <w:rsid w:val="005545C3"/>
    <w:rsid w:val="00555EC3"/>
    <w:rsid w:val="005560B8"/>
    <w:rsid w:val="00561467"/>
    <w:rsid w:val="00563411"/>
    <w:rsid w:val="00565BCA"/>
    <w:rsid w:val="00571A52"/>
    <w:rsid w:val="005724D3"/>
    <w:rsid w:val="005733B6"/>
    <w:rsid w:val="00576C66"/>
    <w:rsid w:val="005802D7"/>
    <w:rsid w:val="005803DC"/>
    <w:rsid w:val="0058055E"/>
    <w:rsid w:val="00580B9E"/>
    <w:rsid w:val="00580DBC"/>
    <w:rsid w:val="005818F0"/>
    <w:rsid w:val="005819D9"/>
    <w:rsid w:val="00581B52"/>
    <w:rsid w:val="00582E05"/>
    <w:rsid w:val="00583655"/>
    <w:rsid w:val="00584119"/>
    <w:rsid w:val="00587339"/>
    <w:rsid w:val="00592B4C"/>
    <w:rsid w:val="00593E94"/>
    <w:rsid w:val="00593FED"/>
    <w:rsid w:val="00595DAF"/>
    <w:rsid w:val="00595F7B"/>
    <w:rsid w:val="00596CEE"/>
    <w:rsid w:val="00596E57"/>
    <w:rsid w:val="005A092F"/>
    <w:rsid w:val="005A356C"/>
    <w:rsid w:val="005B1C1B"/>
    <w:rsid w:val="005B2512"/>
    <w:rsid w:val="005B4227"/>
    <w:rsid w:val="005B478E"/>
    <w:rsid w:val="005B526B"/>
    <w:rsid w:val="005C0213"/>
    <w:rsid w:val="005C232D"/>
    <w:rsid w:val="005C297C"/>
    <w:rsid w:val="005C322C"/>
    <w:rsid w:val="005C35AE"/>
    <w:rsid w:val="005C3A2F"/>
    <w:rsid w:val="005C3BE7"/>
    <w:rsid w:val="005C40E6"/>
    <w:rsid w:val="005C6D52"/>
    <w:rsid w:val="005C7A71"/>
    <w:rsid w:val="005D0CBB"/>
    <w:rsid w:val="005D592A"/>
    <w:rsid w:val="005E05C9"/>
    <w:rsid w:val="005E07BA"/>
    <w:rsid w:val="005E0FE7"/>
    <w:rsid w:val="005E107C"/>
    <w:rsid w:val="005E1CA4"/>
    <w:rsid w:val="005E3944"/>
    <w:rsid w:val="005E4AFF"/>
    <w:rsid w:val="005E598D"/>
    <w:rsid w:val="005F1C80"/>
    <w:rsid w:val="005F2017"/>
    <w:rsid w:val="005F257D"/>
    <w:rsid w:val="005F2621"/>
    <w:rsid w:val="005F53EA"/>
    <w:rsid w:val="005F76A3"/>
    <w:rsid w:val="006002F4"/>
    <w:rsid w:val="0060303C"/>
    <w:rsid w:val="00603255"/>
    <w:rsid w:val="00605551"/>
    <w:rsid w:val="006071B3"/>
    <w:rsid w:val="006143FD"/>
    <w:rsid w:val="0062092A"/>
    <w:rsid w:val="00622FC0"/>
    <w:rsid w:val="006230D7"/>
    <w:rsid w:val="00623C90"/>
    <w:rsid w:val="006241BC"/>
    <w:rsid w:val="00626E81"/>
    <w:rsid w:val="0062732C"/>
    <w:rsid w:val="00627397"/>
    <w:rsid w:val="00630906"/>
    <w:rsid w:val="0063257B"/>
    <w:rsid w:val="006325D0"/>
    <w:rsid w:val="00632FB1"/>
    <w:rsid w:val="00635A37"/>
    <w:rsid w:val="006367F3"/>
    <w:rsid w:val="00641896"/>
    <w:rsid w:val="00643B82"/>
    <w:rsid w:val="00643CA0"/>
    <w:rsid w:val="00644588"/>
    <w:rsid w:val="00644A09"/>
    <w:rsid w:val="0064698A"/>
    <w:rsid w:val="00647647"/>
    <w:rsid w:val="00652057"/>
    <w:rsid w:val="006546E4"/>
    <w:rsid w:val="00655F19"/>
    <w:rsid w:val="00657B01"/>
    <w:rsid w:val="006601F8"/>
    <w:rsid w:val="00660B10"/>
    <w:rsid w:val="00662547"/>
    <w:rsid w:val="00662DF4"/>
    <w:rsid w:val="00663396"/>
    <w:rsid w:val="00666480"/>
    <w:rsid w:val="00667CA8"/>
    <w:rsid w:val="0067180A"/>
    <w:rsid w:val="00672D56"/>
    <w:rsid w:val="006741C8"/>
    <w:rsid w:val="00676A75"/>
    <w:rsid w:val="00677DC8"/>
    <w:rsid w:val="0068054E"/>
    <w:rsid w:val="006818DB"/>
    <w:rsid w:val="006823C6"/>
    <w:rsid w:val="00682BEF"/>
    <w:rsid w:val="00682F76"/>
    <w:rsid w:val="00683265"/>
    <w:rsid w:val="006837EA"/>
    <w:rsid w:val="006851C4"/>
    <w:rsid w:val="006902EC"/>
    <w:rsid w:val="006906D6"/>
    <w:rsid w:val="00693A6B"/>
    <w:rsid w:val="00697FDE"/>
    <w:rsid w:val="006A16DE"/>
    <w:rsid w:val="006A27BC"/>
    <w:rsid w:val="006A2978"/>
    <w:rsid w:val="006A300E"/>
    <w:rsid w:val="006A309F"/>
    <w:rsid w:val="006A4550"/>
    <w:rsid w:val="006A569D"/>
    <w:rsid w:val="006A6261"/>
    <w:rsid w:val="006A7164"/>
    <w:rsid w:val="006A7F20"/>
    <w:rsid w:val="006B0C26"/>
    <w:rsid w:val="006B26B2"/>
    <w:rsid w:val="006B3669"/>
    <w:rsid w:val="006B431D"/>
    <w:rsid w:val="006B4605"/>
    <w:rsid w:val="006B4EFD"/>
    <w:rsid w:val="006B5582"/>
    <w:rsid w:val="006B798A"/>
    <w:rsid w:val="006C015B"/>
    <w:rsid w:val="006C147E"/>
    <w:rsid w:val="006C3C68"/>
    <w:rsid w:val="006D0048"/>
    <w:rsid w:val="006D0AC1"/>
    <w:rsid w:val="006D259B"/>
    <w:rsid w:val="006D297A"/>
    <w:rsid w:val="006D365F"/>
    <w:rsid w:val="006D4D8D"/>
    <w:rsid w:val="006D7E43"/>
    <w:rsid w:val="006E1527"/>
    <w:rsid w:val="006E271C"/>
    <w:rsid w:val="006E2A0C"/>
    <w:rsid w:val="006E4648"/>
    <w:rsid w:val="006E6532"/>
    <w:rsid w:val="006F0EF3"/>
    <w:rsid w:val="006F2122"/>
    <w:rsid w:val="006F371A"/>
    <w:rsid w:val="006F4890"/>
    <w:rsid w:val="006F650A"/>
    <w:rsid w:val="0070090D"/>
    <w:rsid w:val="00704998"/>
    <w:rsid w:val="00705826"/>
    <w:rsid w:val="00707C00"/>
    <w:rsid w:val="00712232"/>
    <w:rsid w:val="00713C6C"/>
    <w:rsid w:val="007142A8"/>
    <w:rsid w:val="007155BB"/>
    <w:rsid w:val="00717F49"/>
    <w:rsid w:val="00720A5E"/>
    <w:rsid w:val="00722A2D"/>
    <w:rsid w:val="00724834"/>
    <w:rsid w:val="007277D6"/>
    <w:rsid w:val="0073122B"/>
    <w:rsid w:val="007331E1"/>
    <w:rsid w:val="007339AC"/>
    <w:rsid w:val="007371D2"/>
    <w:rsid w:val="007401BE"/>
    <w:rsid w:val="00740990"/>
    <w:rsid w:val="00741587"/>
    <w:rsid w:val="00744AB1"/>
    <w:rsid w:val="00746E3E"/>
    <w:rsid w:val="00747199"/>
    <w:rsid w:val="00750A00"/>
    <w:rsid w:val="00751E09"/>
    <w:rsid w:val="007537AC"/>
    <w:rsid w:val="007556D6"/>
    <w:rsid w:val="007565B1"/>
    <w:rsid w:val="007567E2"/>
    <w:rsid w:val="00757281"/>
    <w:rsid w:val="0076001E"/>
    <w:rsid w:val="007610AD"/>
    <w:rsid w:val="00761875"/>
    <w:rsid w:val="00761F76"/>
    <w:rsid w:val="00762E8B"/>
    <w:rsid w:val="00763E8E"/>
    <w:rsid w:val="00766ACC"/>
    <w:rsid w:val="00767DA4"/>
    <w:rsid w:val="007701F0"/>
    <w:rsid w:val="00770D26"/>
    <w:rsid w:val="0077227D"/>
    <w:rsid w:val="007722C8"/>
    <w:rsid w:val="00772E0D"/>
    <w:rsid w:val="007759E5"/>
    <w:rsid w:val="0077713F"/>
    <w:rsid w:val="007779F5"/>
    <w:rsid w:val="0078109B"/>
    <w:rsid w:val="00781991"/>
    <w:rsid w:val="00785738"/>
    <w:rsid w:val="007871CB"/>
    <w:rsid w:val="007877D6"/>
    <w:rsid w:val="00790D09"/>
    <w:rsid w:val="00791841"/>
    <w:rsid w:val="00792109"/>
    <w:rsid w:val="00792303"/>
    <w:rsid w:val="00794E34"/>
    <w:rsid w:val="00795BE7"/>
    <w:rsid w:val="00795CE9"/>
    <w:rsid w:val="007969C8"/>
    <w:rsid w:val="007971D8"/>
    <w:rsid w:val="007A06A4"/>
    <w:rsid w:val="007A2603"/>
    <w:rsid w:val="007A3A7F"/>
    <w:rsid w:val="007A4916"/>
    <w:rsid w:val="007A4C1A"/>
    <w:rsid w:val="007A6110"/>
    <w:rsid w:val="007A6CD1"/>
    <w:rsid w:val="007A712A"/>
    <w:rsid w:val="007A7A1A"/>
    <w:rsid w:val="007A7A23"/>
    <w:rsid w:val="007B039C"/>
    <w:rsid w:val="007B1D08"/>
    <w:rsid w:val="007B38C9"/>
    <w:rsid w:val="007B5166"/>
    <w:rsid w:val="007B5D66"/>
    <w:rsid w:val="007B6B54"/>
    <w:rsid w:val="007C0E11"/>
    <w:rsid w:val="007C0F19"/>
    <w:rsid w:val="007C25B2"/>
    <w:rsid w:val="007C3F8B"/>
    <w:rsid w:val="007C4350"/>
    <w:rsid w:val="007C47C1"/>
    <w:rsid w:val="007C4C61"/>
    <w:rsid w:val="007C5CCD"/>
    <w:rsid w:val="007C645E"/>
    <w:rsid w:val="007C69B3"/>
    <w:rsid w:val="007C7A47"/>
    <w:rsid w:val="007C7BEE"/>
    <w:rsid w:val="007D082C"/>
    <w:rsid w:val="007D0EBB"/>
    <w:rsid w:val="007D35E4"/>
    <w:rsid w:val="007D4458"/>
    <w:rsid w:val="007D5141"/>
    <w:rsid w:val="007D51F6"/>
    <w:rsid w:val="007D52DD"/>
    <w:rsid w:val="007D5FE6"/>
    <w:rsid w:val="007D7624"/>
    <w:rsid w:val="007E02B3"/>
    <w:rsid w:val="007E1A35"/>
    <w:rsid w:val="007E1F11"/>
    <w:rsid w:val="007E234E"/>
    <w:rsid w:val="007E23D9"/>
    <w:rsid w:val="007E4A8D"/>
    <w:rsid w:val="007E5F1D"/>
    <w:rsid w:val="007F132D"/>
    <w:rsid w:val="007F4EAF"/>
    <w:rsid w:val="007F6B33"/>
    <w:rsid w:val="0080359F"/>
    <w:rsid w:val="00810278"/>
    <w:rsid w:val="00810D87"/>
    <w:rsid w:val="00812359"/>
    <w:rsid w:val="00812D19"/>
    <w:rsid w:val="00813139"/>
    <w:rsid w:val="00814E89"/>
    <w:rsid w:val="008179FE"/>
    <w:rsid w:val="0082405C"/>
    <w:rsid w:val="008257A1"/>
    <w:rsid w:val="00830835"/>
    <w:rsid w:val="00830946"/>
    <w:rsid w:val="008313EF"/>
    <w:rsid w:val="0083149B"/>
    <w:rsid w:val="00834FFD"/>
    <w:rsid w:val="008367D0"/>
    <w:rsid w:val="008369FF"/>
    <w:rsid w:val="0084125A"/>
    <w:rsid w:val="008413DC"/>
    <w:rsid w:val="00841FB2"/>
    <w:rsid w:val="008435A7"/>
    <w:rsid w:val="0084497B"/>
    <w:rsid w:val="00844A88"/>
    <w:rsid w:val="00845B32"/>
    <w:rsid w:val="00845BEA"/>
    <w:rsid w:val="008509E0"/>
    <w:rsid w:val="008532D7"/>
    <w:rsid w:val="0085406F"/>
    <w:rsid w:val="00854610"/>
    <w:rsid w:val="008547B2"/>
    <w:rsid w:val="008567C3"/>
    <w:rsid w:val="00857500"/>
    <w:rsid w:val="00862352"/>
    <w:rsid w:val="0086259F"/>
    <w:rsid w:val="00862717"/>
    <w:rsid w:val="00862DAD"/>
    <w:rsid w:val="00863782"/>
    <w:rsid w:val="00864004"/>
    <w:rsid w:val="008643B2"/>
    <w:rsid w:val="00866405"/>
    <w:rsid w:val="0086655D"/>
    <w:rsid w:val="008710B2"/>
    <w:rsid w:val="00874033"/>
    <w:rsid w:val="008756AD"/>
    <w:rsid w:val="008756C8"/>
    <w:rsid w:val="00876B67"/>
    <w:rsid w:val="00877A11"/>
    <w:rsid w:val="00877E47"/>
    <w:rsid w:val="008806AF"/>
    <w:rsid w:val="00881A33"/>
    <w:rsid w:val="00883419"/>
    <w:rsid w:val="008837F9"/>
    <w:rsid w:val="008852CF"/>
    <w:rsid w:val="00886E97"/>
    <w:rsid w:val="00886EFB"/>
    <w:rsid w:val="008903E7"/>
    <w:rsid w:val="00892216"/>
    <w:rsid w:val="00893ED3"/>
    <w:rsid w:val="00894476"/>
    <w:rsid w:val="00894A47"/>
    <w:rsid w:val="008955FE"/>
    <w:rsid w:val="008A0327"/>
    <w:rsid w:val="008A0926"/>
    <w:rsid w:val="008A15B1"/>
    <w:rsid w:val="008A16D5"/>
    <w:rsid w:val="008A2A17"/>
    <w:rsid w:val="008A3038"/>
    <w:rsid w:val="008A4AAF"/>
    <w:rsid w:val="008A5464"/>
    <w:rsid w:val="008A5ABA"/>
    <w:rsid w:val="008A71D4"/>
    <w:rsid w:val="008A7499"/>
    <w:rsid w:val="008B07A8"/>
    <w:rsid w:val="008B0CAD"/>
    <w:rsid w:val="008B16CF"/>
    <w:rsid w:val="008B292E"/>
    <w:rsid w:val="008B7F61"/>
    <w:rsid w:val="008C002D"/>
    <w:rsid w:val="008C03C3"/>
    <w:rsid w:val="008C0F67"/>
    <w:rsid w:val="008C234B"/>
    <w:rsid w:val="008C287F"/>
    <w:rsid w:val="008C4DAE"/>
    <w:rsid w:val="008D12AE"/>
    <w:rsid w:val="008D135E"/>
    <w:rsid w:val="008D4998"/>
    <w:rsid w:val="008D67EA"/>
    <w:rsid w:val="008D7132"/>
    <w:rsid w:val="008E04B7"/>
    <w:rsid w:val="008E0579"/>
    <w:rsid w:val="008E0C29"/>
    <w:rsid w:val="008E122F"/>
    <w:rsid w:val="008E4E60"/>
    <w:rsid w:val="008F04E0"/>
    <w:rsid w:val="008F2DA0"/>
    <w:rsid w:val="008F3768"/>
    <w:rsid w:val="008F3C7B"/>
    <w:rsid w:val="008F4658"/>
    <w:rsid w:val="008F4775"/>
    <w:rsid w:val="008F49F3"/>
    <w:rsid w:val="008F4E56"/>
    <w:rsid w:val="008F5B09"/>
    <w:rsid w:val="008F667D"/>
    <w:rsid w:val="008F69C5"/>
    <w:rsid w:val="008F6F46"/>
    <w:rsid w:val="008F6F8E"/>
    <w:rsid w:val="009006D0"/>
    <w:rsid w:val="00901533"/>
    <w:rsid w:val="00903BDD"/>
    <w:rsid w:val="00905CC0"/>
    <w:rsid w:val="00911973"/>
    <w:rsid w:val="00915206"/>
    <w:rsid w:val="00915363"/>
    <w:rsid w:val="00917A27"/>
    <w:rsid w:val="00922D1F"/>
    <w:rsid w:val="00922EF9"/>
    <w:rsid w:val="00923CE5"/>
    <w:rsid w:val="0092610E"/>
    <w:rsid w:val="00927405"/>
    <w:rsid w:val="00930BB0"/>
    <w:rsid w:val="00931012"/>
    <w:rsid w:val="009313DE"/>
    <w:rsid w:val="00931E8A"/>
    <w:rsid w:val="00932587"/>
    <w:rsid w:val="009339B5"/>
    <w:rsid w:val="009352BD"/>
    <w:rsid w:val="00936BD8"/>
    <w:rsid w:val="00936C4F"/>
    <w:rsid w:val="009370E1"/>
    <w:rsid w:val="00937699"/>
    <w:rsid w:val="00951617"/>
    <w:rsid w:val="00951A15"/>
    <w:rsid w:val="00951CEC"/>
    <w:rsid w:val="009533DA"/>
    <w:rsid w:val="00955B80"/>
    <w:rsid w:val="00956623"/>
    <w:rsid w:val="00957747"/>
    <w:rsid w:val="00957C29"/>
    <w:rsid w:val="009616C2"/>
    <w:rsid w:val="009624D9"/>
    <w:rsid w:val="00964341"/>
    <w:rsid w:val="009652E2"/>
    <w:rsid w:val="00966496"/>
    <w:rsid w:val="0097128D"/>
    <w:rsid w:val="009719DF"/>
    <w:rsid w:val="00972493"/>
    <w:rsid w:val="00972FF2"/>
    <w:rsid w:val="00975F88"/>
    <w:rsid w:val="0097688F"/>
    <w:rsid w:val="00977E84"/>
    <w:rsid w:val="00980319"/>
    <w:rsid w:val="00980441"/>
    <w:rsid w:val="00984468"/>
    <w:rsid w:val="00985D58"/>
    <w:rsid w:val="009865E2"/>
    <w:rsid w:val="00986B21"/>
    <w:rsid w:val="0098725D"/>
    <w:rsid w:val="009906CD"/>
    <w:rsid w:val="00990CE4"/>
    <w:rsid w:val="0099247C"/>
    <w:rsid w:val="0099593A"/>
    <w:rsid w:val="00996401"/>
    <w:rsid w:val="00996D3E"/>
    <w:rsid w:val="009A0F02"/>
    <w:rsid w:val="009A1F89"/>
    <w:rsid w:val="009A4EDF"/>
    <w:rsid w:val="009A5F0B"/>
    <w:rsid w:val="009B0E4A"/>
    <w:rsid w:val="009B1615"/>
    <w:rsid w:val="009B16FF"/>
    <w:rsid w:val="009B27B4"/>
    <w:rsid w:val="009B3932"/>
    <w:rsid w:val="009B4072"/>
    <w:rsid w:val="009B65B8"/>
    <w:rsid w:val="009C0183"/>
    <w:rsid w:val="009C03EF"/>
    <w:rsid w:val="009C1C8E"/>
    <w:rsid w:val="009C224E"/>
    <w:rsid w:val="009C2522"/>
    <w:rsid w:val="009C463B"/>
    <w:rsid w:val="009C4FA1"/>
    <w:rsid w:val="009C6C30"/>
    <w:rsid w:val="009C774E"/>
    <w:rsid w:val="009C7973"/>
    <w:rsid w:val="009D0031"/>
    <w:rsid w:val="009D017B"/>
    <w:rsid w:val="009D0BD9"/>
    <w:rsid w:val="009D1656"/>
    <w:rsid w:val="009D2F50"/>
    <w:rsid w:val="009D502B"/>
    <w:rsid w:val="009D592A"/>
    <w:rsid w:val="009D5F74"/>
    <w:rsid w:val="009D7092"/>
    <w:rsid w:val="009E04E0"/>
    <w:rsid w:val="009E1E39"/>
    <w:rsid w:val="009E4D75"/>
    <w:rsid w:val="009E5C75"/>
    <w:rsid w:val="009F1394"/>
    <w:rsid w:val="009F4C09"/>
    <w:rsid w:val="009F5426"/>
    <w:rsid w:val="009F618E"/>
    <w:rsid w:val="009F7398"/>
    <w:rsid w:val="009F743E"/>
    <w:rsid w:val="00A040D7"/>
    <w:rsid w:val="00A07D72"/>
    <w:rsid w:val="00A10A44"/>
    <w:rsid w:val="00A12748"/>
    <w:rsid w:val="00A127A9"/>
    <w:rsid w:val="00A12CE7"/>
    <w:rsid w:val="00A134C9"/>
    <w:rsid w:val="00A135AE"/>
    <w:rsid w:val="00A1387E"/>
    <w:rsid w:val="00A13F3B"/>
    <w:rsid w:val="00A140B3"/>
    <w:rsid w:val="00A146C3"/>
    <w:rsid w:val="00A14EAA"/>
    <w:rsid w:val="00A159D9"/>
    <w:rsid w:val="00A15E0B"/>
    <w:rsid w:val="00A17E41"/>
    <w:rsid w:val="00A22089"/>
    <w:rsid w:val="00A240C0"/>
    <w:rsid w:val="00A25383"/>
    <w:rsid w:val="00A25FBE"/>
    <w:rsid w:val="00A260CF"/>
    <w:rsid w:val="00A30518"/>
    <w:rsid w:val="00A3605A"/>
    <w:rsid w:val="00A36BB9"/>
    <w:rsid w:val="00A410A5"/>
    <w:rsid w:val="00A43A38"/>
    <w:rsid w:val="00A44B08"/>
    <w:rsid w:val="00A46010"/>
    <w:rsid w:val="00A50596"/>
    <w:rsid w:val="00A50719"/>
    <w:rsid w:val="00A52260"/>
    <w:rsid w:val="00A5254D"/>
    <w:rsid w:val="00A53687"/>
    <w:rsid w:val="00A536C6"/>
    <w:rsid w:val="00A55D24"/>
    <w:rsid w:val="00A56B71"/>
    <w:rsid w:val="00A601E9"/>
    <w:rsid w:val="00A60D46"/>
    <w:rsid w:val="00A62536"/>
    <w:rsid w:val="00A648CC"/>
    <w:rsid w:val="00A75984"/>
    <w:rsid w:val="00A77C99"/>
    <w:rsid w:val="00A8056A"/>
    <w:rsid w:val="00A8064B"/>
    <w:rsid w:val="00A80F92"/>
    <w:rsid w:val="00A84276"/>
    <w:rsid w:val="00A85A1F"/>
    <w:rsid w:val="00A86091"/>
    <w:rsid w:val="00A866C3"/>
    <w:rsid w:val="00A901E1"/>
    <w:rsid w:val="00A91787"/>
    <w:rsid w:val="00A91F59"/>
    <w:rsid w:val="00A9225F"/>
    <w:rsid w:val="00A941A1"/>
    <w:rsid w:val="00A9586D"/>
    <w:rsid w:val="00A95963"/>
    <w:rsid w:val="00A962D5"/>
    <w:rsid w:val="00A96837"/>
    <w:rsid w:val="00AA0109"/>
    <w:rsid w:val="00AA06D0"/>
    <w:rsid w:val="00AA0AC4"/>
    <w:rsid w:val="00AA126D"/>
    <w:rsid w:val="00AA13E6"/>
    <w:rsid w:val="00AA189F"/>
    <w:rsid w:val="00AA4549"/>
    <w:rsid w:val="00AA4691"/>
    <w:rsid w:val="00AA5E09"/>
    <w:rsid w:val="00AA6204"/>
    <w:rsid w:val="00AB0145"/>
    <w:rsid w:val="00AB2104"/>
    <w:rsid w:val="00AB2BB7"/>
    <w:rsid w:val="00AB354F"/>
    <w:rsid w:val="00AB437A"/>
    <w:rsid w:val="00AB55D1"/>
    <w:rsid w:val="00AC021A"/>
    <w:rsid w:val="00AC0647"/>
    <w:rsid w:val="00AC63A3"/>
    <w:rsid w:val="00AC6503"/>
    <w:rsid w:val="00AC7C16"/>
    <w:rsid w:val="00AC7D54"/>
    <w:rsid w:val="00AC7F40"/>
    <w:rsid w:val="00AD0807"/>
    <w:rsid w:val="00AD1FFD"/>
    <w:rsid w:val="00AD27D9"/>
    <w:rsid w:val="00AD2ABE"/>
    <w:rsid w:val="00AD2D52"/>
    <w:rsid w:val="00AD352C"/>
    <w:rsid w:val="00AD3FF4"/>
    <w:rsid w:val="00AD4FC5"/>
    <w:rsid w:val="00AE03D5"/>
    <w:rsid w:val="00AE1602"/>
    <w:rsid w:val="00AE1ABA"/>
    <w:rsid w:val="00AE6A5D"/>
    <w:rsid w:val="00AF0AFC"/>
    <w:rsid w:val="00AF142D"/>
    <w:rsid w:val="00AF15D3"/>
    <w:rsid w:val="00AF1740"/>
    <w:rsid w:val="00AF32C4"/>
    <w:rsid w:val="00AF33DB"/>
    <w:rsid w:val="00AF3A70"/>
    <w:rsid w:val="00AF4819"/>
    <w:rsid w:val="00AF5497"/>
    <w:rsid w:val="00B00072"/>
    <w:rsid w:val="00B02649"/>
    <w:rsid w:val="00B02724"/>
    <w:rsid w:val="00B0311C"/>
    <w:rsid w:val="00B0400D"/>
    <w:rsid w:val="00B046FE"/>
    <w:rsid w:val="00B05393"/>
    <w:rsid w:val="00B06FC2"/>
    <w:rsid w:val="00B10557"/>
    <w:rsid w:val="00B15E5B"/>
    <w:rsid w:val="00B16AD6"/>
    <w:rsid w:val="00B20649"/>
    <w:rsid w:val="00B20E83"/>
    <w:rsid w:val="00B216A8"/>
    <w:rsid w:val="00B2752C"/>
    <w:rsid w:val="00B27CBF"/>
    <w:rsid w:val="00B27D0C"/>
    <w:rsid w:val="00B27D40"/>
    <w:rsid w:val="00B30F01"/>
    <w:rsid w:val="00B310FD"/>
    <w:rsid w:val="00B328EB"/>
    <w:rsid w:val="00B34013"/>
    <w:rsid w:val="00B34066"/>
    <w:rsid w:val="00B345E5"/>
    <w:rsid w:val="00B41AB9"/>
    <w:rsid w:val="00B41DA5"/>
    <w:rsid w:val="00B43843"/>
    <w:rsid w:val="00B51001"/>
    <w:rsid w:val="00B5172E"/>
    <w:rsid w:val="00B52027"/>
    <w:rsid w:val="00B5245D"/>
    <w:rsid w:val="00B5345E"/>
    <w:rsid w:val="00B53ABA"/>
    <w:rsid w:val="00B5560D"/>
    <w:rsid w:val="00B570AD"/>
    <w:rsid w:val="00B604E1"/>
    <w:rsid w:val="00B61531"/>
    <w:rsid w:val="00B61F84"/>
    <w:rsid w:val="00B62274"/>
    <w:rsid w:val="00B62EF1"/>
    <w:rsid w:val="00B634FC"/>
    <w:rsid w:val="00B64276"/>
    <w:rsid w:val="00B64E41"/>
    <w:rsid w:val="00B65990"/>
    <w:rsid w:val="00B66287"/>
    <w:rsid w:val="00B704A7"/>
    <w:rsid w:val="00B70F4E"/>
    <w:rsid w:val="00B71CFF"/>
    <w:rsid w:val="00B7557B"/>
    <w:rsid w:val="00B77A1E"/>
    <w:rsid w:val="00B81913"/>
    <w:rsid w:val="00B83150"/>
    <w:rsid w:val="00B83F89"/>
    <w:rsid w:val="00B8418C"/>
    <w:rsid w:val="00B85143"/>
    <w:rsid w:val="00B85CA7"/>
    <w:rsid w:val="00B9006B"/>
    <w:rsid w:val="00B914C2"/>
    <w:rsid w:val="00B918E8"/>
    <w:rsid w:val="00B92146"/>
    <w:rsid w:val="00B959A8"/>
    <w:rsid w:val="00B97100"/>
    <w:rsid w:val="00BA0429"/>
    <w:rsid w:val="00BA1776"/>
    <w:rsid w:val="00BA46B2"/>
    <w:rsid w:val="00BA61B8"/>
    <w:rsid w:val="00BA7F9A"/>
    <w:rsid w:val="00BB2721"/>
    <w:rsid w:val="00BB2C01"/>
    <w:rsid w:val="00BB3EED"/>
    <w:rsid w:val="00BB51D9"/>
    <w:rsid w:val="00BB55DB"/>
    <w:rsid w:val="00BB59B9"/>
    <w:rsid w:val="00BB7FDF"/>
    <w:rsid w:val="00BC0E23"/>
    <w:rsid w:val="00BC0E80"/>
    <w:rsid w:val="00BC0F5C"/>
    <w:rsid w:val="00BC14E6"/>
    <w:rsid w:val="00BC14EB"/>
    <w:rsid w:val="00BC26BA"/>
    <w:rsid w:val="00BC346A"/>
    <w:rsid w:val="00BC3803"/>
    <w:rsid w:val="00BC51A0"/>
    <w:rsid w:val="00BC7219"/>
    <w:rsid w:val="00BC774A"/>
    <w:rsid w:val="00BD1D11"/>
    <w:rsid w:val="00BD33D0"/>
    <w:rsid w:val="00BD52AD"/>
    <w:rsid w:val="00BD5A73"/>
    <w:rsid w:val="00BD5CEC"/>
    <w:rsid w:val="00BD687C"/>
    <w:rsid w:val="00BD703B"/>
    <w:rsid w:val="00BD72EA"/>
    <w:rsid w:val="00BE3D98"/>
    <w:rsid w:val="00BE52B8"/>
    <w:rsid w:val="00BE5B43"/>
    <w:rsid w:val="00BE6B6D"/>
    <w:rsid w:val="00BE720C"/>
    <w:rsid w:val="00BE7992"/>
    <w:rsid w:val="00BF04AD"/>
    <w:rsid w:val="00BF430C"/>
    <w:rsid w:val="00BF4456"/>
    <w:rsid w:val="00BF45CE"/>
    <w:rsid w:val="00BF4A9F"/>
    <w:rsid w:val="00C0159A"/>
    <w:rsid w:val="00C0174A"/>
    <w:rsid w:val="00C02690"/>
    <w:rsid w:val="00C03641"/>
    <w:rsid w:val="00C03EFA"/>
    <w:rsid w:val="00C05903"/>
    <w:rsid w:val="00C0624B"/>
    <w:rsid w:val="00C10723"/>
    <w:rsid w:val="00C123AD"/>
    <w:rsid w:val="00C13805"/>
    <w:rsid w:val="00C17E3D"/>
    <w:rsid w:val="00C23041"/>
    <w:rsid w:val="00C25D1C"/>
    <w:rsid w:val="00C27852"/>
    <w:rsid w:val="00C30E60"/>
    <w:rsid w:val="00C312D1"/>
    <w:rsid w:val="00C315F8"/>
    <w:rsid w:val="00C319F4"/>
    <w:rsid w:val="00C3260F"/>
    <w:rsid w:val="00C34744"/>
    <w:rsid w:val="00C34E90"/>
    <w:rsid w:val="00C44A7B"/>
    <w:rsid w:val="00C4579F"/>
    <w:rsid w:val="00C4638F"/>
    <w:rsid w:val="00C50B10"/>
    <w:rsid w:val="00C51E00"/>
    <w:rsid w:val="00C51E55"/>
    <w:rsid w:val="00C53C08"/>
    <w:rsid w:val="00C547E1"/>
    <w:rsid w:val="00C55A49"/>
    <w:rsid w:val="00C56860"/>
    <w:rsid w:val="00C5784B"/>
    <w:rsid w:val="00C60055"/>
    <w:rsid w:val="00C6115D"/>
    <w:rsid w:val="00C61531"/>
    <w:rsid w:val="00C622EE"/>
    <w:rsid w:val="00C63249"/>
    <w:rsid w:val="00C63D96"/>
    <w:rsid w:val="00C642FD"/>
    <w:rsid w:val="00C65804"/>
    <w:rsid w:val="00C65A52"/>
    <w:rsid w:val="00C704DA"/>
    <w:rsid w:val="00C705D7"/>
    <w:rsid w:val="00C706C4"/>
    <w:rsid w:val="00C7333E"/>
    <w:rsid w:val="00C73C6A"/>
    <w:rsid w:val="00C74378"/>
    <w:rsid w:val="00C743FD"/>
    <w:rsid w:val="00C74EBC"/>
    <w:rsid w:val="00C75198"/>
    <w:rsid w:val="00C7663A"/>
    <w:rsid w:val="00C77D6E"/>
    <w:rsid w:val="00C77DE3"/>
    <w:rsid w:val="00C77F11"/>
    <w:rsid w:val="00C80912"/>
    <w:rsid w:val="00C8123A"/>
    <w:rsid w:val="00C815B8"/>
    <w:rsid w:val="00C83A01"/>
    <w:rsid w:val="00C84175"/>
    <w:rsid w:val="00C84B85"/>
    <w:rsid w:val="00C84F72"/>
    <w:rsid w:val="00C86B92"/>
    <w:rsid w:val="00C9179D"/>
    <w:rsid w:val="00C94B81"/>
    <w:rsid w:val="00C962FE"/>
    <w:rsid w:val="00C96DE8"/>
    <w:rsid w:val="00C97EF9"/>
    <w:rsid w:val="00CA4381"/>
    <w:rsid w:val="00CA5586"/>
    <w:rsid w:val="00CA670E"/>
    <w:rsid w:val="00CB0F16"/>
    <w:rsid w:val="00CB2425"/>
    <w:rsid w:val="00CB25BD"/>
    <w:rsid w:val="00CB588B"/>
    <w:rsid w:val="00CB6696"/>
    <w:rsid w:val="00CB6C93"/>
    <w:rsid w:val="00CB6F8E"/>
    <w:rsid w:val="00CC0A46"/>
    <w:rsid w:val="00CC1FD4"/>
    <w:rsid w:val="00CC24DB"/>
    <w:rsid w:val="00CC3283"/>
    <w:rsid w:val="00CC7E9C"/>
    <w:rsid w:val="00CD1C9D"/>
    <w:rsid w:val="00CD26E8"/>
    <w:rsid w:val="00CD6CF9"/>
    <w:rsid w:val="00CE0D1E"/>
    <w:rsid w:val="00CE1514"/>
    <w:rsid w:val="00CE4452"/>
    <w:rsid w:val="00CE461B"/>
    <w:rsid w:val="00CE708D"/>
    <w:rsid w:val="00CF3C59"/>
    <w:rsid w:val="00CF3F95"/>
    <w:rsid w:val="00CF3FFE"/>
    <w:rsid w:val="00CF516C"/>
    <w:rsid w:val="00CF615B"/>
    <w:rsid w:val="00CF742B"/>
    <w:rsid w:val="00D00501"/>
    <w:rsid w:val="00D00667"/>
    <w:rsid w:val="00D00A35"/>
    <w:rsid w:val="00D025A6"/>
    <w:rsid w:val="00D048D0"/>
    <w:rsid w:val="00D05F4C"/>
    <w:rsid w:val="00D07781"/>
    <w:rsid w:val="00D07C52"/>
    <w:rsid w:val="00D10CD3"/>
    <w:rsid w:val="00D11139"/>
    <w:rsid w:val="00D11599"/>
    <w:rsid w:val="00D116DD"/>
    <w:rsid w:val="00D11DDD"/>
    <w:rsid w:val="00D14F2E"/>
    <w:rsid w:val="00D167C0"/>
    <w:rsid w:val="00D21576"/>
    <w:rsid w:val="00D22460"/>
    <w:rsid w:val="00D22785"/>
    <w:rsid w:val="00D237DC"/>
    <w:rsid w:val="00D24423"/>
    <w:rsid w:val="00D25F8A"/>
    <w:rsid w:val="00D26551"/>
    <w:rsid w:val="00D277A9"/>
    <w:rsid w:val="00D27B25"/>
    <w:rsid w:val="00D30DB5"/>
    <w:rsid w:val="00D3534B"/>
    <w:rsid w:val="00D35A29"/>
    <w:rsid w:val="00D35ABA"/>
    <w:rsid w:val="00D35EC2"/>
    <w:rsid w:val="00D37E60"/>
    <w:rsid w:val="00D40590"/>
    <w:rsid w:val="00D452E4"/>
    <w:rsid w:val="00D45A0C"/>
    <w:rsid w:val="00D47B21"/>
    <w:rsid w:val="00D504C2"/>
    <w:rsid w:val="00D54A12"/>
    <w:rsid w:val="00D54A55"/>
    <w:rsid w:val="00D54D90"/>
    <w:rsid w:val="00D55DAA"/>
    <w:rsid w:val="00D56DE6"/>
    <w:rsid w:val="00D57229"/>
    <w:rsid w:val="00D6036A"/>
    <w:rsid w:val="00D61ED6"/>
    <w:rsid w:val="00D622AD"/>
    <w:rsid w:val="00D62BEC"/>
    <w:rsid w:val="00D63C90"/>
    <w:rsid w:val="00D65EE5"/>
    <w:rsid w:val="00D679F0"/>
    <w:rsid w:val="00D67CFF"/>
    <w:rsid w:val="00D71004"/>
    <w:rsid w:val="00D725EC"/>
    <w:rsid w:val="00D73852"/>
    <w:rsid w:val="00D75560"/>
    <w:rsid w:val="00D77BAA"/>
    <w:rsid w:val="00D8167B"/>
    <w:rsid w:val="00D82D53"/>
    <w:rsid w:val="00D845B0"/>
    <w:rsid w:val="00D86B21"/>
    <w:rsid w:val="00D90448"/>
    <w:rsid w:val="00D9112B"/>
    <w:rsid w:val="00D922A7"/>
    <w:rsid w:val="00D92798"/>
    <w:rsid w:val="00D9516E"/>
    <w:rsid w:val="00D97AF3"/>
    <w:rsid w:val="00DA2E56"/>
    <w:rsid w:val="00DA379E"/>
    <w:rsid w:val="00DA58B7"/>
    <w:rsid w:val="00DB1045"/>
    <w:rsid w:val="00DB128F"/>
    <w:rsid w:val="00DB48E8"/>
    <w:rsid w:val="00DB4F9E"/>
    <w:rsid w:val="00DB54EB"/>
    <w:rsid w:val="00DB7AF7"/>
    <w:rsid w:val="00DC0660"/>
    <w:rsid w:val="00DC2367"/>
    <w:rsid w:val="00DC3A45"/>
    <w:rsid w:val="00DC527B"/>
    <w:rsid w:val="00DC5E6F"/>
    <w:rsid w:val="00DD221F"/>
    <w:rsid w:val="00DD40B3"/>
    <w:rsid w:val="00DD66C3"/>
    <w:rsid w:val="00DD6A70"/>
    <w:rsid w:val="00DD6D5A"/>
    <w:rsid w:val="00DD75AF"/>
    <w:rsid w:val="00DD7A4E"/>
    <w:rsid w:val="00DE4EDB"/>
    <w:rsid w:val="00DE5AF9"/>
    <w:rsid w:val="00DE6339"/>
    <w:rsid w:val="00DE6D4C"/>
    <w:rsid w:val="00DF1D3A"/>
    <w:rsid w:val="00DF516C"/>
    <w:rsid w:val="00DF548C"/>
    <w:rsid w:val="00DF6759"/>
    <w:rsid w:val="00DF6EF6"/>
    <w:rsid w:val="00DF77F4"/>
    <w:rsid w:val="00E0080A"/>
    <w:rsid w:val="00E0181C"/>
    <w:rsid w:val="00E02BD5"/>
    <w:rsid w:val="00E03847"/>
    <w:rsid w:val="00E0449A"/>
    <w:rsid w:val="00E04BA4"/>
    <w:rsid w:val="00E06840"/>
    <w:rsid w:val="00E10FC6"/>
    <w:rsid w:val="00E1168D"/>
    <w:rsid w:val="00E118E9"/>
    <w:rsid w:val="00E1339A"/>
    <w:rsid w:val="00E2019E"/>
    <w:rsid w:val="00E219F6"/>
    <w:rsid w:val="00E21D43"/>
    <w:rsid w:val="00E22998"/>
    <w:rsid w:val="00E25A3E"/>
    <w:rsid w:val="00E25FAA"/>
    <w:rsid w:val="00E269CE"/>
    <w:rsid w:val="00E30AC7"/>
    <w:rsid w:val="00E3116C"/>
    <w:rsid w:val="00E31988"/>
    <w:rsid w:val="00E31D5E"/>
    <w:rsid w:val="00E329A0"/>
    <w:rsid w:val="00E33BCE"/>
    <w:rsid w:val="00E33D05"/>
    <w:rsid w:val="00E34946"/>
    <w:rsid w:val="00E34D5A"/>
    <w:rsid w:val="00E414A6"/>
    <w:rsid w:val="00E41CB9"/>
    <w:rsid w:val="00E467B5"/>
    <w:rsid w:val="00E47F44"/>
    <w:rsid w:val="00E500C7"/>
    <w:rsid w:val="00E51FF7"/>
    <w:rsid w:val="00E53ADA"/>
    <w:rsid w:val="00E549A6"/>
    <w:rsid w:val="00E55C95"/>
    <w:rsid w:val="00E56C6B"/>
    <w:rsid w:val="00E56FBA"/>
    <w:rsid w:val="00E5761D"/>
    <w:rsid w:val="00E61344"/>
    <w:rsid w:val="00E61E76"/>
    <w:rsid w:val="00E64473"/>
    <w:rsid w:val="00E65337"/>
    <w:rsid w:val="00E65A42"/>
    <w:rsid w:val="00E66CD1"/>
    <w:rsid w:val="00E67ADC"/>
    <w:rsid w:val="00E71AE8"/>
    <w:rsid w:val="00E732DC"/>
    <w:rsid w:val="00E7406D"/>
    <w:rsid w:val="00E74B7D"/>
    <w:rsid w:val="00E7587D"/>
    <w:rsid w:val="00E75A55"/>
    <w:rsid w:val="00E75CB1"/>
    <w:rsid w:val="00E774F6"/>
    <w:rsid w:val="00E7789D"/>
    <w:rsid w:val="00E81761"/>
    <w:rsid w:val="00E879B1"/>
    <w:rsid w:val="00E9270A"/>
    <w:rsid w:val="00E92E81"/>
    <w:rsid w:val="00E9380E"/>
    <w:rsid w:val="00E93C2E"/>
    <w:rsid w:val="00E93F3F"/>
    <w:rsid w:val="00E943B5"/>
    <w:rsid w:val="00E96660"/>
    <w:rsid w:val="00E975EE"/>
    <w:rsid w:val="00E97C4D"/>
    <w:rsid w:val="00EA1632"/>
    <w:rsid w:val="00EA1F81"/>
    <w:rsid w:val="00EA2521"/>
    <w:rsid w:val="00EA4143"/>
    <w:rsid w:val="00EA4399"/>
    <w:rsid w:val="00EA4C27"/>
    <w:rsid w:val="00EB170E"/>
    <w:rsid w:val="00EB5C5D"/>
    <w:rsid w:val="00EB794F"/>
    <w:rsid w:val="00EC2B5D"/>
    <w:rsid w:val="00EC3CEB"/>
    <w:rsid w:val="00EC4757"/>
    <w:rsid w:val="00EC59D9"/>
    <w:rsid w:val="00EC79DA"/>
    <w:rsid w:val="00ED0B80"/>
    <w:rsid w:val="00ED18A7"/>
    <w:rsid w:val="00ED2538"/>
    <w:rsid w:val="00ED3E11"/>
    <w:rsid w:val="00ED4E27"/>
    <w:rsid w:val="00ED58DA"/>
    <w:rsid w:val="00EE0357"/>
    <w:rsid w:val="00EE0F1E"/>
    <w:rsid w:val="00EE3E92"/>
    <w:rsid w:val="00EE4615"/>
    <w:rsid w:val="00EE5145"/>
    <w:rsid w:val="00EE59EF"/>
    <w:rsid w:val="00F00AF4"/>
    <w:rsid w:val="00F023EF"/>
    <w:rsid w:val="00F0321E"/>
    <w:rsid w:val="00F03AB7"/>
    <w:rsid w:val="00F04419"/>
    <w:rsid w:val="00F078EA"/>
    <w:rsid w:val="00F10832"/>
    <w:rsid w:val="00F128E5"/>
    <w:rsid w:val="00F12A5C"/>
    <w:rsid w:val="00F140E7"/>
    <w:rsid w:val="00F14C4A"/>
    <w:rsid w:val="00F16A5C"/>
    <w:rsid w:val="00F21CD0"/>
    <w:rsid w:val="00F22B9F"/>
    <w:rsid w:val="00F30C3B"/>
    <w:rsid w:val="00F30FDF"/>
    <w:rsid w:val="00F34242"/>
    <w:rsid w:val="00F343E2"/>
    <w:rsid w:val="00F3459A"/>
    <w:rsid w:val="00F40317"/>
    <w:rsid w:val="00F42634"/>
    <w:rsid w:val="00F42ADB"/>
    <w:rsid w:val="00F443EA"/>
    <w:rsid w:val="00F54E07"/>
    <w:rsid w:val="00F5505B"/>
    <w:rsid w:val="00F5590A"/>
    <w:rsid w:val="00F5600D"/>
    <w:rsid w:val="00F61CA9"/>
    <w:rsid w:val="00F61DC7"/>
    <w:rsid w:val="00F64FC1"/>
    <w:rsid w:val="00F6647E"/>
    <w:rsid w:val="00F74675"/>
    <w:rsid w:val="00F74BEB"/>
    <w:rsid w:val="00F75354"/>
    <w:rsid w:val="00F759B9"/>
    <w:rsid w:val="00F767C5"/>
    <w:rsid w:val="00F76936"/>
    <w:rsid w:val="00F76B31"/>
    <w:rsid w:val="00F77B22"/>
    <w:rsid w:val="00F80928"/>
    <w:rsid w:val="00F81082"/>
    <w:rsid w:val="00F81388"/>
    <w:rsid w:val="00F813AB"/>
    <w:rsid w:val="00F8410F"/>
    <w:rsid w:val="00F87CCB"/>
    <w:rsid w:val="00F90C53"/>
    <w:rsid w:val="00F92143"/>
    <w:rsid w:val="00F95B31"/>
    <w:rsid w:val="00F964E6"/>
    <w:rsid w:val="00FA6D46"/>
    <w:rsid w:val="00FB0111"/>
    <w:rsid w:val="00FB2A7E"/>
    <w:rsid w:val="00FB2F1B"/>
    <w:rsid w:val="00FB577D"/>
    <w:rsid w:val="00FB5D97"/>
    <w:rsid w:val="00FB6E3B"/>
    <w:rsid w:val="00FC0D76"/>
    <w:rsid w:val="00FC76AC"/>
    <w:rsid w:val="00FC7C63"/>
    <w:rsid w:val="00FD175C"/>
    <w:rsid w:val="00FD5135"/>
    <w:rsid w:val="00FD6477"/>
    <w:rsid w:val="00FD6C85"/>
    <w:rsid w:val="00FD75FA"/>
    <w:rsid w:val="00FE0FEA"/>
    <w:rsid w:val="00FE3379"/>
    <w:rsid w:val="00FE3A12"/>
    <w:rsid w:val="00FE6278"/>
    <w:rsid w:val="00FE6373"/>
    <w:rsid w:val="00FE65A2"/>
    <w:rsid w:val="00FF0AC1"/>
    <w:rsid w:val="00FF1DDF"/>
    <w:rsid w:val="00FF1F1A"/>
    <w:rsid w:val="00FF2D06"/>
    <w:rsid w:val="00FF372B"/>
    <w:rsid w:val="00FF383C"/>
    <w:rsid w:val="00FF397C"/>
    <w:rsid w:val="00FF39E2"/>
    <w:rsid w:val="00FF5C7A"/>
    <w:rsid w:val="00FF6654"/>
    <w:rsid w:val="00FF6EEE"/>
    <w:rsid w:val="011170DE"/>
    <w:rsid w:val="012F2443"/>
    <w:rsid w:val="013872DA"/>
    <w:rsid w:val="01411480"/>
    <w:rsid w:val="014B4F6A"/>
    <w:rsid w:val="01564CCA"/>
    <w:rsid w:val="015E5637"/>
    <w:rsid w:val="016B763E"/>
    <w:rsid w:val="016E78CA"/>
    <w:rsid w:val="017D6C20"/>
    <w:rsid w:val="01883901"/>
    <w:rsid w:val="019C20E5"/>
    <w:rsid w:val="01A31ABB"/>
    <w:rsid w:val="01AB2B00"/>
    <w:rsid w:val="01AE7CCC"/>
    <w:rsid w:val="01B13684"/>
    <w:rsid w:val="01B30428"/>
    <w:rsid w:val="01C5738A"/>
    <w:rsid w:val="01D546F0"/>
    <w:rsid w:val="01D5536B"/>
    <w:rsid w:val="01DA33E7"/>
    <w:rsid w:val="01EB3354"/>
    <w:rsid w:val="01F12C93"/>
    <w:rsid w:val="01F8596F"/>
    <w:rsid w:val="020143B6"/>
    <w:rsid w:val="020C739F"/>
    <w:rsid w:val="02132683"/>
    <w:rsid w:val="02317AF5"/>
    <w:rsid w:val="023A346A"/>
    <w:rsid w:val="02531498"/>
    <w:rsid w:val="0258475E"/>
    <w:rsid w:val="025B63A2"/>
    <w:rsid w:val="0270686F"/>
    <w:rsid w:val="02742D60"/>
    <w:rsid w:val="02777BFD"/>
    <w:rsid w:val="02780C80"/>
    <w:rsid w:val="028A73BD"/>
    <w:rsid w:val="02B10A7E"/>
    <w:rsid w:val="02B26110"/>
    <w:rsid w:val="02B42825"/>
    <w:rsid w:val="02BC7D06"/>
    <w:rsid w:val="02C01EAD"/>
    <w:rsid w:val="02C766FB"/>
    <w:rsid w:val="02D844B5"/>
    <w:rsid w:val="02DB63CF"/>
    <w:rsid w:val="02F72B02"/>
    <w:rsid w:val="02FE6223"/>
    <w:rsid w:val="0301396B"/>
    <w:rsid w:val="031858BE"/>
    <w:rsid w:val="031B6A02"/>
    <w:rsid w:val="032A2EC2"/>
    <w:rsid w:val="033B10E6"/>
    <w:rsid w:val="033F01C2"/>
    <w:rsid w:val="03551CFF"/>
    <w:rsid w:val="03561591"/>
    <w:rsid w:val="035A5883"/>
    <w:rsid w:val="035F093A"/>
    <w:rsid w:val="03781875"/>
    <w:rsid w:val="03971897"/>
    <w:rsid w:val="039C70E1"/>
    <w:rsid w:val="03BA6178"/>
    <w:rsid w:val="03BA7D14"/>
    <w:rsid w:val="03CB4EBA"/>
    <w:rsid w:val="03E2263B"/>
    <w:rsid w:val="03E90A1C"/>
    <w:rsid w:val="03ED453C"/>
    <w:rsid w:val="03ED4DB2"/>
    <w:rsid w:val="03EF6BAB"/>
    <w:rsid w:val="03FF69FD"/>
    <w:rsid w:val="040556DD"/>
    <w:rsid w:val="04064933"/>
    <w:rsid w:val="0409601E"/>
    <w:rsid w:val="04182CF2"/>
    <w:rsid w:val="042A2BE3"/>
    <w:rsid w:val="042C4A18"/>
    <w:rsid w:val="0433739C"/>
    <w:rsid w:val="043A513C"/>
    <w:rsid w:val="044356D7"/>
    <w:rsid w:val="045223FF"/>
    <w:rsid w:val="0461499E"/>
    <w:rsid w:val="04776616"/>
    <w:rsid w:val="0482519B"/>
    <w:rsid w:val="049468A2"/>
    <w:rsid w:val="04A36EBB"/>
    <w:rsid w:val="04AB4A59"/>
    <w:rsid w:val="04AE7B23"/>
    <w:rsid w:val="04B627F8"/>
    <w:rsid w:val="04BC3F65"/>
    <w:rsid w:val="04C16028"/>
    <w:rsid w:val="04C33076"/>
    <w:rsid w:val="04C827E7"/>
    <w:rsid w:val="04CE224E"/>
    <w:rsid w:val="04D740F2"/>
    <w:rsid w:val="04DF115D"/>
    <w:rsid w:val="04DF60DD"/>
    <w:rsid w:val="04E11423"/>
    <w:rsid w:val="04E63C16"/>
    <w:rsid w:val="04E81444"/>
    <w:rsid w:val="04F46A45"/>
    <w:rsid w:val="04F91054"/>
    <w:rsid w:val="0518514A"/>
    <w:rsid w:val="051975CE"/>
    <w:rsid w:val="051A4A43"/>
    <w:rsid w:val="051D49A6"/>
    <w:rsid w:val="052B393C"/>
    <w:rsid w:val="053450D9"/>
    <w:rsid w:val="0548762F"/>
    <w:rsid w:val="054C70B7"/>
    <w:rsid w:val="05526700"/>
    <w:rsid w:val="05610B9A"/>
    <w:rsid w:val="05795E5A"/>
    <w:rsid w:val="057D02C5"/>
    <w:rsid w:val="058663AA"/>
    <w:rsid w:val="05926AFC"/>
    <w:rsid w:val="059C5DB8"/>
    <w:rsid w:val="05C42BFB"/>
    <w:rsid w:val="05D25BA0"/>
    <w:rsid w:val="05F41565"/>
    <w:rsid w:val="05F63449"/>
    <w:rsid w:val="05F652DD"/>
    <w:rsid w:val="05F81055"/>
    <w:rsid w:val="05FC448C"/>
    <w:rsid w:val="06212EE7"/>
    <w:rsid w:val="062A16FC"/>
    <w:rsid w:val="064C7276"/>
    <w:rsid w:val="06562220"/>
    <w:rsid w:val="06695AAF"/>
    <w:rsid w:val="067A3EA3"/>
    <w:rsid w:val="06887197"/>
    <w:rsid w:val="06905732"/>
    <w:rsid w:val="069550E1"/>
    <w:rsid w:val="069B5E85"/>
    <w:rsid w:val="069F2213"/>
    <w:rsid w:val="06A0349B"/>
    <w:rsid w:val="06C151B6"/>
    <w:rsid w:val="06CC2C87"/>
    <w:rsid w:val="06CC6E2E"/>
    <w:rsid w:val="06DA6C92"/>
    <w:rsid w:val="06DC6209"/>
    <w:rsid w:val="06E44B30"/>
    <w:rsid w:val="06E44F16"/>
    <w:rsid w:val="06E60DB8"/>
    <w:rsid w:val="06E7278F"/>
    <w:rsid w:val="06EF39E7"/>
    <w:rsid w:val="06FB0E26"/>
    <w:rsid w:val="070F4187"/>
    <w:rsid w:val="072916E2"/>
    <w:rsid w:val="072E65BE"/>
    <w:rsid w:val="072E7091"/>
    <w:rsid w:val="07420294"/>
    <w:rsid w:val="075E6120"/>
    <w:rsid w:val="07832BA1"/>
    <w:rsid w:val="07935113"/>
    <w:rsid w:val="07AA6E31"/>
    <w:rsid w:val="07AB39B2"/>
    <w:rsid w:val="07AE662B"/>
    <w:rsid w:val="07B0710C"/>
    <w:rsid w:val="07BA172A"/>
    <w:rsid w:val="07C43B40"/>
    <w:rsid w:val="07C82C94"/>
    <w:rsid w:val="07DF0579"/>
    <w:rsid w:val="07F56802"/>
    <w:rsid w:val="07FF69E4"/>
    <w:rsid w:val="08061348"/>
    <w:rsid w:val="08061FE4"/>
    <w:rsid w:val="08075489"/>
    <w:rsid w:val="08106CA1"/>
    <w:rsid w:val="08285053"/>
    <w:rsid w:val="08337178"/>
    <w:rsid w:val="08337BAF"/>
    <w:rsid w:val="0862654D"/>
    <w:rsid w:val="0866368B"/>
    <w:rsid w:val="086725E6"/>
    <w:rsid w:val="0869623A"/>
    <w:rsid w:val="086F4890"/>
    <w:rsid w:val="087D5842"/>
    <w:rsid w:val="08816989"/>
    <w:rsid w:val="08841111"/>
    <w:rsid w:val="08B175CD"/>
    <w:rsid w:val="08BA79A7"/>
    <w:rsid w:val="08ED07DD"/>
    <w:rsid w:val="08EE6740"/>
    <w:rsid w:val="08EF5320"/>
    <w:rsid w:val="08F06A48"/>
    <w:rsid w:val="09021EDD"/>
    <w:rsid w:val="09077594"/>
    <w:rsid w:val="090B6DAE"/>
    <w:rsid w:val="09117E7F"/>
    <w:rsid w:val="09181147"/>
    <w:rsid w:val="091A7E4E"/>
    <w:rsid w:val="0923288D"/>
    <w:rsid w:val="092642D4"/>
    <w:rsid w:val="092C7CF0"/>
    <w:rsid w:val="093F4E54"/>
    <w:rsid w:val="09470ECA"/>
    <w:rsid w:val="094A0B1D"/>
    <w:rsid w:val="095B78D4"/>
    <w:rsid w:val="09644DA6"/>
    <w:rsid w:val="096B603D"/>
    <w:rsid w:val="09896468"/>
    <w:rsid w:val="09914747"/>
    <w:rsid w:val="09931B02"/>
    <w:rsid w:val="09933C1B"/>
    <w:rsid w:val="09947033"/>
    <w:rsid w:val="099C19AC"/>
    <w:rsid w:val="09A6701A"/>
    <w:rsid w:val="09CD1FD2"/>
    <w:rsid w:val="09D00621"/>
    <w:rsid w:val="09E638BB"/>
    <w:rsid w:val="09EA2F53"/>
    <w:rsid w:val="09EF6C13"/>
    <w:rsid w:val="09F20BFD"/>
    <w:rsid w:val="09FE0C04"/>
    <w:rsid w:val="0A06401C"/>
    <w:rsid w:val="0A1B2102"/>
    <w:rsid w:val="0A21615D"/>
    <w:rsid w:val="0A280889"/>
    <w:rsid w:val="0A3A1817"/>
    <w:rsid w:val="0A3D5C6E"/>
    <w:rsid w:val="0A45666A"/>
    <w:rsid w:val="0A515B87"/>
    <w:rsid w:val="0A5E00D8"/>
    <w:rsid w:val="0A5F1181"/>
    <w:rsid w:val="0A6348F4"/>
    <w:rsid w:val="0A685841"/>
    <w:rsid w:val="0A6B7AE9"/>
    <w:rsid w:val="0A987C7F"/>
    <w:rsid w:val="0A9C4F1B"/>
    <w:rsid w:val="0AAC4A7F"/>
    <w:rsid w:val="0AC601E5"/>
    <w:rsid w:val="0AE252EF"/>
    <w:rsid w:val="0AF746CF"/>
    <w:rsid w:val="0B071D3B"/>
    <w:rsid w:val="0B0E19AF"/>
    <w:rsid w:val="0B460A68"/>
    <w:rsid w:val="0B4D5B8F"/>
    <w:rsid w:val="0B500AE3"/>
    <w:rsid w:val="0B65611E"/>
    <w:rsid w:val="0B67646F"/>
    <w:rsid w:val="0B6D388B"/>
    <w:rsid w:val="0B793527"/>
    <w:rsid w:val="0B9F01C5"/>
    <w:rsid w:val="0BA238BE"/>
    <w:rsid w:val="0BA457DB"/>
    <w:rsid w:val="0BB35A1E"/>
    <w:rsid w:val="0BB45919"/>
    <w:rsid w:val="0BC018C5"/>
    <w:rsid w:val="0BCF2858"/>
    <w:rsid w:val="0BD5235C"/>
    <w:rsid w:val="0BFC0FC7"/>
    <w:rsid w:val="0BFF4EE2"/>
    <w:rsid w:val="0C2F7405"/>
    <w:rsid w:val="0C321794"/>
    <w:rsid w:val="0C373532"/>
    <w:rsid w:val="0C425207"/>
    <w:rsid w:val="0C587F6B"/>
    <w:rsid w:val="0C5F6D9C"/>
    <w:rsid w:val="0C642991"/>
    <w:rsid w:val="0C6918E5"/>
    <w:rsid w:val="0C762F34"/>
    <w:rsid w:val="0C932AD8"/>
    <w:rsid w:val="0C9B2338"/>
    <w:rsid w:val="0C9B273A"/>
    <w:rsid w:val="0CC158B6"/>
    <w:rsid w:val="0CC569F2"/>
    <w:rsid w:val="0CDB6FDB"/>
    <w:rsid w:val="0CDD65CF"/>
    <w:rsid w:val="0CDD684F"/>
    <w:rsid w:val="0D054058"/>
    <w:rsid w:val="0D0A6D0A"/>
    <w:rsid w:val="0D1319C8"/>
    <w:rsid w:val="0D193DE1"/>
    <w:rsid w:val="0D36564F"/>
    <w:rsid w:val="0D43381D"/>
    <w:rsid w:val="0D444B80"/>
    <w:rsid w:val="0D4C74C5"/>
    <w:rsid w:val="0D542926"/>
    <w:rsid w:val="0D63594E"/>
    <w:rsid w:val="0D654861"/>
    <w:rsid w:val="0D6F4BE8"/>
    <w:rsid w:val="0D724597"/>
    <w:rsid w:val="0D7D4285"/>
    <w:rsid w:val="0DBC23DD"/>
    <w:rsid w:val="0DC65364"/>
    <w:rsid w:val="0DC932D7"/>
    <w:rsid w:val="0DF77ED4"/>
    <w:rsid w:val="0E0E2C3E"/>
    <w:rsid w:val="0E2243AE"/>
    <w:rsid w:val="0E2540DB"/>
    <w:rsid w:val="0E2A6779"/>
    <w:rsid w:val="0E2F67ED"/>
    <w:rsid w:val="0E3409A0"/>
    <w:rsid w:val="0E4A08BC"/>
    <w:rsid w:val="0E4C119C"/>
    <w:rsid w:val="0E5E2502"/>
    <w:rsid w:val="0E632017"/>
    <w:rsid w:val="0E7E71B0"/>
    <w:rsid w:val="0EBB360E"/>
    <w:rsid w:val="0ECF417D"/>
    <w:rsid w:val="0EDB35EF"/>
    <w:rsid w:val="0EE533D1"/>
    <w:rsid w:val="0EE96EDF"/>
    <w:rsid w:val="0EFB6984"/>
    <w:rsid w:val="0EFF271A"/>
    <w:rsid w:val="0F02198F"/>
    <w:rsid w:val="0F0909E2"/>
    <w:rsid w:val="0F0A004B"/>
    <w:rsid w:val="0F1D2A4D"/>
    <w:rsid w:val="0F242EBB"/>
    <w:rsid w:val="0F3729FF"/>
    <w:rsid w:val="0F59068B"/>
    <w:rsid w:val="0F5962D3"/>
    <w:rsid w:val="0F6459AD"/>
    <w:rsid w:val="0F6E027B"/>
    <w:rsid w:val="0F6E3A64"/>
    <w:rsid w:val="0F725008"/>
    <w:rsid w:val="0F785632"/>
    <w:rsid w:val="0F7F402A"/>
    <w:rsid w:val="0FA34FA2"/>
    <w:rsid w:val="0FAC0D73"/>
    <w:rsid w:val="0FB26719"/>
    <w:rsid w:val="0FBD2ED2"/>
    <w:rsid w:val="0FE73EE9"/>
    <w:rsid w:val="0FF27A70"/>
    <w:rsid w:val="0FF92B89"/>
    <w:rsid w:val="10181D03"/>
    <w:rsid w:val="1028322B"/>
    <w:rsid w:val="102D698D"/>
    <w:rsid w:val="102F5718"/>
    <w:rsid w:val="10432D60"/>
    <w:rsid w:val="10482D94"/>
    <w:rsid w:val="107E301E"/>
    <w:rsid w:val="10950D99"/>
    <w:rsid w:val="10A15C66"/>
    <w:rsid w:val="10BC35C0"/>
    <w:rsid w:val="10D61F61"/>
    <w:rsid w:val="10F15E6B"/>
    <w:rsid w:val="11167079"/>
    <w:rsid w:val="112242C2"/>
    <w:rsid w:val="11343177"/>
    <w:rsid w:val="113B4613"/>
    <w:rsid w:val="11537ACE"/>
    <w:rsid w:val="11542B52"/>
    <w:rsid w:val="115A38F0"/>
    <w:rsid w:val="1176055B"/>
    <w:rsid w:val="11857B4B"/>
    <w:rsid w:val="118C6D69"/>
    <w:rsid w:val="118E2DB0"/>
    <w:rsid w:val="11C8379A"/>
    <w:rsid w:val="11E454B2"/>
    <w:rsid w:val="11EB43CE"/>
    <w:rsid w:val="11F70569"/>
    <w:rsid w:val="11FD5091"/>
    <w:rsid w:val="11FD64D0"/>
    <w:rsid w:val="12130FC5"/>
    <w:rsid w:val="12181613"/>
    <w:rsid w:val="122A4C8C"/>
    <w:rsid w:val="1232469E"/>
    <w:rsid w:val="12381227"/>
    <w:rsid w:val="12393122"/>
    <w:rsid w:val="124D7B6C"/>
    <w:rsid w:val="12533251"/>
    <w:rsid w:val="1255139B"/>
    <w:rsid w:val="125B6AB7"/>
    <w:rsid w:val="126261AC"/>
    <w:rsid w:val="12774428"/>
    <w:rsid w:val="127A1044"/>
    <w:rsid w:val="12870EA7"/>
    <w:rsid w:val="128932CB"/>
    <w:rsid w:val="128F2CD0"/>
    <w:rsid w:val="12B95CA8"/>
    <w:rsid w:val="12BD0697"/>
    <w:rsid w:val="12CA71B4"/>
    <w:rsid w:val="12D0014D"/>
    <w:rsid w:val="12D60970"/>
    <w:rsid w:val="12D63174"/>
    <w:rsid w:val="12D931F9"/>
    <w:rsid w:val="12E43113"/>
    <w:rsid w:val="12ED5E1B"/>
    <w:rsid w:val="13065A02"/>
    <w:rsid w:val="13182F70"/>
    <w:rsid w:val="1319260B"/>
    <w:rsid w:val="1324194F"/>
    <w:rsid w:val="132518D0"/>
    <w:rsid w:val="133236EF"/>
    <w:rsid w:val="13446E27"/>
    <w:rsid w:val="134F3108"/>
    <w:rsid w:val="13511F0C"/>
    <w:rsid w:val="135911AB"/>
    <w:rsid w:val="137000FD"/>
    <w:rsid w:val="13761003"/>
    <w:rsid w:val="13897AD8"/>
    <w:rsid w:val="13985ABF"/>
    <w:rsid w:val="13A76B77"/>
    <w:rsid w:val="13BE69B6"/>
    <w:rsid w:val="13D15486"/>
    <w:rsid w:val="13F13AE4"/>
    <w:rsid w:val="13FB22A7"/>
    <w:rsid w:val="14065285"/>
    <w:rsid w:val="140A5809"/>
    <w:rsid w:val="140A7968"/>
    <w:rsid w:val="140A7C47"/>
    <w:rsid w:val="14154836"/>
    <w:rsid w:val="14200404"/>
    <w:rsid w:val="14290C8B"/>
    <w:rsid w:val="14351D45"/>
    <w:rsid w:val="143C7C5A"/>
    <w:rsid w:val="144813C8"/>
    <w:rsid w:val="144A465D"/>
    <w:rsid w:val="145A2EDB"/>
    <w:rsid w:val="147B18A5"/>
    <w:rsid w:val="148E0584"/>
    <w:rsid w:val="149B405D"/>
    <w:rsid w:val="14AB55D0"/>
    <w:rsid w:val="14B94757"/>
    <w:rsid w:val="14BE6225"/>
    <w:rsid w:val="14C45584"/>
    <w:rsid w:val="14C55013"/>
    <w:rsid w:val="14C64A14"/>
    <w:rsid w:val="14D20390"/>
    <w:rsid w:val="14E259AE"/>
    <w:rsid w:val="14E51B80"/>
    <w:rsid w:val="14EF207A"/>
    <w:rsid w:val="15120EBE"/>
    <w:rsid w:val="15142A6E"/>
    <w:rsid w:val="151B0534"/>
    <w:rsid w:val="1523698C"/>
    <w:rsid w:val="152A0AFF"/>
    <w:rsid w:val="1563320B"/>
    <w:rsid w:val="159352D7"/>
    <w:rsid w:val="15EC14EA"/>
    <w:rsid w:val="15F451A8"/>
    <w:rsid w:val="15FA3559"/>
    <w:rsid w:val="15FF10B5"/>
    <w:rsid w:val="161052DD"/>
    <w:rsid w:val="16105F47"/>
    <w:rsid w:val="16170D44"/>
    <w:rsid w:val="16175528"/>
    <w:rsid w:val="161C735B"/>
    <w:rsid w:val="1621723D"/>
    <w:rsid w:val="162774FD"/>
    <w:rsid w:val="163560B5"/>
    <w:rsid w:val="166013CE"/>
    <w:rsid w:val="1661268B"/>
    <w:rsid w:val="16701212"/>
    <w:rsid w:val="16960CB0"/>
    <w:rsid w:val="16A505C8"/>
    <w:rsid w:val="16A843D2"/>
    <w:rsid w:val="16BA50FE"/>
    <w:rsid w:val="16C25D75"/>
    <w:rsid w:val="16E30568"/>
    <w:rsid w:val="16F92A5D"/>
    <w:rsid w:val="1701074A"/>
    <w:rsid w:val="172018B3"/>
    <w:rsid w:val="17233A8A"/>
    <w:rsid w:val="17321EED"/>
    <w:rsid w:val="1733429D"/>
    <w:rsid w:val="17360F01"/>
    <w:rsid w:val="17395D8A"/>
    <w:rsid w:val="173C11CD"/>
    <w:rsid w:val="173F0AA1"/>
    <w:rsid w:val="174C7453"/>
    <w:rsid w:val="174D1AF0"/>
    <w:rsid w:val="17514A69"/>
    <w:rsid w:val="177412D5"/>
    <w:rsid w:val="177A2F1F"/>
    <w:rsid w:val="178A1656"/>
    <w:rsid w:val="17984446"/>
    <w:rsid w:val="179A7974"/>
    <w:rsid w:val="17A31A4C"/>
    <w:rsid w:val="17B74A4A"/>
    <w:rsid w:val="17C33F32"/>
    <w:rsid w:val="17CC28AC"/>
    <w:rsid w:val="17D35127"/>
    <w:rsid w:val="17E626E0"/>
    <w:rsid w:val="17EA3320"/>
    <w:rsid w:val="17EC1B01"/>
    <w:rsid w:val="17F26616"/>
    <w:rsid w:val="17F90C5D"/>
    <w:rsid w:val="18116928"/>
    <w:rsid w:val="18155D42"/>
    <w:rsid w:val="183C2775"/>
    <w:rsid w:val="18426EC1"/>
    <w:rsid w:val="18523145"/>
    <w:rsid w:val="18560ABA"/>
    <w:rsid w:val="18766468"/>
    <w:rsid w:val="18866995"/>
    <w:rsid w:val="18891FE1"/>
    <w:rsid w:val="18964DEC"/>
    <w:rsid w:val="189C579D"/>
    <w:rsid w:val="18A16A19"/>
    <w:rsid w:val="18A84B14"/>
    <w:rsid w:val="18AB01A9"/>
    <w:rsid w:val="18B41D16"/>
    <w:rsid w:val="18B73234"/>
    <w:rsid w:val="18B828C6"/>
    <w:rsid w:val="18BA4890"/>
    <w:rsid w:val="18BF1EA7"/>
    <w:rsid w:val="18CA3FF9"/>
    <w:rsid w:val="18CD6371"/>
    <w:rsid w:val="18D866E7"/>
    <w:rsid w:val="18DF487D"/>
    <w:rsid w:val="19003CD7"/>
    <w:rsid w:val="191A6285"/>
    <w:rsid w:val="192E2E17"/>
    <w:rsid w:val="193A7BB4"/>
    <w:rsid w:val="194E701B"/>
    <w:rsid w:val="195979BF"/>
    <w:rsid w:val="19650240"/>
    <w:rsid w:val="19725AD3"/>
    <w:rsid w:val="19771B7E"/>
    <w:rsid w:val="197E0AEF"/>
    <w:rsid w:val="19947682"/>
    <w:rsid w:val="199900E6"/>
    <w:rsid w:val="19A07428"/>
    <w:rsid w:val="19CD4CF2"/>
    <w:rsid w:val="19F453C8"/>
    <w:rsid w:val="1A157A00"/>
    <w:rsid w:val="1A251C43"/>
    <w:rsid w:val="1A3851F5"/>
    <w:rsid w:val="1A5201C0"/>
    <w:rsid w:val="1A647F75"/>
    <w:rsid w:val="1A6B2D32"/>
    <w:rsid w:val="1A710F7F"/>
    <w:rsid w:val="1A7B7BF4"/>
    <w:rsid w:val="1AAB47CD"/>
    <w:rsid w:val="1AB83F48"/>
    <w:rsid w:val="1AB9554F"/>
    <w:rsid w:val="1ABB58B1"/>
    <w:rsid w:val="1ABC044C"/>
    <w:rsid w:val="1ADB79BD"/>
    <w:rsid w:val="1AF12045"/>
    <w:rsid w:val="1B0216B0"/>
    <w:rsid w:val="1B023FE0"/>
    <w:rsid w:val="1B075354"/>
    <w:rsid w:val="1B0827D0"/>
    <w:rsid w:val="1B244AA9"/>
    <w:rsid w:val="1B262D0A"/>
    <w:rsid w:val="1B4B068C"/>
    <w:rsid w:val="1B65170A"/>
    <w:rsid w:val="1B6E38FE"/>
    <w:rsid w:val="1B6E699B"/>
    <w:rsid w:val="1B7567E1"/>
    <w:rsid w:val="1B8265F7"/>
    <w:rsid w:val="1B974A15"/>
    <w:rsid w:val="1BAF090C"/>
    <w:rsid w:val="1BAF3C7C"/>
    <w:rsid w:val="1BBA3C87"/>
    <w:rsid w:val="1BC81C50"/>
    <w:rsid w:val="1BD64E13"/>
    <w:rsid w:val="1BD73390"/>
    <w:rsid w:val="1BE364CA"/>
    <w:rsid w:val="1BEB305A"/>
    <w:rsid w:val="1BF00EAF"/>
    <w:rsid w:val="1BFA2BF5"/>
    <w:rsid w:val="1C1239AC"/>
    <w:rsid w:val="1C200EAE"/>
    <w:rsid w:val="1C340266"/>
    <w:rsid w:val="1C3A0F78"/>
    <w:rsid w:val="1C3D6A6C"/>
    <w:rsid w:val="1C460804"/>
    <w:rsid w:val="1C471D1C"/>
    <w:rsid w:val="1C5006D1"/>
    <w:rsid w:val="1C6963B1"/>
    <w:rsid w:val="1C6D0292"/>
    <w:rsid w:val="1C7212C0"/>
    <w:rsid w:val="1C841016"/>
    <w:rsid w:val="1C8F0052"/>
    <w:rsid w:val="1C980610"/>
    <w:rsid w:val="1CAB0060"/>
    <w:rsid w:val="1CBC7CD5"/>
    <w:rsid w:val="1CCE26B8"/>
    <w:rsid w:val="1CD013A8"/>
    <w:rsid w:val="1CD13F56"/>
    <w:rsid w:val="1CDD09C0"/>
    <w:rsid w:val="1CDE5741"/>
    <w:rsid w:val="1CDE6B35"/>
    <w:rsid w:val="1CE31557"/>
    <w:rsid w:val="1CE84FEA"/>
    <w:rsid w:val="1CF34AF9"/>
    <w:rsid w:val="1D235FA9"/>
    <w:rsid w:val="1D2B646A"/>
    <w:rsid w:val="1D4101E0"/>
    <w:rsid w:val="1D4D540D"/>
    <w:rsid w:val="1D5804A9"/>
    <w:rsid w:val="1D630A3E"/>
    <w:rsid w:val="1D7720A3"/>
    <w:rsid w:val="1D8277EB"/>
    <w:rsid w:val="1D880AB9"/>
    <w:rsid w:val="1D8A761B"/>
    <w:rsid w:val="1D8F2DA7"/>
    <w:rsid w:val="1D9036E7"/>
    <w:rsid w:val="1D93402E"/>
    <w:rsid w:val="1DA41051"/>
    <w:rsid w:val="1DA424D8"/>
    <w:rsid w:val="1DA85AF4"/>
    <w:rsid w:val="1DAF5E70"/>
    <w:rsid w:val="1DB60BD3"/>
    <w:rsid w:val="1DBB755F"/>
    <w:rsid w:val="1DC503B5"/>
    <w:rsid w:val="1DD92B52"/>
    <w:rsid w:val="1DD940F4"/>
    <w:rsid w:val="1DE1377A"/>
    <w:rsid w:val="1DFF75EE"/>
    <w:rsid w:val="1E0229F9"/>
    <w:rsid w:val="1E142A30"/>
    <w:rsid w:val="1E19697E"/>
    <w:rsid w:val="1E4112AA"/>
    <w:rsid w:val="1E475ADD"/>
    <w:rsid w:val="1E4F15D7"/>
    <w:rsid w:val="1E514FB6"/>
    <w:rsid w:val="1E7604E1"/>
    <w:rsid w:val="1E8C3C6B"/>
    <w:rsid w:val="1E9141D3"/>
    <w:rsid w:val="1EC228E2"/>
    <w:rsid w:val="1EC975DB"/>
    <w:rsid w:val="1EDE13CC"/>
    <w:rsid w:val="1EE524F5"/>
    <w:rsid w:val="1F003681"/>
    <w:rsid w:val="1F266470"/>
    <w:rsid w:val="1F4B5029"/>
    <w:rsid w:val="1F503858"/>
    <w:rsid w:val="1F524D89"/>
    <w:rsid w:val="1F6B39A2"/>
    <w:rsid w:val="1F6F5AB9"/>
    <w:rsid w:val="1F6F5FFD"/>
    <w:rsid w:val="1F722480"/>
    <w:rsid w:val="1F7A6B27"/>
    <w:rsid w:val="1F822B5D"/>
    <w:rsid w:val="1FA0658E"/>
    <w:rsid w:val="1FA476B7"/>
    <w:rsid w:val="1FA85E97"/>
    <w:rsid w:val="1FAC6A14"/>
    <w:rsid w:val="1FB45B95"/>
    <w:rsid w:val="1FDA4F65"/>
    <w:rsid w:val="1FDB1A95"/>
    <w:rsid w:val="1FE44180"/>
    <w:rsid w:val="1FEA5A5B"/>
    <w:rsid w:val="200563F1"/>
    <w:rsid w:val="200A04CC"/>
    <w:rsid w:val="200C640B"/>
    <w:rsid w:val="201E2A67"/>
    <w:rsid w:val="20321413"/>
    <w:rsid w:val="20360CA0"/>
    <w:rsid w:val="203B115C"/>
    <w:rsid w:val="203B1E13"/>
    <w:rsid w:val="204213F3"/>
    <w:rsid w:val="20586EA6"/>
    <w:rsid w:val="20623F8D"/>
    <w:rsid w:val="2063346D"/>
    <w:rsid w:val="206A3B0A"/>
    <w:rsid w:val="20810DDE"/>
    <w:rsid w:val="208B5F6D"/>
    <w:rsid w:val="20A83CF5"/>
    <w:rsid w:val="20AF11EB"/>
    <w:rsid w:val="20B968D4"/>
    <w:rsid w:val="20C043B0"/>
    <w:rsid w:val="20C42817"/>
    <w:rsid w:val="20C76282"/>
    <w:rsid w:val="20C91872"/>
    <w:rsid w:val="20D369EF"/>
    <w:rsid w:val="20D7226F"/>
    <w:rsid w:val="20E051C5"/>
    <w:rsid w:val="21024059"/>
    <w:rsid w:val="211D5AB1"/>
    <w:rsid w:val="21202C28"/>
    <w:rsid w:val="212701FA"/>
    <w:rsid w:val="2154041A"/>
    <w:rsid w:val="215904C8"/>
    <w:rsid w:val="21656101"/>
    <w:rsid w:val="21674E89"/>
    <w:rsid w:val="21834E34"/>
    <w:rsid w:val="218B2992"/>
    <w:rsid w:val="21B61738"/>
    <w:rsid w:val="21B74BFC"/>
    <w:rsid w:val="21BF1F1A"/>
    <w:rsid w:val="21D4251F"/>
    <w:rsid w:val="21DD2419"/>
    <w:rsid w:val="21E92836"/>
    <w:rsid w:val="21F079F7"/>
    <w:rsid w:val="2222282D"/>
    <w:rsid w:val="22281C01"/>
    <w:rsid w:val="22370594"/>
    <w:rsid w:val="223D74BA"/>
    <w:rsid w:val="225376A0"/>
    <w:rsid w:val="225501B1"/>
    <w:rsid w:val="225652E8"/>
    <w:rsid w:val="22570BD6"/>
    <w:rsid w:val="226B7E87"/>
    <w:rsid w:val="22700D7D"/>
    <w:rsid w:val="22731B92"/>
    <w:rsid w:val="22737A91"/>
    <w:rsid w:val="227677BA"/>
    <w:rsid w:val="227A1D59"/>
    <w:rsid w:val="22811B82"/>
    <w:rsid w:val="229403F2"/>
    <w:rsid w:val="22B51F4C"/>
    <w:rsid w:val="22DA0BAC"/>
    <w:rsid w:val="22DD5403"/>
    <w:rsid w:val="22DE0624"/>
    <w:rsid w:val="22E07EEA"/>
    <w:rsid w:val="22F76C9B"/>
    <w:rsid w:val="22FC3821"/>
    <w:rsid w:val="23022476"/>
    <w:rsid w:val="232A148E"/>
    <w:rsid w:val="232B6DD3"/>
    <w:rsid w:val="2338636B"/>
    <w:rsid w:val="234A37D6"/>
    <w:rsid w:val="2363560D"/>
    <w:rsid w:val="236B0525"/>
    <w:rsid w:val="2392443F"/>
    <w:rsid w:val="23D54933"/>
    <w:rsid w:val="23DD30A6"/>
    <w:rsid w:val="24296119"/>
    <w:rsid w:val="24375746"/>
    <w:rsid w:val="24397D28"/>
    <w:rsid w:val="24465BA2"/>
    <w:rsid w:val="244F716F"/>
    <w:rsid w:val="24551B0C"/>
    <w:rsid w:val="24577304"/>
    <w:rsid w:val="245B792E"/>
    <w:rsid w:val="245F4115"/>
    <w:rsid w:val="247664AE"/>
    <w:rsid w:val="247C54BE"/>
    <w:rsid w:val="247E3C15"/>
    <w:rsid w:val="248F00F3"/>
    <w:rsid w:val="249A4256"/>
    <w:rsid w:val="249E33BD"/>
    <w:rsid w:val="24C85C3F"/>
    <w:rsid w:val="24C92545"/>
    <w:rsid w:val="24D665AE"/>
    <w:rsid w:val="24D92699"/>
    <w:rsid w:val="24E85B0E"/>
    <w:rsid w:val="24EC4023"/>
    <w:rsid w:val="24EE5371"/>
    <w:rsid w:val="24F061EA"/>
    <w:rsid w:val="251C483D"/>
    <w:rsid w:val="253B1C25"/>
    <w:rsid w:val="25495A04"/>
    <w:rsid w:val="25780FD2"/>
    <w:rsid w:val="25787665"/>
    <w:rsid w:val="258C1362"/>
    <w:rsid w:val="25A57169"/>
    <w:rsid w:val="25A927F9"/>
    <w:rsid w:val="25AA45A6"/>
    <w:rsid w:val="25AD2424"/>
    <w:rsid w:val="25B16E42"/>
    <w:rsid w:val="25B37A7F"/>
    <w:rsid w:val="25BA1A2C"/>
    <w:rsid w:val="25BB78A5"/>
    <w:rsid w:val="25CE197B"/>
    <w:rsid w:val="25D647F8"/>
    <w:rsid w:val="25DF430B"/>
    <w:rsid w:val="25E604CC"/>
    <w:rsid w:val="25E73A44"/>
    <w:rsid w:val="25E777E5"/>
    <w:rsid w:val="25E81AC3"/>
    <w:rsid w:val="26033FA2"/>
    <w:rsid w:val="2614179E"/>
    <w:rsid w:val="26306192"/>
    <w:rsid w:val="26377520"/>
    <w:rsid w:val="263B2B95"/>
    <w:rsid w:val="26475268"/>
    <w:rsid w:val="265936BB"/>
    <w:rsid w:val="267267AA"/>
    <w:rsid w:val="269E28F3"/>
    <w:rsid w:val="26BE72FA"/>
    <w:rsid w:val="26C96BE0"/>
    <w:rsid w:val="26DA5087"/>
    <w:rsid w:val="26E5558A"/>
    <w:rsid w:val="26F40F6D"/>
    <w:rsid w:val="26F9034C"/>
    <w:rsid w:val="26FC57E2"/>
    <w:rsid w:val="27012D48"/>
    <w:rsid w:val="27144EE7"/>
    <w:rsid w:val="27247C53"/>
    <w:rsid w:val="27293532"/>
    <w:rsid w:val="272D5899"/>
    <w:rsid w:val="272E26D1"/>
    <w:rsid w:val="27343E7F"/>
    <w:rsid w:val="27E27F21"/>
    <w:rsid w:val="28043432"/>
    <w:rsid w:val="28191BC9"/>
    <w:rsid w:val="282470DD"/>
    <w:rsid w:val="282575C3"/>
    <w:rsid w:val="28270C1E"/>
    <w:rsid w:val="282E04AF"/>
    <w:rsid w:val="283C007A"/>
    <w:rsid w:val="285C14C0"/>
    <w:rsid w:val="28903FB4"/>
    <w:rsid w:val="289B1727"/>
    <w:rsid w:val="28B4648B"/>
    <w:rsid w:val="28B46F0E"/>
    <w:rsid w:val="28B82C62"/>
    <w:rsid w:val="28BF2CCB"/>
    <w:rsid w:val="28D15A82"/>
    <w:rsid w:val="28DE3C83"/>
    <w:rsid w:val="28F75AA6"/>
    <w:rsid w:val="28FB5714"/>
    <w:rsid w:val="2909272D"/>
    <w:rsid w:val="290A2644"/>
    <w:rsid w:val="290C506D"/>
    <w:rsid w:val="290D4A13"/>
    <w:rsid w:val="29205D4E"/>
    <w:rsid w:val="292A250C"/>
    <w:rsid w:val="29303821"/>
    <w:rsid w:val="29380B1D"/>
    <w:rsid w:val="293D03AE"/>
    <w:rsid w:val="295D34C0"/>
    <w:rsid w:val="296F2647"/>
    <w:rsid w:val="2970229C"/>
    <w:rsid w:val="29764B4C"/>
    <w:rsid w:val="29846309"/>
    <w:rsid w:val="298F4C78"/>
    <w:rsid w:val="29966BAC"/>
    <w:rsid w:val="299E4AC9"/>
    <w:rsid w:val="29B22437"/>
    <w:rsid w:val="29BC486A"/>
    <w:rsid w:val="29BC4F75"/>
    <w:rsid w:val="29C53046"/>
    <w:rsid w:val="29CD6B26"/>
    <w:rsid w:val="29D97DAD"/>
    <w:rsid w:val="29DE5736"/>
    <w:rsid w:val="2A027E45"/>
    <w:rsid w:val="2A0714B5"/>
    <w:rsid w:val="2A0A052A"/>
    <w:rsid w:val="2A0C0F4F"/>
    <w:rsid w:val="2A176C74"/>
    <w:rsid w:val="2A214830"/>
    <w:rsid w:val="2A396C6B"/>
    <w:rsid w:val="2A3B1D84"/>
    <w:rsid w:val="2A426494"/>
    <w:rsid w:val="2A4C53BD"/>
    <w:rsid w:val="2A524635"/>
    <w:rsid w:val="2A5F2B10"/>
    <w:rsid w:val="2A676C95"/>
    <w:rsid w:val="2A685EFA"/>
    <w:rsid w:val="2A7626CA"/>
    <w:rsid w:val="2A7F01A8"/>
    <w:rsid w:val="2A972CFF"/>
    <w:rsid w:val="2A9C2646"/>
    <w:rsid w:val="2AA66A22"/>
    <w:rsid w:val="2AAE2BDB"/>
    <w:rsid w:val="2AD31830"/>
    <w:rsid w:val="2AD62965"/>
    <w:rsid w:val="2AF2447C"/>
    <w:rsid w:val="2B006133"/>
    <w:rsid w:val="2B096D7E"/>
    <w:rsid w:val="2B0F45C8"/>
    <w:rsid w:val="2B146CD7"/>
    <w:rsid w:val="2B2D7155"/>
    <w:rsid w:val="2B2F1D00"/>
    <w:rsid w:val="2B3A6E2A"/>
    <w:rsid w:val="2B3E5376"/>
    <w:rsid w:val="2B7C1FF4"/>
    <w:rsid w:val="2B7C7818"/>
    <w:rsid w:val="2B881756"/>
    <w:rsid w:val="2B8B5653"/>
    <w:rsid w:val="2B8C51DE"/>
    <w:rsid w:val="2B946E8E"/>
    <w:rsid w:val="2B9B43AD"/>
    <w:rsid w:val="2BAF69DE"/>
    <w:rsid w:val="2BB23061"/>
    <w:rsid w:val="2BB313F7"/>
    <w:rsid w:val="2BB8154E"/>
    <w:rsid w:val="2BBB4657"/>
    <w:rsid w:val="2BC62459"/>
    <w:rsid w:val="2BEC1CF0"/>
    <w:rsid w:val="2C0A4EFF"/>
    <w:rsid w:val="2C1149CE"/>
    <w:rsid w:val="2C316418"/>
    <w:rsid w:val="2C4300EA"/>
    <w:rsid w:val="2C7E2036"/>
    <w:rsid w:val="2C801094"/>
    <w:rsid w:val="2C8D32BD"/>
    <w:rsid w:val="2C8E4057"/>
    <w:rsid w:val="2C9027D6"/>
    <w:rsid w:val="2CA82E30"/>
    <w:rsid w:val="2CAB5162"/>
    <w:rsid w:val="2CB12A52"/>
    <w:rsid w:val="2CCE4353"/>
    <w:rsid w:val="2CCE6F6E"/>
    <w:rsid w:val="2CD27840"/>
    <w:rsid w:val="2CE11F94"/>
    <w:rsid w:val="2CFA4590"/>
    <w:rsid w:val="2D014005"/>
    <w:rsid w:val="2D017AD8"/>
    <w:rsid w:val="2D031F0A"/>
    <w:rsid w:val="2D05779E"/>
    <w:rsid w:val="2D083BD6"/>
    <w:rsid w:val="2D09407B"/>
    <w:rsid w:val="2D2D0723"/>
    <w:rsid w:val="2D3664A5"/>
    <w:rsid w:val="2D470656"/>
    <w:rsid w:val="2D555DFA"/>
    <w:rsid w:val="2D5619E8"/>
    <w:rsid w:val="2D60074F"/>
    <w:rsid w:val="2D6C4541"/>
    <w:rsid w:val="2D734224"/>
    <w:rsid w:val="2D7D4EE1"/>
    <w:rsid w:val="2D8B1D63"/>
    <w:rsid w:val="2DB41456"/>
    <w:rsid w:val="2DB67F97"/>
    <w:rsid w:val="2DBA6F24"/>
    <w:rsid w:val="2DBD2D6F"/>
    <w:rsid w:val="2DC753AF"/>
    <w:rsid w:val="2DC76A67"/>
    <w:rsid w:val="2DD1025A"/>
    <w:rsid w:val="2DD12842"/>
    <w:rsid w:val="2DEA5BFB"/>
    <w:rsid w:val="2E0F48DF"/>
    <w:rsid w:val="2E1C6CA3"/>
    <w:rsid w:val="2E206BE4"/>
    <w:rsid w:val="2E264A7D"/>
    <w:rsid w:val="2E271C28"/>
    <w:rsid w:val="2E374C80"/>
    <w:rsid w:val="2E596489"/>
    <w:rsid w:val="2E5B5B91"/>
    <w:rsid w:val="2E6102A1"/>
    <w:rsid w:val="2E632BAA"/>
    <w:rsid w:val="2E7444B7"/>
    <w:rsid w:val="2E7541E8"/>
    <w:rsid w:val="2E8C1C33"/>
    <w:rsid w:val="2E905A1F"/>
    <w:rsid w:val="2EAC6811"/>
    <w:rsid w:val="2EB67F0B"/>
    <w:rsid w:val="2EC03C82"/>
    <w:rsid w:val="2EE1150A"/>
    <w:rsid w:val="2EED10C4"/>
    <w:rsid w:val="2EEE3723"/>
    <w:rsid w:val="2EFF4953"/>
    <w:rsid w:val="2F083D40"/>
    <w:rsid w:val="2F3445FD"/>
    <w:rsid w:val="2F3F11F4"/>
    <w:rsid w:val="2F604FA3"/>
    <w:rsid w:val="2F6226AB"/>
    <w:rsid w:val="2F765CDF"/>
    <w:rsid w:val="2F8C424E"/>
    <w:rsid w:val="2FDD4C94"/>
    <w:rsid w:val="2FEE48EE"/>
    <w:rsid w:val="2FF7C4AC"/>
    <w:rsid w:val="30354AD0"/>
    <w:rsid w:val="303B1FE0"/>
    <w:rsid w:val="30475626"/>
    <w:rsid w:val="305F729A"/>
    <w:rsid w:val="3066024F"/>
    <w:rsid w:val="307672F4"/>
    <w:rsid w:val="30793857"/>
    <w:rsid w:val="307B73EC"/>
    <w:rsid w:val="307D466F"/>
    <w:rsid w:val="307E73BD"/>
    <w:rsid w:val="308710A4"/>
    <w:rsid w:val="308A74F6"/>
    <w:rsid w:val="30A65EE4"/>
    <w:rsid w:val="30A75A5C"/>
    <w:rsid w:val="30AC2DDE"/>
    <w:rsid w:val="30B9461F"/>
    <w:rsid w:val="30BF329D"/>
    <w:rsid w:val="30F73B34"/>
    <w:rsid w:val="30FC739C"/>
    <w:rsid w:val="310247FA"/>
    <w:rsid w:val="3133197A"/>
    <w:rsid w:val="31373462"/>
    <w:rsid w:val="313F4B56"/>
    <w:rsid w:val="31404FA6"/>
    <w:rsid w:val="3146334E"/>
    <w:rsid w:val="31504906"/>
    <w:rsid w:val="315926AE"/>
    <w:rsid w:val="31606E95"/>
    <w:rsid w:val="318C6C10"/>
    <w:rsid w:val="319A5B4D"/>
    <w:rsid w:val="319F3B5E"/>
    <w:rsid w:val="31C81897"/>
    <w:rsid w:val="31CD3A48"/>
    <w:rsid w:val="31CD4D63"/>
    <w:rsid w:val="31EB3E21"/>
    <w:rsid w:val="31F532C8"/>
    <w:rsid w:val="31FA610D"/>
    <w:rsid w:val="32077731"/>
    <w:rsid w:val="32087371"/>
    <w:rsid w:val="320D133E"/>
    <w:rsid w:val="321C22C4"/>
    <w:rsid w:val="323836B1"/>
    <w:rsid w:val="3264199E"/>
    <w:rsid w:val="329429A5"/>
    <w:rsid w:val="329D05A9"/>
    <w:rsid w:val="32AB2E3A"/>
    <w:rsid w:val="32AC3044"/>
    <w:rsid w:val="32BC19AA"/>
    <w:rsid w:val="32BF0681"/>
    <w:rsid w:val="32C0264B"/>
    <w:rsid w:val="32C02828"/>
    <w:rsid w:val="32C80E6C"/>
    <w:rsid w:val="32D6663F"/>
    <w:rsid w:val="32E31565"/>
    <w:rsid w:val="32FA4AD8"/>
    <w:rsid w:val="330B2BEF"/>
    <w:rsid w:val="330E0B5B"/>
    <w:rsid w:val="33125F08"/>
    <w:rsid w:val="332301E7"/>
    <w:rsid w:val="33286670"/>
    <w:rsid w:val="3329376B"/>
    <w:rsid w:val="333052B3"/>
    <w:rsid w:val="33323549"/>
    <w:rsid w:val="33345747"/>
    <w:rsid w:val="3347401C"/>
    <w:rsid w:val="334C64CC"/>
    <w:rsid w:val="335E5A63"/>
    <w:rsid w:val="3361060C"/>
    <w:rsid w:val="33686488"/>
    <w:rsid w:val="338A1331"/>
    <w:rsid w:val="339147AD"/>
    <w:rsid w:val="339857B0"/>
    <w:rsid w:val="339B3F1E"/>
    <w:rsid w:val="33A15FD9"/>
    <w:rsid w:val="33AF4B9A"/>
    <w:rsid w:val="33B05ADC"/>
    <w:rsid w:val="33E365F1"/>
    <w:rsid w:val="33F94E0D"/>
    <w:rsid w:val="34000F51"/>
    <w:rsid w:val="34032907"/>
    <w:rsid w:val="34045C31"/>
    <w:rsid w:val="340A5D6B"/>
    <w:rsid w:val="341A18A6"/>
    <w:rsid w:val="342669E5"/>
    <w:rsid w:val="34276A20"/>
    <w:rsid w:val="34302CD8"/>
    <w:rsid w:val="343173FE"/>
    <w:rsid w:val="344F09E4"/>
    <w:rsid w:val="346411E3"/>
    <w:rsid w:val="3467201C"/>
    <w:rsid w:val="346F0F46"/>
    <w:rsid w:val="34BF63C4"/>
    <w:rsid w:val="34EA49E2"/>
    <w:rsid w:val="34ED4122"/>
    <w:rsid w:val="34F030F0"/>
    <w:rsid w:val="34F325B9"/>
    <w:rsid w:val="34F8079D"/>
    <w:rsid w:val="34FC18E1"/>
    <w:rsid w:val="35270760"/>
    <w:rsid w:val="353A05BB"/>
    <w:rsid w:val="353D1B43"/>
    <w:rsid w:val="353D5102"/>
    <w:rsid w:val="353E2238"/>
    <w:rsid w:val="35443912"/>
    <w:rsid w:val="35487054"/>
    <w:rsid w:val="354E76A4"/>
    <w:rsid w:val="35516A46"/>
    <w:rsid w:val="35534ED1"/>
    <w:rsid w:val="35574B92"/>
    <w:rsid w:val="35757F51"/>
    <w:rsid w:val="357B1CB6"/>
    <w:rsid w:val="357C736A"/>
    <w:rsid w:val="358856A2"/>
    <w:rsid w:val="35914A57"/>
    <w:rsid w:val="35BE0694"/>
    <w:rsid w:val="35C50BDF"/>
    <w:rsid w:val="35D34E48"/>
    <w:rsid w:val="35E0728C"/>
    <w:rsid w:val="360F69B8"/>
    <w:rsid w:val="361D7594"/>
    <w:rsid w:val="3623311D"/>
    <w:rsid w:val="36286C0E"/>
    <w:rsid w:val="362B1EF1"/>
    <w:rsid w:val="362B7CB8"/>
    <w:rsid w:val="36433E2F"/>
    <w:rsid w:val="365012A5"/>
    <w:rsid w:val="36554F4C"/>
    <w:rsid w:val="365A5DC0"/>
    <w:rsid w:val="3672034F"/>
    <w:rsid w:val="3679323D"/>
    <w:rsid w:val="367B0D63"/>
    <w:rsid w:val="367B2FA7"/>
    <w:rsid w:val="368375A3"/>
    <w:rsid w:val="3685312D"/>
    <w:rsid w:val="368E4551"/>
    <w:rsid w:val="36A007CA"/>
    <w:rsid w:val="36B50ACB"/>
    <w:rsid w:val="36CD1A68"/>
    <w:rsid w:val="36D750F5"/>
    <w:rsid w:val="36F61F86"/>
    <w:rsid w:val="37017403"/>
    <w:rsid w:val="370F0882"/>
    <w:rsid w:val="3715773F"/>
    <w:rsid w:val="37313B18"/>
    <w:rsid w:val="37396BD6"/>
    <w:rsid w:val="37403D5B"/>
    <w:rsid w:val="37545B80"/>
    <w:rsid w:val="3756532C"/>
    <w:rsid w:val="37585548"/>
    <w:rsid w:val="37651AF7"/>
    <w:rsid w:val="37687489"/>
    <w:rsid w:val="37732382"/>
    <w:rsid w:val="377723A4"/>
    <w:rsid w:val="377E75EC"/>
    <w:rsid w:val="378A32B1"/>
    <w:rsid w:val="379613D7"/>
    <w:rsid w:val="379E54A6"/>
    <w:rsid w:val="37B00DDE"/>
    <w:rsid w:val="37BB50E6"/>
    <w:rsid w:val="37C423A5"/>
    <w:rsid w:val="37CD3E53"/>
    <w:rsid w:val="37CD7F38"/>
    <w:rsid w:val="37D00951"/>
    <w:rsid w:val="37D646E1"/>
    <w:rsid w:val="37DA5546"/>
    <w:rsid w:val="37E26118"/>
    <w:rsid w:val="37EA17DA"/>
    <w:rsid w:val="37FA4F89"/>
    <w:rsid w:val="3810197F"/>
    <w:rsid w:val="381551E7"/>
    <w:rsid w:val="38166C00"/>
    <w:rsid w:val="381E5822"/>
    <w:rsid w:val="38213B8C"/>
    <w:rsid w:val="383E029A"/>
    <w:rsid w:val="38704FEF"/>
    <w:rsid w:val="387B0F2F"/>
    <w:rsid w:val="38803A08"/>
    <w:rsid w:val="38876EEE"/>
    <w:rsid w:val="388F09EB"/>
    <w:rsid w:val="38945CAC"/>
    <w:rsid w:val="389C5875"/>
    <w:rsid w:val="38A70413"/>
    <w:rsid w:val="38A80D56"/>
    <w:rsid w:val="38AB0361"/>
    <w:rsid w:val="38AC761B"/>
    <w:rsid w:val="38B0116C"/>
    <w:rsid w:val="38BB214E"/>
    <w:rsid w:val="38BE398B"/>
    <w:rsid w:val="38CB2B1D"/>
    <w:rsid w:val="38CE71CD"/>
    <w:rsid w:val="38E251B0"/>
    <w:rsid w:val="38F45172"/>
    <w:rsid w:val="39154385"/>
    <w:rsid w:val="392C3781"/>
    <w:rsid w:val="394C76F7"/>
    <w:rsid w:val="394D185F"/>
    <w:rsid w:val="396E4BAF"/>
    <w:rsid w:val="3973484A"/>
    <w:rsid w:val="397F2CAC"/>
    <w:rsid w:val="39914B8B"/>
    <w:rsid w:val="39976404"/>
    <w:rsid w:val="39982056"/>
    <w:rsid w:val="39C42A21"/>
    <w:rsid w:val="39C5739C"/>
    <w:rsid w:val="39C91359"/>
    <w:rsid w:val="39CA7ADC"/>
    <w:rsid w:val="39CE2B2D"/>
    <w:rsid w:val="39F07CBA"/>
    <w:rsid w:val="39FA4695"/>
    <w:rsid w:val="39FC174C"/>
    <w:rsid w:val="3A1032B3"/>
    <w:rsid w:val="3A1A5E34"/>
    <w:rsid w:val="3A217E73"/>
    <w:rsid w:val="3A322D0B"/>
    <w:rsid w:val="3A396F6B"/>
    <w:rsid w:val="3A6D1FE1"/>
    <w:rsid w:val="3A712EDF"/>
    <w:rsid w:val="3A7B7121"/>
    <w:rsid w:val="3A8E0DD5"/>
    <w:rsid w:val="3A992100"/>
    <w:rsid w:val="3A9F63B7"/>
    <w:rsid w:val="3AA2060C"/>
    <w:rsid w:val="3AA829DD"/>
    <w:rsid w:val="3ABE3914"/>
    <w:rsid w:val="3AC207C1"/>
    <w:rsid w:val="3ADB2718"/>
    <w:rsid w:val="3ADB44C6"/>
    <w:rsid w:val="3ADD19B1"/>
    <w:rsid w:val="3AE155AF"/>
    <w:rsid w:val="3AE62FA4"/>
    <w:rsid w:val="3AEA6F85"/>
    <w:rsid w:val="3B4726AE"/>
    <w:rsid w:val="3B4E2D39"/>
    <w:rsid w:val="3B5E1342"/>
    <w:rsid w:val="3B625D07"/>
    <w:rsid w:val="3B626996"/>
    <w:rsid w:val="3B6F6E8D"/>
    <w:rsid w:val="3B724F31"/>
    <w:rsid w:val="3B732951"/>
    <w:rsid w:val="3B911955"/>
    <w:rsid w:val="3B940F5B"/>
    <w:rsid w:val="3B9631B2"/>
    <w:rsid w:val="3BA6355B"/>
    <w:rsid w:val="3BA64AD4"/>
    <w:rsid w:val="3BB15CD6"/>
    <w:rsid w:val="3BC67694"/>
    <w:rsid w:val="3BCC0CBE"/>
    <w:rsid w:val="3BCC783C"/>
    <w:rsid w:val="3BE9648C"/>
    <w:rsid w:val="3BF56CD3"/>
    <w:rsid w:val="3C093B9E"/>
    <w:rsid w:val="3C0D5ACF"/>
    <w:rsid w:val="3C155482"/>
    <w:rsid w:val="3C235302"/>
    <w:rsid w:val="3C25504B"/>
    <w:rsid w:val="3C270BC5"/>
    <w:rsid w:val="3C335C3C"/>
    <w:rsid w:val="3C4620FD"/>
    <w:rsid w:val="3C4B7674"/>
    <w:rsid w:val="3C6F2B14"/>
    <w:rsid w:val="3C7D601A"/>
    <w:rsid w:val="3C85288C"/>
    <w:rsid w:val="3CA06FE2"/>
    <w:rsid w:val="3CA11EAD"/>
    <w:rsid w:val="3CA351EC"/>
    <w:rsid w:val="3CA717CB"/>
    <w:rsid w:val="3CAD7EB2"/>
    <w:rsid w:val="3CC11BBD"/>
    <w:rsid w:val="3CD63C3C"/>
    <w:rsid w:val="3D074599"/>
    <w:rsid w:val="3D07608C"/>
    <w:rsid w:val="3D110BA2"/>
    <w:rsid w:val="3D236858"/>
    <w:rsid w:val="3D3578E7"/>
    <w:rsid w:val="3D3B07D9"/>
    <w:rsid w:val="3D3C5620"/>
    <w:rsid w:val="3D4A3FDC"/>
    <w:rsid w:val="3D4B6B7A"/>
    <w:rsid w:val="3D517B48"/>
    <w:rsid w:val="3D59186F"/>
    <w:rsid w:val="3D5F4D5C"/>
    <w:rsid w:val="3D81055D"/>
    <w:rsid w:val="3D854F25"/>
    <w:rsid w:val="3DA55F02"/>
    <w:rsid w:val="3DA56C78"/>
    <w:rsid w:val="3DCD5868"/>
    <w:rsid w:val="3DD300FD"/>
    <w:rsid w:val="3DD84CED"/>
    <w:rsid w:val="3DD94315"/>
    <w:rsid w:val="3DE50E5C"/>
    <w:rsid w:val="3DE6141D"/>
    <w:rsid w:val="3DE81A9E"/>
    <w:rsid w:val="3E081141"/>
    <w:rsid w:val="3E0B2D07"/>
    <w:rsid w:val="3E1D2204"/>
    <w:rsid w:val="3E35213F"/>
    <w:rsid w:val="3E4C7EBE"/>
    <w:rsid w:val="3E4D1212"/>
    <w:rsid w:val="3E5172AF"/>
    <w:rsid w:val="3E741F66"/>
    <w:rsid w:val="3E8A61B5"/>
    <w:rsid w:val="3E9F580B"/>
    <w:rsid w:val="3EBF48CC"/>
    <w:rsid w:val="3EC1730A"/>
    <w:rsid w:val="3ED51928"/>
    <w:rsid w:val="3EF66B5E"/>
    <w:rsid w:val="3EFF2556"/>
    <w:rsid w:val="3F01569C"/>
    <w:rsid w:val="3F0A413D"/>
    <w:rsid w:val="3F3D74FE"/>
    <w:rsid w:val="3F4960E9"/>
    <w:rsid w:val="3F4A39C9"/>
    <w:rsid w:val="3F4F1468"/>
    <w:rsid w:val="3F66297D"/>
    <w:rsid w:val="3F7173BE"/>
    <w:rsid w:val="3F8D2311"/>
    <w:rsid w:val="3F9133A5"/>
    <w:rsid w:val="3F94774A"/>
    <w:rsid w:val="3FAD4598"/>
    <w:rsid w:val="3FC81413"/>
    <w:rsid w:val="3FC82020"/>
    <w:rsid w:val="3FCB48F8"/>
    <w:rsid w:val="3FCE63A8"/>
    <w:rsid w:val="3FD37E62"/>
    <w:rsid w:val="3FD96394"/>
    <w:rsid w:val="3FE56454"/>
    <w:rsid w:val="3FE6316D"/>
    <w:rsid w:val="3FEA3008"/>
    <w:rsid w:val="3FEC3ADA"/>
    <w:rsid w:val="3FEF631E"/>
    <w:rsid w:val="40052E8A"/>
    <w:rsid w:val="400B2897"/>
    <w:rsid w:val="400B4B91"/>
    <w:rsid w:val="401E40C9"/>
    <w:rsid w:val="401F09B1"/>
    <w:rsid w:val="402A7439"/>
    <w:rsid w:val="40356E1E"/>
    <w:rsid w:val="403C3E15"/>
    <w:rsid w:val="405264D7"/>
    <w:rsid w:val="40555A17"/>
    <w:rsid w:val="4061546E"/>
    <w:rsid w:val="40713962"/>
    <w:rsid w:val="407D067E"/>
    <w:rsid w:val="408C7F25"/>
    <w:rsid w:val="40B65727"/>
    <w:rsid w:val="40BD128F"/>
    <w:rsid w:val="40C02989"/>
    <w:rsid w:val="40DB59C9"/>
    <w:rsid w:val="40DE6232"/>
    <w:rsid w:val="40E1210B"/>
    <w:rsid w:val="40E50784"/>
    <w:rsid w:val="40F92A19"/>
    <w:rsid w:val="41110A30"/>
    <w:rsid w:val="412A6FA1"/>
    <w:rsid w:val="41584833"/>
    <w:rsid w:val="41601281"/>
    <w:rsid w:val="416623C3"/>
    <w:rsid w:val="416E1422"/>
    <w:rsid w:val="417439A8"/>
    <w:rsid w:val="418453F0"/>
    <w:rsid w:val="41AF6AC2"/>
    <w:rsid w:val="41C0254A"/>
    <w:rsid w:val="41D028AB"/>
    <w:rsid w:val="41D86E0F"/>
    <w:rsid w:val="41DD50CB"/>
    <w:rsid w:val="41E33C60"/>
    <w:rsid w:val="41EB0BB2"/>
    <w:rsid w:val="41EC6FB9"/>
    <w:rsid w:val="4213625D"/>
    <w:rsid w:val="4227392A"/>
    <w:rsid w:val="423B05CE"/>
    <w:rsid w:val="423B3A9C"/>
    <w:rsid w:val="424741EF"/>
    <w:rsid w:val="42674891"/>
    <w:rsid w:val="426D5EDD"/>
    <w:rsid w:val="42727909"/>
    <w:rsid w:val="42756623"/>
    <w:rsid w:val="42812735"/>
    <w:rsid w:val="429348F3"/>
    <w:rsid w:val="42A41E63"/>
    <w:rsid w:val="42B51B45"/>
    <w:rsid w:val="42BC4BDD"/>
    <w:rsid w:val="42CA54D9"/>
    <w:rsid w:val="42D04498"/>
    <w:rsid w:val="430D2548"/>
    <w:rsid w:val="43120CA1"/>
    <w:rsid w:val="43160C89"/>
    <w:rsid w:val="43295177"/>
    <w:rsid w:val="43366613"/>
    <w:rsid w:val="43374264"/>
    <w:rsid w:val="434C1A1C"/>
    <w:rsid w:val="434C2CB0"/>
    <w:rsid w:val="4353694B"/>
    <w:rsid w:val="436750EB"/>
    <w:rsid w:val="436967B5"/>
    <w:rsid w:val="43741014"/>
    <w:rsid w:val="437E0726"/>
    <w:rsid w:val="438346C0"/>
    <w:rsid w:val="4389156F"/>
    <w:rsid w:val="4389537A"/>
    <w:rsid w:val="439C0B3B"/>
    <w:rsid w:val="43E17A2F"/>
    <w:rsid w:val="43E67FAD"/>
    <w:rsid w:val="43EC3356"/>
    <w:rsid w:val="440C48B9"/>
    <w:rsid w:val="44142276"/>
    <w:rsid w:val="44217C45"/>
    <w:rsid w:val="4480297C"/>
    <w:rsid w:val="448E4357"/>
    <w:rsid w:val="44967242"/>
    <w:rsid w:val="44B44E42"/>
    <w:rsid w:val="44BD57CE"/>
    <w:rsid w:val="44C63F77"/>
    <w:rsid w:val="44CA07AD"/>
    <w:rsid w:val="44E62781"/>
    <w:rsid w:val="45142232"/>
    <w:rsid w:val="4522189C"/>
    <w:rsid w:val="45421756"/>
    <w:rsid w:val="454B03A2"/>
    <w:rsid w:val="454D236D"/>
    <w:rsid w:val="454D6CA8"/>
    <w:rsid w:val="455B0CEE"/>
    <w:rsid w:val="455C26A8"/>
    <w:rsid w:val="455D1625"/>
    <w:rsid w:val="456923F1"/>
    <w:rsid w:val="456B7F76"/>
    <w:rsid w:val="456C546E"/>
    <w:rsid w:val="456F084C"/>
    <w:rsid w:val="457F680C"/>
    <w:rsid w:val="45902E04"/>
    <w:rsid w:val="45B80FC3"/>
    <w:rsid w:val="45D00D8D"/>
    <w:rsid w:val="45E14C32"/>
    <w:rsid w:val="45F766FD"/>
    <w:rsid w:val="45FA1165"/>
    <w:rsid w:val="46026377"/>
    <w:rsid w:val="46087622"/>
    <w:rsid w:val="460A64BC"/>
    <w:rsid w:val="461B7E6D"/>
    <w:rsid w:val="461F4EEF"/>
    <w:rsid w:val="463765F8"/>
    <w:rsid w:val="46393522"/>
    <w:rsid w:val="463B678A"/>
    <w:rsid w:val="463D6469"/>
    <w:rsid w:val="463F0250"/>
    <w:rsid w:val="4669507E"/>
    <w:rsid w:val="46696E2A"/>
    <w:rsid w:val="46853538"/>
    <w:rsid w:val="468751FB"/>
    <w:rsid w:val="46965745"/>
    <w:rsid w:val="46A215C7"/>
    <w:rsid w:val="46A4095D"/>
    <w:rsid w:val="46A9191C"/>
    <w:rsid w:val="46B376A0"/>
    <w:rsid w:val="46D86E22"/>
    <w:rsid w:val="46DC0AEE"/>
    <w:rsid w:val="46E26C2A"/>
    <w:rsid w:val="46E55A5B"/>
    <w:rsid w:val="46E82BB0"/>
    <w:rsid w:val="46EC3146"/>
    <w:rsid w:val="46EF71AD"/>
    <w:rsid w:val="46F96400"/>
    <w:rsid w:val="47321912"/>
    <w:rsid w:val="474041AB"/>
    <w:rsid w:val="474F0760"/>
    <w:rsid w:val="475946FE"/>
    <w:rsid w:val="475D6CC9"/>
    <w:rsid w:val="478948D5"/>
    <w:rsid w:val="478A4A37"/>
    <w:rsid w:val="478B72ED"/>
    <w:rsid w:val="47B958F6"/>
    <w:rsid w:val="47B972D2"/>
    <w:rsid w:val="47BA36D4"/>
    <w:rsid w:val="47CA7D9C"/>
    <w:rsid w:val="47E56984"/>
    <w:rsid w:val="480C05A2"/>
    <w:rsid w:val="481D7EBA"/>
    <w:rsid w:val="48371F90"/>
    <w:rsid w:val="483D4A92"/>
    <w:rsid w:val="483E4459"/>
    <w:rsid w:val="483F1085"/>
    <w:rsid w:val="48401E0D"/>
    <w:rsid w:val="485367D5"/>
    <w:rsid w:val="48612D89"/>
    <w:rsid w:val="48684EBF"/>
    <w:rsid w:val="487C78E5"/>
    <w:rsid w:val="487E2D6B"/>
    <w:rsid w:val="48864964"/>
    <w:rsid w:val="48882452"/>
    <w:rsid w:val="48914416"/>
    <w:rsid w:val="48B233E8"/>
    <w:rsid w:val="48C750BB"/>
    <w:rsid w:val="49033566"/>
    <w:rsid w:val="49114A9B"/>
    <w:rsid w:val="4930444C"/>
    <w:rsid w:val="494154B8"/>
    <w:rsid w:val="494476DB"/>
    <w:rsid w:val="494855F1"/>
    <w:rsid w:val="494E6060"/>
    <w:rsid w:val="49502875"/>
    <w:rsid w:val="49632509"/>
    <w:rsid w:val="49724248"/>
    <w:rsid w:val="497B31B1"/>
    <w:rsid w:val="497F6F5F"/>
    <w:rsid w:val="498F080C"/>
    <w:rsid w:val="49B20621"/>
    <w:rsid w:val="49B57FA3"/>
    <w:rsid w:val="49D85AB8"/>
    <w:rsid w:val="49E008AE"/>
    <w:rsid w:val="49E5061F"/>
    <w:rsid w:val="49F0774E"/>
    <w:rsid w:val="49F950C7"/>
    <w:rsid w:val="49FE70BF"/>
    <w:rsid w:val="4A1B77BF"/>
    <w:rsid w:val="4A2B2BF2"/>
    <w:rsid w:val="4A2E7826"/>
    <w:rsid w:val="4A332097"/>
    <w:rsid w:val="4A3A7F10"/>
    <w:rsid w:val="4A3F6948"/>
    <w:rsid w:val="4A4736E8"/>
    <w:rsid w:val="4A5D2C5E"/>
    <w:rsid w:val="4A6A0581"/>
    <w:rsid w:val="4A797DE0"/>
    <w:rsid w:val="4A7C10DB"/>
    <w:rsid w:val="4A8F7BB8"/>
    <w:rsid w:val="4A9175A9"/>
    <w:rsid w:val="4A9406C5"/>
    <w:rsid w:val="4AAC5AF6"/>
    <w:rsid w:val="4ABB54FB"/>
    <w:rsid w:val="4AD724BD"/>
    <w:rsid w:val="4AE84953"/>
    <w:rsid w:val="4AF928AD"/>
    <w:rsid w:val="4AFB009B"/>
    <w:rsid w:val="4B0233A9"/>
    <w:rsid w:val="4B103AB1"/>
    <w:rsid w:val="4B1A6092"/>
    <w:rsid w:val="4B1B446B"/>
    <w:rsid w:val="4B2659A6"/>
    <w:rsid w:val="4B3C797D"/>
    <w:rsid w:val="4B44296B"/>
    <w:rsid w:val="4B45589C"/>
    <w:rsid w:val="4B46598C"/>
    <w:rsid w:val="4B4A71B1"/>
    <w:rsid w:val="4B4F4E31"/>
    <w:rsid w:val="4B5916F4"/>
    <w:rsid w:val="4B5F5D9B"/>
    <w:rsid w:val="4B5F6A4E"/>
    <w:rsid w:val="4B674653"/>
    <w:rsid w:val="4B6F5898"/>
    <w:rsid w:val="4BAC0E90"/>
    <w:rsid w:val="4BB1272D"/>
    <w:rsid w:val="4BBC17AA"/>
    <w:rsid w:val="4BE25754"/>
    <w:rsid w:val="4BE43A39"/>
    <w:rsid w:val="4BE551A5"/>
    <w:rsid w:val="4BF078E4"/>
    <w:rsid w:val="4BF74ED8"/>
    <w:rsid w:val="4C000E35"/>
    <w:rsid w:val="4C055D49"/>
    <w:rsid w:val="4C241A12"/>
    <w:rsid w:val="4C397310"/>
    <w:rsid w:val="4C3E1267"/>
    <w:rsid w:val="4C4C3B78"/>
    <w:rsid w:val="4C4C3DF2"/>
    <w:rsid w:val="4C5069D8"/>
    <w:rsid w:val="4C5F7C3E"/>
    <w:rsid w:val="4C60482B"/>
    <w:rsid w:val="4C620F44"/>
    <w:rsid w:val="4C641001"/>
    <w:rsid w:val="4C76043D"/>
    <w:rsid w:val="4C8D0CD4"/>
    <w:rsid w:val="4C8D24DA"/>
    <w:rsid w:val="4C9C2986"/>
    <w:rsid w:val="4CAD0BB5"/>
    <w:rsid w:val="4CBC364A"/>
    <w:rsid w:val="4CBC4585"/>
    <w:rsid w:val="4CC32C57"/>
    <w:rsid w:val="4CC63065"/>
    <w:rsid w:val="4CCC423E"/>
    <w:rsid w:val="4CD81710"/>
    <w:rsid w:val="4CF136D5"/>
    <w:rsid w:val="4D0B3FAF"/>
    <w:rsid w:val="4D1E0436"/>
    <w:rsid w:val="4D237E28"/>
    <w:rsid w:val="4D294326"/>
    <w:rsid w:val="4D571A3E"/>
    <w:rsid w:val="4D5C0B12"/>
    <w:rsid w:val="4D671BE9"/>
    <w:rsid w:val="4D74582A"/>
    <w:rsid w:val="4D855FA1"/>
    <w:rsid w:val="4D8C15C9"/>
    <w:rsid w:val="4D8F7001"/>
    <w:rsid w:val="4D901A35"/>
    <w:rsid w:val="4DAA450D"/>
    <w:rsid w:val="4DAC7A21"/>
    <w:rsid w:val="4DAD562F"/>
    <w:rsid w:val="4DB1694D"/>
    <w:rsid w:val="4DB27309"/>
    <w:rsid w:val="4DB56170"/>
    <w:rsid w:val="4DC21BFB"/>
    <w:rsid w:val="4DD0170A"/>
    <w:rsid w:val="4DD728A2"/>
    <w:rsid w:val="4DDA060D"/>
    <w:rsid w:val="4DF81DA8"/>
    <w:rsid w:val="4E0A414D"/>
    <w:rsid w:val="4E184783"/>
    <w:rsid w:val="4E1B57AA"/>
    <w:rsid w:val="4E5263F6"/>
    <w:rsid w:val="4E5B4396"/>
    <w:rsid w:val="4E5B79A0"/>
    <w:rsid w:val="4E6B51C9"/>
    <w:rsid w:val="4E704BFD"/>
    <w:rsid w:val="4E7442B2"/>
    <w:rsid w:val="4E875ED3"/>
    <w:rsid w:val="4E8D2ED0"/>
    <w:rsid w:val="4E94621E"/>
    <w:rsid w:val="4E966DCD"/>
    <w:rsid w:val="4EA70F40"/>
    <w:rsid w:val="4EAB4E31"/>
    <w:rsid w:val="4EB86F55"/>
    <w:rsid w:val="4EBC7D13"/>
    <w:rsid w:val="4EBE7738"/>
    <w:rsid w:val="4EC467CD"/>
    <w:rsid w:val="4ED62DE5"/>
    <w:rsid w:val="4EEE4370"/>
    <w:rsid w:val="4EF96F09"/>
    <w:rsid w:val="4F0476A7"/>
    <w:rsid w:val="4F17629D"/>
    <w:rsid w:val="4F192ACE"/>
    <w:rsid w:val="4F2F668F"/>
    <w:rsid w:val="4F2F6737"/>
    <w:rsid w:val="4F3147B2"/>
    <w:rsid w:val="4F366E1C"/>
    <w:rsid w:val="4F404829"/>
    <w:rsid w:val="4F470F89"/>
    <w:rsid w:val="4F615CAF"/>
    <w:rsid w:val="4F863BEA"/>
    <w:rsid w:val="4F8D1792"/>
    <w:rsid w:val="4FAE4EF6"/>
    <w:rsid w:val="4FBB7FCB"/>
    <w:rsid w:val="4FBF7ABB"/>
    <w:rsid w:val="4FC03DF0"/>
    <w:rsid w:val="4FD52F65"/>
    <w:rsid w:val="4FFF00EB"/>
    <w:rsid w:val="502F2E92"/>
    <w:rsid w:val="50486034"/>
    <w:rsid w:val="50666971"/>
    <w:rsid w:val="50676330"/>
    <w:rsid w:val="506B19F1"/>
    <w:rsid w:val="506D577D"/>
    <w:rsid w:val="50845F89"/>
    <w:rsid w:val="508E3509"/>
    <w:rsid w:val="509B22D6"/>
    <w:rsid w:val="509B4084"/>
    <w:rsid w:val="509E5922"/>
    <w:rsid w:val="50AC6FCB"/>
    <w:rsid w:val="50BD3305"/>
    <w:rsid w:val="50C25AB5"/>
    <w:rsid w:val="50C84374"/>
    <w:rsid w:val="50CC4807"/>
    <w:rsid w:val="50D01ACE"/>
    <w:rsid w:val="50E0031B"/>
    <w:rsid w:val="50E87817"/>
    <w:rsid w:val="50EF43D0"/>
    <w:rsid w:val="50F2355D"/>
    <w:rsid w:val="50F50DD2"/>
    <w:rsid w:val="50F62C15"/>
    <w:rsid w:val="50F94245"/>
    <w:rsid w:val="510064F0"/>
    <w:rsid w:val="514761E8"/>
    <w:rsid w:val="51532BB1"/>
    <w:rsid w:val="516475E2"/>
    <w:rsid w:val="51693B70"/>
    <w:rsid w:val="5177167E"/>
    <w:rsid w:val="518C1E8D"/>
    <w:rsid w:val="518D3C40"/>
    <w:rsid w:val="519D31E6"/>
    <w:rsid w:val="51A74CAA"/>
    <w:rsid w:val="51B14E01"/>
    <w:rsid w:val="51B542B4"/>
    <w:rsid w:val="52050E3F"/>
    <w:rsid w:val="52113EDF"/>
    <w:rsid w:val="521A7BC5"/>
    <w:rsid w:val="521D52BC"/>
    <w:rsid w:val="521F6F37"/>
    <w:rsid w:val="522118AA"/>
    <w:rsid w:val="522204F8"/>
    <w:rsid w:val="522D079F"/>
    <w:rsid w:val="52374871"/>
    <w:rsid w:val="523C2C3F"/>
    <w:rsid w:val="524A009B"/>
    <w:rsid w:val="525831D3"/>
    <w:rsid w:val="52647C74"/>
    <w:rsid w:val="526C5322"/>
    <w:rsid w:val="52745624"/>
    <w:rsid w:val="528E6E17"/>
    <w:rsid w:val="52A03BD4"/>
    <w:rsid w:val="52B0142D"/>
    <w:rsid w:val="52C11D9C"/>
    <w:rsid w:val="52C72F3A"/>
    <w:rsid w:val="52CC0FE3"/>
    <w:rsid w:val="52D23FA9"/>
    <w:rsid w:val="52D715BF"/>
    <w:rsid w:val="52E37F64"/>
    <w:rsid w:val="52E71802"/>
    <w:rsid w:val="52E81867"/>
    <w:rsid w:val="52E903D7"/>
    <w:rsid w:val="52F20EC6"/>
    <w:rsid w:val="52F757BE"/>
    <w:rsid w:val="52FB3500"/>
    <w:rsid w:val="53191BD8"/>
    <w:rsid w:val="531E5FC5"/>
    <w:rsid w:val="53277E51"/>
    <w:rsid w:val="532D687E"/>
    <w:rsid w:val="533A6782"/>
    <w:rsid w:val="533B5CFF"/>
    <w:rsid w:val="533B5DB4"/>
    <w:rsid w:val="534838F0"/>
    <w:rsid w:val="53724F58"/>
    <w:rsid w:val="538A10B9"/>
    <w:rsid w:val="53A148B8"/>
    <w:rsid w:val="53A40F98"/>
    <w:rsid w:val="53A875D0"/>
    <w:rsid w:val="53AC3AB6"/>
    <w:rsid w:val="53AD7FC0"/>
    <w:rsid w:val="53BB4190"/>
    <w:rsid w:val="53C101F7"/>
    <w:rsid w:val="53C1521D"/>
    <w:rsid w:val="53C57DB0"/>
    <w:rsid w:val="53C9715A"/>
    <w:rsid w:val="53CE4770"/>
    <w:rsid w:val="53DD7DD1"/>
    <w:rsid w:val="53E521CB"/>
    <w:rsid w:val="53F52FA8"/>
    <w:rsid w:val="54014BB9"/>
    <w:rsid w:val="54200E9A"/>
    <w:rsid w:val="542209EC"/>
    <w:rsid w:val="54443FB6"/>
    <w:rsid w:val="54751375"/>
    <w:rsid w:val="549E0BD0"/>
    <w:rsid w:val="549F610D"/>
    <w:rsid w:val="54A20553"/>
    <w:rsid w:val="54A858BA"/>
    <w:rsid w:val="54AA74A2"/>
    <w:rsid w:val="54B01280"/>
    <w:rsid w:val="54DF4D49"/>
    <w:rsid w:val="54E437BC"/>
    <w:rsid w:val="54E73E54"/>
    <w:rsid w:val="54F90133"/>
    <w:rsid w:val="54FB98AA"/>
    <w:rsid w:val="550565D4"/>
    <w:rsid w:val="55091700"/>
    <w:rsid w:val="55092105"/>
    <w:rsid w:val="55097BD0"/>
    <w:rsid w:val="55222FC6"/>
    <w:rsid w:val="553D3BE3"/>
    <w:rsid w:val="5540433B"/>
    <w:rsid w:val="555017FC"/>
    <w:rsid w:val="55632EF7"/>
    <w:rsid w:val="556E6DFC"/>
    <w:rsid w:val="557E7B47"/>
    <w:rsid w:val="559415FB"/>
    <w:rsid w:val="55C51BA3"/>
    <w:rsid w:val="55CD4847"/>
    <w:rsid w:val="55DD74D2"/>
    <w:rsid w:val="55E55F57"/>
    <w:rsid w:val="55EF503B"/>
    <w:rsid w:val="56002BDB"/>
    <w:rsid w:val="560C4D35"/>
    <w:rsid w:val="56116CD8"/>
    <w:rsid w:val="561C71C3"/>
    <w:rsid w:val="56235996"/>
    <w:rsid w:val="56350AD7"/>
    <w:rsid w:val="563A4B0B"/>
    <w:rsid w:val="56692C82"/>
    <w:rsid w:val="568C5B3F"/>
    <w:rsid w:val="568F536A"/>
    <w:rsid w:val="56AB35CB"/>
    <w:rsid w:val="56BC2FA6"/>
    <w:rsid w:val="56BD1B2D"/>
    <w:rsid w:val="56D6198C"/>
    <w:rsid w:val="57072E31"/>
    <w:rsid w:val="57110816"/>
    <w:rsid w:val="57193F55"/>
    <w:rsid w:val="573A2C1A"/>
    <w:rsid w:val="5759517C"/>
    <w:rsid w:val="57790318"/>
    <w:rsid w:val="57797DD4"/>
    <w:rsid w:val="577E025B"/>
    <w:rsid w:val="578B7717"/>
    <w:rsid w:val="579A137D"/>
    <w:rsid w:val="579C5947"/>
    <w:rsid w:val="579D4B86"/>
    <w:rsid w:val="579D5BF6"/>
    <w:rsid w:val="57AD0DA8"/>
    <w:rsid w:val="57B66AA5"/>
    <w:rsid w:val="57BE181A"/>
    <w:rsid w:val="57C27DE8"/>
    <w:rsid w:val="57C572BD"/>
    <w:rsid w:val="57CB083C"/>
    <w:rsid w:val="57CE2C31"/>
    <w:rsid w:val="57F95B34"/>
    <w:rsid w:val="57FA0EB8"/>
    <w:rsid w:val="57FC6725"/>
    <w:rsid w:val="58003E80"/>
    <w:rsid w:val="58060DD1"/>
    <w:rsid w:val="581D1822"/>
    <w:rsid w:val="58417C07"/>
    <w:rsid w:val="58431D92"/>
    <w:rsid w:val="584E06D4"/>
    <w:rsid w:val="586E25CC"/>
    <w:rsid w:val="58704F7A"/>
    <w:rsid w:val="58784418"/>
    <w:rsid w:val="587C783F"/>
    <w:rsid w:val="587E25FB"/>
    <w:rsid w:val="588049FA"/>
    <w:rsid w:val="589362B0"/>
    <w:rsid w:val="58992B8A"/>
    <w:rsid w:val="58B73A25"/>
    <w:rsid w:val="58BC728D"/>
    <w:rsid w:val="58C8172D"/>
    <w:rsid w:val="58E535C8"/>
    <w:rsid w:val="58EB1921"/>
    <w:rsid w:val="59065803"/>
    <w:rsid w:val="59260BAB"/>
    <w:rsid w:val="592B2AD0"/>
    <w:rsid w:val="5932703B"/>
    <w:rsid w:val="593E46F9"/>
    <w:rsid w:val="593F5E3F"/>
    <w:rsid w:val="59535DFB"/>
    <w:rsid w:val="595C5487"/>
    <w:rsid w:val="59647331"/>
    <w:rsid w:val="597058E5"/>
    <w:rsid w:val="597162CA"/>
    <w:rsid w:val="59803066"/>
    <w:rsid w:val="59822285"/>
    <w:rsid w:val="59827C32"/>
    <w:rsid w:val="59926240"/>
    <w:rsid w:val="59A82AA6"/>
    <w:rsid w:val="59B16DB8"/>
    <w:rsid w:val="59BB5797"/>
    <w:rsid w:val="59BE7B99"/>
    <w:rsid w:val="59E05194"/>
    <w:rsid w:val="59E74F81"/>
    <w:rsid w:val="59EA48D7"/>
    <w:rsid w:val="59FF33F2"/>
    <w:rsid w:val="5A0C4D66"/>
    <w:rsid w:val="5A0F6AF4"/>
    <w:rsid w:val="5A386B10"/>
    <w:rsid w:val="5A3E6D1E"/>
    <w:rsid w:val="5A3F2C28"/>
    <w:rsid w:val="5A4B5EE0"/>
    <w:rsid w:val="5A4F5DF4"/>
    <w:rsid w:val="5A523D07"/>
    <w:rsid w:val="5A592BA9"/>
    <w:rsid w:val="5A6359E4"/>
    <w:rsid w:val="5A642F5C"/>
    <w:rsid w:val="5A7A2444"/>
    <w:rsid w:val="5A896991"/>
    <w:rsid w:val="5A910CA3"/>
    <w:rsid w:val="5A912EB8"/>
    <w:rsid w:val="5A9B1936"/>
    <w:rsid w:val="5AA24261"/>
    <w:rsid w:val="5AC46304"/>
    <w:rsid w:val="5AC6215B"/>
    <w:rsid w:val="5AD42B6E"/>
    <w:rsid w:val="5AE10278"/>
    <w:rsid w:val="5AEB7F84"/>
    <w:rsid w:val="5AF224A0"/>
    <w:rsid w:val="5AF40731"/>
    <w:rsid w:val="5AFE53F8"/>
    <w:rsid w:val="5B0433CC"/>
    <w:rsid w:val="5B0616E9"/>
    <w:rsid w:val="5B091DD5"/>
    <w:rsid w:val="5B3F428A"/>
    <w:rsid w:val="5B412114"/>
    <w:rsid w:val="5B474F0D"/>
    <w:rsid w:val="5B48305A"/>
    <w:rsid w:val="5B4C3133"/>
    <w:rsid w:val="5B597F88"/>
    <w:rsid w:val="5B7139D5"/>
    <w:rsid w:val="5B7D4980"/>
    <w:rsid w:val="5B7F6C9F"/>
    <w:rsid w:val="5B851D19"/>
    <w:rsid w:val="5B866DF5"/>
    <w:rsid w:val="5B8805BB"/>
    <w:rsid w:val="5B881F55"/>
    <w:rsid w:val="5B8B6CF3"/>
    <w:rsid w:val="5B905B36"/>
    <w:rsid w:val="5B914A01"/>
    <w:rsid w:val="5B955B74"/>
    <w:rsid w:val="5BAA52BD"/>
    <w:rsid w:val="5BC40CB4"/>
    <w:rsid w:val="5BC55BC6"/>
    <w:rsid w:val="5BE63FFE"/>
    <w:rsid w:val="5BE96A18"/>
    <w:rsid w:val="5BF11EDD"/>
    <w:rsid w:val="5BF633D9"/>
    <w:rsid w:val="5BFB00CD"/>
    <w:rsid w:val="5BFC1155"/>
    <w:rsid w:val="5C350FD5"/>
    <w:rsid w:val="5C367357"/>
    <w:rsid w:val="5C522DCE"/>
    <w:rsid w:val="5C5B0DAF"/>
    <w:rsid w:val="5C5F4BFB"/>
    <w:rsid w:val="5C784A58"/>
    <w:rsid w:val="5C945A6C"/>
    <w:rsid w:val="5C9F171A"/>
    <w:rsid w:val="5CA442C0"/>
    <w:rsid w:val="5CC12B91"/>
    <w:rsid w:val="5CC93D27"/>
    <w:rsid w:val="5CED3EB9"/>
    <w:rsid w:val="5CEE106A"/>
    <w:rsid w:val="5CFB72FE"/>
    <w:rsid w:val="5CFC4888"/>
    <w:rsid w:val="5D0222DA"/>
    <w:rsid w:val="5D0B6561"/>
    <w:rsid w:val="5D104BF5"/>
    <w:rsid w:val="5D143AF7"/>
    <w:rsid w:val="5D2101E6"/>
    <w:rsid w:val="5D267A89"/>
    <w:rsid w:val="5D283143"/>
    <w:rsid w:val="5D37597B"/>
    <w:rsid w:val="5D4E771A"/>
    <w:rsid w:val="5D6879E4"/>
    <w:rsid w:val="5D813824"/>
    <w:rsid w:val="5D9229BB"/>
    <w:rsid w:val="5D975EDA"/>
    <w:rsid w:val="5DA76A2C"/>
    <w:rsid w:val="5DB32E6B"/>
    <w:rsid w:val="5DBA5671"/>
    <w:rsid w:val="5DD239A3"/>
    <w:rsid w:val="5DD632F9"/>
    <w:rsid w:val="5DDC09DE"/>
    <w:rsid w:val="5DE4719D"/>
    <w:rsid w:val="5DEE5B2C"/>
    <w:rsid w:val="5DF42D35"/>
    <w:rsid w:val="5E093367"/>
    <w:rsid w:val="5E48511F"/>
    <w:rsid w:val="5E560737"/>
    <w:rsid w:val="5E73F7A5"/>
    <w:rsid w:val="5E7660DE"/>
    <w:rsid w:val="5E8124EC"/>
    <w:rsid w:val="5E9068CC"/>
    <w:rsid w:val="5E914D18"/>
    <w:rsid w:val="5EA00D22"/>
    <w:rsid w:val="5EB32911"/>
    <w:rsid w:val="5EC24E86"/>
    <w:rsid w:val="5EC8301F"/>
    <w:rsid w:val="5ED05CA5"/>
    <w:rsid w:val="5ED44F11"/>
    <w:rsid w:val="5EFD20D9"/>
    <w:rsid w:val="5F162B4D"/>
    <w:rsid w:val="5F1B447B"/>
    <w:rsid w:val="5F360CEB"/>
    <w:rsid w:val="5F37766E"/>
    <w:rsid w:val="5F3F088E"/>
    <w:rsid w:val="5F3F1B15"/>
    <w:rsid w:val="5F4B78C2"/>
    <w:rsid w:val="5F4D601E"/>
    <w:rsid w:val="5F83217D"/>
    <w:rsid w:val="5F8C3692"/>
    <w:rsid w:val="5FA86034"/>
    <w:rsid w:val="5FA92345"/>
    <w:rsid w:val="5FB62AD5"/>
    <w:rsid w:val="5FCF1B53"/>
    <w:rsid w:val="5FDB1F59"/>
    <w:rsid w:val="5FE2705A"/>
    <w:rsid w:val="5FE32FAD"/>
    <w:rsid w:val="5FE7474D"/>
    <w:rsid w:val="5FF13208"/>
    <w:rsid w:val="600517B8"/>
    <w:rsid w:val="601654D5"/>
    <w:rsid w:val="6017124D"/>
    <w:rsid w:val="602F370C"/>
    <w:rsid w:val="60307B97"/>
    <w:rsid w:val="60335542"/>
    <w:rsid w:val="6037151A"/>
    <w:rsid w:val="6039362C"/>
    <w:rsid w:val="605D71EA"/>
    <w:rsid w:val="606A692E"/>
    <w:rsid w:val="607064ED"/>
    <w:rsid w:val="607B18C7"/>
    <w:rsid w:val="60822B6A"/>
    <w:rsid w:val="60967B30"/>
    <w:rsid w:val="609D66A2"/>
    <w:rsid w:val="609F12DD"/>
    <w:rsid w:val="60A56859"/>
    <w:rsid w:val="60C90836"/>
    <w:rsid w:val="60DC274E"/>
    <w:rsid w:val="60DF668A"/>
    <w:rsid w:val="60E91A96"/>
    <w:rsid w:val="60E92BEA"/>
    <w:rsid w:val="60F11A9E"/>
    <w:rsid w:val="60F340FE"/>
    <w:rsid w:val="61007F33"/>
    <w:rsid w:val="611F65B2"/>
    <w:rsid w:val="61314EE2"/>
    <w:rsid w:val="61410F1F"/>
    <w:rsid w:val="614C39CF"/>
    <w:rsid w:val="61880654"/>
    <w:rsid w:val="61AD2C98"/>
    <w:rsid w:val="61BC0D44"/>
    <w:rsid w:val="61C714BE"/>
    <w:rsid w:val="61CA1810"/>
    <w:rsid w:val="61D77208"/>
    <w:rsid w:val="61E831B7"/>
    <w:rsid w:val="61FA6CA6"/>
    <w:rsid w:val="61FC694D"/>
    <w:rsid w:val="62051CA5"/>
    <w:rsid w:val="62117288"/>
    <w:rsid w:val="62142BFC"/>
    <w:rsid w:val="622A306B"/>
    <w:rsid w:val="623546B9"/>
    <w:rsid w:val="623923BC"/>
    <w:rsid w:val="62414D0F"/>
    <w:rsid w:val="624D147F"/>
    <w:rsid w:val="624E7450"/>
    <w:rsid w:val="62682234"/>
    <w:rsid w:val="626B613C"/>
    <w:rsid w:val="626B6422"/>
    <w:rsid w:val="62790F28"/>
    <w:rsid w:val="62820D6E"/>
    <w:rsid w:val="62A1296B"/>
    <w:rsid w:val="62AA63A9"/>
    <w:rsid w:val="62AD3B37"/>
    <w:rsid w:val="62B347D0"/>
    <w:rsid w:val="62C92CD3"/>
    <w:rsid w:val="62D91E87"/>
    <w:rsid w:val="630316C4"/>
    <w:rsid w:val="63082485"/>
    <w:rsid w:val="630F722C"/>
    <w:rsid w:val="63153B1C"/>
    <w:rsid w:val="63171C8B"/>
    <w:rsid w:val="63227EBB"/>
    <w:rsid w:val="634213C0"/>
    <w:rsid w:val="63530E60"/>
    <w:rsid w:val="63577E05"/>
    <w:rsid w:val="63625966"/>
    <w:rsid w:val="637B1191"/>
    <w:rsid w:val="638176B1"/>
    <w:rsid w:val="638D6663"/>
    <w:rsid w:val="63910BF9"/>
    <w:rsid w:val="639745DF"/>
    <w:rsid w:val="63A34C29"/>
    <w:rsid w:val="63A80AFE"/>
    <w:rsid w:val="63B05C41"/>
    <w:rsid w:val="63B70D7D"/>
    <w:rsid w:val="63CF22E5"/>
    <w:rsid w:val="63DB4CA7"/>
    <w:rsid w:val="63ED330F"/>
    <w:rsid w:val="63F325EE"/>
    <w:rsid w:val="63FA081C"/>
    <w:rsid w:val="63FD1D71"/>
    <w:rsid w:val="63FE5A09"/>
    <w:rsid w:val="64163FAF"/>
    <w:rsid w:val="64211126"/>
    <w:rsid w:val="64497E7C"/>
    <w:rsid w:val="64511EB6"/>
    <w:rsid w:val="64744EC0"/>
    <w:rsid w:val="64856EF3"/>
    <w:rsid w:val="648A317D"/>
    <w:rsid w:val="6497246F"/>
    <w:rsid w:val="6499071E"/>
    <w:rsid w:val="64AC46B3"/>
    <w:rsid w:val="64AC6408"/>
    <w:rsid w:val="64B230C0"/>
    <w:rsid w:val="64C71494"/>
    <w:rsid w:val="64E71F99"/>
    <w:rsid w:val="65270184"/>
    <w:rsid w:val="654A0D80"/>
    <w:rsid w:val="654B02D7"/>
    <w:rsid w:val="654E33A1"/>
    <w:rsid w:val="654F3237"/>
    <w:rsid w:val="65561F79"/>
    <w:rsid w:val="655820EC"/>
    <w:rsid w:val="655A5A5F"/>
    <w:rsid w:val="658B172F"/>
    <w:rsid w:val="658C4B05"/>
    <w:rsid w:val="659A591B"/>
    <w:rsid w:val="659D48E7"/>
    <w:rsid w:val="65B45DAE"/>
    <w:rsid w:val="65BC28CE"/>
    <w:rsid w:val="65CC225B"/>
    <w:rsid w:val="65CC7CE0"/>
    <w:rsid w:val="65D81B82"/>
    <w:rsid w:val="65E67A61"/>
    <w:rsid w:val="65EC4305"/>
    <w:rsid w:val="65F454AD"/>
    <w:rsid w:val="66036690"/>
    <w:rsid w:val="66054139"/>
    <w:rsid w:val="660622C7"/>
    <w:rsid w:val="6611731E"/>
    <w:rsid w:val="661D6075"/>
    <w:rsid w:val="664A237C"/>
    <w:rsid w:val="664E0694"/>
    <w:rsid w:val="665809C5"/>
    <w:rsid w:val="665A2CA8"/>
    <w:rsid w:val="666212FC"/>
    <w:rsid w:val="66706783"/>
    <w:rsid w:val="667711DF"/>
    <w:rsid w:val="66822A40"/>
    <w:rsid w:val="66913A28"/>
    <w:rsid w:val="66970CC4"/>
    <w:rsid w:val="66A82EFB"/>
    <w:rsid w:val="66BE19D7"/>
    <w:rsid w:val="66C31A4D"/>
    <w:rsid w:val="66C95231"/>
    <w:rsid w:val="66CB1379"/>
    <w:rsid w:val="66E46287"/>
    <w:rsid w:val="66EF1D5B"/>
    <w:rsid w:val="66F63325"/>
    <w:rsid w:val="66FE5842"/>
    <w:rsid w:val="67065764"/>
    <w:rsid w:val="670921B5"/>
    <w:rsid w:val="6718068C"/>
    <w:rsid w:val="6718713B"/>
    <w:rsid w:val="672F4265"/>
    <w:rsid w:val="673053B3"/>
    <w:rsid w:val="673F669D"/>
    <w:rsid w:val="674A16B3"/>
    <w:rsid w:val="675B64E2"/>
    <w:rsid w:val="67674868"/>
    <w:rsid w:val="676A54C3"/>
    <w:rsid w:val="67747877"/>
    <w:rsid w:val="677F1626"/>
    <w:rsid w:val="678B0C62"/>
    <w:rsid w:val="67A119A2"/>
    <w:rsid w:val="67C54DF9"/>
    <w:rsid w:val="67CD5013"/>
    <w:rsid w:val="67D77C50"/>
    <w:rsid w:val="67F01D2C"/>
    <w:rsid w:val="68002460"/>
    <w:rsid w:val="68070700"/>
    <w:rsid w:val="68086CA3"/>
    <w:rsid w:val="68107267"/>
    <w:rsid w:val="681A5D7E"/>
    <w:rsid w:val="683B38A7"/>
    <w:rsid w:val="685928C0"/>
    <w:rsid w:val="68723855"/>
    <w:rsid w:val="6877157C"/>
    <w:rsid w:val="687E00BB"/>
    <w:rsid w:val="68856966"/>
    <w:rsid w:val="688A7E75"/>
    <w:rsid w:val="68A63232"/>
    <w:rsid w:val="68AA18CC"/>
    <w:rsid w:val="68DA0D5D"/>
    <w:rsid w:val="68DB1820"/>
    <w:rsid w:val="68E95438"/>
    <w:rsid w:val="68F30F16"/>
    <w:rsid w:val="690E33DE"/>
    <w:rsid w:val="690F51B7"/>
    <w:rsid w:val="693356C7"/>
    <w:rsid w:val="694119DB"/>
    <w:rsid w:val="69416753"/>
    <w:rsid w:val="694C1301"/>
    <w:rsid w:val="69561038"/>
    <w:rsid w:val="695738C4"/>
    <w:rsid w:val="696D3982"/>
    <w:rsid w:val="69826A6C"/>
    <w:rsid w:val="698C2CAC"/>
    <w:rsid w:val="69961F5D"/>
    <w:rsid w:val="69D12417"/>
    <w:rsid w:val="69E623BC"/>
    <w:rsid w:val="6A055C28"/>
    <w:rsid w:val="6A080703"/>
    <w:rsid w:val="6A0A7FC8"/>
    <w:rsid w:val="6A2964FD"/>
    <w:rsid w:val="6A361C7B"/>
    <w:rsid w:val="6A451256"/>
    <w:rsid w:val="6A473150"/>
    <w:rsid w:val="6A4D05A2"/>
    <w:rsid w:val="6A5117C2"/>
    <w:rsid w:val="6A553FC5"/>
    <w:rsid w:val="6A5E3266"/>
    <w:rsid w:val="6A834E53"/>
    <w:rsid w:val="6A863B0B"/>
    <w:rsid w:val="6A9564F9"/>
    <w:rsid w:val="6A9A168C"/>
    <w:rsid w:val="6A9F6592"/>
    <w:rsid w:val="6AA3576D"/>
    <w:rsid w:val="6AB97AD1"/>
    <w:rsid w:val="6ACB7804"/>
    <w:rsid w:val="6AD00976"/>
    <w:rsid w:val="6AD308C7"/>
    <w:rsid w:val="6AD82E6F"/>
    <w:rsid w:val="6ADF3EB2"/>
    <w:rsid w:val="6AF12591"/>
    <w:rsid w:val="6AF56559"/>
    <w:rsid w:val="6AFA571E"/>
    <w:rsid w:val="6B005FB8"/>
    <w:rsid w:val="6B090FB7"/>
    <w:rsid w:val="6B371C3A"/>
    <w:rsid w:val="6B4636FB"/>
    <w:rsid w:val="6B6E3D77"/>
    <w:rsid w:val="6B807326"/>
    <w:rsid w:val="6B851761"/>
    <w:rsid w:val="6B8C6F93"/>
    <w:rsid w:val="6BA3084E"/>
    <w:rsid w:val="6BA808D2"/>
    <w:rsid w:val="6BAA45A0"/>
    <w:rsid w:val="6BAB427C"/>
    <w:rsid w:val="6BB1219D"/>
    <w:rsid w:val="6BB43DF4"/>
    <w:rsid w:val="6BB575F8"/>
    <w:rsid w:val="6BBC20B0"/>
    <w:rsid w:val="6BCC6904"/>
    <w:rsid w:val="6BED1093"/>
    <w:rsid w:val="6BF16C8C"/>
    <w:rsid w:val="6C022DB1"/>
    <w:rsid w:val="6C0E5DC1"/>
    <w:rsid w:val="6C0E5FED"/>
    <w:rsid w:val="6C1A614F"/>
    <w:rsid w:val="6C450EF0"/>
    <w:rsid w:val="6C455DCB"/>
    <w:rsid w:val="6C4F2301"/>
    <w:rsid w:val="6C5333BE"/>
    <w:rsid w:val="6C67736E"/>
    <w:rsid w:val="6C6971A2"/>
    <w:rsid w:val="6C6D02CE"/>
    <w:rsid w:val="6C6E6D06"/>
    <w:rsid w:val="6C7D736D"/>
    <w:rsid w:val="6C804522"/>
    <w:rsid w:val="6C85301C"/>
    <w:rsid w:val="6C995A3B"/>
    <w:rsid w:val="6C9A63F6"/>
    <w:rsid w:val="6CBF0CA2"/>
    <w:rsid w:val="6CC462B9"/>
    <w:rsid w:val="6CD31351"/>
    <w:rsid w:val="6CD3411D"/>
    <w:rsid w:val="6CE60005"/>
    <w:rsid w:val="6CF92406"/>
    <w:rsid w:val="6CFB6FED"/>
    <w:rsid w:val="6D013CB3"/>
    <w:rsid w:val="6D025CB0"/>
    <w:rsid w:val="6D080BB1"/>
    <w:rsid w:val="6D216E90"/>
    <w:rsid w:val="6D231231"/>
    <w:rsid w:val="6D396078"/>
    <w:rsid w:val="6D4E2EE1"/>
    <w:rsid w:val="6D5257FB"/>
    <w:rsid w:val="6D591C02"/>
    <w:rsid w:val="6D682B9B"/>
    <w:rsid w:val="6D791DBA"/>
    <w:rsid w:val="6D942EDA"/>
    <w:rsid w:val="6DA65EA9"/>
    <w:rsid w:val="6DBB0B17"/>
    <w:rsid w:val="6DBD6D00"/>
    <w:rsid w:val="6DC01176"/>
    <w:rsid w:val="6E2C731A"/>
    <w:rsid w:val="6E4B087C"/>
    <w:rsid w:val="6E5C31EF"/>
    <w:rsid w:val="6E7F693B"/>
    <w:rsid w:val="6E842195"/>
    <w:rsid w:val="6E971ED7"/>
    <w:rsid w:val="6E97259B"/>
    <w:rsid w:val="6EA65EF8"/>
    <w:rsid w:val="6EA93C52"/>
    <w:rsid w:val="6EAC2314"/>
    <w:rsid w:val="6EB8423B"/>
    <w:rsid w:val="6EBB60D6"/>
    <w:rsid w:val="6ECF632A"/>
    <w:rsid w:val="6EDF6F83"/>
    <w:rsid w:val="6EE86B5B"/>
    <w:rsid w:val="6F074376"/>
    <w:rsid w:val="6F076D07"/>
    <w:rsid w:val="6F220FB8"/>
    <w:rsid w:val="6F2313C5"/>
    <w:rsid w:val="6F2F6F9B"/>
    <w:rsid w:val="6F3028FE"/>
    <w:rsid w:val="6F573414"/>
    <w:rsid w:val="6F6B5A10"/>
    <w:rsid w:val="6F8A08A9"/>
    <w:rsid w:val="6F91206F"/>
    <w:rsid w:val="6F94431B"/>
    <w:rsid w:val="6F9F41DF"/>
    <w:rsid w:val="6FAA5C3A"/>
    <w:rsid w:val="6FBA04CD"/>
    <w:rsid w:val="6FC135EB"/>
    <w:rsid w:val="6FE439BD"/>
    <w:rsid w:val="6FED0DB7"/>
    <w:rsid w:val="6FFB57A1"/>
    <w:rsid w:val="701C1948"/>
    <w:rsid w:val="701D6332"/>
    <w:rsid w:val="70291255"/>
    <w:rsid w:val="702A2FA1"/>
    <w:rsid w:val="702C48A1"/>
    <w:rsid w:val="702E74B0"/>
    <w:rsid w:val="70310F71"/>
    <w:rsid w:val="7041470C"/>
    <w:rsid w:val="7057688E"/>
    <w:rsid w:val="706278A9"/>
    <w:rsid w:val="70943980"/>
    <w:rsid w:val="70A73471"/>
    <w:rsid w:val="70AB4D71"/>
    <w:rsid w:val="70B13ABA"/>
    <w:rsid w:val="70BF02F3"/>
    <w:rsid w:val="70D80092"/>
    <w:rsid w:val="70E64988"/>
    <w:rsid w:val="70E86A80"/>
    <w:rsid w:val="70F7113B"/>
    <w:rsid w:val="70FF6719"/>
    <w:rsid w:val="710E146F"/>
    <w:rsid w:val="711F4406"/>
    <w:rsid w:val="71324878"/>
    <w:rsid w:val="713559D7"/>
    <w:rsid w:val="71566079"/>
    <w:rsid w:val="715B1936"/>
    <w:rsid w:val="71613C92"/>
    <w:rsid w:val="717A1F81"/>
    <w:rsid w:val="71855061"/>
    <w:rsid w:val="7186536E"/>
    <w:rsid w:val="7191716F"/>
    <w:rsid w:val="71B21F4E"/>
    <w:rsid w:val="71BA412D"/>
    <w:rsid w:val="71BC579A"/>
    <w:rsid w:val="71BF7688"/>
    <w:rsid w:val="71F15DA2"/>
    <w:rsid w:val="71F17F19"/>
    <w:rsid w:val="721177EE"/>
    <w:rsid w:val="72125628"/>
    <w:rsid w:val="721750DD"/>
    <w:rsid w:val="722717C4"/>
    <w:rsid w:val="722D2EC2"/>
    <w:rsid w:val="723148BC"/>
    <w:rsid w:val="72462A97"/>
    <w:rsid w:val="72475BB5"/>
    <w:rsid w:val="724B4950"/>
    <w:rsid w:val="72640B23"/>
    <w:rsid w:val="728269FA"/>
    <w:rsid w:val="728E1843"/>
    <w:rsid w:val="72923F2B"/>
    <w:rsid w:val="72934ED7"/>
    <w:rsid w:val="729A5852"/>
    <w:rsid w:val="72AE11E9"/>
    <w:rsid w:val="72B8558C"/>
    <w:rsid w:val="72DD1E82"/>
    <w:rsid w:val="72FB055A"/>
    <w:rsid w:val="73013BEA"/>
    <w:rsid w:val="73176809"/>
    <w:rsid w:val="731C089E"/>
    <w:rsid w:val="73232192"/>
    <w:rsid w:val="732857F3"/>
    <w:rsid w:val="732B384E"/>
    <w:rsid w:val="73300B88"/>
    <w:rsid w:val="73384967"/>
    <w:rsid w:val="73392B64"/>
    <w:rsid w:val="73444790"/>
    <w:rsid w:val="734D7496"/>
    <w:rsid w:val="73565788"/>
    <w:rsid w:val="735B2A8A"/>
    <w:rsid w:val="7365049F"/>
    <w:rsid w:val="7369250B"/>
    <w:rsid w:val="73895030"/>
    <w:rsid w:val="73956B34"/>
    <w:rsid w:val="73B07597"/>
    <w:rsid w:val="73B13A3B"/>
    <w:rsid w:val="73B70925"/>
    <w:rsid w:val="73BB1D90"/>
    <w:rsid w:val="73BF3551"/>
    <w:rsid w:val="73CB706E"/>
    <w:rsid w:val="73EF57E6"/>
    <w:rsid w:val="73F016F1"/>
    <w:rsid w:val="74046DE2"/>
    <w:rsid w:val="74055E02"/>
    <w:rsid w:val="740A2AC2"/>
    <w:rsid w:val="74133BF5"/>
    <w:rsid w:val="74145D78"/>
    <w:rsid w:val="742055DA"/>
    <w:rsid w:val="742F470C"/>
    <w:rsid w:val="74383078"/>
    <w:rsid w:val="74413A41"/>
    <w:rsid w:val="74504D2B"/>
    <w:rsid w:val="7469620A"/>
    <w:rsid w:val="74CA6488"/>
    <w:rsid w:val="74D66820"/>
    <w:rsid w:val="74EB6AD9"/>
    <w:rsid w:val="74EC4B78"/>
    <w:rsid w:val="74EE6EA4"/>
    <w:rsid w:val="74F87786"/>
    <w:rsid w:val="75090C2D"/>
    <w:rsid w:val="750935A0"/>
    <w:rsid w:val="750D545C"/>
    <w:rsid w:val="752145E9"/>
    <w:rsid w:val="7524023C"/>
    <w:rsid w:val="752913AF"/>
    <w:rsid w:val="752C00EB"/>
    <w:rsid w:val="752D5D4E"/>
    <w:rsid w:val="75303DDB"/>
    <w:rsid w:val="753D03C7"/>
    <w:rsid w:val="7546251E"/>
    <w:rsid w:val="754E793E"/>
    <w:rsid w:val="7551759B"/>
    <w:rsid w:val="755438BA"/>
    <w:rsid w:val="755B5238"/>
    <w:rsid w:val="757E794D"/>
    <w:rsid w:val="758E56B6"/>
    <w:rsid w:val="759D2157"/>
    <w:rsid w:val="75AB317B"/>
    <w:rsid w:val="75B10574"/>
    <w:rsid w:val="75B31425"/>
    <w:rsid w:val="75BA46FD"/>
    <w:rsid w:val="75C31803"/>
    <w:rsid w:val="75D07B49"/>
    <w:rsid w:val="75EF61EA"/>
    <w:rsid w:val="75F47FF3"/>
    <w:rsid w:val="75F53987"/>
    <w:rsid w:val="760017AF"/>
    <w:rsid w:val="761741DA"/>
    <w:rsid w:val="7618597E"/>
    <w:rsid w:val="762B2FA7"/>
    <w:rsid w:val="76326989"/>
    <w:rsid w:val="76497BA6"/>
    <w:rsid w:val="764A2A7D"/>
    <w:rsid w:val="7651212C"/>
    <w:rsid w:val="76684D88"/>
    <w:rsid w:val="766B0C8A"/>
    <w:rsid w:val="766C364C"/>
    <w:rsid w:val="767C7299"/>
    <w:rsid w:val="76857E75"/>
    <w:rsid w:val="76A25837"/>
    <w:rsid w:val="76D75768"/>
    <w:rsid w:val="76DB0DCF"/>
    <w:rsid w:val="76E06296"/>
    <w:rsid w:val="76E47860"/>
    <w:rsid w:val="76E73EEE"/>
    <w:rsid w:val="76F679B7"/>
    <w:rsid w:val="77066222"/>
    <w:rsid w:val="770D0F9F"/>
    <w:rsid w:val="771B09EA"/>
    <w:rsid w:val="77271D15"/>
    <w:rsid w:val="7731213D"/>
    <w:rsid w:val="773705AC"/>
    <w:rsid w:val="773F310C"/>
    <w:rsid w:val="77641533"/>
    <w:rsid w:val="776F3D9C"/>
    <w:rsid w:val="77A85155"/>
    <w:rsid w:val="77AA022F"/>
    <w:rsid w:val="77BD5F45"/>
    <w:rsid w:val="77BF3E1F"/>
    <w:rsid w:val="77CE0C1D"/>
    <w:rsid w:val="77EF3E77"/>
    <w:rsid w:val="77F47D52"/>
    <w:rsid w:val="77FC56CD"/>
    <w:rsid w:val="77FC60DA"/>
    <w:rsid w:val="78105AF2"/>
    <w:rsid w:val="78344323"/>
    <w:rsid w:val="784825B0"/>
    <w:rsid w:val="785921DD"/>
    <w:rsid w:val="786B7476"/>
    <w:rsid w:val="7880578A"/>
    <w:rsid w:val="788743E0"/>
    <w:rsid w:val="78B00E10"/>
    <w:rsid w:val="78B54AD0"/>
    <w:rsid w:val="78B90C9C"/>
    <w:rsid w:val="78C275C5"/>
    <w:rsid w:val="78C94CF6"/>
    <w:rsid w:val="78CF2E95"/>
    <w:rsid w:val="78DB3C46"/>
    <w:rsid w:val="78DF701F"/>
    <w:rsid w:val="790B5738"/>
    <w:rsid w:val="792A3948"/>
    <w:rsid w:val="792A5884"/>
    <w:rsid w:val="792F6D75"/>
    <w:rsid w:val="7934704A"/>
    <w:rsid w:val="796706F8"/>
    <w:rsid w:val="797B41A3"/>
    <w:rsid w:val="79952965"/>
    <w:rsid w:val="799C07BA"/>
    <w:rsid w:val="799F7C0F"/>
    <w:rsid w:val="79A16530"/>
    <w:rsid w:val="79A95449"/>
    <w:rsid w:val="79D078B1"/>
    <w:rsid w:val="79D130A3"/>
    <w:rsid w:val="79D5105E"/>
    <w:rsid w:val="79D71CA5"/>
    <w:rsid w:val="79DD24ED"/>
    <w:rsid w:val="79E81839"/>
    <w:rsid w:val="7A0C0C37"/>
    <w:rsid w:val="7A225CE9"/>
    <w:rsid w:val="7A3A4EE5"/>
    <w:rsid w:val="7A501AF2"/>
    <w:rsid w:val="7A637111"/>
    <w:rsid w:val="7A7632E8"/>
    <w:rsid w:val="7A7845A4"/>
    <w:rsid w:val="7A88039D"/>
    <w:rsid w:val="7A9D0144"/>
    <w:rsid w:val="7AA479EA"/>
    <w:rsid w:val="7AA62AA9"/>
    <w:rsid w:val="7AB875DB"/>
    <w:rsid w:val="7AD5460D"/>
    <w:rsid w:val="7ADA74EA"/>
    <w:rsid w:val="7AF3323C"/>
    <w:rsid w:val="7AF60280"/>
    <w:rsid w:val="7AF95952"/>
    <w:rsid w:val="7B180A18"/>
    <w:rsid w:val="7B2514E3"/>
    <w:rsid w:val="7B2D37A3"/>
    <w:rsid w:val="7B310E1B"/>
    <w:rsid w:val="7B4F3FD2"/>
    <w:rsid w:val="7B540B90"/>
    <w:rsid w:val="7B5A1010"/>
    <w:rsid w:val="7B6C6499"/>
    <w:rsid w:val="7B752410"/>
    <w:rsid w:val="7B7A118C"/>
    <w:rsid w:val="7B875922"/>
    <w:rsid w:val="7BA162CB"/>
    <w:rsid w:val="7BA97688"/>
    <w:rsid w:val="7BAB6FC2"/>
    <w:rsid w:val="7BAC3E03"/>
    <w:rsid w:val="7BCB755D"/>
    <w:rsid w:val="7BE22DE1"/>
    <w:rsid w:val="7BE8554A"/>
    <w:rsid w:val="7BE9141F"/>
    <w:rsid w:val="7BE96E0F"/>
    <w:rsid w:val="7BFD31A9"/>
    <w:rsid w:val="7BFD5426"/>
    <w:rsid w:val="7C1E391E"/>
    <w:rsid w:val="7C231E8A"/>
    <w:rsid w:val="7C2C5A5F"/>
    <w:rsid w:val="7C2D571B"/>
    <w:rsid w:val="7C3F770A"/>
    <w:rsid w:val="7C440227"/>
    <w:rsid w:val="7C48507C"/>
    <w:rsid w:val="7C572CA5"/>
    <w:rsid w:val="7C5E12F0"/>
    <w:rsid w:val="7C72188D"/>
    <w:rsid w:val="7C72445E"/>
    <w:rsid w:val="7C724545"/>
    <w:rsid w:val="7C7525B4"/>
    <w:rsid w:val="7C8879B9"/>
    <w:rsid w:val="7C9818C7"/>
    <w:rsid w:val="7CAD0B17"/>
    <w:rsid w:val="7CAD2498"/>
    <w:rsid w:val="7CB24FCC"/>
    <w:rsid w:val="7CBA6FF5"/>
    <w:rsid w:val="7CC263A9"/>
    <w:rsid w:val="7CC9732F"/>
    <w:rsid w:val="7CE26F00"/>
    <w:rsid w:val="7CEC27E3"/>
    <w:rsid w:val="7CF95D05"/>
    <w:rsid w:val="7D2F4728"/>
    <w:rsid w:val="7D381224"/>
    <w:rsid w:val="7D394037"/>
    <w:rsid w:val="7D3F5BEE"/>
    <w:rsid w:val="7D4525A4"/>
    <w:rsid w:val="7D5B0573"/>
    <w:rsid w:val="7D5C2B03"/>
    <w:rsid w:val="7D626D80"/>
    <w:rsid w:val="7D6D50D3"/>
    <w:rsid w:val="7D7C0535"/>
    <w:rsid w:val="7D8A24EA"/>
    <w:rsid w:val="7D905E56"/>
    <w:rsid w:val="7D95520F"/>
    <w:rsid w:val="7D994393"/>
    <w:rsid w:val="7DB45F90"/>
    <w:rsid w:val="7DBF2109"/>
    <w:rsid w:val="7DD76A4F"/>
    <w:rsid w:val="7DEF7E01"/>
    <w:rsid w:val="7DF2712A"/>
    <w:rsid w:val="7E0F479F"/>
    <w:rsid w:val="7E2320F3"/>
    <w:rsid w:val="7E251320"/>
    <w:rsid w:val="7E2E7CDF"/>
    <w:rsid w:val="7E3D530C"/>
    <w:rsid w:val="7E4703CF"/>
    <w:rsid w:val="7E4B676C"/>
    <w:rsid w:val="7E4E7747"/>
    <w:rsid w:val="7E5A1EB9"/>
    <w:rsid w:val="7E5E6743"/>
    <w:rsid w:val="7E625AC2"/>
    <w:rsid w:val="7E670E3F"/>
    <w:rsid w:val="7E6A74FC"/>
    <w:rsid w:val="7E6D4EDB"/>
    <w:rsid w:val="7E717883"/>
    <w:rsid w:val="7E7E6C0F"/>
    <w:rsid w:val="7E87554A"/>
    <w:rsid w:val="7E896B5E"/>
    <w:rsid w:val="7E9C72AC"/>
    <w:rsid w:val="7EA613C1"/>
    <w:rsid w:val="7EAD22B1"/>
    <w:rsid w:val="7EC32874"/>
    <w:rsid w:val="7EC5669F"/>
    <w:rsid w:val="7ED50A09"/>
    <w:rsid w:val="7EE76397"/>
    <w:rsid w:val="7F2463C8"/>
    <w:rsid w:val="7F363046"/>
    <w:rsid w:val="7F4330D2"/>
    <w:rsid w:val="7F5026E5"/>
    <w:rsid w:val="7F5D6589"/>
    <w:rsid w:val="7F610979"/>
    <w:rsid w:val="7F631975"/>
    <w:rsid w:val="7F644808"/>
    <w:rsid w:val="7F656C55"/>
    <w:rsid w:val="7F6BA41A"/>
    <w:rsid w:val="7F6F6DD0"/>
    <w:rsid w:val="7F8C77CD"/>
    <w:rsid w:val="7F9D1378"/>
    <w:rsid w:val="7FA01DE4"/>
    <w:rsid w:val="7FB30510"/>
    <w:rsid w:val="7FB465DF"/>
    <w:rsid w:val="7FB5365A"/>
    <w:rsid w:val="7FBB354B"/>
    <w:rsid w:val="7FCC7385"/>
    <w:rsid w:val="7FF50FD7"/>
    <w:rsid w:val="BEFBC721"/>
    <w:rsid w:val="DBFFC00F"/>
    <w:rsid w:val="FB6F49D4"/>
    <w:rsid w:val="FBFE62EC"/>
    <w:rsid w:val="FC5F2362"/>
    <w:rsid w:val="FEEB745F"/>
    <w:rsid w:val="FEF64EFC"/>
    <w:rsid w:val="FFD553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63"/>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64"/>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5">
    <w:name w:val="heading 4"/>
    <w:basedOn w:val="1"/>
    <w:next w:val="1"/>
    <w:link w:val="65"/>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7"/>
    <w:qFormat/>
    <w:uiPriority w:val="0"/>
    <w:pPr>
      <w:spacing w:beforeLines="50" w:afterLines="50" w:line="240" w:lineRule="exact"/>
      <w:ind w:left="284" w:hanging="284"/>
      <w:jc w:val="center"/>
      <w:outlineLvl w:val="4"/>
    </w:pPr>
    <w:rPr>
      <w:color w:val="000000"/>
      <w:sz w:val="24"/>
    </w:rPr>
  </w:style>
  <w:style w:type="paragraph" w:styleId="8">
    <w:name w:val="heading 6"/>
    <w:basedOn w:val="1"/>
    <w:next w:val="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7">
    <w:name w:val="正文缩进1"/>
    <w:basedOn w:val="1"/>
    <w:qFormat/>
    <w:uiPriority w:val="0"/>
    <w:pPr>
      <w:ind w:firstLine="420" w:firstLineChars="200"/>
    </w:pPr>
  </w:style>
  <w:style w:type="paragraph" w:styleId="12">
    <w:name w:val="List 3"/>
    <w:basedOn w:val="1"/>
    <w:qFormat/>
    <w:uiPriority w:val="0"/>
    <w:pPr>
      <w:ind w:left="1260" w:hanging="420"/>
    </w:pPr>
    <w:rPr>
      <w:sz w:val="24"/>
    </w:rPr>
  </w:style>
  <w:style w:type="paragraph" w:styleId="13">
    <w:name w:val="toc 7"/>
    <w:basedOn w:val="1"/>
    <w:next w:val="1"/>
    <w:qFormat/>
    <w:uiPriority w:val="0"/>
    <w:pPr>
      <w:ind w:left="1260"/>
      <w:jc w:val="left"/>
    </w:pPr>
    <w:rPr>
      <w:sz w:val="18"/>
      <w:szCs w:val="18"/>
    </w:rPr>
  </w:style>
  <w:style w:type="paragraph" w:styleId="14">
    <w:name w:val="Normal Indent"/>
    <w:basedOn w:val="1"/>
    <w:next w:val="1"/>
    <w:link w:val="66"/>
    <w:unhideWhenUsed/>
    <w:qFormat/>
    <w:uiPriority w:val="0"/>
    <w:pPr>
      <w:ind w:firstLine="420"/>
    </w:pPr>
  </w:style>
  <w:style w:type="paragraph" w:styleId="15">
    <w:name w:val="Document Map"/>
    <w:basedOn w:val="1"/>
    <w:link w:val="67"/>
    <w:qFormat/>
    <w:uiPriority w:val="0"/>
    <w:rPr>
      <w:rFonts w:ascii="宋体"/>
      <w:sz w:val="18"/>
      <w:szCs w:val="18"/>
    </w:rPr>
  </w:style>
  <w:style w:type="paragraph" w:styleId="16">
    <w:name w:val="annotation text"/>
    <w:basedOn w:val="1"/>
    <w:link w:val="68"/>
    <w:qFormat/>
    <w:uiPriority w:val="99"/>
    <w:pPr>
      <w:jc w:val="left"/>
    </w:pPr>
  </w:style>
  <w:style w:type="paragraph" w:styleId="17">
    <w:name w:val="Body Text 3"/>
    <w:basedOn w:val="1"/>
    <w:qFormat/>
    <w:uiPriority w:val="0"/>
    <w:rPr>
      <w:rFonts w:ascii="宋体"/>
      <w:kern w:val="0"/>
      <w:sz w:val="24"/>
      <w:szCs w:val="20"/>
    </w:rPr>
  </w:style>
  <w:style w:type="paragraph" w:styleId="18">
    <w:name w:val="Body Text"/>
    <w:basedOn w:val="1"/>
    <w:link w:val="69"/>
    <w:qFormat/>
    <w:uiPriority w:val="0"/>
    <w:pPr>
      <w:spacing w:after="120"/>
    </w:pPr>
  </w:style>
  <w:style w:type="paragraph" w:styleId="19">
    <w:name w:val="Body Text Indent"/>
    <w:basedOn w:val="1"/>
    <w:next w:val="20"/>
    <w:unhideWhenUsed/>
    <w:qFormat/>
    <w:uiPriority w:val="0"/>
    <w:pPr>
      <w:spacing w:after="120"/>
      <w:ind w:left="420" w:leftChars="200"/>
    </w:pPr>
  </w:style>
  <w:style w:type="paragraph" w:styleId="20">
    <w:name w:val="envelope return"/>
    <w:basedOn w:val="1"/>
    <w:qFormat/>
    <w:uiPriority w:val="0"/>
    <w:pPr>
      <w:snapToGrid w:val="0"/>
    </w:pPr>
    <w:rPr>
      <w:rFonts w:ascii="Arial" w:hAnsi="Arial"/>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Cs/>
      <w:sz w:val="20"/>
      <w:szCs w:val="20"/>
    </w:rPr>
  </w:style>
  <w:style w:type="paragraph" w:styleId="23">
    <w:name w:val="Plain Text"/>
    <w:basedOn w:val="1"/>
    <w:link w:val="70"/>
    <w:qFormat/>
    <w:uiPriority w:val="99"/>
    <w:rPr>
      <w:rFonts w:ascii="宋体" w:hAnsi="Courier New"/>
      <w:szCs w:val="20"/>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1"/>
    <w:qFormat/>
    <w:uiPriority w:val="0"/>
    <w:pPr>
      <w:ind w:left="100" w:leftChars="2500"/>
    </w:pPr>
    <w:rPr>
      <w:rFonts w:ascii="Calibri" w:hAnsi="Calibri"/>
      <w:kern w:val="0"/>
      <w:sz w:val="20"/>
    </w:rPr>
  </w:style>
  <w:style w:type="paragraph" w:styleId="26">
    <w:name w:val="endnote text"/>
    <w:basedOn w:val="1"/>
    <w:link w:val="72"/>
    <w:qFormat/>
    <w:uiPriority w:val="0"/>
    <w:pPr>
      <w:snapToGrid w:val="0"/>
      <w:jc w:val="left"/>
    </w:pPr>
    <w:rPr>
      <w:szCs w:val="20"/>
    </w:rPr>
  </w:style>
  <w:style w:type="paragraph" w:styleId="27">
    <w:name w:val="Balloon Text"/>
    <w:basedOn w:val="1"/>
    <w:link w:val="73"/>
    <w:qFormat/>
    <w:uiPriority w:val="0"/>
    <w:rPr>
      <w:sz w:val="18"/>
      <w:szCs w:val="18"/>
    </w:rPr>
  </w:style>
  <w:style w:type="paragraph" w:styleId="28">
    <w:name w:val="footer"/>
    <w:basedOn w:val="1"/>
    <w:link w:val="74"/>
    <w:qFormat/>
    <w:uiPriority w:val="0"/>
    <w:pPr>
      <w:tabs>
        <w:tab w:val="center" w:pos="4153"/>
        <w:tab w:val="right" w:pos="8306"/>
      </w:tabs>
      <w:snapToGrid w:val="0"/>
      <w:jc w:val="left"/>
    </w:pPr>
    <w:rPr>
      <w:sz w:val="18"/>
      <w:szCs w:val="18"/>
    </w:rPr>
  </w:style>
  <w:style w:type="paragraph" w:styleId="29">
    <w:name w:val="header"/>
    <w:basedOn w:val="1"/>
    <w:link w:val="75"/>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33">
    <w:name w:val="footnote text"/>
    <w:basedOn w:val="1"/>
    <w:qFormat/>
    <w:uiPriority w:val="0"/>
    <w:pPr>
      <w:snapToGrid w:val="0"/>
      <w:jc w:val="left"/>
    </w:pPr>
    <w:rPr>
      <w:sz w:val="18"/>
      <w:szCs w:val="20"/>
    </w:rPr>
  </w:style>
  <w:style w:type="paragraph" w:styleId="34">
    <w:name w:val="toc 6"/>
    <w:basedOn w:val="1"/>
    <w:next w:val="1"/>
    <w:qFormat/>
    <w:uiPriority w:val="0"/>
    <w:pPr>
      <w:ind w:left="1050"/>
      <w:jc w:val="left"/>
    </w:pPr>
    <w:rPr>
      <w:sz w:val="18"/>
      <w:szCs w:val="18"/>
    </w:rPr>
  </w:style>
  <w:style w:type="paragraph" w:styleId="35">
    <w:name w:val="Body Text Indent 3"/>
    <w:basedOn w:val="1"/>
    <w:link w:val="76"/>
    <w:qFormat/>
    <w:uiPriority w:val="0"/>
    <w:pPr>
      <w:spacing w:after="120"/>
      <w:ind w:left="420" w:leftChars="200"/>
    </w:pPr>
    <w:rPr>
      <w:sz w:val="16"/>
      <w:szCs w:val="16"/>
    </w:rPr>
  </w:style>
  <w:style w:type="paragraph" w:styleId="36">
    <w:name w:val="toc 2"/>
    <w:basedOn w:val="1"/>
    <w:next w:val="1"/>
    <w:qFormat/>
    <w:uiPriority w:val="39"/>
    <w:pPr>
      <w:ind w:left="210"/>
      <w:jc w:val="left"/>
    </w:pPr>
    <w:rPr>
      <w:smallCaps/>
      <w:sz w:val="20"/>
      <w:szCs w:val="20"/>
    </w:rPr>
  </w:style>
  <w:style w:type="paragraph" w:styleId="37">
    <w:name w:val="toc 9"/>
    <w:basedOn w:val="1"/>
    <w:next w:val="1"/>
    <w:qFormat/>
    <w:uiPriority w:val="0"/>
    <w:pPr>
      <w:ind w:left="1680"/>
      <w:jc w:val="left"/>
    </w:pPr>
    <w:rPr>
      <w:sz w:val="18"/>
      <w:szCs w:val="18"/>
    </w:rPr>
  </w:style>
  <w:style w:type="paragraph" w:styleId="38">
    <w:name w:val="Body Text 2"/>
    <w:basedOn w:val="1"/>
    <w:link w:val="77"/>
    <w:unhideWhenUsed/>
    <w:qFormat/>
    <w:uiPriority w:val="0"/>
    <w:rPr>
      <w:rFonts w:ascii="宋体"/>
      <w:sz w:val="24"/>
      <w:u w:val="single"/>
    </w:rPr>
  </w:style>
  <w:style w:type="paragraph" w:styleId="39">
    <w:name w:val="Normal (Web)"/>
    <w:basedOn w:val="1"/>
    <w:qFormat/>
    <w:uiPriority w:val="0"/>
    <w:pPr>
      <w:widowControl/>
      <w:spacing w:before="100" w:beforeAutospacing="1" w:after="100" w:afterAutospacing="1"/>
      <w:jc w:val="left"/>
    </w:pPr>
    <w:rPr>
      <w:kern w:val="0"/>
    </w:rPr>
  </w:style>
  <w:style w:type="paragraph" w:styleId="40">
    <w:name w:val="index 1"/>
    <w:basedOn w:val="1"/>
    <w:next w:val="1"/>
    <w:qFormat/>
    <w:uiPriority w:val="0"/>
    <w:pPr>
      <w:spacing w:line="220" w:lineRule="exact"/>
      <w:jc w:val="center"/>
    </w:pPr>
    <w:rPr>
      <w:rFonts w:ascii="仿宋_GB2312" w:eastAsia="仿宋_GB2312"/>
      <w:szCs w:val="21"/>
    </w:rPr>
  </w:style>
  <w:style w:type="paragraph" w:styleId="41">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2">
    <w:name w:val="annotation subject"/>
    <w:basedOn w:val="16"/>
    <w:next w:val="16"/>
    <w:link w:val="78"/>
    <w:qFormat/>
    <w:uiPriority w:val="0"/>
    <w:rPr>
      <w:b/>
      <w:bCs/>
    </w:rPr>
  </w:style>
  <w:style w:type="paragraph" w:styleId="43">
    <w:name w:val="Body Text First Indent"/>
    <w:basedOn w:val="18"/>
    <w:link w:val="79"/>
    <w:unhideWhenUsed/>
    <w:qFormat/>
    <w:uiPriority w:val="99"/>
    <w:pPr>
      <w:ind w:firstLine="420" w:firstLineChars="100"/>
    </w:pPr>
    <w:rPr>
      <w:kern w:val="0"/>
      <w:sz w:val="20"/>
      <w:szCs w:val="20"/>
    </w:rPr>
  </w:style>
  <w:style w:type="paragraph" w:styleId="44">
    <w:name w:val="Body Text First Indent 2"/>
    <w:basedOn w:val="19"/>
    <w:next w:val="14"/>
    <w:link w:val="61"/>
    <w:unhideWhenUsed/>
    <w:qFormat/>
    <w:uiPriority w:val="0"/>
    <w:pPr>
      <w:ind w:firstLine="420" w:firstLineChars="200"/>
    </w:pPr>
  </w:style>
  <w:style w:type="table" w:styleId="46">
    <w:name w:val="Table Grid"/>
    <w:basedOn w:val="45"/>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22"/>
    <w:rPr>
      <w:b/>
      <w:bCs/>
    </w:rPr>
  </w:style>
  <w:style w:type="character" w:styleId="49">
    <w:name w:val="endnote reference"/>
    <w:qFormat/>
    <w:uiPriority w:val="0"/>
    <w:rPr>
      <w:vertAlign w:val="superscript"/>
    </w:rPr>
  </w:style>
  <w:style w:type="character" w:styleId="50">
    <w:name w:val="page number"/>
    <w:qFormat/>
    <w:uiPriority w:val="0"/>
  </w:style>
  <w:style w:type="character" w:styleId="51">
    <w:name w:val="FollowedHyperlink"/>
    <w:qFormat/>
    <w:uiPriority w:val="0"/>
    <w:rPr>
      <w:color w:val="000000"/>
      <w:u w:val="none"/>
    </w:rPr>
  </w:style>
  <w:style w:type="character" w:styleId="52">
    <w:name w:val="Emphasis"/>
    <w:qFormat/>
    <w:uiPriority w:val="0"/>
    <w:rPr>
      <w:color w:val="CC0000"/>
    </w:rPr>
  </w:style>
  <w:style w:type="character" w:styleId="53">
    <w:name w:val="HTML Definition"/>
    <w:unhideWhenUsed/>
    <w:qFormat/>
    <w:uiPriority w:val="99"/>
    <w:rPr>
      <w:i/>
      <w:iCs/>
    </w:rPr>
  </w:style>
  <w:style w:type="character" w:styleId="54">
    <w:name w:val="Hyperlink"/>
    <w:qFormat/>
    <w:uiPriority w:val="99"/>
    <w:rPr>
      <w:color w:val="000000"/>
      <w:u w:val="none"/>
    </w:rPr>
  </w:style>
  <w:style w:type="character" w:styleId="55">
    <w:name w:val="HTML Code"/>
    <w:unhideWhenUsed/>
    <w:qFormat/>
    <w:uiPriority w:val="99"/>
    <w:rPr>
      <w:rFonts w:hint="default" w:ascii="Consolas" w:hAnsi="Consolas" w:eastAsia="Consolas" w:cs="Consolas"/>
      <w:color w:val="C7254E"/>
      <w:sz w:val="21"/>
      <w:szCs w:val="21"/>
      <w:bdr w:val="single" w:color="E1E1E1" w:sz="6" w:space="0"/>
      <w:shd w:val="clear" w:color="auto" w:fill="F9F2F4"/>
    </w:rPr>
  </w:style>
  <w:style w:type="character" w:styleId="56">
    <w:name w:val="annotation reference"/>
    <w:qFormat/>
    <w:uiPriority w:val="0"/>
    <w:rPr>
      <w:sz w:val="21"/>
      <w:szCs w:val="21"/>
    </w:rPr>
  </w:style>
  <w:style w:type="character" w:styleId="57">
    <w:name w:val="HTML Cite"/>
    <w:unhideWhenUsed/>
    <w:qFormat/>
    <w:uiPriority w:val="99"/>
    <w:rPr>
      <w:sz w:val="24"/>
      <w:szCs w:val="24"/>
    </w:rPr>
  </w:style>
  <w:style w:type="character" w:styleId="58">
    <w:name w:val="footnote reference"/>
    <w:qFormat/>
    <w:uiPriority w:val="0"/>
    <w:rPr>
      <w:vertAlign w:val="superscript"/>
    </w:rPr>
  </w:style>
  <w:style w:type="character" w:styleId="59">
    <w:name w:val="HTML Keyboard"/>
    <w:unhideWhenUsed/>
    <w:qFormat/>
    <w:uiPriority w:val="99"/>
    <w:rPr>
      <w:rFonts w:hint="default" w:ascii="Consolas" w:hAnsi="Consolas" w:eastAsia="Consolas" w:cs="Consolas"/>
      <w:color w:val="FFFFFF"/>
      <w:sz w:val="21"/>
      <w:szCs w:val="21"/>
      <w:shd w:val="clear" w:color="auto" w:fill="333333"/>
    </w:rPr>
  </w:style>
  <w:style w:type="character" w:styleId="60">
    <w:name w:val="HTML Sample"/>
    <w:unhideWhenUsed/>
    <w:qFormat/>
    <w:uiPriority w:val="99"/>
    <w:rPr>
      <w:rFonts w:ascii="Consolas" w:hAnsi="Consolas" w:eastAsia="Consolas" w:cs="Consolas"/>
      <w:sz w:val="21"/>
      <w:szCs w:val="21"/>
    </w:rPr>
  </w:style>
  <w:style w:type="character" w:customStyle="1" w:styleId="61">
    <w:name w:val="正文首行缩进 2 Char"/>
    <w:link w:val="44"/>
    <w:qFormat/>
    <w:uiPriority w:val="0"/>
    <w:rPr>
      <w:kern w:val="2"/>
      <w:sz w:val="21"/>
      <w:szCs w:val="24"/>
    </w:rPr>
  </w:style>
  <w:style w:type="character" w:customStyle="1" w:styleId="62">
    <w:name w:val="标题 1 Char"/>
    <w:link w:val="2"/>
    <w:qFormat/>
    <w:uiPriority w:val="9"/>
    <w:rPr>
      <w:rFonts w:eastAsia="宋体"/>
      <w:b/>
      <w:bCs/>
      <w:kern w:val="44"/>
      <w:sz w:val="44"/>
      <w:szCs w:val="44"/>
      <w:lang w:val="en-US" w:eastAsia="zh-CN"/>
    </w:rPr>
  </w:style>
  <w:style w:type="character" w:customStyle="1" w:styleId="63">
    <w:name w:val="标题 2 Char"/>
    <w:link w:val="3"/>
    <w:qFormat/>
    <w:uiPriority w:val="0"/>
    <w:rPr>
      <w:rFonts w:ascii="Arial" w:hAnsi="Arial" w:eastAsia="黑体"/>
      <w:b/>
      <w:bCs/>
      <w:kern w:val="2"/>
      <w:sz w:val="32"/>
      <w:szCs w:val="32"/>
      <w:lang w:val="en-US" w:eastAsia="zh-CN"/>
    </w:rPr>
  </w:style>
  <w:style w:type="character" w:customStyle="1" w:styleId="64">
    <w:name w:val="标题 3 Char"/>
    <w:link w:val="4"/>
    <w:qFormat/>
    <w:uiPriority w:val="0"/>
    <w:rPr>
      <w:rFonts w:ascii="黑体" w:hAnsi="宋体" w:eastAsia="黑体"/>
      <w:bCs/>
      <w:kern w:val="2"/>
      <w:sz w:val="28"/>
      <w:szCs w:val="28"/>
      <w:lang w:val="en-US" w:eastAsia="zh-CN"/>
    </w:rPr>
  </w:style>
  <w:style w:type="character" w:customStyle="1" w:styleId="65">
    <w:name w:val="标题 4 Char"/>
    <w:link w:val="5"/>
    <w:qFormat/>
    <w:uiPriority w:val="0"/>
    <w:rPr>
      <w:rFonts w:ascii="Arial" w:hAnsi="Arial" w:eastAsia="黑体"/>
      <w:b/>
      <w:bCs/>
      <w:kern w:val="2"/>
      <w:sz w:val="28"/>
      <w:szCs w:val="28"/>
      <w:lang w:val="en-US" w:eastAsia="zh-CN"/>
    </w:rPr>
  </w:style>
  <w:style w:type="character" w:customStyle="1" w:styleId="66">
    <w:name w:val="正文缩进 Char"/>
    <w:link w:val="14"/>
    <w:qFormat/>
    <w:uiPriority w:val="0"/>
    <w:rPr>
      <w:kern w:val="2"/>
      <w:sz w:val="21"/>
      <w:szCs w:val="24"/>
    </w:rPr>
  </w:style>
  <w:style w:type="character" w:customStyle="1" w:styleId="67">
    <w:name w:val="文档结构图 Char"/>
    <w:link w:val="15"/>
    <w:qFormat/>
    <w:uiPriority w:val="0"/>
    <w:rPr>
      <w:rFonts w:ascii="宋体"/>
      <w:kern w:val="2"/>
      <w:sz w:val="18"/>
      <w:szCs w:val="18"/>
    </w:rPr>
  </w:style>
  <w:style w:type="character" w:customStyle="1" w:styleId="68">
    <w:name w:val="批注文字 Char1"/>
    <w:link w:val="16"/>
    <w:qFormat/>
    <w:uiPriority w:val="99"/>
    <w:rPr>
      <w:rFonts w:eastAsia="宋体"/>
      <w:kern w:val="2"/>
      <w:sz w:val="21"/>
      <w:szCs w:val="24"/>
      <w:lang w:val="en-US" w:eastAsia="zh-CN"/>
    </w:rPr>
  </w:style>
  <w:style w:type="character" w:customStyle="1" w:styleId="69">
    <w:name w:val="正文文本 Char"/>
    <w:link w:val="18"/>
    <w:qFormat/>
    <w:uiPriority w:val="0"/>
    <w:rPr>
      <w:rFonts w:eastAsia="宋体"/>
      <w:kern w:val="2"/>
      <w:sz w:val="21"/>
      <w:szCs w:val="24"/>
      <w:lang w:val="en-US" w:eastAsia="zh-CN"/>
    </w:rPr>
  </w:style>
  <w:style w:type="character" w:customStyle="1" w:styleId="70">
    <w:name w:val="纯文本 Char2"/>
    <w:link w:val="23"/>
    <w:qFormat/>
    <w:uiPriority w:val="0"/>
    <w:rPr>
      <w:rFonts w:ascii="宋体" w:hAnsi="Courier New"/>
      <w:kern w:val="2"/>
      <w:sz w:val="21"/>
    </w:rPr>
  </w:style>
  <w:style w:type="character" w:customStyle="1" w:styleId="71">
    <w:name w:val="日期 Char"/>
    <w:link w:val="25"/>
    <w:qFormat/>
    <w:uiPriority w:val="0"/>
    <w:rPr>
      <w:rFonts w:ascii="Calibri" w:hAnsi="Calibri"/>
      <w:szCs w:val="24"/>
    </w:rPr>
  </w:style>
  <w:style w:type="character" w:customStyle="1" w:styleId="72">
    <w:name w:val="尾注文本 Char"/>
    <w:link w:val="26"/>
    <w:qFormat/>
    <w:uiPriority w:val="0"/>
    <w:rPr>
      <w:kern w:val="2"/>
      <w:sz w:val="21"/>
    </w:rPr>
  </w:style>
  <w:style w:type="character" w:customStyle="1" w:styleId="73">
    <w:name w:val="批注框文本 Char1"/>
    <w:link w:val="27"/>
    <w:semiHidden/>
    <w:qFormat/>
    <w:uiPriority w:val="0"/>
    <w:rPr>
      <w:rFonts w:eastAsia="宋体"/>
      <w:kern w:val="2"/>
      <w:sz w:val="18"/>
      <w:szCs w:val="18"/>
      <w:lang w:val="en-US" w:eastAsia="zh-CN" w:bidi="ar-SA"/>
    </w:rPr>
  </w:style>
  <w:style w:type="character" w:customStyle="1" w:styleId="74">
    <w:name w:val="页脚 Char1"/>
    <w:link w:val="28"/>
    <w:qFormat/>
    <w:uiPriority w:val="0"/>
    <w:rPr>
      <w:rFonts w:eastAsia="宋体"/>
      <w:kern w:val="2"/>
      <w:sz w:val="18"/>
      <w:szCs w:val="18"/>
      <w:lang w:val="en-US" w:eastAsia="zh-CN"/>
    </w:rPr>
  </w:style>
  <w:style w:type="character" w:customStyle="1" w:styleId="75">
    <w:name w:val="页眉 Char1"/>
    <w:link w:val="29"/>
    <w:qFormat/>
    <w:uiPriority w:val="0"/>
    <w:rPr>
      <w:rFonts w:eastAsia="宋体"/>
      <w:kern w:val="2"/>
      <w:sz w:val="18"/>
      <w:szCs w:val="18"/>
      <w:lang w:val="en-US" w:eastAsia="zh-CN"/>
    </w:rPr>
  </w:style>
  <w:style w:type="character" w:customStyle="1" w:styleId="76">
    <w:name w:val="正文文本缩进 3 Char"/>
    <w:link w:val="35"/>
    <w:qFormat/>
    <w:uiPriority w:val="0"/>
    <w:rPr>
      <w:kern w:val="2"/>
      <w:sz w:val="16"/>
      <w:szCs w:val="16"/>
    </w:rPr>
  </w:style>
  <w:style w:type="character" w:customStyle="1" w:styleId="77">
    <w:name w:val="正文文本 2 Char"/>
    <w:link w:val="38"/>
    <w:qFormat/>
    <w:locked/>
    <w:uiPriority w:val="0"/>
    <w:rPr>
      <w:rFonts w:ascii="宋体"/>
      <w:kern w:val="2"/>
      <w:sz w:val="24"/>
      <w:szCs w:val="24"/>
      <w:u w:val="single"/>
    </w:rPr>
  </w:style>
  <w:style w:type="character" w:customStyle="1" w:styleId="78">
    <w:name w:val="批注主题 Char"/>
    <w:link w:val="42"/>
    <w:qFormat/>
    <w:uiPriority w:val="0"/>
    <w:rPr>
      <w:rFonts w:eastAsia="宋体"/>
      <w:b/>
      <w:bCs/>
      <w:kern w:val="2"/>
      <w:sz w:val="21"/>
      <w:szCs w:val="24"/>
      <w:lang w:val="en-US" w:eastAsia="zh-CN"/>
    </w:rPr>
  </w:style>
  <w:style w:type="character" w:customStyle="1" w:styleId="79">
    <w:name w:val="正文首行缩进 Char1"/>
    <w:link w:val="43"/>
    <w:semiHidden/>
    <w:qFormat/>
    <w:uiPriority w:val="99"/>
    <w:rPr>
      <w:lang w:val="en-US" w:eastAsia="zh-CN"/>
    </w:rPr>
  </w:style>
  <w:style w:type="character" w:customStyle="1" w:styleId="80">
    <w:name w:val="标题 2 字符1"/>
    <w:qFormat/>
    <w:uiPriority w:val="0"/>
    <w:rPr>
      <w:rFonts w:ascii="宋体" w:hAnsi="宋体" w:eastAsia="宋体" w:cs="Times New Roman"/>
      <w:b/>
      <w:bCs/>
      <w:kern w:val="0"/>
      <w:sz w:val="24"/>
      <w:szCs w:val="24"/>
    </w:rPr>
  </w:style>
  <w:style w:type="character" w:customStyle="1" w:styleId="81">
    <w:name w:val="批注框文本 Char"/>
    <w:qFormat/>
    <w:uiPriority w:val="0"/>
    <w:rPr>
      <w:rFonts w:ascii="Calibri" w:hAnsi="Calibri" w:eastAsia="宋体" w:cs="Times New Roman"/>
      <w:kern w:val="2"/>
      <w:sz w:val="18"/>
      <w:szCs w:val="18"/>
    </w:rPr>
  </w:style>
  <w:style w:type="character" w:customStyle="1" w:styleId="82">
    <w:name w:val="more"/>
    <w:qFormat/>
    <w:uiPriority w:val="0"/>
    <w:rPr>
      <w:color w:val="FFFFFF"/>
      <w:sz w:val="23"/>
      <w:szCs w:val="23"/>
    </w:rPr>
  </w:style>
  <w:style w:type="character" w:customStyle="1" w:styleId="83">
    <w:name w:val="标题 3 Char1"/>
    <w:qFormat/>
    <w:uiPriority w:val="0"/>
    <w:rPr>
      <w:rFonts w:ascii="黑体" w:hAnsi="宋体" w:eastAsia="黑体"/>
      <w:bCs/>
      <w:kern w:val="2"/>
      <w:sz w:val="28"/>
      <w:szCs w:val="28"/>
      <w:lang w:val="en-US" w:eastAsia="zh-CN"/>
    </w:rPr>
  </w:style>
  <w:style w:type="character" w:customStyle="1" w:styleId="84">
    <w:name w:val="hover37"/>
    <w:qFormat/>
    <w:uiPriority w:val="0"/>
  </w:style>
  <w:style w:type="character" w:customStyle="1" w:styleId="85">
    <w:name w:val="hover27"/>
    <w:qFormat/>
    <w:uiPriority w:val="0"/>
    <w:rPr>
      <w:shd w:val="clear" w:color="auto" w:fill="EEEEEE"/>
    </w:rPr>
  </w:style>
  <w:style w:type="character" w:customStyle="1" w:styleId="86">
    <w:name w:val="文一 Char Char"/>
    <w:link w:val="87"/>
    <w:qFormat/>
    <w:uiPriority w:val="0"/>
    <w:rPr>
      <w:rFonts w:ascii="等线" w:hAnsi="等线" w:eastAsia="等线"/>
      <w:spacing w:val="4"/>
      <w:sz w:val="24"/>
      <w:szCs w:val="24"/>
    </w:rPr>
  </w:style>
  <w:style w:type="paragraph" w:customStyle="1" w:styleId="87">
    <w:name w:val="文一"/>
    <w:basedOn w:val="1"/>
    <w:link w:val="86"/>
    <w:qFormat/>
    <w:uiPriority w:val="0"/>
    <w:pPr>
      <w:topLinePunct/>
      <w:adjustRightInd w:val="0"/>
      <w:snapToGrid w:val="0"/>
      <w:spacing w:line="360" w:lineRule="auto"/>
      <w:ind w:firstLine="200" w:firstLineChars="200"/>
    </w:pPr>
    <w:rPr>
      <w:rFonts w:ascii="等线" w:hAnsi="等线" w:eastAsia="等线"/>
      <w:spacing w:val="4"/>
      <w:kern w:val="0"/>
      <w:sz w:val="24"/>
    </w:rPr>
  </w:style>
  <w:style w:type="character" w:customStyle="1" w:styleId="88">
    <w:name w:val="current1"/>
    <w:qFormat/>
    <w:uiPriority w:val="0"/>
    <w:rPr>
      <w:color w:val="FFFFFF"/>
      <w:bdr w:val="single" w:color="2B55AF" w:sz="6" w:space="0"/>
      <w:shd w:val="clear" w:color="auto" w:fill="4F616C"/>
    </w:rPr>
  </w:style>
  <w:style w:type="character" w:customStyle="1" w:styleId="89">
    <w:name w:val="testimonials-post1"/>
    <w:qFormat/>
    <w:uiPriority w:val="0"/>
    <w:rPr>
      <w:color w:val="656565"/>
      <w:sz w:val="18"/>
      <w:szCs w:val="18"/>
    </w:rPr>
  </w:style>
  <w:style w:type="character" w:customStyle="1" w:styleId="90">
    <w:name w:val="Char Char11"/>
    <w:qFormat/>
    <w:uiPriority w:val="0"/>
    <w:rPr>
      <w:rFonts w:ascii="Times New Roman" w:hAnsi="Times New Roman" w:eastAsia="宋体" w:cs="Times New Roman"/>
      <w:szCs w:val="24"/>
    </w:rPr>
  </w:style>
  <w:style w:type="character" w:customStyle="1" w:styleId="91">
    <w:name w:val="more8"/>
    <w:qFormat/>
    <w:uiPriority w:val="0"/>
    <w:rPr>
      <w:color w:val="FFFFFF"/>
    </w:rPr>
  </w:style>
  <w:style w:type="character" w:customStyle="1" w:styleId="92">
    <w:name w:val="hover36"/>
    <w:qFormat/>
    <w:uiPriority w:val="0"/>
  </w:style>
  <w:style w:type="character" w:customStyle="1" w:styleId="93">
    <w:name w:val="font161"/>
    <w:qFormat/>
    <w:uiPriority w:val="0"/>
    <w:rPr>
      <w:b/>
      <w:bCs/>
      <w:sz w:val="32"/>
      <w:szCs w:val="32"/>
    </w:rPr>
  </w:style>
  <w:style w:type="character" w:customStyle="1" w:styleId="94">
    <w:name w:val="sep"/>
    <w:qFormat/>
    <w:uiPriority w:val="0"/>
    <w:rPr>
      <w:shd w:val="clear" w:color="auto" w:fill="EAEAEA"/>
    </w:rPr>
  </w:style>
  <w:style w:type="character" w:customStyle="1" w:styleId="95">
    <w:name w:val="testimonials-post"/>
    <w:qFormat/>
    <w:uiPriority w:val="0"/>
    <w:rPr>
      <w:color w:val="656565"/>
      <w:sz w:val="18"/>
      <w:szCs w:val="18"/>
    </w:rPr>
  </w:style>
  <w:style w:type="character" w:customStyle="1" w:styleId="96">
    <w:name w:val="color-mode-label"/>
    <w:qFormat/>
    <w:uiPriority w:val="0"/>
  </w:style>
  <w:style w:type="character" w:customStyle="1" w:styleId="97">
    <w:name w:val="批注引用1"/>
    <w:qFormat/>
    <w:uiPriority w:val="0"/>
    <w:rPr>
      <w:sz w:val="21"/>
      <w:szCs w:val="21"/>
    </w:rPr>
  </w:style>
  <w:style w:type="character" w:customStyle="1" w:styleId="98">
    <w:name w:val="批注文字 Char"/>
    <w:qFormat/>
    <w:uiPriority w:val="0"/>
    <w:rPr>
      <w:rFonts w:eastAsia="宋体"/>
      <w:kern w:val="2"/>
      <w:sz w:val="21"/>
      <w:szCs w:val="24"/>
      <w:lang w:val="en-US" w:eastAsia="zh-CN"/>
    </w:rPr>
  </w:style>
  <w:style w:type="character" w:customStyle="1" w:styleId="99">
    <w:name w:val="fontstyle01"/>
    <w:qFormat/>
    <w:uiPriority w:val="0"/>
    <w:rPr>
      <w:rFonts w:ascii="宋体" w:hAnsi="宋体" w:eastAsia="宋体" w:cs="宋体"/>
      <w:color w:val="000000"/>
      <w:sz w:val="24"/>
      <w:szCs w:val="24"/>
    </w:rPr>
  </w:style>
  <w:style w:type="character" w:customStyle="1" w:styleId="100">
    <w:name w:val="纯文本 Char1"/>
    <w:link w:val="101"/>
    <w:qFormat/>
    <w:uiPriority w:val="0"/>
    <w:rPr>
      <w:rFonts w:ascii="宋体" w:hAnsi="Courier New" w:eastAsia="宋体"/>
      <w:kern w:val="2"/>
      <w:sz w:val="21"/>
      <w:lang w:val="en-US" w:eastAsia="zh-CN"/>
    </w:rPr>
  </w:style>
  <w:style w:type="paragraph" w:customStyle="1" w:styleId="101">
    <w:name w:val="纯文本1"/>
    <w:basedOn w:val="1"/>
    <w:link w:val="100"/>
    <w:qFormat/>
    <w:uiPriority w:val="0"/>
    <w:rPr>
      <w:rFonts w:ascii="宋体" w:hAnsi="Courier New"/>
      <w:szCs w:val="20"/>
    </w:rPr>
  </w:style>
  <w:style w:type="character" w:customStyle="1" w:styleId="102">
    <w:name w:val="old"/>
    <w:qFormat/>
    <w:uiPriority w:val="0"/>
    <w:rPr>
      <w:color w:val="999999"/>
    </w:rPr>
  </w:style>
  <w:style w:type="character" w:customStyle="1" w:styleId="103">
    <w:name w:val="Char Char12"/>
    <w:qFormat/>
    <w:uiPriority w:val="0"/>
    <w:rPr>
      <w:rFonts w:ascii="Arial" w:hAnsi="Arial" w:eastAsia="黑体" w:cs="Times New Roman"/>
      <w:b/>
      <w:bCs/>
      <w:sz w:val="32"/>
      <w:szCs w:val="32"/>
    </w:rPr>
  </w:style>
  <w:style w:type="character" w:customStyle="1" w:styleId="104">
    <w:name w:val="testimonials-name1"/>
    <w:qFormat/>
    <w:uiPriority w:val="0"/>
    <w:rPr>
      <w:color w:val="E6400C"/>
      <w:sz w:val="19"/>
      <w:szCs w:val="19"/>
    </w:rPr>
  </w:style>
  <w:style w:type="character" w:customStyle="1" w:styleId="105">
    <w:name w:val="批注主题 Char Char"/>
    <w:link w:val="106"/>
    <w:qFormat/>
    <w:uiPriority w:val="0"/>
    <w:rPr>
      <w:rFonts w:eastAsia="宋体"/>
      <w:b/>
      <w:bCs/>
      <w:kern w:val="2"/>
      <w:sz w:val="21"/>
      <w:szCs w:val="24"/>
      <w:lang w:val="en-US" w:eastAsia="zh-CN"/>
    </w:rPr>
  </w:style>
  <w:style w:type="paragraph" w:customStyle="1" w:styleId="106">
    <w:name w:val="批注主题1"/>
    <w:basedOn w:val="16"/>
    <w:next w:val="16"/>
    <w:link w:val="105"/>
    <w:qFormat/>
    <w:uiPriority w:val="0"/>
    <w:pPr>
      <w:jc w:val="both"/>
    </w:pPr>
    <w:rPr>
      <w:b/>
      <w:bCs/>
    </w:rPr>
  </w:style>
  <w:style w:type="character" w:customStyle="1" w:styleId="107">
    <w:name w:val="times"/>
    <w:qFormat/>
    <w:uiPriority w:val="0"/>
    <w:rPr>
      <w:color w:val="CDCDCD"/>
      <w:bdr w:val="single" w:color="CDCDCD" w:sz="6" w:space="0"/>
      <w:shd w:val="clear" w:color="auto" w:fill="EFEFEF"/>
    </w:rPr>
  </w:style>
  <w:style w:type="character" w:customStyle="1" w:styleId="108">
    <w:name w:val="new"/>
    <w:qFormat/>
    <w:uiPriority w:val="0"/>
    <w:rPr>
      <w:color w:val="999999"/>
    </w:rPr>
  </w:style>
  <w:style w:type="character" w:customStyle="1" w:styleId="109">
    <w:name w:val="disabled"/>
    <w:qFormat/>
    <w:uiPriority w:val="0"/>
    <w:rPr>
      <w:vanish/>
    </w:rPr>
  </w:style>
  <w:style w:type="character" w:customStyle="1" w:styleId="110">
    <w:name w:val="文档结构图 Char Char"/>
    <w:link w:val="111"/>
    <w:qFormat/>
    <w:uiPriority w:val="0"/>
    <w:rPr>
      <w:rFonts w:eastAsia="宋体"/>
      <w:kern w:val="2"/>
      <w:sz w:val="21"/>
      <w:szCs w:val="24"/>
      <w:lang w:val="en-US" w:eastAsia="zh-CN"/>
    </w:rPr>
  </w:style>
  <w:style w:type="paragraph" w:customStyle="1" w:styleId="111">
    <w:name w:val="文档结构图1"/>
    <w:basedOn w:val="1"/>
    <w:link w:val="110"/>
    <w:qFormat/>
    <w:uiPriority w:val="0"/>
    <w:pPr>
      <w:shd w:val="clear" w:color="auto" w:fill="000080"/>
    </w:pPr>
  </w:style>
  <w:style w:type="character" w:customStyle="1" w:styleId="112">
    <w:name w:val="页脚 Char"/>
    <w:qFormat/>
    <w:uiPriority w:val="0"/>
    <w:rPr>
      <w:rFonts w:eastAsia="宋体"/>
      <w:sz w:val="18"/>
      <w:szCs w:val="18"/>
    </w:rPr>
  </w:style>
  <w:style w:type="character" w:customStyle="1" w:styleId="113">
    <w:name w:val="Char Char13"/>
    <w:qFormat/>
    <w:uiPriority w:val="0"/>
    <w:rPr>
      <w:rFonts w:ascii="Times New Roman" w:hAnsi="Times New Roman" w:eastAsia="宋体" w:cs="Times New Roman"/>
      <w:b/>
      <w:bCs/>
      <w:kern w:val="44"/>
      <w:sz w:val="44"/>
      <w:szCs w:val="44"/>
    </w:rPr>
  </w:style>
  <w:style w:type="character" w:customStyle="1" w:styleId="114">
    <w:name w:val="testimonials-name"/>
    <w:qFormat/>
    <w:uiPriority w:val="0"/>
    <w:rPr>
      <w:color w:val="64AED9"/>
      <w:sz w:val="24"/>
      <w:szCs w:val="24"/>
    </w:rPr>
  </w:style>
  <w:style w:type="character" w:customStyle="1" w:styleId="115">
    <w:name w:val="正文首行缩进 Char"/>
    <w:link w:val="116"/>
    <w:qFormat/>
    <w:uiPriority w:val="0"/>
    <w:rPr>
      <w:lang w:val="en-US" w:eastAsia="zh-CN"/>
    </w:rPr>
  </w:style>
  <w:style w:type="paragraph" w:customStyle="1" w:styleId="116">
    <w:name w:val="正文首行缩进1"/>
    <w:basedOn w:val="1"/>
    <w:link w:val="115"/>
    <w:qFormat/>
    <w:uiPriority w:val="0"/>
    <w:pPr>
      <w:spacing w:line="312" w:lineRule="auto"/>
      <w:ind w:firstLine="420"/>
    </w:pPr>
    <w:rPr>
      <w:kern w:val="0"/>
      <w:sz w:val="20"/>
      <w:szCs w:val="20"/>
    </w:rPr>
  </w:style>
  <w:style w:type="character" w:customStyle="1" w:styleId="117">
    <w:name w:val="sort"/>
    <w:qFormat/>
    <w:uiPriority w:val="0"/>
    <w:rPr>
      <w:rFonts w:ascii="微软雅黑" w:hAnsi="微软雅黑" w:eastAsia="微软雅黑" w:cs="微软雅黑"/>
      <w:b/>
      <w:bCs/>
      <w:color w:val="6D6D6D"/>
    </w:rPr>
  </w:style>
  <w:style w:type="character" w:customStyle="1" w:styleId="118">
    <w:name w:val="页码1"/>
    <w:qFormat/>
    <w:uiPriority w:val="0"/>
  </w:style>
  <w:style w:type="character" w:customStyle="1" w:styleId="119">
    <w:name w:val="Char Char16"/>
    <w:qFormat/>
    <w:uiPriority w:val="0"/>
    <w:rPr>
      <w:rFonts w:ascii="Arial" w:hAnsi="Arial" w:eastAsia="黑体"/>
      <w:b/>
      <w:bCs/>
      <w:sz w:val="24"/>
      <w:szCs w:val="24"/>
      <w:lang w:val="en-US" w:eastAsia="zh-CN" w:bidi="ar-SA"/>
    </w:rPr>
  </w:style>
  <w:style w:type="character" w:customStyle="1" w:styleId="120">
    <w:name w:val="页眉 Char"/>
    <w:qFormat/>
    <w:uiPriority w:val="0"/>
    <w:rPr>
      <w:rFonts w:ascii="Times New Roman" w:hAnsi="Times New Roman" w:eastAsia="宋体" w:cs="Times New Roman"/>
      <w:sz w:val="18"/>
      <w:szCs w:val="24"/>
    </w:rPr>
  </w:style>
  <w:style w:type="character" w:customStyle="1" w:styleId="121">
    <w:name w:val="msoins"/>
    <w:qFormat/>
    <w:uiPriority w:val="0"/>
  </w:style>
  <w:style w:type="character" w:customStyle="1" w:styleId="122">
    <w:name w:val="times1"/>
    <w:qFormat/>
    <w:uiPriority w:val="0"/>
    <w:rPr>
      <w:color w:val="3399FF"/>
      <w:bdr w:val="single" w:color="D1EDF8" w:sz="6" w:space="0"/>
      <w:shd w:val="clear" w:color="auto" w:fill="EAF9FF"/>
    </w:rPr>
  </w:style>
  <w:style w:type="character" w:customStyle="1" w:styleId="123">
    <w:name w:val="hover28"/>
    <w:qFormat/>
    <w:uiPriority w:val="0"/>
    <w:rPr>
      <w:shd w:val="clear" w:color="auto" w:fill="EEEEEE"/>
    </w:rPr>
  </w:style>
  <w:style w:type="paragraph" w:customStyle="1" w:styleId="124">
    <w:name w:val="_Style 50"/>
    <w:basedOn w:val="1"/>
    <w:next w:val="1"/>
    <w:qFormat/>
    <w:uiPriority w:val="39"/>
    <w:pPr>
      <w:spacing w:before="120" w:after="120"/>
      <w:jc w:val="left"/>
    </w:pPr>
    <w:rPr>
      <w:rFonts w:ascii="Calibri" w:hAnsi="Calibri"/>
      <w:b/>
      <w:bCs/>
      <w:caps/>
      <w:sz w:val="20"/>
      <w:szCs w:val="20"/>
    </w:rPr>
  </w:style>
  <w:style w:type="paragraph" w:customStyle="1" w:styleId="125">
    <w:name w:val="公文标题"/>
    <w:basedOn w:val="4"/>
    <w:qFormat/>
    <w:uiPriority w:val="0"/>
    <w:pPr>
      <w:spacing w:line="240" w:lineRule="auto"/>
      <w:ind w:left="1469" w:right="1542" w:firstLine="0" w:firstLineChars="0"/>
      <w:jc w:val="center"/>
    </w:pPr>
    <w:rPr>
      <w:rFonts w:ascii="Times New Roman" w:hAnsi="Times New Roman" w:eastAsia="宋体"/>
      <w:b/>
      <w:bCs w:val="0"/>
      <w:sz w:val="44"/>
      <w:szCs w:val="24"/>
    </w:rPr>
  </w:style>
  <w:style w:type="paragraph" w:customStyle="1" w:styleId="126">
    <w:name w:val="文字"/>
    <w:basedOn w:val="1"/>
    <w:qFormat/>
    <w:uiPriority w:val="0"/>
    <w:pPr>
      <w:spacing w:line="360" w:lineRule="auto"/>
      <w:ind w:firstLine="200" w:firstLineChars="200"/>
    </w:pPr>
    <w:rPr>
      <w:sz w:val="24"/>
    </w:rPr>
  </w:style>
  <w:style w:type="paragraph" w:customStyle="1" w:styleId="127">
    <w:name w:val="封一"/>
    <w:basedOn w:val="87"/>
    <w:next w:val="87"/>
    <w:qFormat/>
    <w:uiPriority w:val="0"/>
    <w:pPr>
      <w:ind w:firstLine="0" w:firstLineChars="0"/>
      <w:jc w:val="center"/>
    </w:pPr>
    <w:rPr>
      <w:rFonts w:eastAsia="黑体"/>
      <w:b/>
      <w:sz w:val="84"/>
      <w:szCs w:val="84"/>
    </w:rPr>
  </w:style>
  <w:style w:type="paragraph" w:customStyle="1" w:styleId="128">
    <w:name w:val="公文抬头"/>
    <w:basedOn w:val="7"/>
    <w:qFormat/>
    <w:uiPriority w:val="0"/>
    <w:pPr>
      <w:ind w:firstLine="0" w:firstLineChars="0"/>
    </w:pPr>
    <w:rPr>
      <w:rFonts w:ascii="仿宋_GB2312" w:eastAsia="仿宋_GB2312"/>
      <w:sz w:val="30"/>
    </w:rPr>
  </w:style>
  <w:style w:type="paragraph" w:customStyle="1" w:styleId="129">
    <w:name w:val="章节二"/>
    <w:basedOn w:val="1"/>
    <w:next w:val="1"/>
    <w:qFormat/>
    <w:uiPriority w:val="0"/>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130">
    <w:name w:val="正文文本缩进 21"/>
    <w:basedOn w:val="1"/>
    <w:qFormat/>
    <w:uiPriority w:val="0"/>
    <w:pPr>
      <w:spacing w:line="400" w:lineRule="exact"/>
      <w:ind w:left="425"/>
    </w:pPr>
    <w:rPr>
      <w:color w:val="000000"/>
      <w:sz w:val="24"/>
      <w:szCs w:val="20"/>
    </w:rPr>
  </w:style>
  <w:style w:type="paragraph" w:customStyle="1" w:styleId="131">
    <w:name w:val="修订1"/>
    <w:qFormat/>
    <w:uiPriority w:val="0"/>
    <w:rPr>
      <w:rFonts w:ascii="Times New Roman" w:hAnsi="Times New Roman" w:eastAsia="宋体" w:cs="Times New Roman"/>
      <w:kern w:val="2"/>
      <w:sz w:val="21"/>
      <w:szCs w:val="24"/>
      <w:lang w:val="en-US" w:eastAsia="zh-CN" w:bidi="ar-SA"/>
    </w:rPr>
  </w:style>
  <w:style w:type="paragraph" w:customStyle="1" w:styleId="132">
    <w:name w:val="表头"/>
    <w:basedOn w:val="1"/>
    <w:qFormat/>
    <w:uiPriority w:val="0"/>
    <w:pPr>
      <w:spacing w:line="360" w:lineRule="auto"/>
      <w:jc w:val="center"/>
    </w:pPr>
    <w:rPr>
      <w:rFonts w:ascii="黑体" w:eastAsia="黑体"/>
      <w:kern w:val="0"/>
      <w:sz w:val="24"/>
      <w:szCs w:val="20"/>
    </w:rPr>
  </w:style>
  <w:style w:type="paragraph" w:customStyle="1" w:styleId="133">
    <w:name w:val="列出段落2"/>
    <w:basedOn w:val="1"/>
    <w:qFormat/>
    <w:uiPriority w:val="0"/>
    <w:pPr>
      <w:ind w:firstLine="420" w:firstLineChars="200"/>
    </w:pPr>
    <w:rPr>
      <w:szCs w:val="21"/>
    </w:rPr>
  </w:style>
  <w:style w:type="paragraph" w:customStyle="1" w:styleId="134">
    <w:name w:val="索引 11"/>
    <w:basedOn w:val="1"/>
    <w:next w:val="1"/>
    <w:qFormat/>
    <w:uiPriority w:val="0"/>
    <w:pPr>
      <w:spacing w:line="220" w:lineRule="exact"/>
      <w:jc w:val="center"/>
    </w:pPr>
    <w:rPr>
      <w:rFonts w:ascii="仿宋_GB2312" w:eastAsia="仿宋_GB2312"/>
      <w:szCs w:val="21"/>
    </w:rPr>
  </w:style>
  <w:style w:type="paragraph" w:customStyle="1" w:styleId="135">
    <w:name w:val="Char Char Char Char"/>
    <w:basedOn w:val="1"/>
    <w:qFormat/>
    <w:uiPriority w:val="0"/>
    <w:pPr>
      <w:ind w:left="567" w:hanging="279"/>
    </w:pPr>
    <w:rPr>
      <w:sz w:val="24"/>
    </w:rPr>
  </w:style>
  <w:style w:type="paragraph" w:customStyle="1" w:styleId="136">
    <w:name w:val="Char1"/>
    <w:basedOn w:val="1"/>
    <w:qFormat/>
    <w:uiPriority w:val="0"/>
    <w:pPr>
      <w:tabs>
        <w:tab w:val="left" w:pos="360"/>
      </w:tabs>
    </w:pPr>
    <w:rPr>
      <w:sz w:val="24"/>
    </w:rPr>
  </w:style>
  <w:style w:type="paragraph" w:customStyle="1" w:styleId="137">
    <w:name w:val="Char"/>
    <w:basedOn w:val="1"/>
    <w:qFormat/>
    <w:uiPriority w:val="0"/>
    <w:pPr>
      <w:ind w:left="567" w:hanging="279"/>
    </w:pPr>
    <w:rPr>
      <w:sz w:val="24"/>
    </w:rPr>
  </w:style>
  <w:style w:type="paragraph" w:customStyle="1" w:styleId="13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40">
    <w:name w:val="Char2"/>
    <w:basedOn w:val="1"/>
    <w:qFormat/>
    <w:uiPriority w:val="0"/>
    <w:rPr>
      <w:sz w:val="24"/>
    </w:rPr>
  </w:style>
  <w:style w:type="paragraph" w:customStyle="1" w:styleId="141">
    <w:name w:val="样式 标题 3 + (中文) 黑体 小四 非加粗 段前: 7.8 磅 段后: 0 磅 行距: 固定值 20 磅"/>
    <w:basedOn w:val="4"/>
    <w:qFormat/>
    <w:uiPriority w:val="0"/>
    <w:pPr>
      <w:spacing w:before="0" w:after="0" w:line="400" w:lineRule="exact"/>
    </w:pPr>
    <w:rPr>
      <w:rFonts w:cs="宋体"/>
      <w:bCs w:val="0"/>
      <w:sz w:val="24"/>
      <w:szCs w:val="20"/>
    </w:rPr>
  </w:style>
  <w:style w:type="paragraph" w:customStyle="1" w:styleId="142">
    <w:name w:val="发文落款"/>
    <w:basedOn w:val="143"/>
    <w:qFormat/>
    <w:uiPriority w:val="0"/>
    <w:pPr>
      <w:ind w:left="4094" w:right="607" w:firstLine="0"/>
      <w:jc w:val="center"/>
    </w:pPr>
  </w:style>
  <w:style w:type="paragraph" w:customStyle="1" w:styleId="14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44">
    <w:name w:val="Heading #2|1"/>
    <w:qFormat/>
    <w:uiPriority w:val="0"/>
    <w:pPr>
      <w:widowControl w:val="0"/>
      <w:spacing w:after="180"/>
      <w:ind w:left="2060"/>
      <w:outlineLvl w:val="1"/>
    </w:pPr>
    <w:rPr>
      <w:rFonts w:ascii="宋体" w:hAnsi="宋体" w:eastAsia="宋体" w:cs="宋体"/>
      <w:kern w:val="2"/>
      <w:sz w:val="21"/>
      <w:szCs w:val="24"/>
      <w:lang w:val="zh-TW" w:eastAsia="zh-TW" w:bidi="zh-TW"/>
    </w:rPr>
  </w:style>
  <w:style w:type="paragraph" w:customStyle="1" w:styleId="145">
    <w:name w:val="默认段落字体 Para Char"/>
    <w:basedOn w:val="1"/>
    <w:qFormat/>
    <w:uiPriority w:val="0"/>
    <w:rPr>
      <w:b/>
      <w:sz w:val="24"/>
    </w:rPr>
  </w:style>
  <w:style w:type="paragraph" w:customStyle="1" w:styleId="146">
    <w:name w:val="样式1"/>
    <w:basedOn w:val="1"/>
    <w:next w:val="5"/>
    <w:qFormat/>
    <w:uiPriority w:val="0"/>
    <w:pPr>
      <w:spacing w:line="360" w:lineRule="auto"/>
      <w:ind w:firstLine="420" w:firstLineChars="200"/>
    </w:pPr>
    <w:rPr>
      <w:rFonts w:ascii="宋体" w:hAnsi="宋体"/>
      <w:szCs w:val="21"/>
    </w:rPr>
  </w:style>
  <w:style w:type="paragraph" w:customStyle="1" w:styleId="147">
    <w:name w:val="BodyText"/>
    <w:basedOn w:val="1"/>
    <w:qFormat/>
    <w:uiPriority w:val="0"/>
    <w:pPr>
      <w:spacing w:after="120"/>
    </w:pPr>
    <w:rPr>
      <w:kern w:val="0"/>
      <w:sz w:val="20"/>
      <w:szCs w:val="20"/>
    </w:rPr>
  </w:style>
  <w:style w:type="paragraph" w:customStyle="1" w:styleId="148">
    <w:name w:val="1"/>
    <w:basedOn w:val="1"/>
    <w:qFormat/>
    <w:uiPriority w:val="0"/>
  </w:style>
  <w:style w:type="paragraph" w:customStyle="1" w:styleId="149">
    <w:name w:val="段落正文"/>
    <w:basedOn w:val="1"/>
    <w:qFormat/>
    <w:uiPriority w:val="0"/>
    <w:pPr>
      <w:spacing w:line="300" w:lineRule="auto"/>
      <w:ind w:firstLine="482" w:firstLineChars="200"/>
    </w:pPr>
    <w:rPr>
      <w:sz w:val="24"/>
    </w:rPr>
  </w:style>
  <w:style w:type="paragraph" w:customStyle="1" w:styleId="150">
    <w:name w:val="正文(仿)首缩"/>
    <w:basedOn w:val="1"/>
    <w:qFormat/>
    <w:uiPriority w:val="0"/>
    <w:pPr>
      <w:tabs>
        <w:tab w:val="left" w:pos="1108"/>
      </w:tabs>
      <w:ind w:left="554"/>
    </w:pPr>
    <w:rPr>
      <w:szCs w:val="28"/>
    </w:rPr>
  </w:style>
  <w:style w:type="paragraph" w:customStyle="1" w:styleId="151">
    <w:name w:val="修订2"/>
    <w:qFormat/>
    <w:uiPriority w:val="99"/>
    <w:rPr>
      <w:rFonts w:ascii="Times New Roman" w:hAnsi="Times New Roman" w:eastAsia="宋体" w:cs="Times New Roman"/>
      <w:kern w:val="2"/>
      <w:sz w:val="21"/>
      <w:szCs w:val="24"/>
      <w:lang w:val="en-US" w:eastAsia="zh-CN" w:bidi="ar-SA"/>
    </w:rPr>
  </w:style>
  <w:style w:type="paragraph" w:customStyle="1" w:styleId="152">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53">
    <w:name w:val="正题"/>
    <w:basedOn w:val="1"/>
    <w:next w:val="87"/>
    <w:qFormat/>
    <w:uiPriority w:val="0"/>
    <w:pPr>
      <w:topLinePunct/>
      <w:adjustRightInd w:val="0"/>
      <w:snapToGrid w:val="0"/>
      <w:spacing w:line="360" w:lineRule="auto"/>
      <w:jc w:val="center"/>
    </w:pPr>
    <w:rPr>
      <w:rFonts w:ascii="等线" w:hAnsi="等线" w:eastAsia="黑体"/>
      <w:b/>
      <w:spacing w:val="4"/>
      <w:sz w:val="36"/>
      <w:szCs w:val="36"/>
    </w:rPr>
  </w:style>
  <w:style w:type="paragraph" w:customStyle="1" w:styleId="154">
    <w:name w:val="Body text|3"/>
    <w:basedOn w:val="1"/>
    <w:qFormat/>
    <w:uiPriority w:val="0"/>
    <w:rPr>
      <w:rFonts w:ascii="宋体" w:hAnsi="宋体" w:cs="宋体"/>
      <w:sz w:val="20"/>
      <w:szCs w:val="20"/>
      <w:lang w:val="zh-TW" w:eastAsia="zh-TW" w:bidi="zh-TW"/>
    </w:rPr>
  </w:style>
  <w:style w:type="paragraph" w:customStyle="1" w:styleId="155">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156">
    <w:name w:val="列出段落1"/>
    <w:basedOn w:val="1"/>
    <w:qFormat/>
    <w:uiPriority w:val="0"/>
    <w:pPr>
      <w:ind w:firstLine="420" w:firstLineChars="200"/>
    </w:pPr>
  </w:style>
  <w:style w:type="paragraph" w:customStyle="1" w:styleId="157">
    <w:name w:val="_Style 7"/>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58">
    <w:name w:val="正文文本缩进 31"/>
    <w:basedOn w:val="1"/>
    <w:qFormat/>
    <w:uiPriority w:val="0"/>
    <w:pPr>
      <w:spacing w:after="120"/>
      <w:ind w:left="420" w:leftChars="200"/>
    </w:pPr>
    <w:rPr>
      <w:sz w:val="16"/>
      <w:szCs w:val="16"/>
    </w:rPr>
  </w:style>
  <w:style w:type="paragraph" w:customStyle="1" w:styleId="159">
    <w:name w:val="正文文本缩进1"/>
    <w:basedOn w:val="1"/>
    <w:qFormat/>
    <w:uiPriority w:val="0"/>
    <w:pPr>
      <w:spacing w:after="120"/>
      <w:ind w:left="420" w:leftChars="200"/>
    </w:pPr>
  </w:style>
  <w:style w:type="paragraph" w:customStyle="1" w:styleId="160">
    <w:name w:val="文二"/>
    <w:basedOn w:val="1"/>
    <w:qFormat/>
    <w:uiPriority w:val="0"/>
    <w:pPr>
      <w:jc w:val="left"/>
    </w:pPr>
    <w:rPr>
      <w:rFonts w:ascii="宋体" w:hAnsi="宋体"/>
      <w:szCs w:val="21"/>
    </w:rPr>
  </w:style>
  <w:style w:type="paragraph" w:customStyle="1" w:styleId="161">
    <w:name w:val="正文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62">
    <w:name w:val="正文 New New New New New New"/>
    <w:qFormat/>
    <w:uiPriority w:val="0"/>
    <w:pPr>
      <w:jc w:val="both"/>
    </w:pPr>
    <w:rPr>
      <w:rFonts w:ascii="Calibri" w:hAnsi="Calibri" w:eastAsia="宋体" w:cs="Times New Roman"/>
      <w:sz w:val="21"/>
      <w:szCs w:val="24"/>
      <w:lang w:val="en-US" w:eastAsia="zh-CN" w:bidi="ar-SA"/>
    </w:rPr>
  </w:style>
  <w:style w:type="paragraph" w:customStyle="1" w:styleId="163">
    <w:name w:val="_Style 3"/>
    <w:basedOn w:val="1"/>
    <w:qFormat/>
    <w:uiPriority w:val="0"/>
    <w:pPr>
      <w:ind w:firstLine="420" w:firstLineChars="200"/>
    </w:pPr>
    <w:rPr>
      <w:sz w:val="20"/>
    </w:rPr>
  </w:style>
  <w:style w:type="paragraph" w:customStyle="1" w:styleId="164">
    <w:name w:val="qptext"/>
    <w:basedOn w:val="1"/>
    <w:qFormat/>
    <w:uiPriority w:val="0"/>
    <w:pPr>
      <w:spacing w:afterLines="100" w:line="360" w:lineRule="auto"/>
      <w:ind w:right="-716" w:rightChars="-341"/>
    </w:pPr>
    <w:rPr>
      <w:rFonts w:ascii="宋体"/>
      <w:sz w:val="28"/>
      <w:szCs w:val="28"/>
    </w:rPr>
  </w:style>
  <w:style w:type="paragraph" w:customStyle="1" w:styleId="165">
    <w:name w:val="样式 宋体 行距: 1.5 倍行距"/>
    <w:basedOn w:val="1"/>
    <w:qFormat/>
    <w:uiPriority w:val="0"/>
    <w:pPr>
      <w:jc w:val="center"/>
    </w:pPr>
    <w:rPr>
      <w:b/>
    </w:rPr>
  </w:style>
  <w:style w:type="paragraph" w:customStyle="1" w:styleId="166">
    <w:name w:val="Other|1"/>
    <w:basedOn w:val="1"/>
    <w:qFormat/>
    <w:uiPriority w:val="0"/>
    <w:pPr>
      <w:spacing w:line="434" w:lineRule="auto"/>
    </w:pPr>
    <w:rPr>
      <w:rFonts w:ascii="宋体" w:hAnsi="宋体" w:cs="宋体"/>
      <w:sz w:val="20"/>
      <w:szCs w:val="20"/>
      <w:lang w:val="zh-TW" w:eastAsia="zh-TW" w:bidi="zh-TW"/>
    </w:rPr>
  </w:style>
  <w:style w:type="paragraph" w:customStyle="1" w:styleId="167">
    <w:name w:val="样式 标题 1 + 方正小标宋简体 二号 非加粗 段前: 0 磅 段后: 0 磅 行距: 1.5 倍行距"/>
    <w:basedOn w:val="2"/>
    <w:qFormat/>
    <w:uiPriority w:val="0"/>
    <w:pPr>
      <w:tabs>
        <w:tab w:val="left" w:pos="0"/>
      </w:tabs>
      <w:spacing w:before="0" w:after="0" w:line="360" w:lineRule="auto"/>
      <w:ind w:left="6552" w:hanging="432"/>
      <w:jc w:val="center"/>
    </w:pPr>
    <w:rPr>
      <w:rFonts w:eastAsia="方正小标宋简体" w:cs="宋体"/>
      <w:b w:val="0"/>
      <w:bCs w:val="0"/>
      <w:szCs w:val="20"/>
    </w:rPr>
  </w:style>
  <w:style w:type="paragraph" w:customStyle="1" w:styleId="168">
    <w:name w:val="Char Char Char Char Char Char1 Char"/>
    <w:basedOn w:val="1"/>
    <w:qFormat/>
    <w:uiPriority w:val="0"/>
    <w:pPr>
      <w:widowControl/>
      <w:spacing w:after="160" w:line="240" w:lineRule="exact"/>
      <w:jc w:val="left"/>
    </w:pPr>
    <w:rPr>
      <w:rFonts w:eastAsia="仿宋_GB2312"/>
      <w:sz w:val="32"/>
    </w:rPr>
  </w:style>
  <w:style w:type="paragraph" w:customStyle="1" w:styleId="169">
    <w:name w:val="纯文本111"/>
    <w:basedOn w:val="1"/>
    <w:qFormat/>
    <w:uiPriority w:val="0"/>
    <w:pPr>
      <w:suppressAutoHyphens/>
    </w:pPr>
    <w:rPr>
      <w:rFonts w:ascii="宋体" w:hAnsi="宋体"/>
      <w:szCs w:val="20"/>
      <w:lang w:eastAsia="ar-SA"/>
    </w:rPr>
  </w:style>
  <w:style w:type="paragraph" w:customStyle="1" w:styleId="170">
    <w:name w:val="修订11"/>
    <w:qFormat/>
    <w:uiPriority w:val="0"/>
    <w:rPr>
      <w:rFonts w:ascii="Times New Roman" w:hAnsi="Times New Roman" w:eastAsia="宋体" w:cs="Times New Roman"/>
      <w:kern w:val="2"/>
      <w:sz w:val="21"/>
      <w:szCs w:val="24"/>
      <w:lang w:val="en-US" w:eastAsia="zh-CN" w:bidi="ar-SA"/>
    </w:rPr>
  </w:style>
  <w:style w:type="paragraph" w:customStyle="1" w:styleId="171">
    <w:name w:val="封四"/>
    <w:basedOn w:val="87"/>
    <w:next w:val="87"/>
    <w:qFormat/>
    <w:uiPriority w:val="0"/>
    <w:pPr>
      <w:jc w:val="left"/>
    </w:pPr>
    <w:rPr>
      <w:sz w:val="30"/>
      <w:szCs w:val="30"/>
    </w:rPr>
  </w:style>
  <w:style w:type="paragraph" w:styleId="172">
    <w:name w:val="List Paragraph"/>
    <w:basedOn w:val="1"/>
    <w:qFormat/>
    <w:uiPriority w:val="34"/>
    <w:pPr>
      <w:ind w:firstLine="420" w:firstLineChars="200"/>
    </w:pPr>
    <w:rPr>
      <w:rFonts w:ascii="Calibri" w:hAnsi="Calibri"/>
      <w:szCs w:val="22"/>
    </w:rPr>
  </w:style>
  <w:style w:type="paragraph" w:customStyle="1" w:styleId="173">
    <w:name w:val="Body text|2"/>
    <w:basedOn w:val="1"/>
    <w:qFormat/>
    <w:uiPriority w:val="0"/>
    <w:pPr>
      <w:spacing w:line="470" w:lineRule="exact"/>
      <w:ind w:left="180" w:firstLine="520"/>
    </w:pPr>
    <w:rPr>
      <w:rFonts w:ascii="宋体" w:hAnsi="宋体" w:cs="宋体"/>
      <w:lang w:val="zh-TW" w:eastAsia="zh-TW" w:bidi="zh-TW"/>
    </w:rPr>
  </w:style>
  <w:style w:type="paragraph" w:customStyle="1" w:styleId="174">
    <w:name w:val="Table caption|1"/>
    <w:basedOn w:val="1"/>
    <w:qFormat/>
    <w:uiPriority w:val="0"/>
    <w:rPr>
      <w:rFonts w:ascii="宋体" w:hAnsi="宋体" w:cs="宋体"/>
      <w:szCs w:val="22"/>
      <w:lang w:val="zh-TW" w:eastAsia="zh-TW" w:bidi="zh-TW"/>
    </w:rPr>
  </w:style>
  <w:style w:type="paragraph" w:customStyle="1" w:styleId="175">
    <w:name w:val="封二"/>
    <w:basedOn w:val="87"/>
    <w:next w:val="87"/>
    <w:qFormat/>
    <w:uiPriority w:val="0"/>
    <w:pPr>
      <w:ind w:firstLine="0" w:firstLineChars="0"/>
      <w:jc w:val="center"/>
    </w:pPr>
    <w:rPr>
      <w:rFonts w:eastAsia="黑体"/>
      <w:b/>
      <w:sz w:val="36"/>
      <w:szCs w:val="36"/>
    </w:rPr>
  </w:style>
  <w:style w:type="paragraph" w:customStyle="1" w:styleId="176">
    <w:name w:val="日期1"/>
    <w:basedOn w:val="1"/>
    <w:next w:val="1"/>
    <w:qFormat/>
    <w:uiPriority w:val="0"/>
    <w:rPr>
      <w:sz w:val="24"/>
      <w:szCs w:val="20"/>
    </w:rPr>
  </w:style>
  <w:style w:type="paragraph" w:customStyle="1" w:styleId="177">
    <w:name w:val="Char Char Char1 Char"/>
    <w:basedOn w:val="111"/>
    <w:qFormat/>
    <w:uiPriority w:val="0"/>
    <w:rPr>
      <w:rFonts w:ascii="Tahoma" w:hAnsi="Tahoma"/>
      <w:sz w:val="24"/>
    </w:rPr>
  </w:style>
  <w:style w:type="paragraph" w:customStyle="1" w:styleId="178">
    <w:name w:val="Table Paragraph"/>
    <w:basedOn w:val="1"/>
    <w:unhideWhenUsed/>
    <w:qFormat/>
    <w:uiPriority w:val="1"/>
    <w:rPr>
      <w:rFonts w:hint="eastAsia"/>
      <w:sz w:val="24"/>
    </w:rPr>
  </w:style>
  <w:style w:type="paragraph" w:customStyle="1" w:styleId="179">
    <w:name w:val="正文文本 21"/>
    <w:basedOn w:val="1"/>
    <w:qFormat/>
    <w:uiPriority w:val="0"/>
    <w:rPr>
      <w:rFonts w:ascii="宋体" w:hAnsi="宋体"/>
      <w:u w:val="single"/>
    </w:rPr>
  </w:style>
  <w:style w:type="paragraph" w:customStyle="1" w:styleId="18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1">
    <w:name w:val="p0"/>
    <w:basedOn w:val="1"/>
    <w:qFormat/>
    <w:uiPriority w:val="0"/>
    <w:pPr>
      <w:widowControl/>
    </w:pPr>
    <w:rPr>
      <w:kern w:val="0"/>
      <w:szCs w:val="21"/>
    </w:rPr>
  </w:style>
  <w:style w:type="paragraph" w:customStyle="1" w:styleId="182">
    <w:name w:val="Char Char Char1 Char Char Char Char Char Char Char Char Char Char Char Char Char"/>
    <w:basedOn w:val="111"/>
    <w:qFormat/>
    <w:uiPriority w:val="0"/>
    <w:rPr>
      <w:rFonts w:ascii="Tahoma" w:hAnsi="Tahoma"/>
      <w:sz w:val="24"/>
    </w:rPr>
  </w:style>
  <w:style w:type="paragraph" w:customStyle="1" w:styleId="183">
    <w:name w:val="Char Char Char Char1"/>
    <w:basedOn w:val="1"/>
    <w:qFormat/>
    <w:uiPriority w:val="0"/>
    <w:pPr>
      <w:spacing w:afterLines="50" w:line="520" w:lineRule="exact"/>
      <w:jc w:val="center"/>
    </w:pPr>
  </w:style>
  <w:style w:type="paragraph" w:customStyle="1" w:styleId="184">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
    <w:name w:val="Body text|1"/>
    <w:qFormat/>
    <w:uiPriority w:val="0"/>
    <w:pPr>
      <w:widowControl w:val="0"/>
      <w:spacing w:line="434" w:lineRule="auto"/>
    </w:pPr>
    <w:rPr>
      <w:rFonts w:ascii="宋体" w:hAnsi="宋体" w:eastAsia="宋体" w:cs="宋体"/>
      <w:kern w:val="2"/>
      <w:lang w:val="zh-TW" w:eastAsia="zh-TW" w:bidi="zh-TW"/>
    </w:rPr>
  </w:style>
  <w:style w:type="paragraph" w:customStyle="1" w:styleId="186">
    <w:name w:val="Heading #1|1"/>
    <w:qFormat/>
    <w:uiPriority w:val="0"/>
    <w:pPr>
      <w:widowControl w:val="0"/>
      <w:spacing w:after="230"/>
      <w:jc w:val="center"/>
      <w:outlineLvl w:val="0"/>
    </w:pPr>
    <w:rPr>
      <w:rFonts w:ascii="宋体" w:hAnsi="宋体" w:eastAsia="宋体" w:cs="宋体"/>
      <w:kern w:val="2"/>
      <w:sz w:val="32"/>
      <w:szCs w:val="32"/>
      <w:lang w:val="zh-TW" w:eastAsia="zh-TW" w:bidi="zh-TW"/>
    </w:rPr>
  </w:style>
  <w:style w:type="paragraph" w:customStyle="1" w:styleId="187">
    <w:name w:val="章节三"/>
    <w:basedOn w:val="87"/>
    <w:next w:val="87"/>
    <w:qFormat/>
    <w:uiPriority w:val="0"/>
    <w:pPr>
      <w:spacing w:beforeLines="50" w:afterLines="50"/>
      <w:jc w:val="left"/>
      <w:outlineLvl w:val="2"/>
    </w:pPr>
    <w:rPr>
      <w:rFonts w:ascii="黑体" w:hAnsi="宋体" w:eastAsia="黑体"/>
      <w:b/>
      <w:snapToGrid w:val="0"/>
    </w:rPr>
  </w:style>
  <w:style w:type="paragraph" w:styleId="188">
    <w:name w:val="No Spacing"/>
    <w:basedOn w:val="1"/>
    <w:link w:val="189"/>
    <w:qFormat/>
    <w:uiPriority w:val="0"/>
    <w:rPr>
      <w:szCs w:val="22"/>
    </w:rPr>
  </w:style>
  <w:style w:type="character" w:customStyle="1" w:styleId="189">
    <w:name w:val="无间隔 Char"/>
    <w:link w:val="188"/>
    <w:qFormat/>
    <w:uiPriority w:val="0"/>
    <w:rPr>
      <w:kern w:val="2"/>
      <w:sz w:val="21"/>
      <w:szCs w:val="22"/>
    </w:rPr>
  </w:style>
  <w:style w:type="paragraph" w:customStyle="1" w:styleId="190">
    <w:name w:val="样式 标题 2 + 段前: 1 行 段后: 1 行1"/>
    <w:basedOn w:val="3"/>
    <w:qFormat/>
    <w:uiPriority w:val="0"/>
    <w:pPr>
      <w:tabs>
        <w:tab w:val="left" w:pos="567"/>
      </w:tabs>
      <w:spacing w:beforeLines="100" w:afterLines="100" w:line="360" w:lineRule="auto"/>
      <w:ind w:left="1134" w:hanging="1134"/>
      <w:contextualSpacing/>
      <w:jc w:val="left"/>
    </w:pPr>
    <w:rPr>
      <w:rFonts w:ascii="Calibri" w:hAnsi="Calibri" w:cs="宋体"/>
      <w:b w:val="0"/>
      <w:bCs w:val="0"/>
      <w:kern w:val="0"/>
      <w:sz w:val="30"/>
      <w:szCs w:val="20"/>
    </w:rPr>
  </w:style>
  <w:style w:type="paragraph" w:customStyle="1" w:styleId="191">
    <w:name w:val="样式2"/>
    <w:basedOn w:val="4"/>
    <w:qFormat/>
    <w:uiPriority w:val="0"/>
    <w:rPr>
      <w:i/>
    </w:rPr>
  </w:style>
  <w:style w:type="paragraph" w:customStyle="1" w:styleId="192">
    <w:name w:val="列出段落11"/>
    <w:basedOn w:val="1"/>
    <w:qFormat/>
    <w:uiPriority w:val="34"/>
    <w:pPr>
      <w:ind w:firstLine="420" w:firstLineChars="200"/>
    </w:pPr>
    <w:rPr>
      <w:szCs w:val="21"/>
    </w:rPr>
  </w:style>
  <w:style w:type="paragraph" w:customStyle="1" w:styleId="193">
    <w:name w:val="Char Char"/>
    <w:basedOn w:val="1"/>
    <w:qFormat/>
    <w:uiPriority w:val="0"/>
    <w:rPr>
      <w:sz w:val="30"/>
    </w:rPr>
  </w:style>
  <w:style w:type="paragraph" w:customStyle="1" w:styleId="194">
    <w:name w:val="正文文本 31"/>
    <w:basedOn w:val="1"/>
    <w:qFormat/>
    <w:uiPriority w:val="0"/>
    <w:rPr>
      <w:rFonts w:ascii="宋体"/>
      <w:sz w:val="24"/>
      <w:szCs w:val="20"/>
    </w:rPr>
  </w:style>
  <w:style w:type="paragraph" w:customStyle="1" w:styleId="195">
    <w:name w:val="样式 四号 行距: 1.5 倍行距"/>
    <w:basedOn w:val="1"/>
    <w:qFormat/>
    <w:uiPriority w:val="0"/>
    <w:pPr>
      <w:spacing w:line="360" w:lineRule="auto"/>
      <w:ind w:firstLine="560" w:firstLineChars="200"/>
    </w:pPr>
    <w:rPr>
      <w:rFonts w:cs="宋体"/>
      <w:sz w:val="24"/>
      <w:szCs w:val="20"/>
    </w:rPr>
  </w:style>
  <w:style w:type="paragraph" w:customStyle="1" w:styleId="196">
    <w:name w:val="表格文字"/>
    <w:basedOn w:val="1"/>
    <w:qFormat/>
    <w:uiPriority w:val="0"/>
    <w:pPr>
      <w:adjustRightInd w:val="0"/>
      <w:spacing w:line="420" w:lineRule="atLeast"/>
      <w:jc w:val="left"/>
      <w:textAlignment w:val="baseline"/>
    </w:pPr>
    <w:rPr>
      <w:kern w:val="0"/>
      <w:szCs w:val="20"/>
    </w:rPr>
  </w:style>
  <w:style w:type="paragraph" w:customStyle="1" w:styleId="197">
    <w:name w:val="表格"/>
    <w:basedOn w:val="1"/>
    <w:qFormat/>
    <w:uiPriority w:val="0"/>
    <w:pPr>
      <w:jc w:val="center"/>
      <w:textAlignment w:val="center"/>
    </w:pPr>
    <w:rPr>
      <w:rFonts w:ascii="华文细黑" w:hAnsi="华文细黑"/>
      <w:kern w:val="0"/>
      <w:szCs w:val="20"/>
    </w:rPr>
  </w:style>
  <w:style w:type="paragraph" w:customStyle="1" w:styleId="198">
    <w:name w:val="TOC 标题1"/>
    <w:basedOn w:val="2"/>
    <w:next w:val="1"/>
    <w:unhideWhenUsed/>
    <w:qFormat/>
    <w:uiPriority w:val="39"/>
    <w:pPr>
      <w:widowControl/>
      <w:spacing w:before="240" w:after="0" w:line="259" w:lineRule="auto"/>
      <w:jc w:val="left"/>
      <w:outlineLvl w:val="9"/>
    </w:pPr>
    <w:rPr>
      <w:rFonts w:ascii="Cambria" w:hAnsi="Cambria"/>
      <w:b w:val="0"/>
      <w:bCs w:val="0"/>
      <w:color w:val="365F91"/>
      <w:kern w:val="0"/>
      <w:sz w:val="32"/>
      <w:szCs w:val="32"/>
    </w:rPr>
  </w:style>
  <w:style w:type="paragraph" w:customStyle="1" w:styleId="199">
    <w:name w:val="正文 New New"/>
    <w:qFormat/>
    <w:uiPriority w:val="0"/>
    <w:pPr>
      <w:widowControl w:val="0"/>
      <w:jc w:val="both"/>
    </w:pPr>
    <w:rPr>
      <w:rFonts w:ascii="Times New Roman" w:hAnsi="Times New Roman" w:eastAsia="宋体" w:cs="Times New Roman"/>
      <w:kern w:val="2"/>
      <w:sz w:val="30"/>
      <w:szCs w:val="24"/>
      <w:lang w:val="en-US" w:eastAsia="zh-CN" w:bidi="ar-SA"/>
    </w:rPr>
  </w:style>
  <w:style w:type="character" w:customStyle="1" w:styleId="200">
    <w:name w:val="纯文本 Char"/>
    <w:link w:val="201"/>
    <w:qFormat/>
    <w:uiPriority w:val="99"/>
    <w:rPr>
      <w:rFonts w:ascii="宋体" w:hAnsi="Courier New" w:cs="Courier New"/>
      <w:szCs w:val="21"/>
    </w:rPr>
  </w:style>
  <w:style w:type="paragraph" w:customStyle="1" w:styleId="201">
    <w:name w:val="纯文本2"/>
    <w:basedOn w:val="1"/>
    <w:link w:val="200"/>
    <w:qFormat/>
    <w:uiPriority w:val="99"/>
    <w:rPr>
      <w:rFonts w:ascii="宋体" w:hAnsi="Courier New"/>
      <w:kern w:val="0"/>
      <w:sz w:val="20"/>
      <w:szCs w:val="21"/>
    </w:rPr>
  </w:style>
  <w:style w:type="paragraph" w:customStyle="1" w:styleId="202">
    <w:name w:val="样式 宋体 四号 首行缩进:  2 字符"/>
    <w:basedOn w:val="1"/>
    <w:qFormat/>
    <w:uiPriority w:val="0"/>
    <w:pPr>
      <w:widowControl/>
    </w:pPr>
    <w:rPr>
      <w:rFonts w:cs="宋体"/>
      <w:color w:val="000000"/>
      <w:kern w:val="0"/>
      <w:szCs w:val="20"/>
    </w:rPr>
  </w:style>
  <w:style w:type="character" w:customStyle="1" w:styleId="203">
    <w:name w:val="未处理的提及"/>
    <w:unhideWhenUsed/>
    <w:qFormat/>
    <w:uiPriority w:val="99"/>
    <w:rPr>
      <w:color w:val="605E5C"/>
      <w:shd w:val="clear" w:color="auto" w:fill="E1DFDD"/>
    </w:rPr>
  </w:style>
  <w:style w:type="character" w:customStyle="1" w:styleId="204">
    <w:name w:val="纯文本 字符1"/>
    <w:qFormat/>
    <w:uiPriority w:val="0"/>
    <w:rPr>
      <w:rFonts w:ascii="等线" w:hAnsi="Courier New" w:eastAsia="等线" w:cs="Courier New"/>
      <w:kern w:val="2"/>
      <w:sz w:val="21"/>
      <w:szCs w:val="22"/>
    </w:rPr>
  </w:style>
  <w:style w:type="character" w:customStyle="1" w:styleId="205">
    <w:name w:val="批注文字 字符1"/>
    <w:qFormat/>
    <w:uiPriority w:val="0"/>
    <w:rPr>
      <w:rFonts w:eastAsia="宋体"/>
      <w:kern w:val="2"/>
      <w:sz w:val="21"/>
      <w:szCs w:val="24"/>
      <w:lang w:val="en-US" w:eastAsia="zh-CN" w:bidi="ar-SA"/>
    </w:rPr>
  </w:style>
  <w:style w:type="character" w:customStyle="1" w:styleId="206">
    <w:name w:val="标题 2 字符"/>
    <w:qFormat/>
    <w:uiPriority w:val="0"/>
    <w:rPr>
      <w:rFonts w:ascii="Arial" w:hAnsi="Arial" w:eastAsia="黑体"/>
      <w:b/>
      <w:bCs/>
      <w:kern w:val="2"/>
      <w:sz w:val="32"/>
      <w:szCs w:val="32"/>
    </w:rPr>
  </w:style>
  <w:style w:type="character" w:customStyle="1" w:styleId="207">
    <w:name w:val="标题 3 字符1"/>
    <w:qFormat/>
    <w:uiPriority w:val="0"/>
    <w:rPr>
      <w:rFonts w:ascii="黑体" w:hAnsi="宋体" w:eastAsia="黑体"/>
      <w:bCs/>
      <w:kern w:val="2"/>
      <w:sz w:val="28"/>
      <w:szCs w:val="28"/>
      <w:lang w:val="en-US" w:eastAsia="zh-CN" w:bidi="ar-SA"/>
    </w:rPr>
  </w:style>
  <w:style w:type="character" w:customStyle="1" w:styleId="208">
    <w:name w:val="font11"/>
    <w:qFormat/>
    <w:uiPriority w:val="0"/>
    <w:rPr>
      <w:rFonts w:hint="eastAsia" w:ascii="仿宋" w:hAnsi="仿宋" w:eastAsia="仿宋" w:cs="仿宋"/>
      <w:color w:val="000000"/>
      <w:sz w:val="28"/>
      <w:szCs w:val="28"/>
      <w:u w:val="none"/>
    </w:rPr>
  </w:style>
  <w:style w:type="paragraph" w:customStyle="1" w:styleId="209">
    <w:name w:val="正文1"/>
    <w:qFormat/>
    <w:uiPriority w:val="0"/>
    <w:pPr>
      <w:ind w:firstLine="360"/>
    </w:pPr>
    <w:rPr>
      <w:rFonts w:hint="eastAsia" w:ascii="Calibri" w:hAnsi="Calibri" w:eastAsia="宋体" w:cs="Times New Roman"/>
      <w:sz w:val="22"/>
      <w:lang w:val="en-US" w:eastAsia="en-US" w:bidi="ar-SA"/>
    </w:rPr>
  </w:style>
  <w:style w:type="character" w:customStyle="1" w:styleId="210">
    <w:name w:val="标题 1 字符"/>
    <w:qFormat/>
    <w:uiPriority w:val="0"/>
    <w:rPr>
      <w:rFonts w:eastAsia="宋体"/>
      <w:b/>
      <w:bCs/>
      <w:kern w:val="44"/>
      <w:sz w:val="44"/>
      <w:szCs w:val="44"/>
      <w:lang w:val="en-US" w:eastAsia="zh-CN" w:bidi="ar-SA"/>
    </w:rPr>
  </w:style>
  <w:style w:type="character" w:customStyle="1" w:styleId="211">
    <w:name w:val="标题 4 字符"/>
    <w:qFormat/>
    <w:uiPriority w:val="0"/>
    <w:rPr>
      <w:rFonts w:ascii="Arial" w:hAnsi="Arial" w:eastAsia="黑体"/>
      <w:b/>
      <w:bCs/>
      <w:kern w:val="2"/>
      <w:sz w:val="28"/>
      <w:szCs w:val="28"/>
      <w:lang w:val="en-US" w:eastAsia="zh-CN" w:bidi="ar-SA"/>
    </w:rPr>
  </w:style>
  <w:style w:type="character" w:customStyle="1" w:styleId="212">
    <w:name w:val="文档结构图 字符"/>
    <w:qFormat/>
    <w:uiPriority w:val="0"/>
    <w:rPr>
      <w:rFonts w:eastAsia="宋体"/>
      <w:kern w:val="2"/>
      <w:sz w:val="21"/>
      <w:szCs w:val="24"/>
      <w:lang w:val="en-US" w:eastAsia="zh-CN" w:bidi="ar-SA"/>
    </w:rPr>
  </w:style>
  <w:style w:type="character" w:customStyle="1" w:styleId="213">
    <w:name w:val="正文文本 字符"/>
    <w:qFormat/>
    <w:uiPriority w:val="0"/>
    <w:rPr>
      <w:rFonts w:eastAsia="宋体"/>
      <w:kern w:val="2"/>
      <w:sz w:val="21"/>
      <w:szCs w:val="24"/>
      <w:lang w:val="en-US" w:eastAsia="zh-CN" w:bidi="ar-SA"/>
    </w:rPr>
  </w:style>
  <w:style w:type="character" w:customStyle="1" w:styleId="214">
    <w:name w:val="页脚 字符"/>
    <w:qFormat/>
    <w:uiPriority w:val="0"/>
    <w:rPr>
      <w:rFonts w:eastAsia="宋体"/>
      <w:kern w:val="2"/>
      <w:sz w:val="18"/>
      <w:szCs w:val="18"/>
      <w:lang w:val="en-US" w:eastAsia="zh-CN" w:bidi="ar-SA"/>
    </w:rPr>
  </w:style>
  <w:style w:type="character" w:customStyle="1" w:styleId="215">
    <w:name w:val="页眉 字符"/>
    <w:qFormat/>
    <w:uiPriority w:val="0"/>
    <w:rPr>
      <w:rFonts w:eastAsia="宋体"/>
      <w:kern w:val="2"/>
      <w:sz w:val="18"/>
      <w:szCs w:val="18"/>
      <w:lang w:val="en-US" w:eastAsia="zh-CN" w:bidi="ar-SA"/>
    </w:rPr>
  </w:style>
  <w:style w:type="character" w:customStyle="1" w:styleId="216">
    <w:name w:val="批注主题 字符"/>
    <w:qFormat/>
    <w:uiPriority w:val="0"/>
    <w:rPr>
      <w:rFonts w:eastAsia="宋体"/>
      <w:b/>
      <w:bCs/>
      <w:kern w:val="2"/>
      <w:sz w:val="21"/>
      <w:szCs w:val="24"/>
      <w:lang w:val="en-US" w:eastAsia="zh-CN" w:bidi="ar-SA"/>
    </w:rPr>
  </w:style>
  <w:style w:type="character" w:customStyle="1" w:styleId="217">
    <w:name w:val="正文文本首行缩进 字符"/>
    <w:qFormat/>
    <w:uiPriority w:val="0"/>
    <w:rPr>
      <w:rFonts w:eastAsia="宋体"/>
      <w:kern w:val="2"/>
      <w:sz w:val="21"/>
      <w:szCs w:val="24"/>
      <w:lang w:val="en-US" w:eastAsia="zh-CN" w:bidi="ar-SA"/>
    </w:rPr>
  </w:style>
  <w:style w:type="character" w:customStyle="1" w:styleId="218">
    <w:name w:val="纯文本 字符"/>
    <w:qFormat/>
    <w:uiPriority w:val="0"/>
    <w:rPr>
      <w:rFonts w:ascii="等线" w:hAnsi="Courier New" w:eastAsia="等线" w:cs="Courier New"/>
      <w:kern w:val="2"/>
      <w:sz w:val="21"/>
      <w:szCs w:val="22"/>
    </w:rPr>
  </w:style>
  <w:style w:type="character" w:customStyle="1" w:styleId="219">
    <w:name w:val="标题 3 字符"/>
    <w:qFormat/>
    <w:uiPriority w:val="0"/>
    <w:rPr>
      <w:rFonts w:ascii="黑体" w:hAnsi="宋体" w:eastAsia="黑体"/>
      <w:bCs/>
      <w:kern w:val="2"/>
      <w:sz w:val="28"/>
      <w:szCs w:val="28"/>
      <w:lang w:val="en-US" w:eastAsia="zh-CN" w:bidi="ar-SA"/>
    </w:rPr>
  </w:style>
  <w:style w:type="character" w:customStyle="1" w:styleId="220">
    <w:name w:val="font41"/>
    <w:qFormat/>
    <w:uiPriority w:val="0"/>
    <w:rPr>
      <w:rFonts w:hint="eastAsia" w:ascii="宋体" w:hAnsi="宋体" w:eastAsia="宋体" w:cs="宋体"/>
      <w:color w:val="FF0000"/>
      <w:sz w:val="20"/>
      <w:szCs w:val="20"/>
      <w:u w:val="none"/>
    </w:rPr>
  </w:style>
  <w:style w:type="character" w:customStyle="1" w:styleId="221">
    <w:name w:val="批注文字 字符"/>
    <w:qFormat/>
    <w:uiPriority w:val="0"/>
    <w:rPr>
      <w:rFonts w:eastAsia="宋体"/>
      <w:kern w:val="2"/>
      <w:sz w:val="21"/>
      <w:szCs w:val="24"/>
      <w:lang w:val="en-US" w:eastAsia="zh-CN" w:bidi="ar-SA"/>
    </w:rPr>
  </w:style>
  <w:style w:type="character" w:customStyle="1" w:styleId="222">
    <w:name w:val="font61"/>
    <w:qFormat/>
    <w:uiPriority w:val="0"/>
    <w:rPr>
      <w:rFonts w:ascii="宋体" w:hAnsi="宋体" w:eastAsia="宋体" w:cs="宋体"/>
      <w:b/>
      <w:bCs/>
      <w:color w:val="000000"/>
      <w:sz w:val="24"/>
      <w:szCs w:val="24"/>
      <w:u w:val="none"/>
    </w:rPr>
  </w:style>
  <w:style w:type="character" w:customStyle="1" w:styleId="223">
    <w:name w:val="font81"/>
    <w:qFormat/>
    <w:uiPriority w:val="0"/>
    <w:rPr>
      <w:rFonts w:ascii="宋体" w:hAnsi="宋体" w:eastAsia="宋体" w:cs="宋体"/>
      <w:b/>
      <w:bCs/>
      <w:color w:val="000000"/>
      <w:sz w:val="24"/>
      <w:szCs w:val="24"/>
      <w:u w:val="none"/>
    </w:rPr>
  </w:style>
  <w:style w:type="character" w:customStyle="1" w:styleId="224">
    <w:name w:val="font31"/>
    <w:qFormat/>
    <w:uiPriority w:val="0"/>
    <w:rPr>
      <w:rFonts w:hint="eastAsia" w:ascii="等线" w:hAnsi="等线" w:eastAsia="等线" w:cs="等线"/>
      <w:b/>
      <w:bCs/>
      <w:color w:val="000000"/>
      <w:sz w:val="24"/>
      <w:szCs w:val="24"/>
      <w:u w:val="none"/>
    </w:rPr>
  </w:style>
  <w:style w:type="character" w:customStyle="1" w:styleId="225">
    <w:name w:val="font21"/>
    <w:qFormat/>
    <w:uiPriority w:val="0"/>
    <w:rPr>
      <w:rFonts w:hint="eastAsia" w:ascii="仿宋" w:hAnsi="仿宋" w:eastAsia="仿宋" w:cs="仿宋"/>
      <w:b/>
      <w:color w:val="000000"/>
      <w:sz w:val="28"/>
      <w:szCs w:val="28"/>
      <w:u w:val="none"/>
    </w:rPr>
  </w:style>
  <w:style w:type="paragraph" w:customStyle="1" w:styleId="226">
    <w:name w:val="_Style 106"/>
    <w:basedOn w:val="1"/>
    <w:next w:val="192"/>
    <w:qFormat/>
    <w:uiPriority w:val="99"/>
    <w:pPr>
      <w:ind w:firstLine="420" w:firstLineChars="200"/>
    </w:pPr>
    <w:rPr>
      <w:rFonts w:ascii="黑体" w:hAnsi="黑体" w:eastAsia="等线" w:cs="黑体"/>
    </w:rPr>
  </w:style>
  <w:style w:type="paragraph" w:customStyle="1" w:styleId="227">
    <w:name w:val="纯文本11"/>
    <w:basedOn w:val="161"/>
    <w:qFormat/>
    <w:uiPriority w:val="0"/>
    <w:rPr>
      <w:rFonts w:ascii="宋体" w:hAnsi="宋体" w:eastAsia="宋体" w:cs="Courier New"/>
      <w:sz w:val="20"/>
      <w:lang w:val="zh-CN"/>
    </w:rPr>
  </w:style>
  <w:style w:type="paragraph" w:customStyle="1" w:styleId="228">
    <w:name w:val="_Style 64"/>
    <w:semiHidden/>
    <w:qFormat/>
    <w:uiPriority w:val="99"/>
    <w:rPr>
      <w:rFonts w:ascii="Times New Roman" w:hAnsi="Times New Roman" w:eastAsia="宋体" w:cs="Times New Roman"/>
      <w:kern w:val="2"/>
      <w:sz w:val="21"/>
      <w:szCs w:val="24"/>
      <w:lang w:val="en-US" w:eastAsia="zh-CN" w:bidi="ar-SA"/>
    </w:rPr>
  </w:style>
  <w:style w:type="character" w:customStyle="1" w:styleId="229">
    <w:name w:val="无间隔 字符"/>
    <w:qFormat/>
    <w:uiPriority w:val="0"/>
    <w:rPr>
      <w:rFonts w:eastAsia="等线"/>
      <w:kern w:val="2"/>
      <w:sz w:val="21"/>
      <w:szCs w:val="22"/>
    </w:rPr>
  </w:style>
  <w:style w:type="character" w:customStyle="1" w:styleId="230">
    <w:name w:val="NormalCharacter"/>
    <w:qFormat/>
    <w:uiPriority w:val="0"/>
    <w:rPr>
      <w:rFonts w:ascii="等线" w:hAnsi="等线" w:eastAsia="等线"/>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073"/>
    <customShpInfo spid="_x0000_s3074"/>
    <customShpInfo spid="_x0000_s3075"/>
    <customShpInfo spid="_x0000_s3076"/>
    <customShpInfo spid="_x0000_s3077"/>
    <customShpInfo spid="_x0000_s307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627168-C2F8-442E-B51A-AAB9F0352EAD}">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78</Pages>
  <Words>34080</Words>
  <Characters>35625</Characters>
  <Lines>375</Lines>
  <Paragraphs>105</Paragraphs>
  <TotalTime>0</TotalTime>
  <ScaleCrop>false</ScaleCrop>
  <LinksUpToDate>false</LinksUpToDate>
  <CharactersWithSpaces>36331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2025-04-16T09:45:00Z</dcterms:created>
  <dc:creator>Administrator.PC-20180504QPQA</dc:creator>
  <cp:lastModifiedBy>Y</cp:lastModifiedBy>
  <cp:lastPrinted>2025-04-15T02:55:00Z</cp:lastPrinted>
  <dcterms:modified xsi:type="dcterms:W3CDTF">2025-05-23T10:37:29Z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B8EA4365A8A740CFAA9B4996D1B87887_13</vt:lpwstr>
  </property>
  <property fmtid="{D5CDD505-2E9C-101B-9397-08002B2CF9AE}" pid="4" name="_IPGFID">
    <vt:lpwstr>[DocID]=8344FC4A-4F9C-49AD-9CE9-F956303EC7F1</vt:lpwstr>
  </property>
  <property fmtid="{D5CDD505-2E9C-101B-9397-08002B2CF9AE}" pid="5" name="_IPGFLOW_P-B8DB_E-0_CV-69922C53_CN-A466F6FC">
    <vt:lpwstr>DPFPMK|3|50|22|0</vt:lpwstr>
  </property>
  <property fmtid="{D5CDD505-2E9C-101B-9397-08002B2CF9AE}" pid="6" name="_IPGFLOW_P-B8DB_E-1_FP-1_SP-1_CV-3ECB523E_CN-9C84A972">
    <vt:lpwstr>3NeEUfaPbncEMediD2xJ21omqjulENWv002rOTRz+GEkoGvCqGFGgQyRmudOFmG17EiAc8oy0CMErOG9BaVJ1N9tq0eM0Z1o7Qfww/LtvayjBtQITOjH06ohzssbaxol6aoAN2Ua9IrTt+FS4ESTyXUEc1wf9UwXn9BHyTU/mhKZbF1bSgs8PIee8N96DgkdgdVHVhFvo5+dWKQF5pF33oyEiUvxjiv3jKXNGkipzXDAxaSmP/RWhfCDKDzIydW</vt:lpwstr>
  </property>
  <property fmtid="{D5CDD505-2E9C-101B-9397-08002B2CF9AE}" pid="7" name="_IPGFLOW_P-B8DB_E-1_FP-1_SP-2_CV-ABE75BC0_CN-B6567568">
    <vt:lpwstr>QtrKW0yB7T9o8e7TavdxRDW4sMN11x5MIZP4sPCIsPESt4dFtnzWNeaiqwlk5Cmi+HZhVRV9F1fQs0+/iHjr4JohJBnmgYjPOj8BdXTH6g2g=</vt:lpwstr>
  </property>
  <property fmtid="{D5CDD505-2E9C-101B-9397-08002B2CF9AE}" pid="8" name="_IPGFLOW_P-B8DB_E-0_FP-1_CV-2D4294F3_CN-602ECAF1">
    <vt:lpwstr>DPSPMK|3|364|2|0</vt:lpwstr>
  </property>
  <property fmtid="{D5CDD505-2E9C-101B-9397-08002B2CF9AE}" pid="9" name="_IPGFLOW_P-B8DB_E-1_FP-2_SP-1_CV-6DBA754A_CN-F3035465">
    <vt:lpwstr>3NeEUfaPbncEMediD2xJ228hxV8ISuEtFTWWQ0N8ExJLhBKH4fFfqoaH9AzCrM57VpCMm03FADQfka1uRoyABMqJaoh0ZCTNMr8MN7Fr2p0Qc85QpfpE2+rstepbYvOKFzKusZ4sH219ektfZG+aQkgVv4lQ00jsEVB7HQhCAyc7dJbiNVwnJ4bIWR2SW1nBMjVl1lVX3TG4foYqEQweIzGWIIXlgA8KV/gVD9CGymPoqy/Y8SuQ+Bv8JSQzfPH</vt:lpwstr>
  </property>
  <property fmtid="{D5CDD505-2E9C-101B-9397-08002B2CF9AE}" pid="10" name="_IPGFLOW_P-B8DB_E-1_FP-2_SP-2_CV-9A5AD69_CN-2C8DAB77">
    <vt:lpwstr>CNsz6L/d04z7Mod5fArwt1TvuZOcayG1hEf70iirTUG3PS6SD7UUGu6YZPWkMPkNKchaST8EJuXYbXfLxTpxZbDrIknevFYQrk6aDUnFlyuo=</vt:lpwstr>
  </property>
  <property fmtid="{D5CDD505-2E9C-101B-9397-08002B2CF9AE}" pid="11" name="_IPGFLOW_P-B8DB_E-0_FP-2_CV-2D4294F3_CN-DDE4A63F">
    <vt:lpwstr>DPSPMK|3|364|2|0</vt:lpwstr>
  </property>
  <property fmtid="{D5CDD505-2E9C-101B-9397-08002B2CF9AE}" pid="12" name="_IPGFLOW_P-B8DB_E-1_FP-3_SP-1_CV-D8BC1B0D_CN-C3FF8DD4">
    <vt:lpwstr>3NeEUfaPbncEMediD2xJ21qklaHa0i4ZhUvjEmFM2rb18TtVtVY+4GuOtezDnSoMBYpnA85+G/1/VvXT8WtbXBEILDrxJ0TbAnc/DQkvlOH9MYlwkf7Pomicsszjm9lEf/ybbsbVzpmbAf+mkoY2mhIGENCWeyGigtAhFgkaI3VH4oy7K1PhfyyH227T+V6BnVpTWLxBL+avHmmi2Ke2FtJXr1/78fHv6uVM8ZPH6ZrPdKHH5zyt08nTGDJq40W</vt:lpwstr>
  </property>
  <property fmtid="{D5CDD505-2E9C-101B-9397-08002B2CF9AE}" pid="13" name="_IPGFLOW_P-B8DB_E-1_FP-3_SP-2_CV-B2FE1203_CN-926B8CAA">
    <vt:lpwstr>AmiM+A6Tsaa5k4p2aDSLvMEC7uuHfbvxsoJjLoPsBAHAQsD0i+b6OAR/OT4GVib7x7HUPoP2S6rPh9ZMyJf5M3iRXT25F66GxaX33c2WJsxo=</vt:lpwstr>
  </property>
  <property fmtid="{D5CDD505-2E9C-101B-9397-08002B2CF9AE}" pid="14" name="_IPGFLOW_P-B8DB_E-0_FP-3_CV-2D4294F3_CN-727FBA">
    <vt:lpwstr>DPSPMK|3|364|2|0</vt:lpwstr>
  </property>
  <property fmtid="{D5CDD505-2E9C-101B-9397-08002B2CF9AE}" pid="15" name="_IPGFLOW_P-B8DB_E-1_FP-4_SP-1_CV-DEFCBDB9_CN-7A451178">
    <vt:lpwstr>3NeEUfaPbncEMediD2xJ292ZOhbx6lu0QWrTVH2Ktmw/ubbpuVXbMciy1309TmA6WmwmkLtmQpJeYfXijzZY3t+4UD9ePhMPX6xddYMSW1uVr7DdrEibWnkdvLkHVex4agYZrSZM1BEGGL9TfjvrqrDfAr96xi4AafnysS9SQDB6k/BjVXhBdisyFjpRWDq3CubCIN873QDmqy3n6HgX12nnCQf19sf7YhwB2RECjz718wIHzvU9HPnHkHdJgxK</vt:lpwstr>
  </property>
  <property fmtid="{D5CDD505-2E9C-101B-9397-08002B2CF9AE}" pid="16" name="_IPGFLOW_P-B8DB_E-1_FP-4_SP-2_CV-6FDAA7DB_CN-FA957578">
    <vt:lpwstr>scpSB3aUZCha/+uuM/bXGXghePb96hpQ6xcBrDCo/yCXL06Ki5TvTkdpnDmPstTouaWa5QVc24Ctip0k1+7HVq9fT3W2wtWVu9P6pCAuN48k=</vt:lpwstr>
  </property>
  <property fmtid="{D5CDD505-2E9C-101B-9397-08002B2CF9AE}" pid="17" name="_IPGFLOW_P-B8DB_E-0_FP-4_CV-2D4294F3_CN-7D0179E2">
    <vt:lpwstr>DPSPMK|3|364|2|0</vt:lpwstr>
  </property>
  <property fmtid="{D5CDD505-2E9C-101B-9397-08002B2CF9AE}" pid="18" name="_IPGFLOW_P-B8DB_E-1_FP-5_SP-1_CV-96BA204A_CN-81EFBF76">
    <vt:lpwstr>3NeEUfaPbncEMediD2xJ27R0OTOY83cJYwhaGHrZc4KPboYSqwVrYy9ljncosA9GkWDrKCt71fnp5NqipjCPuBmB6SWB/5T/J0LLxYS8Ge6g2X2dbce+2B5XRiE8/L4zwyTBWUK15MqPKgEzCCxdezcaj4yM25p4J8AS0584YnCb1r4rlhY762qTbebnzKy89peKZrhXbgJk1RZKFR4IgC/z7KIKP9xLcnrqjVmQD3p26SUZHoApLlbxSEvuyN1</vt:lpwstr>
  </property>
  <property fmtid="{D5CDD505-2E9C-101B-9397-08002B2CF9AE}" pid="19" name="_IPGFLOW_P-B8DB_E-1_FP-5_SP-2_CV-26EF853B_CN-7154C6B4">
    <vt:lpwstr>zjU1VlXEnRpDISnkEGevYav0MNVjEAyK6M3iiDwrcho/okOo2PzMBJa62JuD/2P4OqKCKRMyiHjhKwYPdKxROglxilCTvB5lXnZemFVecGY57BhTdqDSiAiu0cDnrllr0</vt:lpwstr>
  </property>
  <property fmtid="{D5CDD505-2E9C-101B-9397-08002B2CF9AE}" pid="20" name="_IPGFLOW_P-B8DB_E-0_FP-5_CV-1748F583_CN-3A0AFB16">
    <vt:lpwstr>DPSPMK|3|384|2|0</vt:lpwstr>
  </property>
  <property fmtid="{D5CDD505-2E9C-101B-9397-08002B2CF9AE}" pid="21" name="_IPGFLOW_P-B8DB_E-1_FP-6_SP-1_CV-15529D7_CN-54559DFA">
    <vt:lpwstr>3NeEUfaPbncEMediD2xJ2y8i91dbNNq5e+vGPfFEGmeS3rGMHRJ1Wy0wBhdHRyFrjI7/NlmRS0bPPLWe19NlV3nExrmT33i4F6DeCcCa2VuXZqjHvBsHNP9N52juuE/+p82Aanz7SYbjpeSUn8ZMdqg3hnFdN1l8qsRj6kvBZDshtzfxDep9XfpjhfUT6CHTUOOSbieHEotrTIOLEnjKrifn5ZYZri/D7b6sre000qJypYFIGykiIrK8JTBGrCf</vt:lpwstr>
  </property>
  <property fmtid="{D5CDD505-2E9C-101B-9397-08002B2CF9AE}" pid="22" name="_IPGFLOW_P-B8DB_E-1_FP-6_SP-2_CV-5E057A32_CN-F2947FF2">
    <vt:lpwstr>1x2LUdcqH25+ma3RJawwcek7VFeTVAPd3GWkZ3uNfr8qdYmBjwfFqOS0TVHz5P87LQBGfBZqYyMgSSP0vjECwsJTbXnBVNd2oolf1fNuTb3U=</vt:lpwstr>
  </property>
  <property fmtid="{D5CDD505-2E9C-101B-9397-08002B2CF9AE}" pid="23" name="_IPGFLOW_P-B8DB_E-0_FP-6_CV-2D4294F3_CN-1D5DCCA9">
    <vt:lpwstr>DPSPMK|3|364|2|0</vt:lpwstr>
  </property>
  <property fmtid="{D5CDD505-2E9C-101B-9397-08002B2CF9AE}" pid="24" name="_IPGFLOW_P-B8DB_E-1_FP-7_SP-1_CV-1D03253B_CN-395214B1">
    <vt:lpwstr>r03wc0g3rwqXAufu4Jeaq7Bf2mZOBaIwjqUTDiRqYcSpOigBsdd2HkEYpcZYxAkk2t3MvHdowhM/7XBeSSA+dhdoHoaxMF3LlimN1kckc563sydaOaIZZYRYUK6Ld+U6//L+ZzhKRUukUBJBG24hO75VNa9JivJVf2b4bizkurVWfdMxGZ/4JsdcSVkdMVxzC8KmJpzvwA8P4QNasyVqvHE4ey2X7san6pmGZGBW4NHF8ODEQsqcFdsx1qoZ8LI</vt:lpwstr>
  </property>
  <property fmtid="{D5CDD505-2E9C-101B-9397-08002B2CF9AE}" pid="25" name="_IPGFLOW_P-B8DB_E-1_FP-7_SP-2_CV-366BD836_CN-BE454D54">
    <vt:lpwstr>royJZ+wMwvGraN21uQ7rl0RWhZ9iQ78oRVrLEAv0BA7sQH/ZzPMPaI5HzoyjInZ9Sw8pIqsuIH0lTpJgPQunXTJI1D0gfy6EMKQkansBtAuE=</vt:lpwstr>
  </property>
  <property fmtid="{D5CDD505-2E9C-101B-9397-08002B2CF9AE}" pid="26" name="_IPGFLOW_P-B8DB_E-0_FP-7_CV-2D4294F3_CN-C0CB152C">
    <vt:lpwstr>DPSPMK|3|364|2|0</vt:lpwstr>
  </property>
  <property fmtid="{D5CDD505-2E9C-101B-9397-08002B2CF9AE}" pid="27" name="_IPGFLOW_P-B8DB_E-1_FP-8_SP-1_CV-F93030C8_CN-4ABD59F">
    <vt:lpwstr>r03wc0g3rwqXAufu4Jeaq3YOsyu2xVACP1Xjj8Klh96esQCitrhZsme3Lc9erY2OOO+MmL9LTbsUm/NJB8iKM6nbjI7wPn2qHLFJnF6l4b9GphkxnBkvVw8LwSmWJWCVsOMrA5yFsrY+zFFYCfqnVLyDUCWKg44y3hVAswDGN3W1HDbJjMmpnlqLrmfcHmrfFsVfbpRfE/hANeJYvDrz32elKy3glXtfCLGqJEeRq0AZsngaLxEvuQjjI7ucBDi</vt:lpwstr>
  </property>
  <property fmtid="{D5CDD505-2E9C-101B-9397-08002B2CF9AE}" pid="28" name="_IPGFLOW_P-B8DB_E-1_FP-8_SP-2_CV-4E7ED9F1_CN-2BED5701">
    <vt:lpwstr>rwMtAZ/EYq+j2rMrRYR06bXsU4JHNxFtT5DwosruQoJDB0RKQGr5eeJb7Z8g0ZzHi9VfEZskdvCUU18Dem78i8OAELrSWkfvTdV7WZvqoB2E=</vt:lpwstr>
  </property>
  <property fmtid="{D5CDD505-2E9C-101B-9397-08002B2CF9AE}" pid="29" name="_IPGFLOW_P-B8DB_E-0_FP-8_CV-2D4294F3_CN-E7BBC019">
    <vt:lpwstr>DPSPMK|3|364|2|0</vt:lpwstr>
  </property>
  <property fmtid="{D5CDD505-2E9C-101B-9397-08002B2CF9AE}" pid="30" name="_IPGFLOW_P-B8DB_E-1_FP-9_SP-1_CV-E6F015A4_CN-5F93ACCF">
    <vt:lpwstr>r03wc0g3rwqXAufu4Jeaq6ie0eNDYwzdwsaHP5sN+uz4Y+AgBzlT9B7/FMf0/vpDlXORBoh19t6NmwiiiwFoDXxoHxXXEjB7AtKdTWIS03bsckuMcqLPVre62oc2sN4AvEDoSkPa73iSQYScmnbIVg8ULKHOAIrRggQ3cOaZSfYLsOAugCrQ/5xE5dlStAhR0rRKHPbMMMSipy+KqGVmvJP6k4Wi6VkJgfJG9tSo8e7nQWm8NTh3rsGLs0rzGl4</vt:lpwstr>
  </property>
  <property fmtid="{D5CDD505-2E9C-101B-9397-08002B2CF9AE}" pid="31" name="_IPGFLOW_P-B8DB_E-1_FP-9_SP-2_CV-F7C1C2B1_CN-3832AD8B">
    <vt:lpwstr>C/7RlQdoJDolgh8OpOtnU3FtqnWvLMHkXBppcxMQL9io7RYognB5aeyiEkclvHrkQvq4OJgr5o3mV86VUrtpMoImcrtpBAvinqb49EzMpnyM=</vt:lpwstr>
  </property>
  <property fmtid="{D5CDD505-2E9C-101B-9397-08002B2CF9AE}" pid="32" name="_IPGFLOW_P-B8DB_E-0_FP-9_CV-2D4294F3_CN-3A2D199C">
    <vt:lpwstr>DPSPMK|3|364|2|0</vt:lpwstr>
  </property>
  <property fmtid="{D5CDD505-2E9C-101B-9397-08002B2CF9AE}" pid="33" name="_IPGFLOW_P-B8DB_E-1_FP-A_SP-1_CV-A66A5C8D_CN-BB966CF9">
    <vt:lpwstr>r03wc0g3rwqXAufu4Jeaq61jxTZcaiVMkcAlmjOgzknBPR5yfAcx7LIEmvuq/IkTUllXWygmGl4SuzDvxtpOT2UgKnH92VOJSrstTlKw+p+rAalENiUmbaqyd75mes0Kb/ykL0lOtu9NB7ffm8zJ7o1BmQM4XcaHNMVG68UZ3qsN7wvMNAvvaCfzrcdh2ZkK7E+wlogYlMiyceS7qlRdDsOtOTIkKUikBEgTgHpA1z/Zh187OCXrWaANSTq64NF</vt:lpwstr>
  </property>
  <property fmtid="{D5CDD505-2E9C-101B-9397-08002B2CF9AE}" pid="34" name="_IPGFLOW_P-B8DB_E-1_FP-A_SP-2_CV-AEDA937E_CN-738E9DFA">
    <vt:lpwstr>9o24Rg4LmwNM3UFyASpZmA2wmCPvFBxON6DoJug2WdBzytmrs0NRQzaIq5xuEu/Aat2s1wDl61F3zry+dXoFVfHpHLKgv0NtS2Kp4XmqKt2w=</vt:lpwstr>
  </property>
  <property fmtid="{D5CDD505-2E9C-101B-9397-08002B2CF9AE}" pid="35" name="_IPGFLOW_P-B8DB_E-0_FP-A_CV-2D4294F3_CN-DADAB675">
    <vt:lpwstr>DPSPMK|3|364|2|0</vt:lpwstr>
  </property>
  <property fmtid="{D5CDD505-2E9C-101B-9397-08002B2CF9AE}" pid="36" name="_IPGFLOW_P-B8DB_E-1_FP-B_SP-1_CV-6107DA86_CN-FCE5E269">
    <vt:lpwstr>r03wc0g3rwqXAufu4Jeaq4DJa7NDuKwo/UbKqXEPyFzEZ+/jeMHI8YzkclpwcktyIETyv+RiyaLyWSk6E/Q7dtAE6A8FCegI4BTXRA615bgTc3anX5/vuPfltZ3KT+J8r9pdny3fwE0VvVxG8fUKlizPf+hV2m1TvcwKD8tQzMDtdeLuqwR1GyoXIAZmmvH1HtTEhs3VupB/flaLBPhwW3sXWVWiBBhi69LIchaMDJYefvXonBFTZ9Tqrox2DHQ</vt:lpwstr>
  </property>
  <property fmtid="{D5CDD505-2E9C-101B-9397-08002B2CF9AE}" pid="37" name="_IPGFLOW_P-B8DB_E-1_FP-B_SP-2_CV-8D38C333_CN-B70D2FA5">
    <vt:lpwstr>4Sv4XiftB8YU8WohXQrPnFEcV4VYCM2byyR88PEdLJqxGY+ODtb6N/y13Ktw+dZxGWiVz40MMi6mXO9ZkDxs/aGFbbYQ2vNLgqiE9ZIgdGAI=</vt:lpwstr>
  </property>
  <property fmtid="{D5CDD505-2E9C-101B-9397-08002B2CF9AE}" pid="38" name="_IPGFLOW_P-B8DB_E-0_FP-B_CV-2D4294F3_CN-6710DABB">
    <vt:lpwstr>DPSPMK|3|364|2|0</vt:lpwstr>
  </property>
  <property fmtid="{D5CDD505-2E9C-101B-9397-08002B2CF9AE}" pid="39" name="_IPGFLOW_P-B8DB_E-1_FP-C_SP-1_CV-7AB21212_CN-61865E70">
    <vt:lpwstr>r03wc0g3rwqXAufu4Jeaq2B8+ORof2efwPBt85Jat0Oq8jw2k07amgzE0gTLfgWIelu3R41hDNYvQtXMEgGqKIswTr/mST3ntIsqIg1xTb9AbkYz878UKAdcGKeUbA/qgpLgHN7p2WqXyJEd9ZBVcnsYFOpeBede0uAU9FA5a9o8tM7yKq13D/UZpRmrHlbWhcGfm/BqjtuPXYFAtCfXQkoFv6kk+cW9wgNAgHPQj8qE5bgJgmCLKGG9ijdjuPX</vt:lpwstr>
  </property>
  <property fmtid="{D5CDD505-2E9C-101B-9397-08002B2CF9AE}" pid="40" name="_IPGFLOW_P-B8DB_E-1_FP-C_SP-2_CV-E52F2187_CN-9C3545D4">
    <vt:lpwstr>LkyUiRO7jaqtKOd4govo+jLq1ntQHuKQlIMEGbNZShDJJU2yhiHGYSbEKVxQw1kcJ/CCMjFJxdMeqXW55/w6Zs703RKKI7HO5N9dTNp7A/fU=</vt:lpwstr>
  </property>
  <property fmtid="{D5CDD505-2E9C-101B-9397-08002B2CF9AE}" pid="41" name="_IPGFLOW_P-B8DB_E-0_FP-C_CV-2D4294F3_CN-BA86033E">
    <vt:lpwstr>DPSPMK|3|364|2|0</vt:lpwstr>
  </property>
  <property fmtid="{D5CDD505-2E9C-101B-9397-08002B2CF9AE}" pid="42" name="_IPGFLOW_P-B8DB_E-1_FP-D_SP-1_CV-BA370855_CN-23A528E0">
    <vt:lpwstr>r03wc0g3rwqXAufu4Jeaq9+1Iq5r834iFeUVik2JaAYwKc4bfDu37e5Xjg4l1F/BrL0Kdm9JGiccny6elrRDDuwuJmikvicqVHTzdGH5tuw3ph8jj3fHrE1gagrRxJL8kFU2v1Sqr5catxvtRbYmjdTaHiaB17JDvUBA98EtLg50pM0vuf2F+HHJqnltoD2KrA89dNa/d3xWl4ShUCxKt2oOfIROXQzw67SvQG/8Kx/HyEmL+U1foF+TdvPuCMM</vt:lpwstr>
  </property>
  <property fmtid="{D5CDD505-2E9C-101B-9397-08002B2CF9AE}" pid="43" name="_IPGFLOW_P-B8DB_E-1_FP-D_SP-2_CV-9B12E56C_CN-1DE7B939">
    <vt:lpwstr>H4RLZLDxBXuuGWZoMXfOwoS4ngCWnY/10X4WnsnpbTU3jiVlA9iKi6aNN7Iyp56RR1QC8DUikKtYCORUT/eBbGVirQ+qn7KSzqrbFIGPilfI=</vt:lpwstr>
  </property>
  <property fmtid="{D5CDD505-2E9C-101B-9397-08002B2CF9AE}" pid="44" name="_IPGFLOW_P-B8DB_E-0_FP-D_CV-2D4294F3_CN-C7F50566">
    <vt:lpwstr>DPSPMK|3|364|2|0</vt:lpwstr>
  </property>
  <property fmtid="{D5CDD505-2E9C-101B-9397-08002B2CF9AE}" pid="45" name="_IPGFLOW_P-B8DB_E-1_FP-E_SP-1_CV-A1BF5482_CN-BFD2BC6A">
    <vt:lpwstr>r03wc0g3rwqXAufu4Jeaq0D5mFtjmho6Y40sAAx5HUhGIJDGuiZf1XQKwK5BaMqM/E65M5v43BNaldbrfDfQG9U2Vd5AogLUfg9kxd2GRuaMHS3/jn9FSU/RXhM+qOJoHLZonjwkG/r6QW/958i4zrAoViBHtfmuGIAxwbhgnusEYbK7AAtynjcSzyEbmszuCXwJ2JMoj/Pnb0CtLh/ndrULI/F6eZhXvBws1+NjaAkYsL/LxUIvjK2jN/4UgQK</vt:lpwstr>
  </property>
  <property fmtid="{D5CDD505-2E9C-101B-9397-08002B2CF9AE}" pid="46" name="_IPGFLOW_P-B8DB_E-1_FP-E_SP-2_CV-27F8E858_CN-A93AA1FE">
    <vt:lpwstr>QGC1SlkurcPOxTXU8C2ShXW+sohz5la4R7nTUX19zE+Fdalt+DFJVIcytJRPyG0z2ofG/Lo+oCRBRLSLoPnzI3b85OqfRZMhwJiaQLkQHtvk=</vt:lpwstr>
  </property>
  <property fmtid="{D5CDD505-2E9C-101B-9397-08002B2CF9AE}" pid="47" name="_IPGFLOW_P-B8DB_E-0_FP-E_CV-2D4294F3_CN-1A63DCE3">
    <vt:lpwstr>DPSPMK|3|364|2|0</vt:lpwstr>
  </property>
  <property fmtid="{D5CDD505-2E9C-101B-9397-08002B2CF9AE}" pid="48" name="_IPGFLOW_P-B8DB_E-1_FP-F_SP-1_CV-53801D9B_CN-A4776BF9">
    <vt:lpwstr>r03wc0g3rwqXAufu4Jeaq0Ozq1kBqO+SZMSJ8R3Xf5K7BMSVftsOi78h8oMFEiVszOrKRQ6Jcgq3EOOI3/TKindMKqcgibSh6XvtKgw8ZG+nTweVbRGUah+hmUacKjClPuoiRIYNPvwzuvk6h9myAZZKKgLegoiV8dAYERN4y9cX+wOAIpeWj5EtgIzo9fZmhO1oPlHwBEgLOJihhFL55zKGGsp0x8XIRqYjY3eDFAF1cfGrl71gWpLg3gV5xnN</vt:lpwstr>
  </property>
  <property fmtid="{D5CDD505-2E9C-101B-9397-08002B2CF9AE}" pid="49" name="_IPGFLOW_P-B8DB_E-1_FP-F_SP-2_CV-28EBF726_CN-3112D5A6">
    <vt:lpwstr>GY+O/ZDh5mYVfUeWrBvtuB2w99IAoCYWBxRw9qjQAhUhRwcebLnbM3xPFpWY3LdK6o3tRFpBqZOCqvsFbWGkVLLdbsxad4fjakxz85aZbxLA=</vt:lpwstr>
  </property>
  <property fmtid="{D5CDD505-2E9C-101B-9397-08002B2CF9AE}" pid="50" name="_IPGFLOW_P-B8DB_E-0_FP-F_CV-2D4294F3_CN-A7A9B02D">
    <vt:lpwstr>DPSPMK|3|364|2|0</vt:lpwstr>
  </property>
  <property fmtid="{D5CDD505-2E9C-101B-9397-08002B2CF9AE}" pid="51" name="_IPGFLOW_P-B8DB_E-1_FP-10_SP-1_CV-7A656E2D_CN-186116C6">
    <vt:lpwstr>r03wc0g3rwqXAufu4JeaqxOexXAJTvCCf1HkpCQGBch/QMBSDTk71CSADwE9ZNhAey+zy60Ut1O0oSG0bMIdBbvAznPihlOzs9ArJB5+D7uiNs1r4AIfNwf840YNTi66LSxfe7VA5RyntcGpIIYbG40OQCWQht8l3+uWCXo4DBVji1Jr1dmpzMTjugle7tx3sEK3+IB//f8n/GY8ZvbTkRvjsFQNYB4wsDtLws1oA7r/q4FarCNF4Lckfrr7Hsd</vt:lpwstr>
  </property>
  <property fmtid="{D5CDD505-2E9C-101B-9397-08002B2CF9AE}" pid="52" name="_IPGFLOW_P-B8DB_E-1_FP-10_SP-2_CV-2B3DAF12_CN-2E39978B">
    <vt:lpwstr>xywjLj7iBBPGFpo+rioPEf+Vu0WyYq7sgJcSfxnoGBwP9IMQihgAjaYBgcr6jrks/PQsxaho1w8SimB/8FRT5tHxjs+9/Gox+xx4PgVpYneM=</vt:lpwstr>
  </property>
  <property fmtid="{D5CDD505-2E9C-101B-9397-08002B2CF9AE}" pid="53" name="_IPGFLOW_P-B8DB_E-0_FP-10_CV-2D4294F3_CN-F56125EB">
    <vt:lpwstr>DPSPMK|3|364|2|0</vt:lpwstr>
  </property>
  <property fmtid="{D5CDD505-2E9C-101B-9397-08002B2CF9AE}" pid="54" name="_IPGFLOW_P-B8DB_E-1_FP-11_SP-1_CV-90F086CE_CN-9C2F3220">
    <vt:lpwstr>r03wc0g3rwqXAufu4Jeaq7ZJQOwNG+tYzW4RuXClWPTsM6exGbgmHKmNabAh8a3eGTMGXXzADC6jOYmjeQfmhhVysBgq/JWjpcYICCKlXJj+WdfEqek8eWYCEB1pjHx05EWAPFbAT2FPZP/pIhF5D3pk2QKzs2Rs4/0oO1HOZWrF2h1IwQIT+Bw/FXDvfinh4cFTSFAFjLEJ40b5VkoiPFsaVN2Kk7rDFATK19e0PPs4du6/qsPPIpy4sJWjs9m</vt:lpwstr>
  </property>
  <property fmtid="{D5CDD505-2E9C-101B-9397-08002B2CF9AE}" pid="55" name="_IPGFLOW_P-B8DB_E-1_FP-11_SP-2_CV-2B4D068E_CN-44BFE1AD">
    <vt:lpwstr>G5QZefvlRCo55Tsukbb+wSg2sy3kahtzlfS5B2p/kZTJhRjhhH1x6Kclhxt+1EVDEUgGYpDctW8pCvPGtMyqloJXnC1DKKo9l1W9tUv3oEGtLSEaotLRS4Cp5teUwCoAA</vt:lpwstr>
  </property>
  <property fmtid="{D5CDD505-2E9C-101B-9397-08002B2CF9AE}" pid="56" name="_IPGFLOW_P-B8DB_E-0_FP-11_CV-1748F583_CN-B26AA71F">
    <vt:lpwstr>DPSPMK|3|384|2|0</vt:lpwstr>
  </property>
  <property fmtid="{D5CDD505-2E9C-101B-9397-08002B2CF9AE}" pid="57" name="_IPGFLOW_P-B8DB_E-1_FP-12_SP-1_CV-377C26CC_CN-DA1CCC2E">
    <vt:lpwstr>AR/Ei7b1WNEmQrFsxVP8Nk/6ikXa69FPHa3VGza8wWMq90zWsg6OErRbXviRahxOqK4GHpvCBmtvn73Q0p90+a2TT5qbnLTxyw99+YodWWZs4P7lyH4Q2dS5ohKq4ow2BpUcKaJbIyvl0V+kHtv2Ipdfx56Apsc/MdoWRgvvENl/hxUl/CzCKpoR47w2k7M33foWrCJr2HHv1XSYv2verNPErjGiD9X5eJCX7S5sqLIu44+FtvYL/BFptG6K5fM</vt:lpwstr>
  </property>
  <property fmtid="{D5CDD505-2E9C-101B-9397-08002B2CF9AE}" pid="58" name="_IPGFLOW_P-B8DB_E-1_FP-12_SP-2_CV-A65E51B6_CN-4CB0F3DC">
    <vt:lpwstr>MG39x43pLpie5WRd4ySTA3O5ea+VBEpKV7Ij4yCMTDK8NY+pNKagJoZcLd1F4/ehcqndZGS0OQjx63MRsTUIqeTiTjUTNvasE3DH0UNjY/CgWm7tgarEmKEdJCI4v+1pvcZA0CKx2D/0zBJ8SLEFvpA==</vt:lpwstr>
  </property>
  <property fmtid="{D5CDD505-2E9C-101B-9397-08002B2CF9AE}" pid="59" name="_IPGFLOW_P-B8DB_E-0_FP-12_CV-FB4CA461_CN-75FF6326">
    <vt:lpwstr>DPSPMK|3|408|2|0</vt:lpwstr>
  </property>
  <property fmtid="{D5CDD505-2E9C-101B-9397-08002B2CF9AE}" pid="60" name="_IPGFLOW_P-B8DB_E-1_FP-13_SP-1_CV-7DFF471A_CN-B3B4A024">
    <vt:lpwstr>Ip5W9VppJ3Obg+eZet1ceKWXFjA5y3PEc2LE4xghZQU0bLbAc4Xnpb4mwng5PsocQ/ITXtw6rq+fUgieV8TGNJyjyIv/3ivzslAs4dbe8jxlRWvcVbXx9PcNIBB/+QB29E73GY3UiGdgroRgKnt8TidYofW/Bw+vqUMmQE1uymX1g1Gfm+nh4uu11TK8o5w1t1ell+hyx8aUaLk4Osufr87+h2IxC0ruCT3fBeMYNt5mk880EWEVpe8p2Zu5v6x</vt:lpwstr>
  </property>
  <property fmtid="{D5CDD505-2E9C-101B-9397-08002B2CF9AE}" pid="61" name="_IPGFLOW_P-B8DB_E-1_FP-13_SP-2_CV-9583CCCF_CN-778CD037">
    <vt:lpwstr>3M5twPMOfCfosIACHkGwtVu817NA168kV2HOGvp2dmNVoGOvtTnNr5ySna0emmoZRTFl9sE4MhcFYHpgXLXb67nl5kEBoL2+XHN2xqS6KFXo=</vt:lpwstr>
  </property>
  <property fmtid="{D5CDD505-2E9C-101B-9397-08002B2CF9AE}" pid="62" name="_IPGFLOW_P-B8DB_E-0_FP-13_CV-2D4294F3_CN-48AB4925">
    <vt:lpwstr>DPSPMK|3|364|2|0</vt:lpwstr>
  </property>
  <property fmtid="{D5CDD505-2E9C-101B-9397-08002B2CF9AE}" pid="63" name="_IPGFLOW_P-B8DB_E-1_FP-14_SP-1_CV-52F32434_CN-9B412127">
    <vt:lpwstr>Ip5W9VppJ3Obg+eZet1ceNykX/EPp2D7G2nNHYTYlCAxhH2pcgWWQbHadk8Vi6guoaW4AkCXXa5zm8SLVrgs+pPNRRpRkFTFQkaBkUv/GYCYxWz8/hi3STH+DB1DP1KfB/cuXDIpjpxWTE5hCiYAEDDP1Qr4wsvf1ygG6z5oDVvVWoDDIGEAxs7/tQ3T9SZbFwstSIg0FtaW60WNLl1QLFvs/Rg7OQthCjFjqJNkJ65SOOs2Vp5MrVL1YlTUhBE</vt:lpwstr>
  </property>
  <property fmtid="{D5CDD505-2E9C-101B-9397-08002B2CF9AE}" pid="64" name="_IPGFLOW_P-B8DB_E-1_FP-14_SP-2_CV-1EC1F9D1_CN-5D92D043">
    <vt:lpwstr>M5L5vQfafnRCkIFiPO4ako2w7gyi0DqEI5g0ZKAFYd/oPhnMv07tB++HIhcXysQ0BU0cTTJNAG61aIBT49FvorM4T60ViMB4E6sAmaBVXPe0=</vt:lpwstr>
  </property>
  <property fmtid="{D5CDD505-2E9C-101B-9397-08002B2CF9AE}" pid="65" name="_IPGFLOW_P-B8DB_E-0_FP-14_CV-2D4294F3_CN-35D84F7D">
    <vt:lpwstr>DPSPMK|3|364|2|0</vt:lpwstr>
  </property>
  <property fmtid="{D5CDD505-2E9C-101B-9397-08002B2CF9AE}" pid="66" name="_IPGFLOW_P-B8DB_E-1_FP-15_SP-1_CV-1AC23415_CN-BDF9DEF8">
    <vt:lpwstr>bl5Urhxr1tXlN38KSBKJgcqpL0TG7UIo+ay7ANJlF8VB+D/Wc1Rbrdsu9yU+ODik457qK/2wh/6+NdTORJo1XiuvZvQCp2VEbDT/DtqdHMnbvdn2soKIL469fHbc1cnJMcOChVe2FHB3HR1JFtLN5ZXLARjqe4sVzz3vkc8PyXEtGFfz1DMG421c7mSC+eLseDTqqgFzryUvORdbJLa/+E+KZzAcYX7l9Au+5V3nbgkN/wGHZj9mt0UMIVpch5n</vt:lpwstr>
  </property>
  <property fmtid="{D5CDD505-2E9C-101B-9397-08002B2CF9AE}" pid="67" name="_IPGFLOW_P-B8DB_E-1_FP-15_SP-2_CV-47AE39D8_CN-E570A6CA">
    <vt:lpwstr>Wdhge9pl6mJm4fPL3OPaCOxyd90YGsJUv4AD+h6cL0x3IPMBEAHEs24Ss17izbp8ViqMWS/3EK2BhHnJeMWUtVPeNo+Xz1WmyRQGz+lozHLA=</vt:lpwstr>
  </property>
  <property fmtid="{D5CDD505-2E9C-101B-9397-08002B2CF9AE}" pid="68" name="_IPGFLOW_P-B8DB_E-0_FP-15_CV-2D4294F3_CN-E84E96F8">
    <vt:lpwstr>DPSPMK|3|364|2|0</vt:lpwstr>
  </property>
  <property fmtid="{D5CDD505-2E9C-101B-9397-08002B2CF9AE}" pid="69" name="_IPGFLOW_P-B8DB_E-1_FP-16_SP-1_CV-DF854F63_CN-C92D3487">
    <vt:lpwstr>bl5Urhxr1tXlN38KSBKJgbNdY0VaX9fuu5e0OpA0NzRGpmwkr3oodRHuy8tLZA6fXf4XFDKXfyhvPKzi1GpnsiZsCKWkO+jPi/GlQCzuBfXccR92zgFcu/X7l8LyYYTsUQHd/Es/xHxIeTbpuwgQlKO5WKhz/D4BIKbTVjYIgtO9BJ+QZlUt0HOI8B9yRFlcadxKer5JlDX9zQqCV+EPMFhtbeAhtvFaCRloDwob3MWAegPKIkISYGTRcbkjYE6</vt:lpwstr>
  </property>
  <property fmtid="{D5CDD505-2E9C-101B-9397-08002B2CF9AE}" pid="70" name="_IPGFLOW_P-B8DB_E-1_FP-16_SP-2_CV-FCC39A18_CN-A5E9F926">
    <vt:lpwstr>+ur1v/ll+cMACkHD0DUnKM9yeq3rSadX1AUV0bdFaG/JbyZJFYVcNeRBGry8sIs+iJr/eI4Bex+Xgkw62qW1WpUPIKkULC+mWOfK5QNkvXXn92C4wOCf6/V974YSw9HLqZ9YDcxOQ7d1WO6k0iNGrKQ==</vt:lpwstr>
  </property>
  <property fmtid="{D5CDD505-2E9C-101B-9397-08002B2CF9AE}" pid="71" name="_IPGFLOW_P-B8DB_E-0_FP-16_CV-FB4CA461_CN-B54609B0">
    <vt:lpwstr>DPSPMK|3|408|2|0</vt:lpwstr>
  </property>
  <property fmtid="{D5CDD505-2E9C-101B-9397-08002B2CF9AE}" pid="72" name="KSOTemplateDocerSaveRecord">
    <vt:lpwstr>eyJoZGlkIjoiZDkyODhkNGM0MmY2ZmQ2ZTdmYzliMDJiMzZiYjAwYTYiLCJ1c2VySWQiOiIyNTAyMzQyNTQifQ==</vt:lpwstr>
  </property>
</Properties>
</file>