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10" w:leftChars="5" w:firstLine="602" w:firstLineChars="200"/>
        <w:jc w:val="center"/>
        <w:outlineLvl w:val="0"/>
        <w:rPr>
          <w:rFonts w:ascii="仿宋" w:hAnsi="仿宋" w:eastAsia="仿宋" w:cs="仿宋"/>
          <w:b/>
          <w:bCs/>
          <w:sz w:val="30"/>
          <w:szCs w:val="30"/>
          <w:u w:val="none"/>
        </w:rPr>
      </w:pPr>
      <w:bookmarkStart w:id="0" w:name="_Toc185583657"/>
      <w:r>
        <w:rPr>
          <w:rFonts w:hint="eastAsia" w:ascii="仿宋" w:hAnsi="仿宋" w:eastAsia="仿宋" w:cs="仿宋"/>
          <w:b/>
          <w:bCs/>
          <w:sz w:val="30"/>
          <w:szCs w:val="30"/>
          <w:u w:val="none"/>
        </w:rPr>
        <w:t>招 标 公 告</w:t>
      </w:r>
      <w:bookmarkEnd w:id="0"/>
    </w:p>
    <w:p>
      <w:pPr>
        <w:spacing w:line="360" w:lineRule="auto"/>
        <w:ind w:firstLine="420" w:firstLineChars="200"/>
        <w:rPr>
          <w:rFonts w:ascii="仿宋" w:hAnsi="仿宋" w:eastAsia="仿宋" w:cs="仿宋"/>
        </w:rPr>
      </w:pPr>
      <w:r>
        <w:rPr>
          <w:rFonts w:hint="eastAsia" w:ascii="仿宋" w:hAnsi="仿宋" w:eastAsia="仿宋" w:cs="仿宋"/>
        </w:rPr>
        <w:t>国义招标股份有限公司（以下简称“招标代理机构”）受东莞深燃天然气热电有限公司（以下简称“招标人”）委托，就“东莞深燃天然气热电有限公司高埗电厂燃气热电联产改扩建再生水综合利用项目工程（第二次）”进行公开招标，资金来源为企业自筹资金，现已满足招标条件，邀请潜在投标人参与。</w:t>
      </w:r>
    </w:p>
    <w:p>
      <w:pPr>
        <w:spacing w:before="156" w:beforeLines="50" w:after="156" w:afterLines="50" w:line="360" w:lineRule="auto"/>
        <w:rPr>
          <w:rFonts w:ascii="仿宋" w:hAnsi="仿宋" w:eastAsia="仿宋" w:cs="仿宋"/>
          <w:b/>
          <w:bCs/>
        </w:rPr>
      </w:pPr>
      <w:r>
        <w:rPr>
          <w:rFonts w:hint="eastAsia" w:ascii="仿宋" w:hAnsi="仿宋" w:eastAsia="仿宋" w:cs="仿宋"/>
          <w:b/>
          <w:bCs/>
        </w:rPr>
        <w:t>1.项目名称：东莞深燃天然气热电有限公司高埗电厂燃气热电联产改扩建再生水综合利用项目工程（第二次）</w:t>
      </w:r>
    </w:p>
    <w:p>
      <w:pPr>
        <w:spacing w:before="156" w:beforeLines="50" w:after="156" w:afterLines="50" w:line="360" w:lineRule="auto"/>
        <w:rPr>
          <w:rFonts w:ascii="仿宋" w:hAnsi="仿宋" w:eastAsia="仿宋" w:cs="仿宋"/>
          <w:b/>
          <w:bCs/>
        </w:rPr>
      </w:pPr>
      <w:r>
        <w:rPr>
          <w:rFonts w:hint="eastAsia" w:ascii="仿宋" w:hAnsi="仿宋" w:eastAsia="仿宋" w:cs="仿宋"/>
          <w:b/>
          <w:bCs/>
        </w:rPr>
        <w:t>2.项目编号：0724-2520N1373045</w:t>
      </w:r>
    </w:p>
    <w:p>
      <w:pPr>
        <w:spacing w:before="156" w:beforeLines="50" w:after="156" w:afterLines="50" w:line="360" w:lineRule="auto"/>
        <w:rPr>
          <w:rFonts w:ascii="仿宋" w:hAnsi="仿宋" w:eastAsia="仿宋" w:cs="仿宋"/>
          <w:b/>
          <w:bCs/>
        </w:rPr>
      </w:pPr>
      <w:r>
        <w:rPr>
          <w:rFonts w:hint="eastAsia" w:ascii="仿宋" w:hAnsi="仿宋" w:eastAsia="仿宋" w:cs="仿宋"/>
          <w:b/>
          <w:bCs/>
        </w:rPr>
        <w:t>3.项目概况与招标范围</w:t>
      </w:r>
    </w:p>
    <w:p>
      <w:pPr>
        <w:spacing w:line="360" w:lineRule="auto"/>
        <w:ind w:firstLine="420" w:firstLineChars="200"/>
        <w:rPr>
          <w:rFonts w:ascii="仿宋" w:hAnsi="仿宋" w:eastAsia="仿宋" w:cs="仿宋"/>
          <w:szCs w:val="24"/>
        </w:rPr>
      </w:pPr>
      <w:r>
        <w:rPr>
          <w:rFonts w:hint="eastAsia" w:ascii="仿宋" w:hAnsi="仿宋" w:eastAsia="仿宋" w:cs="仿宋"/>
          <w:szCs w:val="24"/>
        </w:rPr>
        <w:t>本项目为东莞深燃天然气热电有限公司高埗电厂燃气热电联产改扩建再生水综合利用项目工程（第二次），具体详见工程量清单及施工图纸。项目实施地点为东莞市高埗镇。</w:t>
      </w:r>
    </w:p>
    <w:p>
      <w:pPr>
        <w:spacing w:before="156" w:beforeLines="50" w:after="156" w:afterLines="50" w:line="360" w:lineRule="auto"/>
        <w:rPr>
          <w:rFonts w:ascii="仿宋" w:hAnsi="仿宋" w:eastAsia="仿宋" w:cs="仿宋"/>
          <w:b/>
          <w:bCs/>
        </w:rPr>
      </w:pPr>
      <w:r>
        <w:rPr>
          <w:rFonts w:hint="eastAsia" w:ascii="仿宋" w:hAnsi="仿宋" w:eastAsia="仿宋" w:cs="仿宋"/>
          <w:b/>
          <w:bCs/>
        </w:rPr>
        <w:t>3.1招标范围：</w:t>
      </w:r>
    </w:p>
    <w:p>
      <w:pPr>
        <w:spacing w:line="360" w:lineRule="auto"/>
        <w:ind w:left="10" w:leftChars="5" w:firstLine="420" w:firstLineChars="200"/>
        <w:rPr>
          <w:rFonts w:ascii="仿宋" w:hAnsi="仿宋" w:eastAsia="仿宋" w:cs="仿宋"/>
        </w:rPr>
      </w:pPr>
      <w:r>
        <w:rPr>
          <w:rFonts w:hint="eastAsia" w:ascii="仿宋" w:hAnsi="仿宋" w:eastAsia="仿宋" w:cs="仿宋"/>
        </w:rPr>
        <w:t>东莞深燃天然气热电有限公司高埗电厂燃气热电联产改扩建再生水综合利用项目工程（第二次），具体详见工程量清单及施工图纸。</w:t>
      </w:r>
    </w:p>
    <w:p>
      <w:pPr>
        <w:spacing w:line="360" w:lineRule="auto"/>
        <w:ind w:left="10" w:leftChars="5" w:firstLine="422" w:firstLineChars="200"/>
        <w:rPr>
          <w:rFonts w:ascii="仿宋" w:hAnsi="仿宋" w:eastAsia="仿宋" w:cs="仿宋"/>
          <w:b/>
          <w:bCs/>
        </w:rPr>
      </w:pPr>
      <w:r>
        <w:rPr>
          <w:rFonts w:hint="eastAsia" w:ascii="仿宋" w:hAnsi="仿宋" w:eastAsia="仿宋" w:cs="仿宋"/>
          <w:b/>
          <w:bCs/>
        </w:rPr>
        <w:t>注：本项目施工图中JS30-JS31间的管段（114米）招标人已完成敷设施工（不在本项目招标范围内），除此之外，本项目其他管段的敷设施工，及与JS30-JS31间管段的连接工作等全部包含在投标范围内。</w:t>
      </w:r>
    </w:p>
    <w:p>
      <w:pPr>
        <w:spacing w:before="156" w:beforeLines="50" w:after="156" w:afterLines="50" w:line="360" w:lineRule="auto"/>
        <w:rPr>
          <w:rFonts w:ascii="仿宋" w:hAnsi="仿宋" w:eastAsia="仿宋" w:cs="仿宋"/>
          <w:b/>
          <w:bCs/>
        </w:rPr>
      </w:pPr>
      <w:r>
        <w:rPr>
          <w:rFonts w:hint="eastAsia" w:ascii="仿宋" w:hAnsi="仿宋" w:eastAsia="仿宋" w:cs="仿宋"/>
          <w:b/>
          <w:bCs/>
        </w:rPr>
        <w:t>4.最高投标限价：人民币5854234.02元，其中包括：暂列金440000.00元。</w:t>
      </w:r>
    </w:p>
    <w:p>
      <w:pPr>
        <w:spacing w:before="156" w:beforeLines="50" w:after="156" w:afterLines="50" w:line="360" w:lineRule="auto"/>
        <w:rPr>
          <w:rFonts w:ascii="仿宋" w:hAnsi="仿宋" w:eastAsia="仿宋" w:cs="仿宋"/>
          <w:b/>
          <w:bCs/>
        </w:rPr>
      </w:pPr>
      <w:r>
        <w:rPr>
          <w:rFonts w:hint="eastAsia" w:ascii="仿宋" w:hAnsi="仿宋" w:eastAsia="仿宋" w:cs="仿宋"/>
          <w:b/>
          <w:bCs/>
        </w:rPr>
        <w:t xml:space="preserve">5.合格投标人资格要求： </w:t>
      </w:r>
    </w:p>
    <w:p>
      <w:pPr>
        <w:spacing w:line="360" w:lineRule="auto"/>
        <w:ind w:firstLine="420" w:firstLineChars="200"/>
        <w:rPr>
          <w:rFonts w:ascii="仿宋" w:hAnsi="仿宋" w:eastAsia="仿宋" w:cs="仿宋"/>
        </w:rPr>
      </w:pPr>
      <w:r>
        <w:rPr>
          <w:rFonts w:hint="eastAsia" w:ascii="仿宋" w:hAnsi="仿宋" w:eastAsia="仿宋" w:cs="仿宋"/>
        </w:rPr>
        <w:t>5.1投标人应为在中华人民共和国境内注册的法人或其他组织，提供有效的营业执照或其他主体资格证明文件。</w:t>
      </w:r>
    </w:p>
    <w:p>
      <w:pPr>
        <w:spacing w:line="360" w:lineRule="auto"/>
        <w:ind w:firstLine="420" w:firstLineChars="200"/>
        <w:rPr>
          <w:rFonts w:ascii="仿宋" w:hAnsi="仿宋" w:eastAsia="仿宋" w:cs="仿宋"/>
        </w:rPr>
      </w:pPr>
      <w:r>
        <w:rPr>
          <w:rFonts w:hint="eastAsia" w:ascii="仿宋" w:hAnsi="仿宋" w:eastAsia="仿宋" w:cs="仿宋"/>
        </w:rPr>
        <w:t>5.2投标人应具有建设行政主管部门颁发的：</w:t>
      </w:r>
      <w:r>
        <w:rPr>
          <w:rFonts w:hint="eastAsia" w:ascii="仿宋" w:hAnsi="仿宋" w:eastAsia="仿宋" w:cs="仿宋"/>
          <w:b/>
          <w:bCs/>
        </w:rPr>
        <w:t>市政公用工程施工总承包三级或以上级别资质（有效期内）</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注：（如投标人的企业资质是根据2020年11月30日发布的《住房和城乡建设部关于印发建设工程企业资质管理制度改革方案的通知》（建市〔2020〕94号）办理的，则施工资质相应要求如下：要求投标人具有承接本工程所需的市政公用工程乙级或以上级别施工总承包资质。</w:t>
      </w:r>
    </w:p>
    <w:p>
      <w:pPr>
        <w:spacing w:line="360" w:lineRule="auto"/>
        <w:ind w:firstLine="420" w:firstLineChars="200"/>
        <w:rPr>
          <w:rFonts w:ascii="仿宋" w:hAnsi="仿宋" w:eastAsia="仿宋" w:cs="仿宋"/>
        </w:rPr>
      </w:pPr>
      <w:r>
        <w:rPr>
          <w:rFonts w:hint="eastAsia" w:ascii="仿宋" w:hAnsi="仿宋" w:eastAsia="仿宋" w:cs="仿宋"/>
        </w:rPr>
        <w:t>5.3投标人应具有建设行政主管部门颁发的安全生产许可证（有效期内）。</w:t>
      </w:r>
    </w:p>
    <w:p>
      <w:pPr>
        <w:spacing w:line="360" w:lineRule="auto"/>
        <w:ind w:firstLine="420" w:firstLineChars="200"/>
        <w:rPr>
          <w:rFonts w:ascii="仿宋" w:hAnsi="仿宋" w:eastAsia="仿宋" w:cs="仿宋"/>
        </w:rPr>
      </w:pPr>
      <w:r>
        <w:rPr>
          <w:rFonts w:hint="eastAsia" w:ascii="仿宋" w:hAnsi="仿宋" w:eastAsia="仿宋" w:cs="仿宋"/>
        </w:rPr>
        <w:t>注：评标委员会对投标人的营业执照、资质证书、安全生产许可证等申报材料的真实性（或有效期）有所怀疑时，可通过各级行政建管部门政务信息平台进行查询并以其为准。若投标人所提供信息与政务信息平台上的相关内容不符，经核实存在虚假、夸大的内容，不予通过评审。</w:t>
      </w:r>
    </w:p>
    <w:p>
      <w:pPr>
        <w:spacing w:line="360" w:lineRule="auto"/>
        <w:ind w:firstLine="420" w:firstLineChars="200"/>
        <w:rPr>
          <w:rFonts w:ascii="仿宋" w:hAnsi="仿宋" w:eastAsia="仿宋" w:cs="仿宋"/>
        </w:rPr>
      </w:pPr>
      <w:r>
        <w:rPr>
          <w:rFonts w:hint="eastAsia" w:ascii="仿宋" w:hAnsi="仿宋" w:eastAsia="仿宋" w:cs="仿宋"/>
        </w:rPr>
        <w:t>5.4投标人拟担任本项目的项目负责人应为投标人的正式员工，具备市政公用工程专业二级或以上级别的注册建造师资格，且持有安全生产考核合格证（B类）或建筑施工企业项目负责人安全生产考核合格证书。（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spacing w:line="360" w:lineRule="auto"/>
        <w:ind w:firstLine="420" w:firstLineChars="200"/>
        <w:rPr>
          <w:rFonts w:ascii="仿宋" w:hAnsi="仿宋" w:eastAsia="仿宋" w:cs="仿宋"/>
        </w:rPr>
      </w:pPr>
      <w:r>
        <w:rPr>
          <w:rFonts w:hint="eastAsia" w:ascii="仿宋" w:hAnsi="仿宋" w:eastAsia="仿宋" w:cs="仿宋"/>
        </w:rPr>
        <w:t>注：（1）根据广东省住建厅《关于明确二级建造师注册执业有关问题的通知》（粤建市函〔2023〕469号），二级注册建造师应在考试取得执业资格的省、自治区、直辖市申请注册，二级注册建造师可随注册企业在全国范围内执业。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注册建造师纸质证书未作废的，资格审查时不得以投标人未提供电子证书为由，认定投标人资格审查不通过。</w:t>
      </w:r>
    </w:p>
    <w:p>
      <w:pPr>
        <w:spacing w:line="360" w:lineRule="auto"/>
        <w:ind w:firstLine="420" w:firstLineChars="200"/>
        <w:rPr>
          <w:rFonts w:ascii="仿宋" w:hAnsi="仿宋" w:eastAsia="仿宋" w:cs="仿宋"/>
        </w:rPr>
      </w:pPr>
      <w:r>
        <w:rPr>
          <w:rFonts w:hint="eastAsia" w:ascii="仿宋" w:hAnsi="仿宋" w:eastAsia="仿宋" w:cs="仿宋"/>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20" w:firstLineChars="200"/>
        <w:rPr>
          <w:rFonts w:ascii="仿宋" w:hAnsi="仿宋" w:eastAsia="仿宋" w:cs="仿宋"/>
        </w:rPr>
      </w:pPr>
      <w:r>
        <w:rPr>
          <w:rFonts w:hint="eastAsia" w:ascii="仿宋" w:hAnsi="仿宋" w:eastAsia="仿宋" w:cs="仿宋"/>
        </w:rPr>
        <w:t>5.5投标人应设有专职安全人员，专职安全员应为投标人的正式员工，具备安全生产考核合格证（C类）或建筑施工企业专职安全生产管理人员安全生产考核合格证书（C3类），项目负责人和专职安全员不为同一人。（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spacing w:line="360" w:lineRule="auto"/>
        <w:ind w:firstLine="420" w:firstLineChars="200"/>
        <w:rPr>
          <w:rFonts w:ascii="仿宋" w:hAnsi="仿宋" w:eastAsia="仿宋" w:cs="仿宋"/>
        </w:rPr>
      </w:pPr>
      <w:r>
        <w:rPr>
          <w:rFonts w:hint="eastAsia" w:ascii="仿宋" w:hAnsi="仿宋" w:eastAsia="仿宋" w:cs="仿宋"/>
        </w:rPr>
        <w:t>5.6提交社保证明文件的要求：投标申请人须保证授权的委托代理人及项目部主要组成人员（项目负责人、专职安全员）均为本单位的正式员工，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spacing w:line="360" w:lineRule="auto"/>
        <w:ind w:firstLine="420" w:firstLineChars="200"/>
        <w:rPr>
          <w:rFonts w:ascii="仿宋" w:hAnsi="仿宋" w:eastAsia="仿宋" w:cs="仿宋"/>
        </w:rPr>
      </w:pPr>
      <w:r>
        <w:rPr>
          <w:rFonts w:hint="eastAsia" w:ascii="仿宋" w:hAnsi="仿宋" w:eastAsia="仿宋" w:cs="仿宋"/>
        </w:rPr>
        <w:t>5.7投标人提交的《投标人申请人声明》（格式见本公告附件1）内容及签署盖章与招标文件要求一致，法定代表人、项目负责人、技术负责人均必须签字或盖章，没有签字或盖章不予通过资格审查。</w:t>
      </w:r>
    </w:p>
    <w:p>
      <w:pPr>
        <w:spacing w:line="360" w:lineRule="auto"/>
        <w:ind w:firstLine="420" w:firstLineChars="200"/>
        <w:rPr>
          <w:rFonts w:ascii="仿宋" w:hAnsi="仿宋" w:eastAsia="仿宋" w:cs="仿宋"/>
        </w:rPr>
      </w:pPr>
      <w:r>
        <w:rPr>
          <w:rFonts w:hint="eastAsia" w:ascii="仿宋" w:hAnsi="仿宋" w:eastAsia="仿宋" w:cs="仿宋"/>
        </w:rPr>
        <w:t>5.8投标人未被列入“信用中国”网站（网址：www.creditchina.gov.cn）中的“严重失信”（具体以招标代理在开标当日的网站系统查询结果为准）。</w:t>
      </w:r>
    </w:p>
    <w:p>
      <w:pPr>
        <w:spacing w:line="360" w:lineRule="auto"/>
        <w:ind w:firstLine="420" w:firstLineChars="200"/>
        <w:rPr>
          <w:rFonts w:ascii="仿宋" w:hAnsi="仿宋" w:eastAsia="仿宋" w:cs="仿宋"/>
        </w:rPr>
      </w:pPr>
      <w:r>
        <w:rPr>
          <w:rFonts w:hint="eastAsia" w:ascii="仿宋" w:hAnsi="仿宋" w:eastAsia="仿宋" w:cs="仿宋"/>
        </w:rPr>
        <w:t>5.9本项目不接受联合体投标。</w:t>
      </w:r>
    </w:p>
    <w:p>
      <w:pPr>
        <w:spacing w:line="360" w:lineRule="auto"/>
        <w:ind w:firstLine="420" w:firstLineChars="200"/>
        <w:rPr>
          <w:rFonts w:ascii="仿宋" w:hAnsi="仿宋" w:eastAsia="仿宋" w:cs="仿宋"/>
        </w:rPr>
      </w:pPr>
      <w:r>
        <w:rPr>
          <w:rFonts w:hint="eastAsia" w:ascii="仿宋" w:hAnsi="仿宋" w:eastAsia="仿宋" w:cs="仿宋"/>
        </w:rPr>
        <w:t>5.10招标人拒绝有下列情形之一的企业或者从业人员参与投标：</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1）近3年内（从招标公告发布之日起倒算）供应商或者其法定代表人有行贿犯罪记录的。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2）近2年内（从招标公告发布之日起倒算）供应商有无正当理由放弃深圳市燃气集团股份有限公司成交项目、不接受招标文件中合同主要条款、不履行合同义务或单方面终止合同的。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3）近1年内（从截标之日起倒算）因串通投标、转包、以他人名义投标或者违法分包等违法行为受到建设、交通或者财政部门行政处罚的。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4）因违反工程质量、安全生产管理规定等原因被建设部门给予红色警示且在警示期内的。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5）拖欠工人工资被有关部门责令改正而未改正的。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6）除单一来源采购项目外，为采购项目提供整体设计、规范编制或者项目管理、监理、检测等服务的供应商，不得再参加该采购项目的其他采购活动。</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7）被列入深圳市燃气集团股份有限公司黑名单的或暂停承揽资格的。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8）依法应当拒绝投标的其他情形。</w:t>
      </w:r>
    </w:p>
    <w:p>
      <w:pPr>
        <w:adjustRightInd w:val="0"/>
        <w:spacing w:line="360" w:lineRule="auto"/>
        <w:ind w:firstLine="422" w:firstLineChars="200"/>
        <w:textAlignment w:val="baseline"/>
        <w:rPr>
          <w:rFonts w:ascii="仿宋" w:hAnsi="仿宋" w:eastAsia="仿宋" w:cs="仿宋"/>
          <w:b/>
          <w:bCs/>
          <w:szCs w:val="21"/>
        </w:rPr>
      </w:pPr>
      <w:r>
        <w:rPr>
          <w:rFonts w:ascii="仿宋" w:hAnsi="仿宋" w:eastAsia="仿宋" w:cs="仿宋"/>
          <w:b/>
          <w:bCs/>
          <w:szCs w:val="21"/>
        </w:rPr>
        <w:t>5.11</w:t>
      </w:r>
      <w:r>
        <w:rPr>
          <w:rFonts w:hint="eastAsia" w:ascii="仿宋" w:hAnsi="仿宋" w:eastAsia="仿宋" w:cs="仿宋"/>
          <w:b/>
          <w:bCs/>
          <w:szCs w:val="21"/>
        </w:rPr>
        <w:t>.投标人关联关系要求</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1）不同投标人的法定代表人、主要经营负责人（董事长和总经理）、委托代理人、项目负责人、主要技术人员为同一人、属同一单位或者在同一单位缴纳社会保险的；不同投标人存在直接控股、管理关系的。如发现存在上述情形，投标人资格审查不通过，不得参与本次投标活动。</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2）存在关联关系的投标人谨慎同时参与本项目。经评审判定与其他投标人存在关联关系且可能影响公正性的，评标委员会可以组织澄清，当部分相关单位自愿退出后其中只剩1家单位时,评标委员会可接受该单位；或评标委员会可以拒绝所有相关单位。</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证明材料：按第四章格式2.4填写《投标人基本情况表》，且提供《投标人基本情况表》涉及人员近三个月缴纳社会保险证明（社保从公告发布之日起倒推，如上一个月的社保材料因社保部门原因暂时无法取得，则可以往前顺延一个月，新成立不足三个月的公司按照成立时间提供）。如发现与投标人递交信息不一致或存在可能影响公正性的关联关系，以评标委员会最后评审结果为准。</w:t>
      </w:r>
    </w:p>
    <w:p>
      <w:pPr>
        <w:spacing w:line="360" w:lineRule="auto"/>
        <w:ind w:firstLine="420" w:firstLineChars="200"/>
        <w:rPr>
          <w:rFonts w:ascii="仿宋" w:hAnsi="仿宋" w:eastAsia="仿宋" w:cs="仿宋"/>
        </w:rPr>
      </w:pPr>
      <w:r>
        <w:rPr>
          <w:rFonts w:hint="eastAsia" w:ascii="仿宋" w:hAnsi="仿宋" w:eastAsia="仿宋" w:cs="仿宋"/>
        </w:rPr>
        <w:t>6.</w:t>
      </w:r>
      <w:r>
        <w:rPr>
          <w:rFonts w:hint="eastAsia" w:ascii="仿宋" w:hAnsi="仿宋" w:eastAsia="仿宋" w:cs="仿宋"/>
          <w:b/>
          <w:bCs/>
        </w:rPr>
        <w:t>本项目采用资格后审的方式。</w:t>
      </w:r>
      <w:r>
        <w:rPr>
          <w:rFonts w:hint="eastAsia" w:ascii="仿宋" w:hAnsi="仿宋" w:eastAsia="仿宋" w:cs="仿宋"/>
        </w:rPr>
        <w:t>符合本公告第</w:t>
      </w:r>
      <w:r>
        <w:rPr>
          <w:rFonts w:ascii="仿宋" w:hAnsi="仿宋" w:eastAsia="仿宋" w:cs="仿宋"/>
        </w:rPr>
        <w:t>5</w:t>
      </w:r>
      <w:r>
        <w:rPr>
          <w:rFonts w:hint="eastAsia" w:ascii="仿宋" w:hAnsi="仿宋" w:eastAsia="仿宋" w:cs="仿宋"/>
        </w:rPr>
        <w:t>条资格要求的投标申请人，按本招标公告要求办理投标登记等相关手续。</w:t>
      </w:r>
    </w:p>
    <w:p>
      <w:pPr>
        <w:spacing w:line="360" w:lineRule="auto"/>
        <w:ind w:firstLine="422" w:firstLineChars="200"/>
        <w:rPr>
          <w:rFonts w:ascii="仿宋" w:hAnsi="仿宋" w:eastAsia="仿宋" w:cs="仿宋"/>
          <w:b/>
          <w:bCs/>
        </w:rPr>
      </w:pPr>
      <w:r>
        <w:rPr>
          <w:rFonts w:hint="eastAsia" w:ascii="仿宋" w:hAnsi="仿宋" w:eastAsia="仿宋" w:cs="仿宋"/>
          <w:b/>
          <w:bCs/>
        </w:rPr>
        <w:t>7.公告发布时间、投标登记及递交投标文件时间：</w:t>
      </w:r>
    </w:p>
    <w:p>
      <w:pPr>
        <w:spacing w:line="360" w:lineRule="auto"/>
        <w:ind w:firstLine="420" w:firstLineChars="200"/>
        <w:rPr>
          <w:rFonts w:ascii="仿宋" w:hAnsi="仿宋" w:eastAsia="仿宋" w:cs="仿宋"/>
          <w:b/>
          <w:bCs/>
        </w:rPr>
      </w:pPr>
      <w:r>
        <w:rPr>
          <w:rFonts w:hint="eastAsia" w:ascii="仿宋" w:hAnsi="仿宋" w:eastAsia="仿宋" w:cs="仿宋"/>
        </w:rPr>
        <w:t>1）招标公告日期：</w:t>
      </w:r>
      <w:r>
        <w:rPr>
          <w:rFonts w:hint="eastAsia" w:ascii="仿宋" w:hAnsi="仿宋" w:eastAsia="仿宋" w:cs="仿宋"/>
          <w:b/>
          <w:bCs/>
          <w:u w:val="single"/>
        </w:rPr>
        <w:t>从2025年</w:t>
      </w:r>
      <w:r>
        <w:rPr>
          <w:rFonts w:hint="eastAsia" w:ascii="仿宋" w:hAnsi="仿宋" w:eastAsia="仿宋" w:cs="仿宋"/>
          <w:b/>
          <w:bCs/>
          <w:u w:val="single"/>
          <w:lang w:val="en-US" w:eastAsia="zh-CN"/>
        </w:rPr>
        <w:t>5</w:t>
      </w:r>
      <w:r>
        <w:rPr>
          <w:rFonts w:hint="eastAsia" w:ascii="仿宋" w:hAnsi="仿宋" w:eastAsia="仿宋" w:cs="仿宋"/>
          <w:b/>
          <w:bCs/>
          <w:u w:val="single"/>
        </w:rPr>
        <w:t>月</w:t>
      </w:r>
      <w:r>
        <w:rPr>
          <w:rFonts w:hint="eastAsia" w:ascii="仿宋" w:hAnsi="仿宋" w:eastAsia="仿宋" w:cs="仿宋"/>
          <w:b/>
          <w:bCs/>
          <w:u w:val="single"/>
          <w:lang w:val="en-US" w:eastAsia="zh-CN"/>
        </w:rPr>
        <w:t>22</w:t>
      </w:r>
      <w:r>
        <w:rPr>
          <w:rFonts w:hint="eastAsia" w:ascii="仿宋" w:hAnsi="仿宋" w:eastAsia="仿宋" w:cs="仿宋"/>
          <w:b/>
          <w:bCs/>
          <w:u w:val="single"/>
        </w:rPr>
        <w:t>日至2025年</w:t>
      </w:r>
      <w:r>
        <w:rPr>
          <w:rFonts w:hint="eastAsia" w:ascii="仿宋" w:hAnsi="仿宋" w:eastAsia="仿宋" w:cs="仿宋"/>
          <w:b/>
          <w:bCs/>
          <w:u w:val="single"/>
          <w:lang w:val="en-US" w:eastAsia="zh-CN"/>
        </w:rPr>
        <w:t>5</w:t>
      </w:r>
      <w:r>
        <w:rPr>
          <w:rFonts w:hint="eastAsia" w:ascii="仿宋" w:hAnsi="仿宋" w:eastAsia="仿宋" w:cs="仿宋"/>
          <w:b/>
          <w:bCs/>
          <w:u w:val="single"/>
        </w:rPr>
        <w:t>月</w:t>
      </w:r>
      <w:r>
        <w:rPr>
          <w:rFonts w:hint="eastAsia" w:ascii="仿宋" w:hAnsi="仿宋" w:eastAsia="仿宋" w:cs="仿宋"/>
          <w:b/>
          <w:bCs/>
          <w:u w:val="single"/>
          <w:lang w:val="en-US" w:eastAsia="zh-CN"/>
        </w:rPr>
        <w:t>29</w:t>
      </w:r>
      <w:r>
        <w:rPr>
          <w:rFonts w:hint="eastAsia" w:ascii="仿宋" w:hAnsi="仿宋" w:eastAsia="仿宋" w:cs="仿宋"/>
          <w:b/>
          <w:bCs/>
          <w:u w:val="single"/>
        </w:rPr>
        <w:t>日</w:t>
      </w:r>
      <w:r>
        <w:rPr>
          <w:rFonts w:hint="eastAsia" w:ascii="仿宋" w:hAnsi="仿宋" w:eastAsia="仿宋" w:cs="仿宋"/>
          <w:b/>
          <w:bCs/>
        </w:rPr>
        <w:t>。</w:t>
      </w:r>
    </w:p>
    <w:p>
      <w:pPr>
        <w:spacing w:line="360" w:lineRule="auto"/>
        <w:ind w:firstLine="420" w:firstLineChars="200"/>
        <w:rPr>
          <w:rFonts w:ascii="仿宋" w:hAnsi="仿宋" w:eastAsia="仿宋" w:cs="仿宋"/>
          <w:u w:val="single"/>
        </w:rPr>
      </w:pPr>
      <w:r>
        <w:rPr>
          <w:rFonts w:hint="eastAsia" w:ascii="仿宋" w:hAnsi="仿宋" w:eastAsia="仿宋" w:cs="仿宋"/>
        </w:rPr>
        <w:t>2）投标登记时间：</w:t>
      </w:r>
      <w:r>
        <w:rPr>
          <w:rFonts w:hint="eastAsia" w:ascii="仿宋" w:hAnsi="仿宋" w:eastAsia="仿宋" w:cs="仿宋"/>
          <w:b/>
          <w:bCs/>
          <w:u w:val="single"/>
        </w:rPr>
        <w:t>2025年</w:t>
      </w:r>
      <w:r>
        <w:rPr>
          <w:rFonts w:hint="eastAsia" w:ascii="仿宋" w:hAnsi="仿宋" w:eastAsia="仿宋" w:cs="仿宋"/>
          <w:b/>
          <w:bCs/>
          <w:u w:val="single"/>
          <w:lang w:val="en-US" w:eastAsia="zh-CN"/>
        </w:rPr>
        <w:t>5</w:t>
      </w:r>
      <w:r>
        <w:rPr>
          <w:rFonts w:hint="eastAsia" w:ascii="仿宋" w:hAnsi="仿宋" w:eastAsia="仿宋" w:cs="仿宋"/>
          <w:b/>
          <w:bCs/>
          <w:u w:val="single"/>
        </w:rPr>
        <w:t>月</w:t>
      </w:r>
      <w:r>
        <w:rPr>
          <w:rFonts w:hint="eastAsia" w:ascii="仿宋" w:hAnsi="仿宋" w:eastAsia="仿宋" w:cs="仿宋"/>
          <w:b/>
          <w:bCs/>
          <w:u w:val="single"/>
          <w:lang w:val="en-US" w:eastAsia="zh-CN"/>
        </w:rPr>
        <w:t>23</w:t>
      </w:r>
      <w:r>
        <w:rPr>
          <w:rFonts w:hint="eastAsia" w:ascii="仿宋" w:hAnsi="仿宋" w:eastAsia="仿宋" w:cs="仿宋"/>
          <w:b/>
          <w:bCs/>
          <w:u w:val="single"/>
        </w:rPr>
        <w:t>日 – 2025年</w:t>
      </w:r>
      <w:r>
        <w:rPr>
          <w:rFonts w:hint="eastAsia" w:ascii="仿宋" w:hAnsi="仿宋" w:eastAsia="仿宋" w:cs="仿宋"/>
          <w:b/>
          <w:bCs/>
          <w:u w:val="single"/>
          <w:lang w:val="en-US" w:eastAsia="zh-CN"/>
        </w:rPr>
        <w:t>5</w:t>
      </w:r>
      <w:r>
        <w:rPr>
          <w:rFonts w:hint="eastAsia" w:ascii="仿宋" w:hAnsi="仿宋" w:eastAsia="仿宋" w:cs="仿宋"/>
          <w:b/>
          <w:bCs/>
          <w:u w:val="single"/>
        </w:rPr>
        <w:t>月</w:t>
      </w:r>
      <w:r>
        <w:rPr>
          <w:rFonts w:hint="eastAsia" w:ascii="仿宋" w:hAnsi="仿宋" w:eastAsia="仿宋" w:cs="仿宋"/>
          <w:b/>
          <w:bCs/>
          <w:u w:val="single"/>
          <w:lang w:val="en-US" w:eastAsia="zh-CN"/>
        </w:rPr>
        <w:t>29</w:t>
      </w:r>
      <w:r>
        <w:rPr>
          <w:rFonts w:hint="eastAsia" w:ascii="仿宋" w:hAnsi="仿宋" w:eastAsia="仿宋" w:cs="仿宋"/>
          <w:b/>
          <w:bCs/>
          <w:u w:val="single"/>
        </w:rPr>
        <w:t>日上午9:00～11:30，下午14:00～16:00（北京时间）。</w:t>
      </w:r>
    </w:p>
    <w:p>
      <w:pPr>
        <w:spacing w:line="360" w:lineRule="auto"/>
        <w:ind w:firstLine="420" w:firstLineChars="200"/>
        <w:rPr>
          <w:rFonts w:ascii="仿宋" w:hAnsi="仿宋" w:eastAsia="仿宋" w:cs="仿宋"/>
        </w:rPr>
      </w:pPr>
      <w:r>
        <w:rPr>
          <w:rFonts w:hint="eastAsia" w:ascii="仿宋" w:hAnsi="仿宋" w:eastAsia="仿宋" w:cs="仿宋"/>
        </w:rPr>
        <w:t xml:space="preserve">3）递交投标文件截止时间（同开标时间）： </w:t>
      </w:r>
      <w:r>
        <w:rPr>
          <w:rFonts w:hint="eastAsia" w:ascii="仿宋" w:hAnsi="仿宋" w:eastAsia="仿宋" w:cs="仿宋"/>
          <w:b/>
          <w:bCs/>
          <w:u w:val="single"/>
        </w:rPr>
        <w:t>2025年</w:t>
      </w:r>
      <w:r>
        <w:rPr>
          <w:rFonts w:hint="eastAsia" w:ascii="仿宋" w:hAnsi="仿宋" w:eastAsia="仿宋" w:cs="仿宋"/>
          <w:b/>
          <w:bCs/>
          <w:u w:val="single"/>
          <w:lang w:val="en-US" w:eastAsia="zh-CN"/>
        </w:rPr>
        <w:t>6</w:t>
      </w:r>
      <w:r>
        <w:rPr>
          <w:rFonts w:hint="eastAsia" w:ascii="仿宋" w:hAnsi="仿宋" w:eastAsia="仿宋" w:cs="仿宋"/>
          <w:b/>
          <w:bCs/>
          <w:u w:val="single"/>
        </w:rPr>
        <w:t>月</w:t>
      </w:r>
      <w:r>
        <w:rPr>
          <w:rFonts w:hint="eastAsia" w:ascii="仿宋" w:hAnsi="仿宋" w:eastAsia="仿宋" w:cs="仿宋"/>
          <w:b/>
          <w:bCs/>
          <w:u w:val="single"/>
          <w:lang w:val="en-US" w:eastAsia="zh-CN"/>
        </w:rPr>
        <w:t>13</w:t>
      </w:r>
      <w:r>
        <w:rPr>
          <w:rFonts w:hint="eastAsia" w:ascii="仿宋" w:hAnsi="仿宋" w:eastAsia="仿宋" w:cs="仿宋"/>
          <w:b/>
          <w:bCs/>
          <w:u w:val="single"/>
        </w:rPr>
        <w:t>日</w:t>
      </w:r>
      <w:r>
        <w:rPr>
          <w:rFonts w:hint="eastAsia" w:ascii="仿宋" w:hAnsi="仿宋" w:eastAsia="仿宋" w:cs="仿宋"/>
          <w:b/>
          <w:bCs/>
          <w:u w:val="single"/>
          <w:lang w:val="en-US" w:eastAsia="zh-CN"/>
        </w:rPr>
        <w:t>9</w:t>
      </w:r>
      <w:r>
        <w:rPr>
          <w:rFonts w:hint="eastAsia" w:ascii="仿宋" w:hAnsi="仿宋" w:eastAsia="仿宋" w:cs="仿宋"/>
          <w:b/>
          <w:bCs/>
          <w:u w:val="single"/>
        </w:rPr>
        <w:t>时</w:t>
      </w:r>
      <w:r>
        <w:rPr>
          <w:rFonts w:hint="eastAsia" w:ascii="仿宋" w:hAnsi="仿宋" w:eastAsia="仿宋" w:cs="仿宋"/>
          <w:b/>
          <w:bCs/>
          <w:u w:val="single"/>
          <w:lang w:val="en-US" w:eastAsia="zh-CN"/>
        </w:rPr>
        <w:t>30</w:t>
      </w:r>
      <w:r>
        <w:rPr>
          <w:rFonts w:hint="eastAsia" w:ascii="仿宋" w:hAnsi="仿宋" w:eastAsia="仿宋" w:cs="仿宋"/>
          <w:b/>
          <w:bCs/>
          <w:u w:val="single"/>
        </w:rPr>
        <w:t>分。</w:t>
      </w:r>
    </w:p>
    <w:p>
      <w:pPr>
        <w:spacing w:line="360" w:lineRule="auto"/>
        <w:ind w:firstLine="420" w:firstLineChars="200"/>
        <w:rPr>
          <w:rFonts w:ascii="仿宋" w:hAnsi="仿宋" w:eastAsia="仿宋" w:cs="仿宋"/>
        </w:rPr>
      </w:pPr>
      <w:r>
        <w:rPr>
          <w:rFonts w:hint="eastAsia" w:ascii="仿宋" w:hAnsi="仿宋" w:eastAsia="仿宋" w:cs="仿宋"/>
        </w:rPr>
        <w:t>4）</w:t>
      </w:r>
      <w:r>
        <w:rPr>
          <w:rFonts w:hint="eastAsia" w:ascii="仿宋" w:hAnsi="仿宋" w:eastAsia="仿宋" w:cs="仿宋"/>
          <w:b/>
          <w:bCs/>
        </w:rPr>
        <w:t>投标文件递交/开标地点：</w:t>
      </w:r>
      <w:r>
        <w:rPr>
          <w:rFonts w:hint="eastAsia" w:ascii="仿宋" w:hAnsi="仿宋" w:eastAsia="仿宋" w:cs="仿宋"/>
          <w:b/>
          <w:bCs/>
          <w:u w:val="single"/>
        </w:rPr>
        <w:t>广州公共资源交易中心（广州市天河区天润路333号）2楼</w:t>
      </w:r>
      <w:r>
        <w:rPr>
          <w:rFonts w:hint="eastAsia" w:ascii="仿宋" w:hAnsi="仿宋" w:eastAsia="仿宋" w:cs="仿宋"/>
          <w:b/>
          <w:bCs/>
          <w:u w:val="single"/>
          <w:lang w:val="en-US" w:eastAsia="zh-CN"/>
        </w:rPr>
        <w:t>2</w:t>
      </w:r>
      <w:r>
        <w:rPr>
          <w:rFonts w:hint="eastAsia" w:ascii="仿宋" w:hAnsi="仿宋" w:eastAsia="仿宋" w:cs="仿宋"/>
          <w:b/>
          <w:bCs/>
          <w:u w:val="single"/>
        </w:rPr>
        <w:t>开标室。</w:t>
      </w:r>
    </w:p>
    <w:p>
      <w:pPr>
        <w:spacing w:line="360" w:lineRule="auto"/>
        <w:ind w:firstLine="422" w:firstLineChars="200"/>
        <w:rPr>
          <w:rFonts w:ascii="仿宋" w:hAnsi="仿宋" w:eastAsia="仿宋" w:cs="仿宋"/>
          <w:b/>
          <w:bCs/>
        </w:rPr>
      </w:pPr>
      <w:r>
        <w:rPr>
          <w:rFonts w:ascii="仿宋" w:hAnsi="仿宋" w:eastAsia="仿宋" w:cs="仿宋"/>
          <w:b/>
          <w:bCs/>
        </w:rPr>
        <w:t>8</w:t>
      </w:r>
      <w:r>
        <w:rPr>
          <w:rFonts w:hint="eastAsia" w:ascii="仿宋" w:hAnsi="仿宋" w:eastAsia="仿宋" w:cs="仿宋"/>
          <w:b/>
          <w:bCs/>
        </w:rPr>
        <w:t>.投标登记申请及招标文件获取手续：</w:t>
      </w:r>
    </w:p>
    <w:p>
      <w:pPr>
        <w:spacing w:line="360" w:lineRule="auto"/>
        <w:ind w:firstLine="422" w:firstLineChars="200"/>
        <w:rPr>
          <w:rFonts w:ascii="仿宋" w:hAnsi="仿宋" w:eastAsia="仿宋" w:cs="仿宋"/>
          <w:b/>
          <w:bCs/>
        </w:rPr>
      </w:pPr>
      <w:r>
        <w:rPr>
          <w:rFonts w:hint="eastAsia" w:ascii="仿宋" w:hAnsi="仿宋" w:eastAsia="仿宋" w:cs="仿宋"/>
          <w:b/>
          <w:bCs/>
        </w:rPr>
        <w:t>招标文件的获取采用先递交投标登记申请再获取的方式。</w:t>
      </w:r>
    </w:p>
    <w:p>
      <w:pPr>
        <w:spacing w:line="360" w:lineRule="auto"/>
        <w:ind w:firstLine="420" w:firstLineChars="200"/>
        <w:rPr>
          <w:rFonts w:ascii="仿宋" w:hAnsi="仿宋" w:eastAsia="仿宋" w:cs="仿宋"/>
          <w:b/>
          <w:bCs/>
        </w:rPr>
      </w:pPr>
      <w:r>
        <w:rPr>
          <w:rFonts w:hint="eastAsia" w:ascii="仿宋" w:hAnsi="仿宋" w:eastAsia="仿宋" w:cs="仿宋"/>
        </w:rPr>
        <w:t>投标人的授权代表或联系人应经常留意并检查投标申请登记表中所登记的电子邮箱及手机联系电话，以便及时获取招标代理机构发出的项目相关通知。</w:t>
      </w:r>
      <w:r>
        <w:rPr>
          <w:rFonts w:hint="eastAsia" w:ascii="仿宋" w:hAnsi="仿宋" w:eastAsia="仿宋" w:cs="仿宋"/>
          <w:b/>
          <w:bCs/>
        </w:rPr>
        <w:t>请前往广州公共资源交易中心网：www.gzggzy.cn下载投标登记申请表。</w:t>
      </w:r>
    </w:p>
    <w:p>
      <w:pPr>
        <w:spacing w:line="360" w:lineRule="auto"/>
        <w:ind w:firstLine="422" w:firstLineChars="200"/>
        <w:rPr>
          <w:rFonts w:ascii="仿宋" w:hAnsi="仿宋" w:eastAsia="仿宋" w:cs="仿宋"/>
        </w:rPr>
      </w:pPr>
      <w:r>
        <w:rPr>
          <w:rFonts w:hint="eastAsia" w:ascii="仿宋" w:hAnsi="仿宋" w:eastAsia="仿宋" w:cs="仿宋"/>
          <w:b/>
          <w:bCs/>
        </w:rPr>
        <w:t>**重要提示：</w:t>
      </w:r>
      <w:r>
        <w:rPr>
          <w:rFonts w:hint="eastAsia" w:ascii="仿宋" w:hAnsi="仿宋" w:eastAsia="仿宋" w:cs="仿宋"/>
        </w:rPr>
        <w:t>无论采取以下哪种投标登记方式，投标申请人（含联合体成员）在登记前应完成在广州公共资源交易中心的企业信息登记手续（参见广州公共资源交易中心官网的服务指引），否则将由投标申请人自行负责投标登记不成功的后果。</w:t>
      </w:r>
    </w:p>
    <w:p>
      <w:pPr>
        <w:spacing w:line="360" w:lineRule="auto"/>
        <w:ind w:firstLine="420" w:firstLineChars="200"/>
        <w:rPr>
          <w:rFonts w:ascii="仿宋" w:hAnsi="仿宋" w:eastAsia="仿宋" w:cs="仿宋"/>
        </w:rPr>
      </w:pPr>
      <w:r>
        <w:rPr>
          <w:rFonts w:ascii="仿宋" w:hAnsi="仿宋" w:eastAsia="仿宋" w:cs="仿宋"/>
        </w:rPr>
        <w:t>8</w:t>
      </w:r>
      <w:r>
        <w:rPr>
          <w:rFonts w:hint="eastAsia" w:ascii="仿宋" w:hAnsi="仿宋" w:eastAsia="仿宋" w:cs="仿宋"/>
        </w:rPr>
        <w:t>.1投标登记方式1：</w:t>
      </w:r>
    </w:p>
    <w:p>
      <w:pPr>
        <w:spacing w:line="360" w:lineRule="auto"/>
        <w:ind w:firstLine="420" w:firstLineChars="200"/>
        <w:rPr>
          <w:rFonts w:ascii="仿宋" w:hAnsi="仿宋" w:eastAsia="仿宋" w:cs="仿宋"/>
        </w:rPr>
      </w:pPr>
      <w:r>
        <w:rPr>
          <w:rFonts w:hint="eastAsia" w:ascii="仿宋" w:hAnsi="仿宋" w:eastAsia="仿宋" w:cs="仿宋"/>
        </w:rPr>
        <w:t>派员到以下地点现场递交。现场提交登记签章完整的《投标登记申请表》后方可登记。地点：广州市天润路333号广州公共资源交易中心，具体接受登记的窗口见交易中心电子信息屏幕或网站上的安排。</w:t>
      </w:r>
    </w:p>
    <w:p>
      <w:pPr>
        <w:spacing w:line="360" w:lineRule="auto"/>
        <w:ind w:firstLine="422" w:firstLineChars="200"/>
        <w:rPr>
          <w:rFonts w:ascii="仿宋" w:hAnsi="仿宋" w:eastAsia="仿宋" w:cs="仿宋"/>
          <w:b/>
          <w:bCs/>
        </w:rPr>
      </w:pPr>
      <w:r>
        <w:rPr>
          <w:rFonts w:ascii="仿宋" w:hAnsi="仿宋" w:eastAsia="仿宋" w:cs="仿宋"/>
          <w:b/>
          <w:bCs/>
        </w:rPr>
        <w:t>8</w:t>
      </w:r>
      <w:r>
        <w:rPr>
          <w:rFonts w:hint="eastAsia" w:ascii="仿宋" w:hAnsi="仿宋" w:eastAsia="仿宋" w:cs="仿宋"/>
          <w:b/>
          <w:bCs/>
        </w:rPr>
        <w:t>.2投标登记方式2（推荐）：</w:t>
      </w:r>
    </w:p>
    <w:p>
      <w:pPr>
        <w:spacing w:line="360" w:lineRule="auto"/>
        <w:ind w:firstLine="420" w:firstLineChars="200"/>
        <w:rPr>
          <w:rFonts w:ascii="仿宋" w:hAnsi="仿宋" w:eastAsia="仿宋" w:cs="仿宋"/>
        </w:rPr>
      </w:pPr>
      <w:r>
        <w:rPr>
          <w:rFonts w:hint="eastAsia" w:ascii="仿宋" w:hAnsi="仿宋" w:eastAsia="仿宋" w:cs="仿宋"/>
        </w:rPr>
        <w:t>本项目可以采用电子文件的形式递交投标登记资料（请于在本公告所示递交投标登记资料截止时间之前，将签章完整的《投标登记申请表》扫描件发送至邮箱liuhuan@ebidding.com（邮件中须注明单位名称以及项目名称）</w:t>
      </w:r>
      <w:r>
        <w:rPr>
          <w:rFonts w:hint="eastAsia" w:ascii="仿宋" w:hAnsi="仿宋" w:eastAsia="仿宋" w:cs="仿宋"/>
          <w:b/>
          <w:bCs/>
        </w:rPr>
        <w:t>或上传</w:t>
      </w:r>
      <w:r>
        <w:rPr>
          <w:rFonts w:hint="eastAsia" w:ascii="仿宋" w:hAnsi="仿宋" w:eastAsia="仿宋" w:cs="仿宋"/>
        </w:rPr>
        <w:t>至新国e平台（new.ebidding.com）本项目的“申请材料递交”。</w:t>
      </w:r>
    </w:p>
    <w:p>
      <w:pPr>
        <w:spacing w:line="360" w:lineRule="auto"/>
        <w:ind w:firstLine="422" w:firstLineChars="200"/>
        <w:rPr>
          <w:rFonts w:ascii="仿宋" w:hAnsi="仿宋" w:eastAsia="仿宋" w:cs="仿宋"/>
        </w:rPr>
      </w:pPr>
      <w:r>
        <w:rPr>
          <w:rFonts w:hint="eastAsia" w:ascii="仿宋" w:hAnsi="仿宋" w:eastAsia="仿宋" w:cs="仿宋"/>
          <w:b/>
          <w:bCs/>
        </w:rPr>
        <w:t>在国e平台（new.ebidding.com） 递交投标登记表资料步骤：</w:t>
      </w:r>
      <w:r>
        <w:rPr>
          <w:rFonts w:hint="eastAsia" w:ascii="仿宋" w:hAnsi="仿宋" w:eastAsia="仿宋" w:cs="仿宋"/>
        </w:rPr>
        <w:t>“项目管理”-“我要参与”，“搜索框”处输入项目名称进行查找，在列表中选择需要参与的项目，点击“立即参与”，点击“我的项目”，在列表中选择相应的项目，点击“申请材料递交”。递交后请联系招标代理。</w:t>
      </w:r>
    </w:p>
    <w:p>
      <w:pPr>
        <w:spacing w:line="360" w:lineRule="auto"/>
        <w:ind w:firstLine="442" w:firstLineChars="200"/>
        <w:rPr>
          <w:rFonts w:ascii="仿宋" w:hAnsi="仿宋" w:eastAsia="仿宋" w:cs="仿宋"/>
          <w:b/>
          <w:bCs/>
          <w:sz w:val="22"/>
          <w:szCs w:val="21"/>
        </w:rPr>
      </w:pPr>
      <w:r>
        <w:rPr>
          <w:rFonts w:ascii="仿宋" w:hAnsi="仿宋" w:eastAsia="仿宋" w:cs="仿宋"/>
          <w:b/>
          <w:bCs/>
          <w:sz w:val="22"/>
          <w:szCs w:val="21"/>
        </w:rPr>
        <w:t>8</w:t>
      </w:r>
      <w:r>
        <w:rPr>
          <w:rFonts w:hint="eastAsia" w:ascii="仿宋" w:hAnsi="仿宋" w:eastAsia="仿宋" w:cs="仿宋"/>
          <w:b/>
          <w:bCs/>
          <w:sz w:val="22"/>
          <w:szCs w:val="21"/>
        </w:rPr>
        <w:t>.3招标文件的获取：</w:t>
      </w:r>
    </w:p>
    <w:p>
      <w:pPr>
        <w:spacing w:line="360" w:lineRule="auto"/>
        <w:ind w:firstLine="420" w:firstLineChars="200"/>
        <w:rPr>
          <w:rFonts w:ascii="仿宋" w:hAnsi="仿宋" w:eastAsia="仿宋" w:cs="仿宋"/>
        </w:rPr>
      </w:pPr>
      <w:r>
        <w:rPr>
          <w:rFonts w:hint="eastAsia" w:ascii="仿宋" w:hAnsi="仿宋" w:eastAsia="仿宋" w:cs="仿宋"/>
        </w:rPr>
        <w:t>接招标代理通知或待国e平台的递交申请材料的状态更新为“通过”后，登录国e平台完成电子招标文件的获取及付款程序（注意：本次招标仅提供电子招标文件且售后不退）。</w:t>
      </w:r>
    </w:p>
    <w:p>
      <w:pPr>
        <w:spacing w:line="360" w:lineRule="auto"/>
        <w:ind w:firstLine="422" w:firstLineChars="200"/>
        <w:rPr>
          <w:rFonts w:ascii="仿宋" w:hAnsi="仿宋" w:eastAsia="仿宋" w:cs="仿宋"/>
        </w:rPr>
      </w:pPr>
      <w:r>
        <w:rPr>
          <w:rFonts w:hint="eastAsia" w:ascii="仿宋" w:hAnsi="仿宋" w:eastAsia="仿宋" w:cs="仿宋"/>
          <w:b/>
          <w:bCs/>
          <w:u w:val="single"/>
        </w:rPr>
        <w:t>招标文件获取时间：2025年</w:t>
      </w:r>
      <w:r>
        <w:rPr>
          <w:rFonts w:hint="eastAsia" w:ascii="仿宋" w:hAnsi="仿宋" w:eastAsia="仿宋" w:cs="仿宋"/>
          <w:b/>
          <w:bCs/>
          <w:u w:val="single"/>
          <w:lang w:val="en-US" w:eastAsia="zh-CN"/>
        </w:rPr>
        <w:t>5</w:t>
      </w:r>
      <w:r>
        <w:rPr>
          <w:rFonts w:hint="eastAsia" w:ascii="仿宋" w:hAnsi="仿宋" w:eastAsia="仿宋" w:cs="仿宋"/>
          <w:b/>
          <w:bCs/>
          <w:u w:val="single"/>
        </w:rPr>
        <w:t>月</w:t>
      </w:r>
      <w:r>
        <w:rPr>
          <w:rFonts w:hint="eastAsia" w:ascii="仿宋" w:hAnsi="仿宋" w:eastAsia="仿宋" w:cs="仿宋"/>
          <w:b/>
          <w:bCs/>
          <w:u w:val="single"/>
          <w:lang w:val="en-US" w:eastAsia="zh-CN"/>
        </w:rPr>
        <w:t>23</w:t>
      </w:r>
      <w:r>
        <w:rPr>
          <w:rFonts w:hint="eastAsia" w:ascii="仿宋" w:hAnsi="仿宋" w:eastAsia="仿宋" w:cs="仿宋"/>
          <w:b/>
          <w:bCs/>
          <w:u w:val="single"/>
        </w:rPr>
        <w:t>日 –2025年</w:t>
      </w:r>
      <w:r>
        <w:rPr>
          <w:rFonts w:hint="eastAsia" w:ascii="仿宋" w:hAnsi="仿宋" w:eastAsia="仿宋" w:cs="仿宋"/>
          <w:b/>
          <w:bCs/>
          <w:u w:val="single"/>
          <w:lang w:val="en-US" w:eastAsia="zh-CN"/>
        </w:rPr>
        <w:t>5</w:t>
      </w:r>
      <w:r>
        <w:rPr>
          <w:rFonts w:hint="eastAsia" w:ascii="仿宋" w:hAnsi="仿宋" w:eastAsia="仿宋" w:cs="仿宋"/>
          <w:b/>
          <w:bCs/>
          <w:u w:val="single"/>
        </w:rPr>
        <w:t>月</w:t>
      </w:r>
      <w:r>
        <w:rPr>
          <w:rFonts w:hint="eastAsia" w:ascii="仿宋" w:hAnsi="仿宋" w:eastAsia="仿宋" w:cs="仿宋"/>
          <w:b/>
          <w:bCs/>
          <w:u w:val="single"/>
          <w:lang w:val="en-US" w:eastAsia="zh-CN"/>
        </w:rPr>
        <w:t>29</w:t>
      </w:r>
      <w:r>
        <w:rPr>
          <w:rFonts w:hint="eastAsia" w:ascii="仿宋" w:hAnsi="仿宋" w:eastAsia="仿宋" w:cs="仿宋"/>
          <w:b/>
          <w:bCs/>
          <w:u w:val="single"/>
        </w:rPr>
        <w:t>日23时59分（北京时间），电子招标文件每套售价详见国e平台，售后不退。</w:t>
      </w:r>
    </w:p>
    <w:p>
      <w:pPr>
        <w:spacing w:line="360" w:lineRule="auto"/>
        <w:ind w:firstLine="420" w:firstLineChars="200"/>
        <w:rPr>
          <w:rFonts w:ascii="仿宋" w:hAnsi="仿宋" w:eastAsia="仿宋" w:cs="仿宋"/>
        </w:rPr>
      </w:pPr>
      <w:r>
        <w:rPr>
          <w:rFonts w:hint="eastAsia" w:ascii="仿宋" w:hAnsi="仿宋" w:eastAsia="仿宋" w:cs="仿宋"/>
        </w:rPr>
        <w:t>招标文件购买获取具体步骤：完成投标登记后登录“国e平台”,完成电子招标文件的获取及付款程序，“项目管理”-“我要参与 ”点</w:t>
      </w:r>
      <w:bookmarkStart w:id="1" w:name="_GoBack"/>
      <w:bookmarkEnd w:id="1"/>
      <w:r>
        <w:rPr>
          <w:rFonts w:hint="eastAsia" w:ascii="仿宋" w:hAnsi="仿宋" w:eastAsia="仿宋" w:cs="仿宋"/>
        </w:rPr>
        <w:t>击“我的项目”，在列表中选择已登记的项目，点击“购买文件”。或详见官网的操作手册。</w:t>
      </w:r>
    </w:p>
    <w:p>
      <w:pPr>
        <w:spacing w:line="360" w:lineRule="auto"/>
        <w:ind w:firstLine="420" w:firstLineChars="200"/>
        <w:rPr>
          <w:rFonts w:ascii="仿宋" w:hAnsi="仿宋" w:eastAsia="仿宋" w:cs="仿宋"/>
        </w:rPr>
      </w:pPr>
      <w:r>
        <w:rPr>
          <w:rFonts w:hint="eastAsia" w:ascii="仿宋" w:hAnsi="仿宋" w:eastAsia="仿宋" w:cs="仿宋"/>
        </w:rPr>
        <w:t>注：有关国e平台操作疑问咨询请联系国e平台客服/国义招标电子商务推广部（有关国e平台操作疑问可咨询：叶韵诗：yeyunshi@ebidding.com（电话：020-37860669）、叶海恋：yehailian@ebidding.com（电话：020-37860671）、李冰：lb@ebidding.com（电话：020-37860665、37861083））。</w:t>
      </w:r>
    </w:p>
    <w:p>
      <w:pPr>
        <w:spacing w:before="156" w:beforeLines="50" w:after="156" w:afterLines="50" w:line="360" w:lineRule="auto"/>
        <w:rPr>
          <w:rFonts w:ascii="仿宋" w:hAnsi="仿宋" w:eastAsia="仿宋" w:cs="仿宋"/>
          <w:b/>
          <w:bCs/>
        </w:rPr>
      </w:pPr>
      <w:r>
        <w:rPr>
          <w:rFonts w:ascii="仿宋" w:hAnsi="仿宋" w:eastAsia="仿宋" w:cs="仿宋"/>
          <w:b/>
          <w:bCs/>
        </w:rPr>
        <w:t>9</w:t>
      </w:r>
      <w:r>
        <w:rPr>
          <w:rFonts w:hint="eastAsia" w:ascii="仿宋" w:hAnsi="仿宋" w:eastAsia="仿宋" w:cs="仿宋"/>
          <w:b/>
          <w:bCs/>
        </w:rPr>
        <w:t>.发布公告的媒介</w:t>
      </w:r>
    </w:p>
    <w:p>
      <w:pPr>
        <w:spacing w:before="156" w:beforeLines="50" w:after="156" w:afterLines="50" w:line="360" w:lineRule="auto"/>
        <w:ind w:firstLine="420" w:firstLineChars="200"/>
        <w:rPr>
          <w:rFonts w:ascii="仿宋" w:hAnsi="仿宋" w:eastAsia="仿宋" w:cs="仿宋"/>
          <w:b/>
          <w:bCs/>
        </w:rPr>
      </w:pPr>
      <w:r>
        <w:rPr>
          <w:rFonts w:hint="eastAsia" w:ascii="仿宋" w:hAnsi="仿宋" w:eastAsia="仿宋" w:cs="仿宋"/>
        </w:rPr>
        <w:t>本次招标的相关事宜及信息的发布：本次招标公告同时在广州公共资源交易中心网平台www.gzggzy.cn、国义招标股份有限公司（国e招标采购平台）new.ebidding.com、广东省招标投标监管网zbtb.gd.gov.cn、中国招标投标公共服务平台www.cebpubservice.com、深圳阳光采购平台https://www.szygcgpt.com/等法定平台上发布。法定平台之间按《招标公告和公示信息发布管理办法》（简称10号令）和《招标公告和公示数据接口规范》等相关规定对接交互本招标公告内容。如有不一致以广州公共资源交易中心网平台为准。</w:t>
      </w:r>
    </w:p>
    <w:p>
      <w:pPr>
        <w:spacing w:before="156" w:beforeLines="50" w:after="156" w:afterLines="50" w:line="360" w:lineRule="auto"/>
        <w:rPr>
          <w:rFonts w:ascii="仿宋" w:hAnsi="仿宋" w:eastAsia="仿宋" w:cs="仿宋"/>
          <w:b/>
          <w:bCs/>
        </w:rPr>
      </w:pPr>
      <w:r>
        <w:rPr>
          <w:rFonts w:ascii="仿宋" w:hAnsi="仿宋" w:eastAsia="仿宋" w:cs="仿宋"/>
          <w:b/>
          <w:bCs/>
        </w:rPr>
        <w:t>10</w:t>
      </w:r>
      <w:r>
        <w:rPr>
          <w:rFonts w:hint="eastAsia" w:ascii="仿宋" w:hAnsi="仿宋" w:eastAsia="仿宋" w:cs="仿宋"/>
          <w:b/>
          <w:bCs/>
        </w:rPr>
        <w:t>.联系方式</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（1）招标人联系方式</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名称：东莞深燃天然气热电有限公司</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联系人：夏工</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电话：0769-88461135</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地址：广东省东莞市高埗镇高埗塘厦创富街13号（邮编：523281）</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（2）招标代理机构联系方式</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名称：国义招标股份有限公司</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联系人：刘欢、吴越、王琳</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联系电话：020-37861101、020-37860627、020-37860645</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电子邮箱：liuhuan@ebidding.com</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传真：020-87673286</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地址：广州市东风东路726号-16楼（邮编：510080）</w:t>
      </w:r>
    </w:p>
    <w:p>
      <w:pPr>
        <w:spacing w:line="360" w:lineRule="auto"/>
        <w:rPr>
          <w:rStyle w:val="6"/>
          <w:rFonts w:ascii="仿宋" w:hAnsi="仿宋" w:eastAsia="仿宋" w:cs="仿宋"/>
          <w:color w:val="auto"/>
          <w:u w:val="none"/>
        </w:rPr>
      </w:pPr>
    </w:p>
    <w:p>
      <w:pPr>
        <w:spacing w:line="360" w:lineRule="auto"/>
        <w:ind w:firstLine="420" w:firstLineChars="200"/>
        <w:jc w:val="right"/>
        <w:rPr>
          <w:rStyle w:val="6"/>
          <w:rFonts w:ascii="仿宋" w:hAnsi="仿宋" w:eastAsia="仿宋" w:cs="仿宋"/>
          <w:color w:val="auto"/>
          <w:u w:val="none"/>
        </w:rPr>
      </w:pPr>
      <w:r>
        <w:rPr>
          <w:rStyle w:val="6"/>
          <w:rFonts w:hint="eastAsia" w:ascii="仿宋" w:hAnsi="仿宋" w:eastAsia="仿宋" w:cs="仿宋"/>
          <w:color w:val="auto"/>
          <w:u w:val="none"/>
        </w:rPr>
        <w:t>招标人：东莞深燃天然气热电有限公司</w:t>
      </w:r>
    </w:p>
    <w:p>
      <w:pPr>
        <w:spacing w:line="360" w:lineRule="auto"/>
        <w:ind w:firstLine="420" w:firstLineChars="200"/>
        <w:jc w:val="right"/>
        <w:rPr>
          <w:rStyle w:val="6"/>
          <w:rFonts w:ascii="仿宋" w:hAnsi="仿宋" w:eastAsia="仿宋" w:cs="仿宋"/>
          <w:color w:val="auto"/>
          <w:u w:val="none"/>
        </w:rPr>
      </w:pPr>
      <w:r>
        <w:rPr>
          <w:rStyle w:val="6"/>
          <w:rFonts w:hint="eastAsia" w:ascii="仿宋" w:hAnsi="仿宋" w:eastAsia="仿宋" w:cs="仿宋"/>
          <w:color w:val="auto"/>
          <w:u w:val="none"/>
        </w:rPr>
        <w:t>招标代理：国义招标股份有限公司</w:t>
      </w:r>
    </w:p>
    <w:p>
      <w:pPr>
        <w:pStyle w:val="2"/>
        <w:jc w:val="right"/>
        <w:rPr>
          <w:rStyle w:val="6"/>
          <w:rFonts w:ascii="仿宋" w:hAnsi="仿宋" w:eastAsia="仿宋" w:cs="仿宋"/>
          <w:color w:val="auto"/>
          <w:sz w:val="21"/>
          <w:szCs w:val="20"/>
        </w:rPr>
      </w:pPr>
      <w:r>
        <w:rPr>
          <w:rStyle w:val="6"/>
          <w:rFonts w:hint="eastAsia" w:ascii="仿宋" w:hAnsi="仿宋" w:eastAsia="仿宋" w:cs="仿宋"/>
          <w:color w:val="auto"/>
          <w:sz w:val="21"/>
          <w:szCs w:val="20"/>
        </w:rPr>
        <w:t>日期：2025年</w:t>
      </w:r>
      <w:r>
        <w:rPr>
          <w:rStyle w:val="6"/>
          <w:rFonts w:hint="eastAsia" w:ascii="仿宋" w:hAnsi="仿宋" w:eastAsia="仿宋" w:cs="仿宋"/>
          <w:color w:val="auto"/>
          <w:sz w:val="21"/>
          <w:szCs w:val="20"/>
          <w:lang w:val="en-US" w:eastAsia="zh-CN"/>
        </w:rPr>
        <w:t>5</w:t>
      </w:r>
      <w:r>
        <w:rPr>
          <w:rStyle w:val="6"/>
          <w:rFonts w:hint="eastAsia" w:ascii="仿宋" w:hAnsi="仿宋" w:eastAsia="仿宋" w:cs="仿宋"/>
          <w:color w:val="auto"/>
          <w:sz w:val="21"/>
          <w:szCs w:val="20"/>
        </w:rPr>
        <w:t xml:space="preserve"> 月</w:t>
      </w:r>
      <w:r>
        <w:rPr>
          <w:rStyle w:val="6"/>
          <w:rFonts w:hint="eastAsia" w:ascii="仿宋" w:hAnsi="仿宋" w:eastAsia="仿宋" w:cs="仿宋"/>
          <w:color w:val="auto"/>
          <w:sz w:val="21"/>
          <w:szCs w:val="20"/>
          <w:lang w:val="en-US" w:eastAsia="zh-CN"/>
        </w:rPr>
        <w:t>22</w:t>
      </w:r>
      <w:r>
        <w:rPr>
          <w:rStyle w:val="6"/>
          <w:rFonts w:hint="eastAsia" w:ascii="仿宋" w:hAnsi="仿宋" w:eastAsia="仿宋" w:cs="仿宋"/>
          <w:color w:val="auto"/>
          <w:sz w:val="21"/>
          <w:szCs w:val="20"/>
        </w:rPr>
        <w:t>日</w:t>
      </w:r>
    </w:p>
    <w:p>
      <w:pPr>
        <w:spacing w:line="360" w:lineRule="auto"/>
        <w:ind w:firstLine="420" w:firstLineChars="200"/>
        <w:rPr>
          <w:rStyle w:val="6"/>
          <w:rFonts w:ascii="仿宋" w:hAnsi="仿宋" w:eastAsia="仿宋" w:cs="仿宋"/>
          <w:color w:val="auto"/>
          <w:u w:val="none"/>
        </w:rPr>
      </w:pPr>
    </w:p>
    <w:p>
      <w:pPr>
        <w:spacing w:line="360" w:lineRule="auto"/>
        <w:ind w:firstLine="420" w:firstLineChars="200"/>
        <w:jc w:val="right"/>
        <w:rPr>
          <w:rStyle w:val="6"/>
          <w:rFonts w:hint="eastAsia" w:ascii="仿宋" w:hAnsi="仿宋" w:eastAsia="仿宋" w:cs="仿宋"/>
          <w:color w:val="auto"/>
          <w:u w:val="none"/>
          <w:lang w:eastAsia="zh-CN"/>
        </w:rPr>
      </w:pPr>
    </w:p>
    <w:p>
      <w:pPr>
        <w:spacing w:line="360" w:lineRule="auto"/>
        <w:ind w:firstLine="420" w:firstLineChars="200"/>
        <w:rPr>
          <w:rStyle w:val="6"/>
          <w:rFonts w:ascii="仿宋" w:hAnsi="仿宋" w:eastAsia="仿宋" w:cs="仿宋"/>
          <w:color w:val="auto"/>
          <w:u w:val="none"/>
        </w:rPr>
      </w:pPr>
    </w:p>
    <w:p>
      <w:pPr>
        <w:spacing w:line="360" w:lineRule="auto"/>
        <w:ind w:firstLine="420" w:firstLineChars="200"/>
        <w:rPr>
          <w:rStyle w:val="6"/>
          <w:rFonts w:ascii="仿宋" w:hAnsi="仿宋" w:eastAsia="仿宋" w:cs="仿宋"/>
          <w:color w:val="auto"/>
          <w:u w:val="none"/>
        </w:rPr>
      </w:pPr>
    </w:p>
    <w:p>
      <w:pPr>
        <w:spacing w:line="360" w:lineRule="auto"/>
        <w:rPr>
          <w:rFonts w:ascii="仿宋" w:hAnsi="仿宋" w:eastAsia="仿宋" w:cs="仿宋"/>
          <w:b/>
          <w:sz w:val="24"/>
          <w:szCs w:val="24"/>
        </w:rPr>
      </w:pPr>
      <w:r>
        <w:rPr>
          <w:rStyle w:val="6"/>
          <w:rFonts w:hint="eastAsia" w:ascii="仿宋" w:hAnsi="仿宋" w:eastAsia="仿宋" w:cs="仿宋"/>
          <w:color w:val="auto"/>
          <w:u w:val="none"/>
        </w:rPr>
        <w:t>招标公告附件：投标申请人声明</w:t>
      </w:r>
      <w:r>
        <w:rPr>
          <w:rStyle w:val="6"/>
          <w:rFonts w:hint="eastAsia" w:ascii="仿宋" w:hAnsi="仿宋" w:eastAsia="仿宋" w:cs="仿宋"/>
          <w:color w:val="auto"/>
          <w:u w:val="none"/>
        </w:rPr>
        <w:br w:type="page"/>
      </w:r>
      <w:r>
        <w:rPr>
          <w:rFonts w:hint="eastAsia" w:ascii="仿宋" w:hAnsi="仿宋" w:eastAsia="仿宋" w:cs="仿宋"/>
          <w:b/>
          <w:sz w:val="24"/>
          <w:szCs w:val="24"/>
        </w:rPr>
        <w:t>附件1：</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投标申请人声明</w:t>
      </w:r>
    </w:p>
    <w:p>
      <w:pPr>
        <w:pStyle w:val="7"/>
        <w:ind w:firstLine="0"/>
        <w:rPr>
          <w:rFonts w:ascii="仿宋" w:hAnsi="仿宋" w:eastAsia="仿宋" w:cs="仿宋"/>
          <w:b/>
          <w:bCs/>
          <w:color w:val="auto"/>
          <w:sz w:val="21"/>
          <w:szCs w:val="21"/>
        </w:rPr>
      </w:pPr>
      <w:r>
        <w:rPr>
          <w:rFonts w:hint="eastAsia" w:ascii="仿宋" w:hAnsi="仿宋" w:eastAsia="仿宋" w:cs="仿宋"/>
          <w:b/>
          <w:bCs/>
          <w:color w:val="auto"/>
          <w:sz w:val="21"/>
          <w:szCs w:val="21"/>
        </w:rPr>
        <w:t>致东莞深燃天然气热电有限公司：</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本公司就参加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投标工作，作出郑重声明：</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一、本公司保证投标文件及其后提供的一切材料都是真实的。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二、本公司保证在本项目投标中不与其他单位围标、串标，不出让投标资格，不向招标人或评标委员会成员行贿。</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三、本公司不存在下列情形之一：</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（1）为招标人不具有独立法人资格的附属机构（单位）；</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（2）为本标段前期准备提供设计或咨询服务或者与本项目设计人或提供咨询服务的机构存在附属关系的；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（3）为本项目监理人或者与本项目监理人存在隶属关系或者其他利害关系；</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（4）为本标段的代建人；</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（5）为本标段提供招标代理服务的；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（6）与本标段的监理人或代建人或招标代理机构同为一个法定代表人的；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（7）与本标段的监理人或代建人或招标代理机构互相控股或参股的；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（8）与本标段的监理人或代建人或招标代理机构相互任职或工作的；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（9）与本标段的检测机构、建设、监理单位以及建筑材料、建筑构配件和设备供应商有隶属关系或者其他利害关系有隶属关系或者其他利害关系；</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（10）与招标人存在利害关系且可能影响招标公正性；</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（11）不存在以下情形：</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1）近3年内（从招标公告发布之日起倒算）供应商或者其法定代表人有行贿犯罪记录的。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2）近2年内（从招标公告发布之日起倒算）供应商有无正当理由放弃深圳市燃气集团股份有限公司成交项目、不接受招标文件中合同主要条款、不履行合同义务或单方面终止合同的。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3）近1年内（从截标之日起倒算）因串通投标、转包、以他人名义投标或者违法分包等违法行为受到建设、交通或者财政部门行政处罚的。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4）因违反工程质量、安全生产管理规定等原因被建设部门给予红色警示且在警示期内的。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5）拖欠工人工资被有关部门责令改正而未改正的。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6）除单一来源采购项目外，为采购项目提供整体设计、规范编制或者项目管理、监理、检测等服务的供应商，不得再参加该采购项目的其他采购活动。</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7）被列入深圳市燃气集团股份有限公司黑名单的或暂停承揽资格的。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8）法律法规规定的其他情形。</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四、本公司保证未存在下列任何一种情形：</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（1）不同投标人的法定代表人、主要经营负责人（董事长和总经理）、委托代理人、项目负责人、主要技术人员为同一人、属同一单位或者在同一单位缴纳社会保险的；不同投标人存在直接控股、管理关系的。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（2）存在关联关系且影响公正性的投标人同时参与。</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（3）本项目拟派的项目负责人在其他在建项目中任施工单位项目负责人，本项目拟派的专职安全员在其他在建项目中任职专职安全员。</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六、我方郑重承诺在本次采购活动中遵守反商业贿赂，不给予招标人及中介机构工作人员及其亲属任何形式的商业贿赂（包括并不限于礼金礼品、有价证券、购物劵、回扣、佣金、咨询费、劳务费、赞助费、宣传费、支付旅游费用、报销各种消费凭证、宣请、娱乐等）。若有幸成为中标人，为保证项目顺利实施，我司承诺严格履行合同廉洁从业相关条款，承诺严格执行廉政建设和反腐败的法律和法规，不发生违法乱纪行为。</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七、除非另外达成协议并生效，中标通知书和投标文件将成为约束双方的合同文件的组成部分。</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八、如果我方的投标出现违法违规，或弄虚作假，或发现上述情形而被评标委员会判定投标无效的，或者在有效期内撤回投标或放弃中标资格或中标后不按时与贵方签订合同的，则贵方有权取消我方中标资格。因我司原因造成的，我方承担：</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（1）若我方提交了投标保证金，此投标保证金将全部被没收。</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（2）自觉接受贵方暂停或者拒绝我司参加贵方其他任何项目资格的处理。</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另外，给贵方造成的损失超过上述投标保证金的，贵方还有权要求我方对超过部分进行赔偿。</w:t>
      </w:r>
    </w:p>
    <w:p>
      <w:pPr>
        <w:spacing w:line="360" w:lineRule="auto"/>
        <w:ind w:firstLine="210" w:firstLineChars="100"/>
        <w:jc w:val="left"/>
        <w:rPr>
          <w:rFonts w:ascii="仿宋" w:hAnsi="仿宋" w:eastAsia="仿宋" w:cs="仿宋"/>
          <w:szCs w:val="21"/>
        </w:rPr>
      </w:pPr>
      <w:r>
        <w:rPr>
          <w:rFonts w:hint="eastAsia" w:ascii="仿宋" w:hAnsi="仿宋" w:eastAsia="仿宋" w:cs="仿宋"/>
          <w:szCs w:val="21"/>
        </w:rPr>
        <w:t>特此声明。</w:t>
      </w:r>
    </w:p>
    <w:p>
      <w:pPr>
        <w:spacing w:line="360" w:lineRule="auto"/>
        <w:ind w:firstLine="210" w:firstLineChars="100"/>
        <w:jc w:val="left"/>
        <w:rPr>
          <w:rFonts w:ascii="仿宋" w:hAnsi="仿宋" w:eastAsia="仿宋" w:cs="仿宋"/>
          <w:szCs w:val="21"/>
        </w:rPr>
      </w:pPr>
    </w:p>
    <w:p>
      <w:pPr>
        <w:pStyle w:val="8"/>
        <w:ind w:left="629" w:right="1449"/>
        <w:jc w:val="both"/>
        <w:rPr>
          <w:rFonts w:ascii="仿宋" w:hAnsi="仿宋" w:eastAsia="仿宋" w:cs="仿宋"/>
          <w:color w:val="auto"/>
          <w:sz w:val="21"/>
          <w:szCs w:val="21"/>
        </w:rPr>
      </w:pPr>
      <w:r>
        <w:rPr>
          <w:rFonts w:hint="eastAsia" w:ascii="仿宋" w:hAnsi="仿宋" w:eastAsia="仿宋" w:cs="仿宋"/>
          <w:color w:val="auto"/>
          <w:sz w:val="21"/>
          <w:szCs w:val="21"/>
        </w:rPr>
        <w:t xml:space="preserve">                                     声明企业：</w:t>
      </w:r>
    </w:p>
    <w:p>
      <w:pPr>
        <w:pStyle w:val="7"/>
        <w:ind w:right="1179" w:firstLine="0"/>
        <w:rPr>
          <w:rFonts w:ascii="仿宋" w:hAnsi="仿宋" w:eastAsia="仿宋" w:cs="仿宋"/>
          <w:color w:val="auto"/>
          <w:sz w:val="21"/>
          <w:szCs w:val="21"/>
        </w:rPr>
      </w:pPr>
      <w:r>
        <w:rPr>
          <w:rFonts w:hint="eastAsia" w:ascii="仿宋" w:hAnsi="仿宋" w:eastAsia="仿宋" w:cs="仿宋"/>
          <w:color w:val="auto"/>
          <w:sz w:val="21"/>
          <w:szCs w:val="21"/>
        </w:rPr>
        <w:t xml:space="preserve">                                           法定代表人签字或盖章：</w:t>
      </w:r>
    </w:p>
    <w:p>
      <w:pPr>
        <w:pStyle w:val="7"/>
        <w:ind w:right="1179" w:firstLine="0"/>
        <w:rPr>
          <w:rFonts w:ascii="仿宋" w:hAnsi="仿宋" w:eastAsia="仿宋" w:cs="仿宋"/>
          <w:color w:val="auto"/>
          <w:sz w:val="21"/>
          <w:szCs w:val="21"/>
        </w:rPr>
      </w:pPr>
      <w:r>
        <w:rPr>
          <w:rFonts w:hint="eastAsia" w:ascii="仿宋" w:hAnsi="仿宋" w:eastAsia="仿宋" w:cs="仿宋"/>
          <w:color w:val="auto"/>
          <w:sz w:val="21"/>
          <w:szCs w:val="21"/>
        </w:rPr>
        <w:t xml:space="preserve">                                           项目负责人签字:</w:t>
      </w:r>
    </w:p>
    <w:p>
      <w:pPr>
        <w:pStyle w:val="7"/>
        <w:ind w:right="879" w:firstLine="1890" w:firstLineChars="900"/>
        <w:jc w:val="left"/>
        <w:rPr>
          <w:rFonts w:ascii="仿宋" w:hAnsi="仿宋" w:eastAsia="仿宋" w:cs="仿宋"/>
          <w:color w:val="auto"/>
          <w:sz w:val="21"/>
          <w:szCs w:val="21"/>
        </w:rPr>
      </w:pPr>
      <w:r>
        <w:rPr>
          <w:rFonts w:hint="eastAsia" w:ascii="仿宋" w:hAnsi="仿宋" w:eastAsia="仿宋" w:cs="仿宋"/>
          <w:color w:val="auto"/>
          <w:sz w:val="21"/>
          <w:szCs w:val="21"/>
        </w:rPr>
        <w:t xml:space="preserve">                         技术负责人签字：</w:t>
      </w:r>
    </w:p>
    <w:p>
      <w:pPr>
        <w:pStyle w:val="7"/>
        <w:ind w:right="879" w:firstLine="1890" w:firstLineChars="900"/>
        <w:jc w:val="right"/>
        <w:rPr>
          <w:rFonts w:ascii="仿宋" w:hAnsi="仿宋" w:eastAsia="仿宋" w:cs="仿宋"/>
          <w:color w:val="auto"/>
          <w:sz w:val="21"/>
          <w:szCs w:val="21"/>
        </w:rPr>
      </w:pPr>
      <w:r>
        <w:rPr>
          <w:rFonts w:hint="eastAsia" w:ascii="仿宋" w:hAnsi="仿宋" w:eastAsia="仿宋" w:cs="仿宋"/>
          <w:color w:val="auto"/>
          <w:sz w:val="21"/>
          <w:szCs w:val="21"/>
        </w:rPr>
        <w:t>年   月   日</w:t>
      </w:r>
    </w:p>
    <w:p>
      <w:pPr>
        <w:spacing w:line="360" w:lineRule="auto"/>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kern w:val="0"/>
          <w:szCs w:val="21"/>
        </w:rPr>
        <w:t>（企业公章）</w:t>
      </w:r>
    </w:p>
    <w:p>
      <w:pPr>
        <w:rPr>
          <w:rFonts w:ascii="仿宋" w:hAnsi="仿宋" w:eastAsia="仿宋" w:cs="仿宋"/>
          <w:szCs w:val="21"/>
        </w:rPr>
      </w:pPr>
    </w:p>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C7011"/>
    <w:rsid w:val="03A856B9"/>
    <w:rsid w:val="117B1B26"/>
    <w:rsid w:val="51DC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widowControl/>
      <w:ind w:left="720"/>
      <w:jc w:val="left"/>
    </w:pPr>
    <w:rPr>
      <w:rFonts w:ascii="Calibri" w:hAnsi="Calibri" w:eastAsia="宋体"/>
      <w:sz w:val="18"/>
      <w:szCs w:val="18"/>
    </w:rPr>
  </w:style>
  <w:style w:type="paragraph" w:styleId="3">
    <w:name w:val="Body Text 2"/>
    <w:basedOn w:val="1"/>
    <w:qFormat/>
    <w:uiPriority w:val="0"/>
    <w:rPr>
      <w:rFonts w:ascii="宋体" w:hAnsi="宋体"/>
      <w:szCs w:val="24"/>
      <w:u w:val="single"/>
    </w:rPr>
  </w:style>
  <w:style w:type="character" w:styleId="6">
    <w:name w:val="Hyperlink"/>
    <w:qFormat/>
    <w:uiPriority w:val="99"/>
    <w:rPr>
      <w:color w:val="0000FF"/>
      <w:u w:val="single"/>
    </w:r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
    <w:name w:val="发文落款"/>
    <w:basedOn w:val="7"/>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5994</Words>
  <Characters>6523</Characters>
  <Lines>0</Lines>
  <Paragraphs>0</Paragraphs>
  <TotalTime>4</TotalTime>
  <ScaleCrop>false</ScaleCrop>
  <LinksUpToDate>false</LinksUpToDate>
  <CharactersWithSpaces>6767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2025-05-22T02:27:00Z</dcterms:created>
  <dc:creator>刘Laura</dc:creator>
  <cp:lastModifiedBy>刘Laura</cp:lastModifiedBy>
  <dcterms:modified xsi:type="dcterms:W3CDTF">2025-05-22T03:10:54Z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96F07AFDF89041A5906AD23F6488482D</vt:lpwstr>
  </property>
</Properties>
</file>