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9728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bookmarkStart w:id="64" w:name="_GoBack"/>
    </w:p>
    <w:p w14:paraId="5C67799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napToGrid w:val="0"/>
          <w:color w:val="auto"/>
          <w:kern w:val="0"/>
          <w:sz w:val="48"/>
          <w:szCs w:val="48"/>
          <w:highlight w:val="none"/>
        </w:rPr>
      </w:pPr>
      <w:r>
        <w:rPr>
          <w:rFonts w:hint="eastAsia" w:ascii="宋体" w:hAnsi="宋体" w:cs="宋体"/>
          <w:b/>
          <w:bCs/>
          <w:snapToGrid w:val="0"/>
          <w:color w:val="auto"/>
          <w:kern w:val="0"/>
          <w:sz w:val="48"/>
          <w:szCs w:val="48"/>
          <w:highlight w:val="none"/>
          <w:u w:val="none"/>
          <w:lang w:eastAsia="zh-CN"/>
        </w:rPr>
        <w:t>广州市花都区交通运输局2025年-2026年规划测绘服务</w:t>
      </w:r>
      <w:r>
        <w:rPr>
          <w:rFonts w:hint="eastAsia" w:ascii="宋体" w:hAnsi="宋体" w:cs="宋体"/>
          <w:b/>
          <w:bCs/>
          <w:snapToGrid w:val="0"/>
          <w:color w:val="auto"/>
          <w:kern w:val="0"/>
          <w:sz w:val="48"/>
          <w:szCs w:val="48"/>
          <w:highlight w:val="none"/>
          <w:u w:val="none"/>
          <w:lang w:val="en-US" w:eastAsia="zh-CN"/>
        </w:rPr>
        <w:t>框架</w:t>
      </w:r>
      <w:r>
        <w:rPr>
          <w:rFonts w:hint="eastAsia" w:ascii="宋体" w:hAnsi="宋体" w:eastAsia="宋体" w:cs="宋体"/>
          <w:b/>
          <w:bCs/>
          <w:snapToGrid w:val="0"/>
          <w:color w:val="auto"/>
          <w:kern w:val="0"/>
          <w:sz w:val="48"/>
          <w:szCs w:val="48"/>
          <w:highlight w:val="none"/>
          <w:u w:val="none"/>
          <w:lang w:val="en-US" w:eastAsia="zh-CN"/>
        </w:rPr>
        <w:t>合同</w:t>
      </w:r>
    </w:p>
    <w:p w14:paraId="58537CB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103A8F2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4A4C640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3021516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168A6FE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7A87CA1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635C26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05FA330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0C84076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617C776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1E07382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A7F5BE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7790322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lang w:eastAsia="zh-CN"/>
        </w:rPr>
      </w:pPr>
      <w:r>
        <w:rPr>
          <w:rFonts w:hint="eastAsia" w:asciiTheme="minorEastAsia" w:hAnsiTheme="minorEastAsia" w:eastAsiaTheme="minorEastAsia" w:cstheme="minorEastAsia"/>
          <w:b/>
          <w:bCs/>
          <w:snapToGrid w:val="0"/>
          <w:color w:val="auto"/>
          <w:kern w:val="0"/>
          <w:sz w:val="28"/>
          <w:szCs w:val="28"/>
          <w:highlight w:val="none"/>
        </w:rPr>
        <w:t>发包人（甲方）：</w:t>
      </w:r>
      <w:r>
        <w:rPr>
          <w:rFonts w:hint="eastAsia" w:asciiTheme="minorEastAsia" w:hAnsiTheme="minorEastAsia" w:eastAsiaTheme="minorEastAsia" w:cstheme="minorEastAsia"/>
          <w:b/>
          <w:bCs/>
          <w:snapToGrid w:val="0"/>
          <w:color w:val="auto"/>
          <w:kern w:val="0"/>
          <w:sz w:val="28"/>
          <w:szCs w:val="28"/>
          <w:highlight w:val="none"/>
          <w:u w:val="single"/>
        </w:rPr>
        <w:t>广州市花都区交通运输</w:t>
      </w:r>
      <w:r>
        <w:rPr>
          <w:rFonts w:hint="eastAsia" w:asciiTheme="minorEastAsia" w:hAnsiTheme="minorEastAsia" w:eastAsiaTheme="minorEastAsia" w:cstheme="minorEastAsia"/>
          <w:b/>
          <w:bCs/>
          <w:snapToGrid w:val="0"/>
          <w:color w:val="auto"/>
          <w:kern w:val="0"/>
          <w:sz w:val="28"/>
          <w:szCs w:val="28"/>
          <w:highlight w:val="none"/>
          <w:u w:val="single"/>
          <w:lang w:eastAsia="zh-CN"/>
        </w:rPr>
        <w:t>局</w:t>
      </w:r>
    </w:p>
    <w:p w14:paraId="7FA90C7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lang w:eastAsia="zh-CN"/>
        </w:rPr>
      </w:pPr>
      <w:r>
        <w:rPr>
          <w:rFonts w:hint="eastAsia" w:asciiTheme="minorEastAsia" w:hAnsiTheme="minorEastAsia" w:eastAsiaTheme="minorEastAsia" w:cstheme="minorEastAsia"/>
          <w:b/>
          <w:bCs/>
          <w:snapToGrid w:val="0"/>
          <w:color w:val="auto"/>
          <w:kern w:val="0"/>
          <w:sz w:val="28"/>
          <w:szCs w:val="28"/>
          <w:highlight w:val="none"/>
          <w:lang w:eastAsia="zh-CN"/>
        </w:rPr>
        <w:t>承包人（乙方）：</w:t>
      </w:r>
      <w:r>
        <w:rPr>
          <w:rFonts w:hint="eastAsia" w:asciiTheme="minorEastAsia" w:hAnsiTheme="minorEastAsia" w:eastAsiaTheme="minorEastAsia" w:cstheme="minorEastAsia"/>
          <w:b/>
          <w:bCs/>
          <w:snapToGrid w:val="0"/>
          <w:color w:val="auto"/>
          <w:kern w:val="0"/>
          <w:sz w:val="28"/>
          <w:szCs w:val="28"/>
          <w:highlight w:val="none"/>
          <w:u w:val="single"/>
          <w:lang w:val="en-US" w:eastAsia="zh-CN"/>
        </w:rPr>
        <w:t xml:space="preserve">                      </w:t>
      </w:r>
    </w:p>
    <w:p w14:paraId="5F9AAC8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lang w:val="en-US" w:eastAsia="zh-CN"/>
        </w:rPr>
      </w:pPr>
      <w:r>
        <w:rPr>
          <w:rFonts w:hint="eastAsia" w:asciiTheme="minorEastAsia" w:hAnsiTheme="minorEastAsia" w:eastAsiaTheme="minorEastAsia" w:cstheme="minorEastAsia"/>
          <w:b/>
          <w:bCs/>
          <w:snapToGrid w:val="0"/>
          <w:color w:val="auto"/>
          <w:kern w:val="0"/>
          <w:sz w:val="28"/>
          <w:szCs w:val="28"/>
          <w:highlight w:val="none"/>
        </w:rPr>
        <w:t>合</w:t>
      </w:r>
      <w:r>
        <w:rPr>
          <w:rFonts w:hint="eastAsia" w:asciiTheme="minorEastAsia" w:hAnsiTheme="minorEastAsia" w:eastAsiaTheme="minorEastAsia" w:cstheme="minorEastAsia"/>
          <w:b/>
          <w:bCs/>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b/>
          <w:bCs/>
          <w:snapToGrid w:val="0"/>
          <w:color w:val="auto"/>
          <w:kern w:val="0"/>
          <w:sz w:val="28"/>
          <w:szCs w:val="28"/>
          <w:highlight w:val="none"/>
        </w:rPr>
        <w:t>同</w:t>
      </w:r>
      <w:r>
        <w:rPr>
          <w:rFonts w:hint="eastAsia" w:asciiTheme="minorEastAsia" w:hAnsiTheme="minorEastAsia" w:eastAsiaTheme="minorEastAsia" w:cstheme="minorEastAsia"/>
          <w:b/>
          <w:bCs/>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b/>
          <w:bCs/>
          <w:snapToGrid w:val="0"/>
          <w:color w:val="auto"/>
          <w:kern w:val="0"/>
          <w:sz w:val="28"/>
          <w:szCs w:val="28"/>
          <w:highlight w:val="none"/>
        </w:rPr>
        <w:t>编</w:t>
      </w:r>
      <w:r>
        <w:rPr>
          <w:rFonts w:hint="eastAsia" w:asciiTheme="minorEastAsia" w:hAnsiTheme="minorEastAsia" w:eastAsiaTheme="minorEastAsia" w:cstheme="minorEastAsia"/>
          <w:b/>
          <w:bCs/>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b/>
          <w:bCs/>
          <w:snapToGrid w:val="0"/>
          <w:color w:val="auto"/>
          <w:kern w:val="0"/>
          <w:sz w:val="28"/>
          <w:szCs w:val="28"/>
          <w:highlight w:val="none"/>
        </w:rPr>
        <w:t>号：</w:t>
      </w:r>
      <w:r>
        <w:rPr>
          <w:rFonts w:hint="eastAsia" w:asciiTheme="minorEastAsia" w:hAnsiTheme="minorEastAsia" w:eastAsiaTheme="minorEastAsia" w:cstheme="minorEastAsia"/>
          <w:b/>
          <w:bCs/>
          <w:snapToGrid w:val="0"/>
          <w:color w:val="auto"/>
          <w:kern w:val="0"/>
          <w:sz w:val="28"/>
          <w:szCs w:val="28"/>
          <w:highlight w:val="none"/>
          <w:u w:val="single"/>
          <w:lang w:val="en-US" w:eastAsia="zh-CN"/>
        </w:rPr>
        <w:t xml:space="preserve">                    </w:t>
      </w:r>
    </w:p>
    <w:p w14:paraId="1FF7744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合同签订地点：</w:t>
      </w:r>
      <w:r>
        <w:rPr>
          <w:rFonts w:hint="eastAsia" w:asciiTheme="minorEastAsia" w:hAnsiTheme="minorEastAsia" w:eastAsiaTheme="minorEastAsia" w:cstheme="minorEastAsia"/>
          <w:b/>
          <w:bCs/>
          <w:snapToGrid w:val="0"/>
          <w:color w:val="auto"/>
          <w:kern w:val="0"/>
          <w:sz w:val="28"/>
          <w:szCs w:val="28"/>
          <w:highlight w:val="none"/>
          <w:u w:val="single"/>
        </w:rPr>
        <w:t>广州市花都区</w:t>
      </w:r>
    </w:p>
    <w:p w14:paraId="2417016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合同签订时间：</w:t>
      </w:r>
      <w:r>
        <w:rPr>
          <w:rFonts w:hint="eastAsia" w:asciiTheme="minorEastAsia" w:hAnsiTheme="minorEastAsia" w:eastAsiaTheme="minorEastAsia" w:cstheme="minorEastAsia"/>
          <w:b/>
          <w:bCs/>
          <w:snapToGrid w:val="0"/>
          <w:color w:val="auto"/>
          <w:kern w:val="0"/>
          <w:sz w:val="28"/>
          <w:szCs w:val="28"/>
          <w:highlight w:val="none"/>
          <w:u w:val="single"/>
          <w:lang w:val="en-US" w:eastAsia="zh-CN"/>
        </w:rPr>
        <w:t xml:space="preserve">      </w:t>
      </w:r>
      <w:r>
        <w:rPr>
          <w:rFonts w:hint="eastAsia" w:asciiTheme="minorEastAsia" w:hAnsiTheme="minorEastAsia" w:eastAsiaTheme="minorEastAsia" w:cstheme="minorEastAsia"/>
          <w:b/>
          <w:bCs/>
          <w:snapToGrid w:val="0"/>
          <w:color w:val="auto"/>
          <w:kern w:val="0"/>
          <w:sz w:val="28"/>
          <w:szCs w:val="28"/>
          <w:highlight w:val="none"/>
          <w:u w:val="single"/>
        </w:rPr>
        <w:t>年   月   日</w:t>
      </w:r>
    </w:p>
    <w:p w14:paraId="17C7F77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br w:type="page"/>
      </w:r>
    </w:p>
    <w:p w14:paraId="0598EAB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sectPr>
          <w:pgSz w:w="11906" w:h="16838"/>
          <w:pgMar w:top="1417" w:right="1417" w:bottom="1417" w:left="1417" w:header="851" w:footer="992" w:gutter="0"/>
          <w:cols w:space="0" w:num="1"/>
          <w:rtlGutter w:val="0"/>
          <w:docGrid w:type="lines" w:linePitch="312" w:charSpace="0"/>
        </w:sectPr>
      </w:pPr>
    </w:p>
    <w:p w14:paraId="7BFFBAC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napToGrid w:val="0"/>
          <w:color w:val="auto"/>
          <w:kern w:val="0"/>
          <w:sz w:val="28"/>
          <w:szCs w:val="28"/>
          <w:highlight w:val="none"/>
        </w:rPr>
      </w:pPr>
      <w:bookmarkStart w:id="0" w:name="_Toc16120"/>
      <w:bookmarkStart w:id="1" w:name="_Toc14054"/>
      <w:bookmarkStart w:id="2" w:name="_Toc11054"/>
      <w:bookmarkStart w:id="3" w:name="_Toc27121"/>
      <w:bookmarkStart w:id="4" w:name="_Toc28843"/>
      <w:bookmarkStart w:id="5" w:name="_Toc81930158"/>
      <w:bookmarkStart w:id="6" w:name="_Toc30974"/>
      <w:bookmarkStart w:id="7" w:name="_Toc19142"/>
      <w:bookmarkStart w:id="8" w:name="_Toc3930"/>
      <w:bookmarkStart w:id="9" w:name="_Toc24172"/>
      <w:bookmarkStart w:id="10" w:name="_Toc15930"/>
      <w:bookmarkStart w:id="11" w:name="_Toc1238"/>
      <w:bookmarkStart w:id="12" w:name="_Toc31418"/>
      <w:bookmarkStart w:id="13" w:name="_Toc30450"/>
      <w:bookmarkStart w:id="14" w:name="_Toc9687"/>
      <w:bookmarkStart w:id="15" w:name="_Toc12333"/>
      <w:bookmarkStart w:id="16" w:name="_Toc27940"/>
      <w:bookmarkStart w:id="17" w:name="_Toc26534"/>
      <w:bookmarkStart w:id="18" w:name="_Toc15016"/>
      <w:bookmarkStart w:id="19" w:name="_Toc15007"/>
      <w:bookmarkStart w:id="20" w:name="_Toc8757"/>
      <w:bookmarkStart w:id="21" w:name="_Toc27598"/>
      <w:bookmarkStart w:id="22" w:name="_Toc29392"/>
      <w:bookmarkStart w:id="23" w:name="_Toc22468"/>
      <w:bookmarkStart w:id="24" w:name="_Toc8239_WPSOffice_Level1"/>
      <w:bookmarkStart w:id="25" w:name="_Toc8142"/>
      <w:r>
        <w:rPr>
          <w:rFonts w:hint="eastAsia" w:asciiTheme="minorEastAsia" w:hAnsiTheme="minorEastAsia" w:eastAsiaTheme="minorEastAsia" w:cstheme="minorEastAsia"/>
          <w:b/>
          <w:bCs/>
          <w:snapToGrid w:val="0"/>
          <w:color w:val="auto"/>
          <w:kern w:val="0"/>
          <w:sz w:val="28"/>
          <w:szCs w:val="28"/>
          <w:highlight w:val="none"/>
        </w:rPr>
        <w:t>第一部分 合同协议书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47025D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发包人（甲方）：</w:t>
      </w:r>
      <w:r>
        <w:rPr>
          <w:rFonts w:hint="eastAsia" w:asciiTheme="minorEastAsia" w:hAnsiTheme="minorEastAsia" w:eastAsiaTheme="minorEastAsia" w:cstheme="minorEastAsia"/>
          <w:snapToGrid w:val="0"/>
          <w:color w:val="auto"/>
          <w:kern w:val="0"/>
          <w:sz w:val="28"/>
          <w:szCs w:val="28"/>
          <w:highlight w:val="none"/>
          <w:u w:val="single"/>
        </w:rPr>
        <w:t>广州市花都区交通运输局</w:t>
      </w:r>
    </w:p>
    <w:p w14:paraId="1D36671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承包</w:t>
      </w:r>
      <w:r>
        <w:rPr>
          <w:rFonts w:hint="eastAsia" w:asciiTheme="minorEastAsia" w:hAnsiTheme="minorEastAsia" w:eastAsiaTheme="minorEastAsia" w:cstheme="minorEastAsia"/>
          <w:snapToGrid w:val="0"/>
          <w:color w:val="auto"/>
          <w:kern w:val="0"/>
          <w:sz w:val="28"/>
          <w:szCs w:val="28"/>
          <w:highlight w:val="none"/>
          <w:lang w:val="en-US" w:eastAsia="zh-CN"/>
        </w:rPr>
        <w:t>人（乙方）：</w:t>
      </w:r>
      <w:r>
        <w:rPr>
          <w:rFonts w:hint="eastAsia" w:asciiTheme="minorEastAsia" w:hAnsiTheme="minorEastAsia" w:eastAsiaTheme="minorEastAsia" w:cstheme="minorEastAsia"/>
          <w:snapToGrid w:val="0"/>
          <w:color w:val="auto"/>
          <w:kern w:val="0"/>
          <w:sz w:val="28"/>
          <w:szCs w:val="28"/>
          <w:highlight w:val="none"/>
          <w:u w:val="single"/>
          <w:lang w:val="en-US" w:eastAsia="zh-CN"/>
        </w:rPr>
        <w:t xml:space="preserve">                        </w:t>
      </w:r>
    </w:p>
    <w:p w14:paraId="54EF17D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7C25542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经公开招标，发包人确定承包人为</w:t>
      </w:r>
      <w:r>
        <w:rPr>
          <w:rFonts w:hint="eastAsia" w:asciiTheme="minorEastAsia" w:hAnsiTheme="minorEastAsia" w:eastAsiaTheme="minorEastAsia" w:cstheme="minorEastAsia"/>
          <w:snapToGrid w:val="0"/>
          <w:color w:val="auto"/>
          <w:kern w:val="0"/>
          <w:sz w:val="28"/>
          <w:szCs w:val="28"/>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的服务单位，中标通知书编号为</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lang w:val="zh-CN"/>
        </w:rPr>
        <w:t>广州公资交（建设）字[</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lang w:val="zh-CN"/>
        </w:rPr>
        <w:t>]第[</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lang w:val="zh-CN"/>
        </w:rPr>
        <w:t>]号。</w:t>
      </w:r>
    </w:p>
    <w:p w14:paraId="02AAE84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根据《中华人民共和国民法典》等相关法律法规规定，遵循平等、自愿、公平和诚实信用的原则，双方就上述</w:t>
      </w:r>
      <w:r>
        <w:rPr>
          <w:rFonts w:hint="eastAsia" w:asciiTheme="minorEastAsia" w:hAnsiTheme="minorEastAsia" w:eastAsiaTheme="minorEastAsia" w:cstheme="minorEastAsia"/>
          <w:snapToGrid w:val="0"/>
          <w:color w:val="auto"/>
          <w:kern w:val="0"/>
          <w:sz w:val="28"/>
          <w:szCs w:val="28"/>
          <w:highlight w:val="none"/>
          <w:u w:val="single"/>
          <w:lang w:val="en-US" w:eastAsia="zh-CN"/>
        </w:rPr>
        <w:t xml:space="preserve"> 广州市花都区交通运输局2025年-2026年规划测绘服务框架 </w:t>
      </w:r>
      <w:r>
        <w:rPr>
          <w:rFonts w:hint="eastAsia" w:asciiTheme="minorEastAsia" w:hAnsiTheme="minorEastAsia" w:eastAsiaTheme="minorEastAsia" w:cstheme="minorEastAsia"/>
          <w:snapToGrid w:val="0"/>
          <w:color w:val="auto"/>
          <w:kern w:val="0"/>
          <w:sz w:val="28"/>
          <w:szCs w:val="28"/>
          <w:highlight w:val="none"/>
        </w:rPr>
        <w:t>事项协商一致，订立本框架合同。</w:t>
      </w:r>
    </w:p>
    <w:p w14:paraId="3EA5D7F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rPr>
        <w:t>承包人（联合体各方）应认真履行其共同的和各自的责任，在合同约定的时间内完成本合同范围内的全部工作。联合体牵头人或其任一成员的过错或违约行为均不免除其他成员单位的连带责任，牵头人或联合体授权的代表负责与发包人联系，并接受指示，负责组织联合体各成员全面履行合同。</w:t>
      </w:r>
      <w:r>
        <w:rPr>
          <w:rFonts w:hint="eastAsia" w:asciiTheme="minorEastAsia" w:hAnsiTheme="minorEastAsia" w:eastAsiaTheme="minorEastAsia" w:cstheme="minorEastAsia"/>
          <w:snapToGrid w:val="0"/>
          <w:color w:val="auto"/>
          <w:kern w:val="0"/>
          <w:sz w:val="28"/>
          <w:szCs w:val="28"/>
          <w:highlight w:val="none"/>
          <w:lang w:eastAsia="zh-CN"/>
        </w:rPr>
        <w:t>【联合体投标适用】</w:t>
      </w:r>
    </w:p>
    <w:p w14:paraId="46527213">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eastAsia="zh-CN"/>
        </w:rPr>
      </w:pPr>
      <w:bookmarkStart w:id="26" w:name="_Toc9429030"/>
      <w:bookmarkEnd w:id="26"/>
      <w:bookmarkStart w:id="27" w:name="_Toc9429032"/>
      <w:bookmarkEnd w:id="27"/>
      <w:bookmarkStart w:id="28" w:name="_Toc9429034"/>
      <w:bookmarkEnd w:id="28"/>
      <w:bookmarkStart w:id="29" w:name="_Toc9429031"/>
      <w:bookmarkEnd w:id="29"/>
      <w:bookmarkStart w:id="30" w:name="_Toc81930160"/>
      <w:bookmarkEnd w:id="30"/>
      <w:bookmarkStart w:id="31" w:name="_Toc11413"/>
      <w:bookmarkStart w:id="32" w:name="_Toc19927"/>
      <w:bookmarkStart w:id="33" w:name="_Toc18393"/>
      <w:bookmarkStart w:id="34" w:name="_Toc112071508"/>
      <w:bookmarkStart w:id="35" w:name="_Toc638"/>
      <w:bookmarkStart w:id="36" w:name="_Toc8782"/>
      <w:bookmarkStart w:id="37" w:name="_Toc28361"/>
      <w:bookmarkStart w:id="38" w:name="_Toc21121"/>
      <w:bookmarkStart w:id="39" w:name="_Toc23514"/>
      <w:bookmarkStart w:id="40" w:name="_Toc8557"/>
      <w:bookmarkStart w:id="41" w:name="_Toc18031"/>
      <w:bookmarkStart w:id="42" w:name="_Toc81930161"/>
      <w:bookmarkStart w:id="43" w:name="_Toc17088"/>
      <w:bookmarkStart w:id="44" w:name="_Toc18612"/>
      <w:bookmarkStart w:id="45" w:name="_Toc7264"/>
      <w:bookmarkStart w:id="46" w:name="_Toc27573"/>
      <w:r>
        <w:rPr>
          <w:rFonts w:hint="eastAsia" w:asciiTheme="minorEastAsia" w:hAnsiTheme="minorEastAsia" w:eastAsiaTheme="minorEastAsia" w:cstheme="minorEastAsia"/>
          <w:b/>
          <w:bCs/>
          <w:snapToGrid w:val="0"/>
          <w:color w:val="auto"/>
          <w:kern w:val="0"/>
          <w:sz w:val="28"/>
          <w:szCs w:val="28"/>
          <w:highlight w:val="none"/>
        </w:rPr>
        <w:t xml:space="preserve">第一条 </w:t>
      </w:r>
      <w:r>
        <w:rPr>
          <w:rFonts w:hint="eastAsia" w:asciiTheme="minorEastAsia" w:hAnsiTheme="minorEastAsia" w:eastAsiaTheme="minorEastAsia" w:cstheme="minorEastAsia"/>
          <w:b/>
          <w:bCs/>
          <w:snapToGrid w:val="0"/>
          <w:color w:val="auto"/>
          <w:kern w:val="0"/>
          <w:sz w:val="28"/>
          <w:szCs w:val="28"/>
          <w:highlight w:val="none"/>
        </w:rPr>
        <w:t>委托</w:t>
      </w:r>
      <w:r>
        <w:rPr>
          <w:rFonts w:hint="eastAsia" w:asciiTheme="minorEastAsia" w:hAnsiTheme="minorEastAsia" w:eastAsiaTheme="minorEastAsia" w:cstheme="minorEastAsia"/>
          <w:b/>
          <w:bCs/>
          <w:snapToGrid w:val="0"/>
          <w:color w:val="auto"/>
          <w:kern w:val="0"/>
          <w:sz w:val="28"/>
          <w:szCs w:val="28"/>
          <w:highlight w:val="none"/>
          <w:lang w:eastAsia="zh-CN"/>
        </w:rPr>
        <w:t>工作</w:t>
      </w:r>
      <w:r>
        <w:rPr>
          <w:rFonts w:hint="eastAsia" w:asciiTheme="minorEastAsia" w:hAnsiTheme="minorEastAsia" w:eastAsiaTheme="minorEastAsia" w:cstheme="minorEastAsia"/>
          <w:b/>
          <w:bCs/>
          <w:snapToGrid w:val="0"/>
          <w:color w:val="auto"/>
          <w:kern w:val="0"/>
          <w:sz w:val="28"/>
          <w:szCs w:val="28"/>
          <w:highlight w:val="none"/>
        </w:rPr>
        <w:t>内容</w:t>
      </w:r>
      <w:r>
        <w:rPr>
          <w:rFonts w:hint="eastAsia" w:asciiTheme="minorEastAsia" w:hAnsiTheme="minorEastAsia" w:eastAsiaTheme="minorEastAsia" w:cstheme="minorEastAsia"/>
          <w:b/>
          <w:bCs/>
          <w:snapToGrid w:val="0"/>
          <w:color w:val="auto"/>
          <w:kern w:val="0"/>
          <w:sz w:val="28"/>
          <w:szCs w:val="28"/>
          <w:highlight w:val="none"/>
          <w:lang w:eastAsia="zh-CN"/>
        </w:rPr>
        <w:t>、工期</w:t>
      </w:r>
      <w:r>
        <w:rPr>
          <w:rFonts w:hint="eastAsia" w:asciiTheme="minorEastAsia" w:hAnsiTheme="minorEastAsia" w:eastAsiaTheme="minorEastAsia" w:cstheme="minorEastAsia"/>
          <w:b/>
          <w:bCs/>
          <w:snapToGrid w:val="0"/>
          <w:color w:val="auto"/>
          <w:kern w:val="0"/>
          <w:sz w:val="28"/>
          <w:szCs w:val="28"/>
          <w:highlight w:val="none"/>
        </w:rPr>
        <w:t>要求</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eastAsia" w:asciiTheme="minorEastAsia" w:hAnsiTheme="minorEastAsia" w:eastAsiaTheme="minorEastAsia" w:cstheme="minorEastAsia"/>
          <w:b/>
          <w:bCs/>
          <w:snapToGrid w:val="0"/>
          <w:color w:val="auto"/>
          <w:kern w:val="0"/>
          <w:sz w:val="28"/>
          <w:szCs w:val="28"/>
          <w:highlight w:val="none"/>
          <w:lang w:eastAsia="zh-CN"/>
        </w:rPr>
        <w:t>、</w:t>
      </w:r>
      <w:r>
        <w:rPr>
          <w:rFonts w:hint="eastAsia" w:asciiTheme="minorEastAsia" w:hAnsiTheme="minorEastAsia" w:eastAsiaTheme="minorEastAsia" w:cstheme="minorEastAsia"/>
          <w:b/>
          <w:bCs/>
          <w:snapToGrid w:val="0"/>
          <w:color w:val="auto"/>
          <w:kern w:val="0"/>
          <w:sz w:val="28"/>
          <w:szCs w:val="28"/>
          <w:highlight w:val="none"/>
        </w:rPr>
        <w:t>计费依据</w:t>
      </w:r>
      <w:r>
        <w:rPr>
          <w:rFonts w:hint="eastAsia" w:asciiTheme="minorEastAsia" w:hAnsiTheme="minorEastAsia" w:eastAsiaTheme="minorEastAsia" w:cstheme="minorEastAsia"/>
          <w:b/>
          <w:bCs/>
          <w:snapToGrid w:val="0"/>
          <w:color w:val="auto"/>
          <w:kern w:val="0"/>
          <w:sz w:val="28"/>
          <w:szCs w:val="28"/>
          <w:highlight w:val="none"/>
          <w:lang w:eastAsia="zh-CN"/>
        </w:rPr>
        <w:t>、</w:t>
      </w:r>
      <w:r>
        <w:rPr>
          <w:rFonts w:hint="eastAsia" w:asciiTheme="minorEastAsia" w:hAnsiTheme="minorEastAsia" w:eastAsiaTheme="minorEastAsia" w:cstheme="minorEastAsia"/>
          <w:b/>
          <w:bCs/>
          <w:snapToGrid w:val="0"/>
          <w:color w:val="auto"/>
          <w:kern w:val="0"/>
          <w:sz w:val="28"/>
          <w:szCs w:val="28"/>
          <w:highlight w:val="none"/>
        </w:rPr>
        <w:t>成果要求</w:t>
      </w:r>
    </w:p>
    <w:p w14:paraId="02975BD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本合同的服务内容为</w:t>
      </w:r>
      <w:r>
        <w:rPr>
          <w:rFonts w:hint="eastAsia" w:ascii="宋体" w:hAnsi="宋体" w:eastAsia="宋体" w:cs="宋体"/>
          <w:snapToGrid w:val="0"/>
          <w:color w:val="auto"/>
          <w:kern w:val="0"/>
          <w:sz w:val="28"/>
          <w:szCs w:val="28"/>
          <w:highlight w:val="none"/>
          <w:u w:val="single"/>
          <w:lang w:val="en-US" w:eastAsia="zh-CN"/>
        </w:rPr>
        <w:t xml:space="preserve"> </w:t>
      </w:r>
      <w:r>
        <w:rPr>
          <w:rFonts w:hint="eastAsia" w:ascii="宋体" w:hAnsi="宋体" w:cs="宋体"/>
          <w:color w:val="auto"/>
          <w:sz w:val="28"/>
          <w:szCs w:val="28"/>
          <w:highlight w:val="none"/>
          <w:u w:val="single"/>
        </w:rPr>
        <w:t>控规调整</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现状地形图测量</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规划放线测量</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含建设工程、道路工程、地下管线</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eastAsia="zh-CN"/>
        </w:rPr>
        <w:t>、</w:t>
      </w:r>
      <w:r>
        <w:rPr>
          <w:rFonts w:hint="eastAsia" w:ascii="宋体" w:hAnsi="宋体" w:eastAsia="宋体" w:cs="宋体"/>
          <w:b w:val="0"/>
          <w:color w:val="auto"/>
          <w:kern w:val="2"/>
          <w:sz w:val="28"/>
          <w:szCs w:val="28"/>
          <w:highlight w:val="none"/>
          <w:u w:val="single"/>
        </w:rPr>
        <w:t>规划条件核实测量（含建设工程、道路工程、地下管线）</w:t>
      </w:r>
      <w:r>
        <w:rPr>
          <w:rFonts w:hint="eastAsia" w:ascii="宋体" w:hAnsi="宋体" w:eastAsia="宋体" w:cs="宋体"/>
          <w:b w:val="0"/>
          <w:color w:val="auto"/>
          <w:kern w:val="2"/>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地下管线探测</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总平面技术审查</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t>单体报建技术审查</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t>规划条件核实技术审查</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人防竣工测量</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不动产权籍调查</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t>房产测绘</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零星</w:t>
      </w:r>
      <w:r>
        <w:rPr>
          <w:rFonts w:hint="eastAsia" w:ascii="宋体" w:hAnsi="宋体" w:eastAsia="宋体" w:cs="宋体"/>
          <w:color w:val="auto"/>
          <w:sz w:val="28"/>
          <w:szCs w:val="28"/>
          <w:highlight w:val="none"/>
          <w:u w:val="single"/>
        </w:rPr>
        <w:t>工程测量</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建筑年份核查</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t>土地套图及附图、土地勘测定界</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eastAsia="zh-CN"/>
        </w:rPr>
        <w:t>用地报批</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eastAsia="zh-CN"/>
        </w:rPr>
        <w:t>林地报批、耕作层剥离方案编制</w:t>
      </w:r>
      <w:r>
        <w:rPr>
          <w:rFonts w:hint="eastAsia" w:ascii="宋体" w:hAnsi="宋体" w:eastAsia="宋体" w:cs="宋体"/>
          <w:strike w:val="0"/>
          <w:color w:val="auto"/>
          <w:sz w:val="28"/>
          <w:szCs w:val="28"/>
          <w:highlight w:val="none"/>
          <w:u w:val="single"/>
          <w:lang w:eastAsia="zh-CN"/>
        </w:rPr>
        <w:t>、</w:t>
      </w:r>
      <w:r>
        <w:rPr>
          <w:rFonts w:hint="eastAsia" w:ascii="宋体" w:hAnsi="宋体" w:eastAsia="宋体" w:cs="宋体"/>
          <w:b w:val="0"/>
          <w:color w:val="auto"/>
          <w:kern w:val="2"/>
          <w:sz w:val="28"/>
          <w:szCs w:val="28"/>
          <w:highlight w:val="none"/>
          <w:u w:val="single"/>
          <w:lang w:eastAsia="zh-CN"/>
        </w:rPr>
        <w:t>征地拆迁和管线迁改前期摸查报告编制</w:t>
      </w:r>
      <w:r>
        <w:rPr>
          <w:rFonts w:hint="eastAsia" w:ascii="宋体" w:hAnsi="宋体" w:eastAsia="宋体" w:cs="宋体"/>
          <w:color w:val="auto"/>
          <w:sz w:val="28"/>
          <w:szCs w:val="28"/>
          <w:highlight w:val="none"/>
          <w:u w:val="single"/>
          <w:lang w:eastAsia="zh-CN"/>
        </w:rPr>
        <w:t>等</w:t>
      </w:r>
      <w:r>
        <w:rPr>
          <w:rFonts w:hint="eastAsia" w:ascii="宋体" w:hAnsi="宋体" w:eastAsia="宋体" w:cs="宋体"/>
          <w:snapToGrid w:val="0"/>
          <w:color w:val="auto"/>
          <w:kern w:val="0"/>
          <w:sz w:val="28"/>
          <w:szCs w:val="28"/>
          <w:highlight w:val="none"/>
        </w:rPr>
        <w:t>工作，</w:t>
      </w:r>
      <w:r>
        <w:rPr>
          <w:rFonts w:hint="eastAsia" w:ascii="宋体" w:hAnsi="宋体" w:eastAsia="宋体" w:cs="宋体"/>
          <w:color w:val="auto"/>
          <w:sz w:val="28"/>
          <w:szCs w:val="28"/>
          <w:highlight w:val="none"/>
          <w:u w:val="single"/>
        </w:rPr>
        <w:t>工作成果</w:t>
      </w:r>
      <w:r>
        <w:rPr>
          <w:rFonts w:hint="eastAsia" w:ascii="宋体" w:hAnsi="宋体" w:cs="宋体"/>
          <w:color w:val="auto"/>
          <w:sz w:val="28"/>
          <w:szCs w:val="28"/>
          <w:highlight w:val="none"/>
          <w:u w:val="single"/>
        </w:rPr>
        <w:t>需满足行政审批部门的要求</w:t>
      </w:r>
      <w:r>
        <w:rPr>
          <w:rFonts w:hint="eastAsia" w:ascii="宋体" w:hAnsi="宋体" w:eastAsia="宋体" w:cs="宋体"/>
          <w:snapToGrid w:val="0"/>
          <w:color w:val="auto"/>
          <w:kern w:val="0"/>
          <w:sz w:val="28"/>
          <w:szCs w:val="28"/>
          <w:highlight w:val="none"/>
          <w:u w:val="single"/>
          <w:lang w:val="en-US" w:eastAsia="zh-CN"/>
        </w:rPr>
        <w:t>，</w:t>
      </w:r>
      <w:r>
        <w:rPr>
          <w:rFonts w:hint="eastAsia" w:ascii="宋体" w:hAnsi="宋体" w:eastAsia="宋体" w:cs="宋体"/>
          <w:snapToGrid w:val="0"/>
          <w:color w:val="auto"/>
          <w:kern w:val="0"/>
          <w:sz w:val="28"/>
          <w:szCs w:val="28"/>
          <w:highlight w:val="none"/>
        </w:rPr>
        <w:t>工作内容具体包括但不限于：</w:t>
      </w:r>
    </w:p>
    <w:p w14:paraId="3A47825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p>
    <w:p w14:paraId="2DEA17BA">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一</w:t>
      </w:r>
      <w:r>
        <w:rPr>
          <w:rFonts w:hint="eastAsia" w:asciiTheme="minorEastAsia" w:hAnsiTheme="minorEastAsia" w:eastAsiaTheme="minorEastAsia" w:cstheme="minorEastAsia"/>
          <w:b/>
          <w:bCs/>
          <w:snapToGrid w:val="0"/>
          <w:color w:val="auto"/>
          <w:kern w:val="0"/>
          <w:sz w:val="28"/>
          <w:szCs w:val="28"/>
          <w:highlight w:val="none"/>
        </w:rPr>
        <w:t>）控规调整</w:t>
      </w:r>
    </w:p>
    <w:p w14:paraId="477EDBE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：按照市规划和自然资源局控规调整的要求，编制片区的控制性详细规划修改方案，明确控规调整的可行性。控规修改方案经市规划和自然资源局审查及规划公示后，将上报市规划委员会审议和市政府审批。</w:t>
      </w:r>
    </w:p>
    <w:p w14:paraId="15D096C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根据项目的实际情况协商后以《工作任务单》期限为准。</w:t>
      </w:r>
    </w:p>
    <w:p w14:paraId="0DFC788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w:t>
      </w:r>
      <w:r>
        <w:rPr>
          <w:rFonts w:hint="eastAsia" w:asciiTheme="minorEastAsia" w:hAnsiTheme="minorEastAsia" w:eastAsiaTheme="minorEastAsia" w:cstheme="minorEastAsia"/>
          <w:snapToGrid w:val="0"/>
          <w:color w:val="auto"/>
          <w:kern w:val="0"/>
          <w:sz w:val="28"/>
          <w:szCs w:val="28"/>
          <w:highlight w:val="none"/>
        </w:rPr>
        <w:t>照《广东省城市规划收费标准的建议》（2003年10月），并结合中标下浮率计取。</w:t>
      </w:r>
    </w:p>
    <w:p w14:paraId="0C8DBCE9">
      <w:pPr>
        <w:keepNext w:val="0"/>
        <w:keepLines w:val="0"/>
        <w:pageBreakBefore w:val="0"/>
        <w:widowControl/>
        <w:kinsoku/>
        <w:wordWrap/>
        <w:overflowPunct/>
        <w:topLinePunct w:val="0"/>
        <w:autoSpaceDE/>
        <w:autoSpaceDN/>
        <w:bidi w:val="0"/>
        <w:adjustRightInd/>
        <w:snapToGrid/>
        <w:spacing w:line="240" w:lineRule="auto"/>
        <w:ind w:firstLine="480" w:firstLineChars="0"/>
        <w:jc w:val="left"/>
        <w:textAlignment w:val="auto"/>
        <w:rPr>
          <w:rFonts w:hint="eastAsia" w:eastAsia="宋体" w:asciiTheme="minorEastAsia" w:hAnsi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lang w:eastAsia="zh-CN"/>
        </w:rPr>
        <w:t>成果要求：</w:t>
      </w:r>
      <w:r>
        <w:rPr>
          <w:rFonts w:hint="eastAsia" w:asciiTheme="minorEastAsia" w:hAnsiTheme="minorEastAsia" w:eastAsiaTheme="minorEastAsia" w:cstheme="minorEastAsia"/>
          <w:snapToGrid w:val="0"/>
          <w:color w:val="auto"/>
          <w:kern w:val="0"/>
          <w:sz w:val="28"/>
          <w:szCs w:val="28"/>
          <w:highlight w:val="none"/>
        </w:rPr>
        <w:t>最终需向相关部门提交编制片区的控制性详细规划修改方案成果</w:t>
      </w:r>
      <w:r>
        <w:rPr>
          <w:rFonts w:hint="eastAsia" w:asciiTheme="minorEastAsia" w:hAnsiTheme="minorEastAsia" w:eastAsiaTheme="minorEastAsia" w:cstheme="minorEastAsia"/>
          <w:snapToGrid w:val="0"/>
          <w:color w:val="auto"/>
          <w:kern w:val="0"/>
          <w:sz w:val="28"/>
          <w:szCs w:val="28"/>
          <w:highlight w:val="none"/>
          <w:lang w:eastAsia="zh-CN"/>
        </w:rPr>
        <w:t>。</w:t>
      </w:r>
    </w:p>
    <w:p w14:paraId="1B5E75FB">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二</w:t>
      </w:r>
      <w:r>
        <w:rPr>
          <w:rFonts w:hint="eastAsia" w:asciiTheme="minorEastAsia" w:hAnsiTheme="minorEastAsia" w:eastAsiaTheme="minorEastAsia" w:cstheme="minorEastAsia"/>
          <w:b/>
          <w:bCs/>
          <w:snapToGrid w:val="0"/>
          <w:color w:val="auto"/>
          <w:kern w:val="0"/>
          <w:sz w:val="28"/>
          <w:szCs w:val="28"/>
          <w:highlight w:val="none"/>
        </w:rPr>
        <w:t>）现状地形图测量</w:t>
      </w:r>
    </w:p>
    <w:p w14:paraId="7AAA6A2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：对用地界线外扩50米范围内进行1:500地形图现状测量，调查用地地块周边</w:t>
      </w:r>
      <w:r>
        <w:rPr>
          <w:rFonts w:hint="eastAsia" w:asciiTheme="minorEastAsia" w:hAnsiTheme="minorEastAsia" w:eastAsiaTheme="minorEastAsia" w:cstheme="minorEastAsia"/>
          <w:snapToGrid w:val="0"/>
          <w:color w:val="auto"/>
          <w:kern w:val="0"/>
          <w:sz w:val="28"/>
          <w:szCs w:val="28"/>
          <w:highlight w:val="none"/>
        </w:rPr>
        <w:t>土地权属和</w:t>
      </w:r>
      <w:r>
        <w:rPr>
          <w:rFonts w:hint="eastAsia" w:asciiTheme="minorEastAsia" w:hAnsiTheme="minorEastAsia" w:eastAsiaTheme="minorEastAsia" w:cstheme="minorEastAsia"/>
          <w:snapToGrid w:val="0"/>
          <w:color w:val="auto"/>
          <w:kern w:val="0"/>
          <w:sz w:val="28"/>
          <w:szCs w:val="28"/>
          <w:highlight w:val="none"/>
        </w:rPr>
        <w:t>规划管理信息，并在地形图上叠加用地权属界线、规划路、规划河涌</w:t>
      </w:r>
      <w:r>
        <w:rPr>
          <w:rFonts w:hint="eastAsia" w:asciiTheme="minorEastAsia" w:hAnsiTheme="minorEastAsia" w:eastAsiaTheme="minorEastAsia" w:cstheme="minorEastAsia"/>
          <w:snapToGrid w:val="0"/>
          <w:color w:val="auto"/>
          <w:kern w:val="0"/>
          <w:sz w:val="28"/>
          <w:szCs w:val="28"/>
          <w:highlight w:val="none"/>
        </w:rPr>
        <w:t>及周边用地</w:t>
      </w:r>
      <w:r>
        <w:rPr>
          <w:rFonts w:hint="eastAsia" w:asciiTheme="minorEastAsia" w:hAnsiTheme="minorEastAsia" w:eastAsiaTheme="minorEastAsia" w:cstheme="minorEastAsia"/>
          <w:snapToGrid w:val="0"/>
          <w:color w:val="auto"/>
          <w:kern w:val="0"/>
          <w:sz w:val="28"/>
          <w:szCs w:val="28"/>
          <w:highlight w:val="none"/>
        </w:rPr>
        <w:t>等要素信息。</w:t>
      </w:r>
    </w:p>
    <w:p w14:paraId="61F5A6D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自任务单下发后10个工作日（新测或修测1:500现状地形图工作办理时限为10个工作日，从项目实施单位收件后的第二天开始计时）</w:t>
      </w:r>
      <w:r>
        <w:rPr>
          <w:rFonts w:hint="eastAsia" w:asciiTheme="minorEastAsia" w:hAnsiTheme="minorEastAsia" w:eastAsiaTheme="minorEastAsia" w:cstheme="minorEastAsia"/>
          <w:snapToGrid w:val="0"/>
          <w:color w:val="auto"/>
          <w:kern w:val="0"/>
          <w:sz w:val="28"/>
          <w:szCs w:val="28"/>
          <w:highlight w:val="none"/>
          <w:lang w:eastAsia="zh-CN"/>
        </w:rPr>
        <w:t>。</w:t>
      </w:r>
    </w:p>
    <w:p w14:paraId="5B5948A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注：涉及项目用地测量面积较大或遇不可抗力因素时，工作办理时限由发包人与承包人协商确定。</w:t>
      </w:r>
    </w:p>
    <w:p w14:paraId="608145F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2DFC4725">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lang w:eastAsia="zh-CN"/>
        </w:rPr>
        <w:t>成果要求：</w:t>
      </w:r>
    </w:p>
    <w:p w14:paraId="1B191AA6">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现状地形图测量成果资料： </w:t>
      </w:r>
    </w:p>
    <w:p w14:paraId="072BB57F">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①彩色1:500现状地形图纸； </w:t>
      </w:r>
    </w:p>
    <w:p w14:paraId="6E63C675">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②电子数据矢量文件光盘（cad格式文件）。 </w:t>
      </w:r>
    </w:p>
    <w:p w14:paraId="3EBF659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default"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注：以上成果文件需满足各阶段报批报建的需要，在此基础上，还需另提供一份纸质文件用于存档。</w:t>
      </w:r>
    </w:p>
    <w:p w14:paraId="6C1449F1">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三</w:t>
      </w:r>
      <w:r>
        <w:rPr>
          <w:rFonts w:hint="eastAsia" w:asciiTheme="minorEastAsia" w:hAnsiTheme="minorEastAsia" w:eastAsiaTheme="minorEastAsia" w:cstheme="minorEastAsia"/>
          <w:b/>
          <w:bCs/>
          <w:snapToGrid w:val="0"/>
          <w:color w:val="auto"/>
          <w:kern w:val="0"/>
          <w:sz w:val="28"/>
          <w:szCs w:val="28"/>
          <w:highlight w:val="none"/>
        </w:rPr>
        <w:t>）规划放线测量（含建设工程、道路工程、地下管线）</w:t>
      </w:r>
    </w:p>
    <w:p w14:paraId="36D58F7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建筑场地现状地形图测量；建筑场地剖面图测量；有规划退缩要求的道路、河涌、景观绿地及用地红线放桩测量；拟建建（构）筑物放线测量；管廊、地下工程、道路、景观绿地、河涌中线或边线主要要素点放桩测量；面积核算等。</w:t>
      </w:r>
    </w:p>
    <w:p w14:paraId="15090AC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注：因各项目相关规划正在完善中，发包人保留在后期工作中视情况按有关规定调整范围和建设规模的权利，且承包人应无条件接受调整事宜,并按调整要求完成相关专业的工作。</w:t>
      </w:r>
    </w:p>
    <w:p w14:paraId="59C20BF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自单个项目任务单下发后7个工作日。</w:t>
      </w:r>
    </w:p>
    <w:p w14:paraId="55364B2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注：涉及项目测量面积较大或遇不可抗力因素时，工作办理时限由发包人与承包人协商确定。</w:t>
      </w:r>
    </w:p>
    <w:p w14:paraId="2628AD2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7BAEB4FB">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rPr>
        <w:t>成果要求</w:t>
      </w:r>
    </w:p>
    <w:p w14:paraId="4628746C">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①建设工程规划管理测量记录表；</w:t>
      </w:r>
    </w:p>
    <w:p w14:paraId="077448F7">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②建（构）筑物平面位置关系图；</w:t>
      </w:r>
    </w:p>
    <w:p w14:paraId="64521B2F">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③建筑场地剖面图；</w:t>
      </w:r>
    </w:p>
    <w:p w14:paraId="3E5D26BB">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④建筑场地现状地形图。</w:t>
      </w:r>
    </w:p>
    <w:p w14:paraId="2DDB2D35">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default" w:asciiTheme="minorEastAsia" w:hAnsiTheme="minorEastAsia" w:eastAsiaTheme="minorEastAsia" w:cstheme="minorEastAsia"/>
          <w:b/>
          <w:bCs/>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注：以上成果文件需满足各阶段规划报批报建的需要。</w:t>
      </w:r>
    </w:p>
    <w:p w14:paraId="5339C213">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四</w:t>
      </w:r>
      <w:r>
        <w:rPr>
          <w:rFonts w:hint="eastAsia" w:asciiTheme="minorEastAsia" w:hAnsiTheme="minorEastAsia" w:eastAsiaTheme="minorEastAsia" w:cstheme="minorEastAsia"/>
          <w:b/>
          <w:bCs/>
          <w:snapToGrid w:val="0"/>
          <w:color w:val="auto"/>
          <w:kern w:val="0"/>
          <w:sz w:val="28"/>
          <w:szCs w:val="28"/>
          <w:highlight w:val="none"/>
        </w:rPr>
        <w:t>）规划条件核实测量（含建设工程、道路工程、地下管线）</w:t>
      </w:r>
    </w:p>
    <w:p w14:paraId="287F88D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测量用地范围内现状地形图；制作平面位置关系图；统计用地范围内的总建设规模；计算每幢建筑物的总建筑面积、基底面积、每层建筑面积、每层不同使用功能部分的建筑面积，每幢建筑物总高度和每层高度；计算独立用地的公共服务设施的用地面积；计算道路宽度（包括现状道路和规划道路）；计算停车位个数；核对竣工图现场符合性；测量管廊、地下工程、道路、河涌、景观绿地工程中线(或边线)坐标；绘制有代表性的纵横剖面图等。</w:t>
      </w:r>
    </w:p>
    <w:p w14:paraId="22954DC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自单个项目任务单下发后15个工作日。</w:t>
      </w:r>
    </w:p>
    <w:p w14:paraId="6E1D5AF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注：涉及项目测量面积较大或遇不可抗力因素时，工作办理时限由发包人与承包人协商确定。</w:t>
      </w:r>
    </w:p>
    <w:p w14:paraId="39A72EA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2389F563">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rPr>
        <w:t>成果要求</w:t>
      </w:r>
      <w:r>
        <w:rPr>
          <w:rFonts w:hint="eastAsia" w:asciiTheme="minorEastAsia" w:hAnsiTheme="minorEastAsia" w:eastAsiaTheme="minorEastAsia" w:cstheme="minorEastAsia"/>
          <w:snapToGrid w:val="0"/>
          <w:color w:val="auto"/>
          <w:kern w:val="0"/>
          <w:sz w:val="28"/>
          <w:szCs w:val="28"/>
          <w:highlight w:val="none"/>
          <w:lang w:eastAsia="zh-CN"/>
        </w:rPr>
        <w:t>：</w:t>
      </w:r>
    </w:p>
    <w:p w14:paraId="7AD1128D">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①建设工程规划管理测量记录；</w:t>
      </w:r>
    </w:p>
    <w:p w14:paraId="49F58248">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②规划条件核实测量成果汇总表；</w:t>
      </w:r>
    </w:p>
    <w:p w14:paraId="712176FE">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③规划条件核实测量情况说明表；</w:t>
      </w:r>
    </w:p>
    <w:p w14:paraId="524B9C23">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④规划条件核实测量平面位置关系图、立面图；</w:t>
      </w:r>
    </w:p>
    <w:p w14:paraId="53E1F435">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default"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⑤规划条件核实测量地形图。</w:t>
      </w:r>
    </w:p>
    <w:p w14:paraId="489DBA27">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五</w:t>
      </w:r>
      <w:r>
        <w:rPr>
          <w:rFonts w:hint="eastAsia" w:asciiTheme="minorEastAsia" w:hAnsiTheme="minorEastAsia" w:eastAsiaTheme="minorEastAsia" w:cstheme="minorEastAsia"/>
          <w:b/>
          <w:bCs/>
          <w:snapToGrid w:val="0"/>
          <w:color w:val="auto"/>
          <w:kern w:val="0"/>
          <w:sz w:val="28"/>
          <w:szCs w:val="28"/>
          <w:highlight w:val="none"/>
        </w:rPr>
        <w:t>）地下管线探测</w:t>
      </w:r>
    </w:p>
    <w:p w14:paraId="2453677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该工作成果主要为地块提供地下管线现状基础数据，满足地块规划、设计、施工、维修及现代化科学管理的要求。工作内容主要为：查明征地范围外扩50米的给水、排水、电力、通信、燃气等地下管线的平面位置和埋深，编制管线点成果表，绘制管线探测综合成果图。</w:t>
      </w:r>
    </w:p>
    <w:p w14:paraId="0E6491F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自单个项目任务单下发后25个工作日。</w:t>
      </w:r>
    </w:p>
    <w:p w14:paraId="22715C6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注：涉及项目的地下管线较复杂或遇不可抗力因素时，工作办理时限由发包人与承包人协商确定。</w:t>
      </w:r>
    </w:p>
    <w:p w14:paraId="79CCD34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1CC21D5A">
      <w:pPr>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b w:val="0"/>
          <w:snapToGrid w:val="0"/>
          <w:color w:val="auto"/>
          <w:kern w:val="0"/>
          <w:sz w:val="28"/>
          <w:szCs w:val="28"/>
          <w:highlight w:val="none"/>
        </w:rPr>
        <w:t>成果要求</w:t>
      </w:r>
      <w:r>
        <w:rPr>
          <w:rFonts w:hint="eastAsia" w:asciiTheme="minorEastAsia" w:hAnsiTheme="minorEastAsia" w:eastAsiaTheme="minorEastAsia" w:cstheme="minorEastAsia"/>
          <w:b w:val="0"/>
          <w:snapToGrid w:val="0"/>
          <w:color w:val="auto"/>
          <w:kern w:val="0"/>
          <w:sz w:val="28"/>
          <w:szCs w:val="28"/>
          <w:highlight w:val="none"/>
          <w:lang w:eastAsia="zh-CN"/>
        </w:rPr>
        <w:t>：</w:t>
      </w:r>
    </w:p>
    <w:p w14:paraId="493AD2E3">
      <w:pPr>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①地下管线探测成果报告；</w:t>
      </w:r>
    </w:p>
    <w:p w14:paraId="541473E3">
      <w:pPr>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②地下管线综合成果图；</w:t>
      </w:r>
    </w:p>
    <w:p w14:paraId="59EE1269">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both"/>
        <w:textAlignment w:val="auto"/>
        <w:rPr>
          <w:rFonts w:hint="default" w:asciiTheme="minorEastAsia" w:hAnsiTheme="minorEastAsia" w:eastAsiaTheme="minorEastAsia" w:cstheme="minorEastAsia"/>
          <w:b/>
          <w:bCs/>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③管线探测点成果表。</w:t>
      </w:r>
    </w:p>
    <w:p w14:paraId="590FFA75">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六</w:t>
      </w:r>
      <w:r>
        <w:rPr>
          <w:rFonts w:hint="eastAsia" w:asciiTheme="minorEastAsia" w:hAnsiTheme="minorEastAsia" w:eastAsiaTheme="minorEastAsia" w:cstheme="minorEastAsia"/>
          <w:b/>
          <w:bCs/>
          <w:snapToGrid w:val="0"/>
          <w:color w:val="auto"/>
          <w:kern w:val="0"/>
          <w:sz w:val="28"/>
          <w:szCs w:val="28"/>
          <w:highlight w:val="none"/>
        </w:rPr>
        <w:t>）总平面技术审查</w:t>
      </w:r>
    </w:p>
    <w:p w14:paraId="7AE153E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：开展规划指标技术审查和建设工程设计方案技术审查。</w:t>
      </w:r>
    </w:p>
    <w:p w14:paraId="155FEE72">
      <w:pPr>
        <w:widowControl/>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lang w:val="en-US" w:eastAsia="zh-CN"/>
        </w:rPr>
        <w:t>1</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设计方案电子报批规划指标技术审查的主要内容有：</w:t>
      </w:r>
    </w:p>
    <w:p w14:paraId="52A276FB">
      <w:pPr>
        <w:widowControl/>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fldChar w:fldCharType="begin"/>
      </w:r>
      <w:r>
        <w:rPr>
          <w:rFonts w:hint="eastAsia" w:asciiTheme="minorEastAsia" w:hAnsiTheme="minorEastAsia" w:eastAsiaTheme="minorEastAsia" w:cstheme="minorEastAsia"/>
          <w:snapToGrid w:val="0"/>
          <w:color w:val="auto"/>
          <w:kern w:val="0"/>
          <w:sz w:val="28"/>
          <w:szCs w:val="28"/>
          <w:highlight w:val="none"/>
        </w:rPr>
        <w:instrText xml:space="preserve"> = 1 \* GB3 </w:instrText>
      </w:r>
      <w:r>
        <w:rPr>
          <w:rFonts w:hint="eastAsia" w:asciiTheme="minorEastAsia" w:hAnsiTheme="minorEastAsia" w:eastAsiaTheme="minorEastAsia" w:cstheme="minorEastAsia"/>
          <w:snapToGrid w:val="0"/>
          <w:color w:val="auto"/>
          <w:kern w:val="0"/>
          <w:sz w:val="28"/>
          <w:szCs w:val="28"/>
          <w:highlight w:val="none"/>
        </w:rPr>
        <w:fldChar w:fldCharType="separate"/>
      </w:r>
      <w:r>
        <w:rPr>
          <w:rFonts w:hint="eastAsia" w:asciiTheme="minorEastAsia" w:hAnsiTheme="minorEastAsia" w:eastAsiaTheme="minorEastAsia" w:cstheme="minorEastAsia"/>
          <w:snapToGrid w:val="0"/>
          <w:color w:val="auto"/>
          <w:kern w:val="0"/>
          <w:sz w:val="28"/>
          <w:szCs w:val="28"/>
          <w:highlight w:val="none"/>
        </w:rPr>
        <w:t>①</w:t>
      </w:r>
      <w:r>
        <w:rPr>
          <w:rFonts w:hint="eastAsia" w:asciiTheme="minorEastAsia" w:hAnsiTheme="minorEastAsia" w:eastAsiaTheme="minorEastAsia" w:cstheme="minorEastAsia"/>
          <w:snapToGrid w:val="0"/>
          <w:color w:val="auto"/>
          <w:kern w:val="0"/>
          <w:sz w:val="28"/>
          <w:szCs w:val="28"/>
          <w:highlight w:val="none"/>
        </w:rPr>
        <w:fldChar w:fldCharType="end"/>
      </w:r>
      <w:r>
        <w:rPr>
          <w:rFonts w:hint="eastAsia" w:asciiTheme="minorEastAsia" w:hAnsiTheme="minorEastAsia" w:eastAsiaTheme="minorEastAsia" w:cstheme="minorEastAsia"/>
          <w:snapToGrid w:val="0"/>
          <w:color w:val="auto"/>
          <w:kern w:val="0"/>
          <w:sz w:val="28"/>
          <w:szCs w:val="28"/>
          <w:highlight w:val="none"/>
        </w:rPr>
        <w:t>核查本次所报指标是否满足规划设计条件要求；</w:t>
      </w:r>
    </w:p>
    <w:p w14:paraId="76F6EA02">
      <w:pPr>
        <w:widowControl/>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fldChar w:fldCharType="begin"/>
      </w:r>
      <w:r>
        <w:rPr>
          <w:rFonts w:hint="eastAsia" w:asciiTheme="minorEastAsia" w:hAnsiTheme="minorEastAsia" w:eastAsiaTheme="minorEastAsia" w:cstheme="minorEastAsia"/>
          <w:snapToGrid w:val="0"/>
          <w:color w:val="auto"/>
          <w:kern w:val="0"/>
          <w:sz w:val="28"/>
          <w:szCs w:val="28"/>
          <w:highlight w:val="none"/>
        </w:rPr>
        <w:instrText xml:space="preserve"> = 2 \* GB3 </w:instrText>
      </w:r>
      <w:r>
        <w:rPr>
          <w:rFonts w:hint="eastAsia" w:asciiTheme="minorEastAsia" w:hAnsiTheme="minorEastAsia" w:eastAsiaTheme="minorEastAsia" w:cstheme="minorEastAsia"/>
          <w:snapToGrid w:val="0"/>
          <w:color w:val="auto"/>
          <w:kern w:val="0"/>
          <w:sz w:val="28"/>
          <w:szCs w:val="28"/>
          <w:highlight w:val="none"/>
        </w:rPr>
        <w:fldChar w:fldCharType="separate"/>
      </w:r>
      <w:r>
        <w:rPr>
          <w:rFonts w:hint="eastAsia" w:asciiTheme="minorEastAsia" w:hAnsiTheme="minorEastAsia" w:eastAsiaTheme="minorEastAsia" w:cstheme="minorEastAsia"/>
          <w:snapToGrid w:val="0"/>
          <w:color w:val="auto"/>
          <w:kern w:val="0"/>
          <w:sz w:val="28"/>
          <w:szCs w:val="28"/>
          <w:highlight w:val="none"/>
        </w:rPr>
        <w:t>②</w:t>
      </w:r>
      <w:r>
        <w:rPr>
          <w:rFonts w:hint="eastAsia" w:asciiTheme="minorEastAsia" w:hAnsiTheme="minorEastAsia" w:eastAsiaTheme="minorEastAsia" w:cstheme="minorEastAsia"/>
          <w:snapToGrid w:val="0"/>
          <w:color w:val="auto"/>
          <w:kern w:val="0"/>
          <w:sz w:val="28"/>
          <w:szCs w:val="28"/>
          <w:highlight w:val="none"/>
        </w:rPr>
        <w:fldChar w:fldCharType="end"/>
      </w:r>
      <w:r>
        <w:rPr>
          <w:rFonts w:hint="eastAsia" w:asciiTheme="minorEastAsia" w:hAnsiTheme="minorEastAsia" w:eastAsiaTheme="minorEastAsia" w:cstheme="minorEastAsia"/>
          <w:snapToGrid w:val="0"/>
          <w:color w:val="auto"/>
          <w:kern w:val="0"/>
          <w:sz w:val="28"/>
          <w:szCs w:val="28"/>
          <w:highlight w:val="none"/>
        </w:rPr>
        <w:t>软件检测：标准化检测、自交叉检测、图形实体线画及属性赋值、指标表计算输出正确与否；</w:t>
      </w:r>
    </w:p>
    <w:p w14:paraId="4C5CF28C">
      <w:pPr>
        <w:widowControl/>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fldChar w:fldCharType="begin"/>
      </w:r>
      <w:r>
        <w:rPr>
          <w:rFonts w:hint="eastAsia" w:asciiTheme="minorEastAsia" w:hAnsiTheme="minorEastAsia" w:eastAsiaTheme="minorEastAsia" w:cstheme="minorEastAsia"/>
          <w:snapToGrid w:val="0"/>
          <w:color w:val="auto"/>
          <w:kern w:val="0"/>
          <w:sz w:val="28"/>
          <w:szCs w:val="28"/>
          <w:highlight w:val="none"/>
        </w:rPr>
        <w:instrText xml:space="preserve"> = 3 \* GB3 </w:instrText>
      </w:r>
      <w:r>
        <w:rPr>
          <w:rFonts w:hint="eastAsia" w:asciiTheme="minorEastAsia" w:hAnsiTheme="minorEastAsia" w:eastAsiaTheme="minorEastAsia" w:cstheme="minorEastAsia"/>
          <w:snapToGrid w:val="0"/>
          <w:color w:val="auto"/>
          <w:kern w:val="0"/>
          <w:sz w:val="28"/>
          <w:szCs w:val="28"/>
          <w:highlight w:val="none"/>
        </w:rPr>
        <w:fldChar w:fldCharType="separate"/>
      </w:r>
      <w:r>
        <w:rPr>
          <w:rFonts w:hint="eastAsia" w:asciiTheme="minorEastAsia" w:hAnsiTheme="minorEastAsia" w:eastAsiaTheme="minorEastAsia" w:cstheme="minorEastAsia"/>
          <w:snapToGrid w:val="0"/>
          <w:color w:val="auto"/>
          <w:kern w:val="0"/>
          <w:sz w:val="28"/>
          <w:szCs w:val="28"/>
          <w:highlight w:val="none"/>
        </w:rPr>
        <w:t>③</w:t>
      </w:r>
      <w:r>
        <w:rPr>
          <w:rFonts w:hint="eastAsia" w:asciiTheme="minorEastAsia" w:hAnsiTheme="minorEastAsia" w:eastAsiaTheme="minorEastAsia" w:cstheme="minorEastAsia"/>
          <w:snapToGrid w:val="0"/>
          <w:color w:val="auto"/>
          <w:kern w:val="0"/>
          <w:sz w:val="28"/>
          <w:szCs w:val="28"/>
          <w:highlight w:val="none"/>
        </w:rPr>
        <w:fldChar w:fldCharType="end"/>
      </w:r>
      <w:r>
        <w:rPr>
          <w:rFonts w:hint="eastAsia" w:asciiTheme="minorEastAsia" w:hAnsiTheme="minorEastAsia" w:eastAsiaTheme="minorEastAsia" w:cstheme="minorEastAsia"/>
          <w:snapToGrid w:val="0"/>
          <w:color w:val="auto"/>
          <w:kern w:val="0"/>
          <w:sz w:val="28"/>
          <w:szCs w:val="28"/>
          <w:highlight w:val="none"/>
        </w:rPr>
        <w:t xml:space="preserve">图面检查：图面与修详通电子文件是否一致、各项经济技术指标表齐全； </w:t>
      </w:r>
    </w:p>
    <w:p w14:paraId="52754FB1">
      <w:pPr>
        <w:widowControl/>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（2）总平面设计方案技术审查包括：</w:t>
      </w:r>
    </w:p>
    <w:p w14:paraId="2E4339FB">
      <w:pPr>
        <w:widowControl/>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fldChar w:fldCharType="begin"/>
      </w:r>
      <w:r>
        <w:rPr>
          <w:rFonts w:hint="eastAsia" w:asciiTheme="minorEastAsia" w:hAnsiTheme="minorEastAsia" w:eastAsiaTheme="minorEastAsia" w:cstheme="minorEastAsia"/>
          <w:snapToGrid w:val="0"/>
          <w:color w:val="auto"/>
          <w:kern w:val="0"/>
          <w:sz w:val="28"/>
          <w:szCs w:val="28"/>
          <w:highlight w:val="none"/>
        </w:rPr>
        <w:instrText xml:space="preserve"> = 1 \* GB3 </w:instrText>
      </w:r>
      <w:r>
        <w:rPr>
          <w:rFonts w:hint="eastAsia" w:asciiTheme="minorEastAsia" w:hAnsiTheme="minorEastAsia" w:eastAsiaTheme="minorEastAsia" w:cstheme="minorEastAsia"/>
          <w:snapToGrid w:val="0"/>
          <w:color w:val="auto"/>
          <w:kern w:val="0"/>
          <w:sz w:val="28"/>
          <w:szCs w:val="28"/>
          <w:highlight w:val="none"/>
        </w:rPr>
        <w:fldChar w:fldCharType="separate"/>
      </w:r>
      <w:r>
        <w:rPr>
          <w:rFonts w:hint="eastAsia" w:asciiTheme="minorEastAsia" w:hAnsiTheme="minorEastAsia" w:eastAsiaTheme="minorEastAsia" w:cstheme="minorEastAsia"/>
          <w:snapToGrid w:val="0"/>
          <w:color w:val="auto"/>
          <w:kern w:val="0"/>
          <w:sz w:val="28"/>
          <w:szCs w:val="28"/>
          <w:highlight w:val="none"/>
        </w:rPr>
        <w:t>①</w:t>
      </w:r>
      <w:r>
        <w:rPr>
          <w:rFonts w:hint="eastAsia" w:asciiTheme="minorEastAsia" w:hAnsiTheme="minorEastAsia" w:eastAsiaTheme="minorEastAsia" w:cstheme="minorEastAsia"/>
          <w:snapToGrid w:val="0"/>
          <w:color w:val="auto"/>
          <w:kern w:val="0"/>
          <w:sz w:val="28"/>
          <w:szCs w:val="28"/>
          <w:highlight w:val="none"/>
        </w:rPr>
        <w:fldChar w:fldCharType="end"/>
      </w:r>
      <w:r>
        <w:rPr>
          <w:rFonts w:hint="eastAsia" w:asciiTheme="minorEastAsia" w:hAnsiTheme="minorEastAsia" w:eastAsiaTheme="minorEastAsia" w:cstheme="minorEastAsia"/>
          <w:snapToGrid w:val="0"/>
          <w:color w:val="auto"/>
          <w:kern w:val="0"/>
          <w:sz w:val="28"/>
          <w:szCs w:val="28"/>
          <w:highlight w:val="none"/>
        </w:rPr>
        <w:t>用地及权属审查：核查用地的合法来源，用地坐标及面积正确性；</w:t>
      </w:r>
    </w:p>
    <w:p w14:paraId="274AB248">
      <w:pPr>
        <w:widowControl/>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fldChar w:fldCharType="begin"/>
      </w:r>
      <w:r>
        <w:rPr>
          <w:rFonts w:hint="eastAsia" w:asciiTheme="minorEastAsia" w:hAnsiTheme="minorEastAsia" w:eastAsiaTheme="minorEastAsia" w:cstheme="minorEastAsia"/>
          <w:snapToGrid w:val="0"/>
          <w:color w:val="auto"/>
          <w:kern w:val="0"/>
          <w:sz w:val="28"/>
          <w:szCs w:val="28"/>
          <w:highlight w:val="none"/>
        </w:rPr>
        <w:instrText xml:space="preserve"> = 2 \* GB3 </w:instrText>
      </w:r>
      <w:r>
        <w:rPr>
          <w:rFonts w:hint="eastAsia" w:asciiTheme="minorEastAsia" w:hAnsiTheme="minorEastAsia" w:eastAsiaTheme="minorEastAsia" w:cstheme="minorEastAsia"/>
          <w:snapToGrid w:val="0"/>
          <w:color w:val="auto"/>
          <w:kern w:val="0"/>
          <w:sz w:val="28"/>
          <w:szCs w:val="28"/>
          <w:highlight w:val="none"/>
        </w:rPr>
        <w:fldChar w:fldCharType="separate"/>
      </w:r>
      <w:r>
        <w:rPr>
          <w:rFonts w:hint="eastAsia" w:asciiTheme="minorEastAsia" w:hAnsiTheme="minorEastAsia" w:eastAsiaTheme="minorEastAsia" w:cstheme="minorEastAsia"/>
          <w:snapToGrid w:val="0"/>
          <w:color w:val="auto"/>
          <w:kern w:val="0"/>
          <w:sz w:val="28"/>
          <w:szCs w:val="28"/>
          <w:highlight w:val="none"/>
        </w:rPr>
        <w:t>②</w:t>
      </w:r>
      <w:r>
        <w:rPr>
          <w:rFonts w:hint="eastAsia" w:asciiTheme="minorEastAsia" w:hAnsiTheme="minorEastAsia" w:eastAsiaTheme="minorEastAsia" w:cstheme="minorEastAsia"/>
          <w:snapToGrid w:val="0"/>
          <w:color w:val="auto"/>
          <w:kern w:val="0"/>
          <w:sz w:val="28"/>
          <w:szCs w:val="28"/>
          <w:highlight w:val="none"/>
        </w:rPr>
        <w:fldChar w:fldCharType="end"/>
      </w:r>
      <w:r>
        <w:rPr>
          <w:rFonts w:hint="eastAsia" w:asciiTheme="minorEastAsia" w:hAnsiTheme="minorEastAsia" w:eastAsiaTheme="minorEastAsia" w:cstheme="minorEastAsia"/>
          <w:snapToGrid w:val="0"/>
          <w:color w:val="auto"/>
          <w:kern w:val="0"/>
          <w:sz w:val="28"/>
          <w:szCs w:val="28"/>
          <w:highlight w:val="none"/>
        </w:rPr>
        <w:t>历史文证核查：与上层次规划一致性的核查、控规一致性的核查、规划设计条件符合性的核查、已批复的设计方案复函及附图的核查、已取得的建设工程规划许可证复函及附图的核查；</w:t>
      </w:r>
    </w:p>
    <w:p w14:paraId="6586ED18">
      <w:pPr>
        <w:widowControl/>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fldChar w:fldCharType="begin"/>
      </w:r>
      <w:r>
        <w:rPr>
          <w:rFonts w:hint="eastAsia" w:asciiTheme="minorEastAsia" w:hAnsiTheme="minorEastAsia" w:eastAsiaTheme="minorEastAsia" w:cstheme="minorEastAsia"/>
          <w:snapToGrid w:val="0"/>
          <w:color w:val="auto"/>
          <w:kern w:val="0"/>
          <w:sz w:val="28"/>
          <w:szCs w:val="28"/>
          <w:highlight w:val="none"/>
        </w:rPr>
        <w:instrText xml:space="preserve"> = 3 \* GB3 </w:instrText>
      </w:r>
      <w:r>
        <w:rPr>
          <w:rFonts w:hint="eastAsia" w:asciiTheme="minorEastAsia" w:hAnsiTheme="minorEastAsia" w:eastAsiaTheme="minorEastAsia" w:cstheme="minorEastAsia"/>
          <w:snapToGrid w:val="0"/>
          <w:color w:val="auto"/>
          <w:kern w:val="0"/>
          <w:sz w:val="28"/>
          <w:szCs w:val="28"/>
          <w:highlight w:val="none"/>
        </w:rPr>
        <w:fldChar w:fldCharType="separate"/>
      </w:r>
      <w:r>
        <w:rPr>
          <w:rFonts w:hint="eastAsia" w:asciiTheme="minorEastAsia" w:hAnsiTheme="minorEastAsia" w:eastAsiaTheme="minorEastAsia" w:cstheme="minorEastAsia"/>
          <w:snapToGrid w:val="0"/>
          <w:color w:val="auto"/>
          <w:kern w:val="0"/>
          <w:sz w:val="28"/>
          <w:szCs w:val="28"/>
          <w:highlight w:val="none"/>
        </w:rPr>
        <w:t>③</w:t>
      </w:r>
      <w:r>
        <w:rPr>
          <w:rFonts w:hint="eastAsia" w:asciiTheme="minorEastAsia" w:hAnsiTheme="minorEastAsia" w:eastAsiaTheme="minorEastAsia" w:cstheme="minorEastAsia"/>
          <w:snapToGrid w:val="0"/>
          <w:color w:val="auto"/>
          <w:kern w:val="0"/>
          <w:sz w:val="28"/>
          <w:szCs w:val="28"/>
          <w:highlight w:val="none"/>
        </w:rPr>
        <w:fldChar w:fldCharType="end"/>
      </w:r>
      <w:r>
        <w:rPr>
          <w:rFonts w:hint="eastAsia" w:asciiTheme="minorEastAsia" w:hAnsiTheme="minorEastAsia" w:eastAsiaTheme="minorEastAsia" w:cstheme="minorEastAsia"/>
          <w:snapToGrid w:val="0"/>
          <w:color w:val="auto"/>
          <w:kern w:val="0"/>
          <w:sz w:val="28"/>
          <w:szCs w:val="28"/>
          <w:highlight w:val="none"/>
        </w:rPr>
        <w:t>现场情况审查：核查用地红线内是否存在已建产权建筑、是否存在临时建筑、是否存在110KV及以上高压线、用地四周建设情况及其他情况说明、现状地形图是否在有效期内；提供现势性较强的高分辨率（0.1米或优于0.1米分辨率）航摄影像与现状地形图的套绘图；结合测绘地理信息数据进行现场核查；以及征询部门意见等内容。</w:t>
      </w:r>
    </w:p>
    <w:p w14:paraId="463BB004">
      <w:pPr>
        <w:widowControl/>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fldChar w:fldCharType="begin"/>
      </w:r>
      <w:r>
        <w:rPr>
          <w:rFonts w:hint="eastAsia" w:asciiTheme="minorEastAsia" w:hAnsiTheme="minorEastAsia" w:eastAsiaTheme="minorEastAsia" w:cstheme="minorEastAsia"/>
          <w:snapToGrid w:val="0"/>
          <w:color w:val="auto"/>
          <w:kern w:val="0"/>
          <w:sz w:val="28"/>
          <w:szCs w:val="28"/>
          <w:highlight w:val="none"/>
        </w:rPr>
        <w:instrText xml:space="preserve"> = 4 \* GB3 </w:instrText>
      </w:r>
      <w:r>
        <w:rPr>
          <w:rFonts w:hint="eastAsia" w:asciiTheme="minorEastAsia" w:hAnsiTheme="minorEastAsia" w:eastAsiaTheme="minorEastAsia" w:cstheme="minorEastAsia"/>
          <w:snapToGrid w:val="0"/>
          <w:color w:val="auto"/>
          <w:kern w:val="0"/>
          <w:sz w:val="28"/>
          <w:szCs w:val="28"/>
          <w:highlight w:val="none"/>
        </w:rPr>
        <w:fldChar w:fldCharType="separate"/>
      </w:r>
      <w:r>
        <w:rPr>
          <w:rFonts w:hint="eastAsia" w:asciiTheme="minorEastAsia" w:hAnsiTheme="minorEastAsia" w:eastAsiaTheme="minorEastAsia" w:cstheme="minorEastAsia"/>
          <w:snapToGrid w:val="0"/>
          <w:color w:val="auto"/>
          <w:kern w:val="0"/>
          <w:sz w:val="28"/>
          <w:szCs w:val="28"/>
          <w:highlight w:val="none"/>
        </w:rPr>
        <w:t>④</w:t>
      </w:r>
      <w:r>
        <w:rPr>
          <w:rFonts w:hint="eastAsia" w:asciiTheme="minorEastAsia" w:hAnsiTheme="minorEastAsia" w:eastAsiaTheme="minorEastAsia" w:cstheme="minorEastAsia"/>
          <w:snapToGrid w:val="0"/>
          <w:color w:val="auto"/>
          <w:kern w:val="0"/>
          <w:sz w:val="28"/>
          <w:szCs w:val="28"/>
          <w:highlight w:val="none"/>
        </w:rPr>
        <w:fldChar w:fldCharType="end"/>
      </w:r>
      <w:r>
        <w:rPr>
          <w:rFonts w:hint="eastAsia" w:asciiTheme="minorEastAsia" w:hAnsiTheme="minorEastAsia" w:eastAsiaTheme="minorEastAsia" w:cstheme="minorEastAsia"/>
          <w:snapToGrid w:val="0"/>
          <w:color w:val="auto"/>
          <w:kern w:val="0"/>
          <w:sz w:val="28"/>
          <w:szCs w:val="28"/>
          <w:highlight w:val="none"/>
        </w:rPr>
        <w:t>设计方案总平面审查：</w:t>
      </w:r>
    </w:p>
    <w:p w14:paraId="510ADB52">
      <w:pPr>
        <w:widowControl/>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A、图纸是否齐全（总平面、立面、彩图总平面等）；图面线宽线条主次表达是否合理；容积率审查：公建配套审查；绿地率审查；建筑密度审查；各类绿地覆土标高审查、四至退距审查；配电房布局审查；垃圾站布局审查；建筑物连续面宽审查、图面规划要素是齐全（建筑功能、建筑物名称、建筑编号、建筑层数、建筑高度、±0.00对应广州高程等信息）；图例说明要素是否齐全（图名、图签、图例、指北针等）。</w:t>
      </w:r>
    </w:p>
    <w:p w14:paraId="06BA49C5">
      <w:pPr>
        <w:widowControl/>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B、周边路网叠加是否正确；蓝线叠加是否正确；机动车出入口数量宽度朝向审查；机动车出入口与道路交叉口的距离审查；地下车库出入口缓冲区审查；场地标高设计、道路系统及竖向设计情况审查；内部道路与周边地块、市政道路竖向衔接情况、机动车及非机动车配比是否满足要求；机动车出入口与地块、铁路、公交等的衔接审查</w:t>
      </w:r>
      <w:r>
        <w:rPr>
          <w:rFonts w:hint="eastAsia" w:asciiTheme="minorEastAsia" w:hAnsiTheme="minorEastAsia" w:eastAsiaTheme="minorEastAsia" w:cstheme="minorEastAsia"/>
          <w:snapToGrid w:val="0"/>
          <w:color w:val="auto"/>
          <w:kern w:val="0"/>
          <w:sz w:val="28"/>
          <w:szCs w:val="28"/>
          <w:highlight w:val="none"/>
          <w:lang w:eastAsia="zh-CN"/>
        </w:rPr>
        <w:t>。</w:t>
      </w:r>
    </w:p>
    <w:p w14:paraId="3C9BAD8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自单个项目任务单下发后5个工作日（不含方案修改及补充资料时间）。</w:t>
      </w:r>
    </w:p>
    <w:p w14:paraId="3AEAFCA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参照《城市规划设计计费指导意见》(2004 中规协秘字第022号)计费标准或政府投资类项目技术审查政府采购结果，并结合中标下浮率计取。</w:t>
      </w:r>
    </w:p>
    <w:p w14:paraId="15E1A64F">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rPr>
        <w:t>成果要求</w:t>
      </w:r>
      <w:r>
        <w:rPr>
          <w:rFonts w:hint="eastAsia" w:asciiTheme="minorEastAsia" w:hAnsiTheme="minorEastAsia" w:eastAsiaTheme="minorEastAsia" w:cstheme="minorEastAsia"/>
          <w:snapToGrid w:val="0"/>
          <w:color w:val="auto"/>
          <w:kern w:val="0"/>
          <w:sz w:val="28"/>
          <w:szCs w:val="28"/>
          <w:highlight w:val="none"/>
          <w:lang w:eastAsia="zh-CN"/>
        </w:rPr>
        <w:t>：</w:t>
      </w:r>
    </w:p>
    <w:p w14:paraId="3BCB0180">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default" w:asciiTheme="minorEastAsia" w:hAnsiTheme="minorEastAsia" w:eastAsiaTheme="minorEastAsia" w:cstheme="minorEastAsia"/>
          <w:b/>
          <w:bCs/>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建设工程设计方案技术审查</w:t>
      </w:r>
      <w:r>
        <w:rPr>
          <w:rFonts w:hint="eastAsia" w:asciiTheme="minorEastAsia" w:hAnsiTheme="minorEastAsia" w:eastAsiaTheme="minorEastAsia" w:cstheme="minorEastAsia"/>
          <w:snapToGrid w:val="0"/>
          <w:color w:val="auto"/>
          <w:kern w:val="0"/>
          <w:sz w:val="28"/>
          <w:szCs w:val="28"/>
          <w:highlight w:val="none"/>
          <w:lang w:val="en-US" w:eastAsia="zh-CN"/>
        </w:rPr>
        <w:t>报告。</w:t>
      </w:r>
    </w:p>
    <w:p w14:paraId="1560C407">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七</w:t>
      </w:r>
      <w:r>
        <w:rPr>
          <w:rFonts w:hint="eastAsia" w:asciiTheme="minorEastAsia" w:hAnsiTheme="minorEastAsia" w:eastAsiaTheme="minorEastAsia" w:cstheme="minorEastAsia"/>
          <w:b/>
          <w:bCs/>
          <w:snapToGrid w:val="0"/>
          <w:color w:val="auto"/>
          <w:kern w:val="0"/>
          <w:sz w:val="28"/>
          <w:szCs w:val="28"/>
          <w:highlight w:val="none"/>
        </w:rPr>
        <w:t>）单体报建技术审查</w:t>
      </w:r>
    </w:p>
    <w:p w14:paraId="6E0DBEB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：开展规划指标技术审查和建设工程单体方案技术审查，并取得相关部门的报建批复。</w:t>
      </w:r>
    </w:p>
    <w:p w14:paraId="57A480BA">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（1）单体方案电子报批规划指标技术审查的主要内容有：</w:t>
      </w:r>
    </w:p>
    <w:p w14:paraId="2641DE27">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①软件检测：标准化检测；图形实体线画正确性；报建通分层平面、功能分区、半开敞空间、公共开放空间等属性赋值正确性；指标表计算输出正确性；图层拓扑和逻辑关系审查；</w:t>
      </w:r>
    </w:p>
    <w:p w14:paraId="00993B42">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 ②图面检查：图面与报建通电子文件是否一致；设计图审查；绘图精度审查；建筑信息审查。</w:t>
      </w:r>
    </w:p>
    <w:p w14:paraId="21C32BE6">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（2）单体方案技术审查包括：</w:t>
      </w:r>
    </w:p>
    <w:p w14:paraId="4390E6D7">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①用地及权属审查：核查用地的合法来源，用地坐标及面积正确性； </w:t>
      </w:r>
    </w:p>
    <w:p w14:paraId="41ED5F57">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②历史文证核查：与上层次规划一致性的核查、控规一致性的核查、规划设计条件符合性的核查、已批复的设计方案复函及附图的核查、已取得的建设工程规划许可证复函及附图的核查；</w:t>
      </w:r>
    </w:p>
    <w:p w14:paraId="47E370AC">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③现场情况审查：核查规划要求拆除的建构筑物是否已拆除；地块内是否存在涉嫌违章建筑；是否存在先行施工现象；是否存在地形高差、高压廊道、河涌；现场是否涉及文物保护单位、历史建筑、古树名树或无法迁移的市政主管网等。提供现势性较强的高分辨率（0.1米或优于0.1米分辨率）航摄影像与现状地形图的套绘图、结合测绘地理信息数据进行现场核查以及征询部门意见等内容。</w:t>
      </w:r>
    </w:p>
    <w:p w14:paraId="6A30DA97">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④相关指标审查：</w:t>
      </w:r>
    </w:p>
    <w:p w14:paraId="487A88AA">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A、有设计方案的案件：审查主要经济技术指标审查、四至退距审查、建筑功能审查、建筑高度审查、地下室覆土审查、机动车出入口审查、竖向及内部道路情况审查等是否与设计方案一致。</w:t>
      </w:r>
    </w:p>
    <w:p w14:paraId="6334774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B、直接报规划许可的案件：审查主要经济技术指标审查、四至退距审查、建筑功能审查、建筑高度审查、地下室覆土审查、机动车出入口审查、竖向及内部道路情况审查等是否满足规划条件或相关规范的要求。</w:t>
      </w:r>
    </w:p>
    <w:p w14:paraId="7C300C7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自单个项目任务单下发后5个工作日（不含方案修改及补充资料时间）。</w:t>
      </w:r>
    </w:p>
    <w:p w14:paraId="780411E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6B687BAB">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rPr>
        <w:t>成果要求</w:t>
      </w:r>
      <w:r>
        <w:rPr>
          <w:rFonts w:hint="eastAsia" w:asciiTheme="minorEastAsia" w:hAnsiTheme="minorEastAsia" w:eastAsiaTheme="minorEastAsia" w:cstheme="minorEastAsia"/>
          <w:snapToGrid w:val="0"/>
          <w:color w:val="auto"/>
          <w:kern w:val="0"/>
          <w:sz w:val="28"/>
          <w:szCs w:val="28"/>
          <w:highlight w:val="none"/>
          <w:lang w:eastAsia="zh-CN"/>
        </w:rPr>
        <w:t>：</w:t>
      </w:r>
    </w:p>
    <w:p w14:paraId="2B40E9E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b w:val="0"/>
          <w:bCs w:val="0"/>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建筑工程规划许可</w:t>
      </w:r>
      <w:r>
        <w:rPr>
          <w:rFonts w:hint="eastAsia" w:asciiTheme="minorEastAsia" w:hAnsiTheme="minorEastAsia" w:eastAsiaTheme="minorEastAsia" w:cstheme="minorEastAsia"/>
          <w:snapToGrid w:val="0"/>
          <w:color w:val="auto"/>
          <w:kern w:val="0"/>
          <w:sz w:val="28"/>
          <w:szCs w:val="28"/>
          <w:highlight w:val="none"/>
        </w:rPr>
        <w:t>技术审查</w:t>
      </w:r>
      <w:r>
        <w:rPr>
          <w:rFonts w:hint="eastAsia" w:asciiTheme="minorEastAsia" w:hAnsiTheme="minorEastAsia" w:eastAsiaTheme="minorEastAsia" w:cstheme="minorEastAsia"/>
          <w:snapToGrid w:val="0"/>
          <w:color w:val="auto"/>
          <w:kern w:val="0"/>
          <w:sz w:val="28"/>
          <w:szCs w:val="28"/>
          <w:highlight w:val="none"/>
          <w:lang w:val="en-US" w:eastAsia="zh-CN"/>
        </w:rPr>
        <w:t>报告</w:t>
      </w:r>
      <w:r>
        <w:rPr>
          <w:rFonts w:hint="eastAsia" w:asciiTheme="minorEastAsia" w:hAnsiTheme="minorEastAsia" w:eastAsiaTheme="minorEastAsia" w:cstheme="minorEastAsia"/>
          <w:snapToGrid w:val="0"/>
          <w:color w:val="auto"/>
          <w:kern w:val="0"/>
          <w:sz w:val="28"/>
          <w:szCs w:val="28"/>
          <w:highlight w:val="none"/>
          <w:lang w:val="en-US" w:eastAsia="zh-CN"/>
        </w:rPr>
        <w:t>。</w:t>
      </w:r>
    </w:p>
    <w:p w14:paraId="5425545D">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八</w:t>
      </w:r>
      <w:r>
        <w:rPr>
          <w:rFonts w:hint="eastAsia" w:asciiTheme="minorEastAsia" w:hAnsiTheme="minorEastAsia" w:eastAsiaTheme="minorEastAsia" w:cstheme="minorEastAsia"/>
          <w:b/>
          <w:bCs/>
          <w:snapToGrid w:val="0"/>
          <w:color w:val="auto"/>
          <w:kern w:val="0"/>
          <w:sz w:val="28"/>
          <w:szCs w:val="28"/>
          <w:highlight w:val="none"/>
        </w:rPr>
        <w:t>）规划条件核实技术审查</w:t>
      </w:r>
    </w:p>
    <w:p w14:paraId="41926F8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：用地及权属审查、历史文证核查、现场情况审查、相关指标审查。</w:t>
      </w:r>
    </w:p>
    <w:p w14:paraId="39DD4C0B">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①用地及权属审查：核查用地的合法来源，用地坐标及面积正确性；</w:t>
      </w:r>
    </w:p>
    <w:p w14:paraId="4C2B6213">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②历史文证核查：与上层次规划一致性的核查、控规一致性的核查、规划设计条件符合性的核查、已批复的设计方案复函及附图的核查、已取得的建设工程规划许可证复函及附图的核查；</w:t>
      </w:r>
    </w:p>
    <w:p w14:paraId="4F5ED8EA">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③现场情况审查：核查施工完成情况；施工排栅拆除情况；用地红线范围内临时用房、旧房、围墙拆除情况；车位划线情况；环境绿化（含天面绿化）完成情况；四周道路建设完成情况；室内外地坪高差；无障碍设施完成情况；用地红线范围内违法建设情况；用地界线内道路与市政道路衔接合理等。</w:t>
      </w:r>
    </w:p>
    <w:p w14:paraId="31BCE387">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④相关指标审查：</w:t>
      </w:r>
    </w:p>
    <w:p w14:paraId="2BE02AC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rPr>
        <w:t>建筑规模审查、建筑面积审查、容积率面积审查、四至退距审查、建筑功能审查、建筑高度审查、地下室覆土审查、机动车出入口审查、竖向及内部道路情况审查；核查建筑平面图与报建图对比、建筑立面图与报建图对比、核查建筑外轮廊、核查绿地内部道路</w:t>
      </w:r>
      <w:r>
        <w:rPr>
          <w:rFonts w:hint="eastAsia" w:asciiTheme="minorEastAsia" w:hAnsiTheme="minorEastAsia" w:eastAsiaTheme="minorEastAsia" w:cstheme="minorEastAsia"/>
          <w:snapToGrid w:val="0"/>
          <w:color w:val="auto"/>
          <w:kern w:val="0"/>
          <w:sz w:val="28"/>
          <w:szCs w:val="28"/>
          <w:highlight w:val="none"/>
          <w:lang w:eastAsia="zh-CN"/>
        </w:rPr>
        <w:t>。</w:t>
      </w:r>
    </w:p>
    <w:p w14:paraId="0845CE0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自任务单下发后5个工作日（不含方案修改及补充资料时间）。</w:t>
      </w:r>
    </w:p>
    <w:p w14:paraId="5ECA6CA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58D4C833">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rPr>
        <w:t>成果要求</w:t>
      </w:r>
      <w:r>
        <w:rPr>
          <w:rFonts w:hint="eastAsia" w:asciiTheme="minorEastAsia" w:hAnsiTheme="minorEastAsia" w:eastAsiaTheme="minorEastAsia" w:cstheme="minorEastAsia"/>
          <w:snapToGrid w:val="0"/>
          <w:color w:val="auto"/>
          <w:kern w:val="0"/>
          <w:sz w:val="28"/>
          <w:szCs w:val="28"/>
          <w:highlight w:val="none"/>
          <w:lang w:eastAsia="zh-CN"/>
        </w:rPr>
        <w:t>：</w:t>
      </w:r>
    </w:p>
    <w:p w14:paraId="3DF9030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b w:val="0"/>
          <w:bCs w:val="0"/>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建设工程规划条件核实</w:t>
      </w:r>
      <w:r>
        <w:rPr>
          <w:rFonts w:hint="eastAsia" w:asciiTheme="minorEastAsia" w:hAnsiTheme="minorEastAsia" w:eastAsiaTheme="minorEastAsia" w:cstheme="minorEastAsia"/>
          <w:snapToGrid w:val="0"/>
          <w:color w:val="auto"/>
          <w:kern w:val="0"/>
          <w:sz w:val="28"/>
          <w:szCs w:val="28"/>
          <w:highlight w:val="none"/>
        </w:rPr>
        <w:t>技术审查</w:t>
      </w:r>
      <w:r>
        <w:rPr>
          <w:rFonts w:hint="eastAsia" w:asciiTheme="minorEastAsia" w:hAnsiTheme="minorEastAsia" w:eastAsiaTheme="minorEastAsia" w:cstheme="minorEastAsia"/>
          <w:snapToGrid w:val="0"/>
          <w:color w:val="auto"/>
          <w:kern w:val="0"/>
          <w:sz w:val="28"/>
          <w:szCs w:val="28"/>
          <w:highlight w:val="none"/>
          <w:lang w:val="en-US" w:eastAsia="zh-CN"/>
        </w:rPr>
        <w:t>报告。</w:t>
      </w:r>
    </w:p>
    <w:p w14:paraId="2F06D8BD">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九</w:t>
      </w:r>
      <w:r>
        <w:rPr>
          <w:rFonts w:hint="eastAsia" w:asciiTheme="minorEastAsia" w:hAnsiTheme="minorEastAsia" w:eastAsiaTheme="minorEastAsia" w:cstheme="minorEastAsia"/>
          <w:b/>
          <w:bCs/>
          <w:snapToGrid w:val="0"/>
          <w:color w:val="auto"/>
          <w:kern w:val="0"/>
          <w:sz w:val="28"/>
          <w:szCs w:val="28"/>
          <w:highlight w:val="none"/>
        </w:rPr>
        <w:t>）人防竣工测量</w:t>
      </w:r>
    </w:p>
    <w:p w14:paraId="4C9D9CD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：为满足人防建设管理要求，如实反映人防工程空间分布情况，出具《广州市人防工程竣工测量成果报告》，成果满足广州市人防行政主管部门的审批要求。</w:t>
      </w:r>
    </w:p>
    <w:p w14:paraId="6EF1203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自任务单下发后10-20个工作日（不含现场整改及补充资料时间）。</w:t>
      </w:r>
    </w:p>
    <w:p w14:paraId="7CA092E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78C8EB64">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rPr>
        <w:t>成果要求</w:t>
      </w:r>
      <w:r>
        <w:rPr>
          <w:rFonts w:hint="eastAsia" w:asciiTheme="minorEastAsia" w:hAnsiTheme="minorEastAsia" w:eastAsiaTheme="minorEastAsia" w:cstheme="minorEastAsia"/>
          <w:snapToGrid w:val="0"/>
          <w:color w:val="auto"/>
          <w:kern w:val="0"/>
          <w:sz w:val="28"/>
          <w:szCs w:val="28"/>
          <w:highlight w:val="none"/>
          <w:lang w:eastAsia="zh-CN"/>
        </w:rPr>
        <w:t>：</w:t>
      </w:r>
    </w:p>
    <w:p w14:paraId="1B381DC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b w:val="0"/>
          <w:bCs w:val="0"/>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u w:val="none"/>
        </w:rPr>
        <w:t>人防工程竣工测量成果报告</w:t>
      </w:r>
      <w:r>
        <w:rPr>
          <w:rFonts w:hint="eastAsia" w:asciiTheme="minorEastAsia" w:hAnsiTheme="minorEastAsia" w:eastAsiaTheme="minorEastAsia" w:cstheme="minorEastAsia"/>
          <w:snapToGrid w:val="0"/>
          <w:color w:val="auto"/>
          <w:kern w:val="0"/>
          <w:sz w:val="28"/>
          <w:szCs w:val="28"/>
          <w:highlight w:val="none"/>
          <w:u w:val="none"/>
          <w:lang w:eastAsia="zh-CN"/>
        </w:rPr>
        <w:t>。</w:t>
      </w:r>
    </w:p>
    <w:p w14:paraId="7C21E1F8">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（十）不动产权籍调查</w:t>
      </w:r>
    </w:p>
    <w:p w14:paraId="45BD552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根据国家、省、市不动产登记和不动产权籍调查的相关文件要求，完成项目红线范围的不动产测绘、无主国有用地公示和权籍调查工作，核实项目红线权属来源及与规划条件、周边相邻权属的情况以及空白权属地块及周边相邻权属情况，</w:t>
      </w:r>
      <w:r>
        <w:rPr>
          <w:rFonts w:hint="eastAsia" w:asciiTheme="minorEastAsia" w:hAnsiTheme="minorEastAsia" w:eastAsiaTheme="minorEastAsia" w:cstheme="minorEastAsia"/>
          <w:snapToGrid w:val="0"/>
          <w:color w:val="auto"/>
          <w:kern w:val="0"/>
          <w:sz w:val="28"/>
          <w:szCs w:val="28"/>
          <w:highlight w:val="none"/>
          <w:lang w:eastAsia="zh-CN"/>
        </w:rPr>
        <w:t>完成项目空白权属的确权登记，</w:t>
      </w:r>
      <w:r>
        <w:rPr>
          <w:rFonts w:hint="eastAsia" w:asciiTheme="minorEastAsia" w:hAnsiTheme="minorEastAsia" w:eastAsiaTheme="minorEastAsia" w:cstheme="minorEastAsia"/>
          <w:snapToGrid w:val="0"/>
          <w:color w:val="auto"/>
          <w:kern w:val="0"/>
          <w:sz w:val="28"/>
          <w:szCs w:val="28"/>
          <w:highlight w:val="none"/>
        </w:rPr>
        <w:t>确保项目红线范围内无其他权属及与邻宗权属界址清晰。</w:t>
      </w:r>
      <w:r>
        <w:rPr>
          <w:rFonts w:hint="eastAsia" w:asciiTheme="minorEastAsia" w:hAnsiTheme="minorEastAsia" w:eastAsiaTheme="minorEastAsia" w:cstheme="minorEastAsia"/>
          <w:snapToGrid w:val="0"/>
          <w:color w:val="auto"/>
          <w:kern w:val="0"/>
          <w:sz w:val="28"/>
          <w:szCs w:val="28"/>
          <w:highlight w:val="none"/>
          <w:lang w:eastAsia="zh-CN"/>
        </w:rPr>
        <w:t>若遇证载权属界线与实际界线不同时，完成证载权属界线的变更。</w:t>
      </w:r>
    </w:p>
    <w:p w14:paraId="22484AD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自任务单下发后</w:t>
      </w:r>
      <w:r>
        <w:rPr>
          <w:rFonts w:hint="eastAsia" w:asciiTheme="minorEastAsia" w:hAnsiTheme="minorEastAsia" w:eastAsiaTheme="minorEastAsia" w:cstheme="minorEastAsia"/>
          <w:snapToGrid w:val="0"/>
          <w:color w:val="auto"/>
          <w:kern w:val="0"/>
          <w:sz w:val="28"/>
          <w:szCs w:val="28"/>
          <w:highlight w:val="none"/>
          <w:lang w:val="en-US" w:eastAsia="zh-CN"/>
        </w:rPr>
        <w:t>90</w:t>
      </w:r>
      <w:r>
        <w:rPr>
          <w:rFonts w:hint="eastAsia" w:asciiTheme="minorEastAsia" w:hAnsiTheme="minorEastAsia" w:eastAsiaTheme="minorEastAsia" w:cstheme="minorEastAsia"/>
          <w:snapToGrid w:val="0"/>
          <w:color w:val="auto"/>
          <w:kern w:val="0"/>
          <w:sz w:val="28"/>
          <w:szCs w:val="28"/>
          <w:highlight w:val="none"/>
        </w:rPr>
        <w:t>个工作日。</w:t>
      </w:r>
    </w:p>
    <w:p w14:paraId="78B7D96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注：涉及项目的权属复杂或遇到不可抗力因素时，工作办理时限由发包人与承包人协商确定。</w:t>
      </w:r>
    </w:p>
    <w:p w14:paraId="52B2050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1E9C245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heme="minorEastAsia" w:hAnsiTheme="minorEastAsia" w:eastAsiaTheme="minorEastAsia" w:cstheme="minorEastAsia"/>
          <w:b w:val="0"/>
          <w:snapToGrid w:val="0"/>
          <w:color w:val="auto"/>
          <w:kern w:val="0"/>
          <w:sz w:val="28"/>
          <w:szCs w:val="28"/>
          <w:highlight w:val="none"/>
          <w:lang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b w:val="0"/>
          <w:snapToGrid w:val="0"/>
          <w:color w:val="auto"/>
          <w:kern w:val="0"/>
          <w:sz w:val="28"/>
          <w:szCs w:val="28"/>
          <w:highlight w:val="none"/>
        </w:rPr>
        <w:t>成果要求</w:t>
      </w:r>
      <w:r>
        <w:rPr>
          <w:rFonts w:hint="eastAsia" w:asciiTheme="minorEastAsia" w:hAnsiTheme="minorEastAsia" w:eastAsiaTheme="minorEastAsia" w:cstheme="minorEastAsia"/>
          <w:b w:val="0"/>
          <w:snapToGrid w:val="0"/>
          <w:color w:val="auto"/>
          <w:kern w:val="0"/>
          <w:sz w:val="28"/>
          <w:szCs w:val="28"/>
          <w:highlight w:val="none"/>
          <w:lang w:eastAsia="zh-CN"/>
        </w:rPr>
        <w:t>：</w:t>
      </w:r>
    </w:p>
    <w:p w14:paraId="35C4547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①不动产（土地）权籍调查表（包括宗地草图、</w:t>
      </w:r>
      <w:r>
        <w:rPr>
          <w:rFonts w:hint="eastAsia" w:asciiTheme="minorEastAsia" w:hAnsiTheme="minorEastAsia" w:eastAsiaTheme="minorEastAsia" w:cstheme="minorEastAsia"/>
          <w:snapToGrid w:val="0"/>
          <w:color w:val="auto"/>
          <w:kern w:val="0"/>
          <w:sz w:val="28"/>
          <w:szCs w:val="28"/>
          <w:highlight w:val="none"/>
          <w:lang w:val="en-US" w:eastAsia="zh-CN"/>
        </w:rPr>
        <w:t>指界图</w:t>
      </w:r>
      <w:r>
        <w:rPr>
          <w:rFonts w:hint="eastAsia" w:asciiTheme="minorEastAsia" w:hAnsiTheme="minorEastAsia" w:eastAsiaTheme="minorEastAsia" w:cstheme="minorEastAsia"/>
          <w:snapToGrid w:val="0"/>
          <w:color w:val="auto"/>
          <w:kern w:val="0"/>
          <w:sz w:val="28"/>
          <w:szCs w:val="28"/>
          <w:highlight w:val="none"/>
        </w:rPr>
        <w:t>、土地权属来源界线图、宗地图）；</w:t>
      </w:r>
    </w:p>
    <w:p w14:paraId="7D0DD4B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b w:val="0"/>
          <w:bCs w:val="0"/>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②不动产（土地）权籍调查相关图件（包括宗地草图、</w:t>
      </w:r>
      <w:r>
        <w:rPr>
          <w:rFonts w:hint="eastAsia" w:asciiTheme="minorEastAsia" w:hAnsiTheme="minorEastAsia" w:eastAsiaTheme="minorEastAsia" w:cstheme="minorEastAsia"/>
          <w:snapToGrid w:val="0"/>
          <w:color w:val="auto"/>
          <w:kern w:val="0"/>
          <w:sz w:val="28"/>
          <w:szCs w:val="28"/>
          <w:highlight w:val="none"/>
          <w:lang w:val="en-US" w:eastAsia="zh-CN"/>
        </w:rPr>
        <w:t>指界图</w:t>
      </w:r>
      <w:r>
        <w:rPr>
          <w:rFonts w:hint="eastAsia" w:asciiTheme="minorEastAsia" w:hAnsiTheme="minorEastAsia" w:eastAsiaTheme="minorEastAsia" w:cstheme="minorEastAsia"/>
          <w:snapToGrid w:val="0"/>
          <w:color w:val="auto"/>
          <w:kern w:val="0"/>
          <w:sz w:val="28"/>
          <w:szCs w:val="28"/>
          <w:highlight w:val="none"/>
        </w:rPr>
        <w:t>、土地权属来源界线图、宗地图）</w:t>
      </w:r>
      <w:r>
        <w:rPr>
          <w:rFonts w:hint="eastAsia" w:asciiTheme="minorEastAsia" w:hAnsiTheme="minorEastAsia" w:eastAsiaTheme="minorEastAsia" w:cstheme="minorEastAsia"/>
          <w:snapToGrid w:val="0"/>
          <w:color w:val="auto"/>
          <w:kern w:val="0"/>
          <w:sz w:val="28"/>
          <w:szCs w:val="28"/>
          <w:highlight w:val="none"/>
          <w:lang w:eastAsia="zh-CN"/>
        </w:rPr>
        <w:t>。</w:t>
      </w:r>
    </w:p>
    <w:p w14:paraId="3D220691">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（十</w:t>
      </w:r>
      <w:r>
        <w:rPr>
          <w:rFonts w:hint="eastAsia" w:asciiTheme="minorEastAsia" w:hAnsiTheme="minorEastAsia" w:eastAsiaTheme="minorEastAsia" w:cstheme="minorEastAsia"/>
          <w:b/>
          <w:bCs/>
          <w:snapToGrid w:val="0"/>
          <w:color w:val="auto"/>
          <w:kern w:val="0"/>
          <w:sz w:val="28"/>
          <w:szCs w:val="28"/>
          <w:highlight w:val="none"/>
          <w:lang w:eastAsia="zh-CN"/>
        </w:rPr>
        <w:t>一</w:t>
      </w:r>
      <w:r>
        <w:rPr>
          <w:rFonts w:hint="eastAsia" w:asciiTheme="minorEastAsia" w:hAnsiTheme="minorEastAsia" w:eastAsiaTheme="minorEastAsia" w:cstheme="minorEastAsia"/>
          <w:b/>
          <w:bCs/>
          <w:snapToGrid w:val="0"/>
          <w:color w:val="auto"/>
          <w:kern w:val="0"/>
          <w:sz w:val="28"/>
          <w:szCs w:val="28"/>
          <w:highlight w:val="none"/>
        </w:rPr>
        <w:t>）房产测绘</w:t>
      </w:r>
    </w:p>
    <w:p w14:paraId="0CE01F7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建设工程项目不动产测绘应按照自然资源部《不动产权籍调查技术方案》及不动产登记行政主管部门相关技术标准开展，并出具《房屋建筑面积测绘成果报告书》，成果内容主要包括分层图、分户图、测绘成果报告书、房产入库数据、审核意见表。成果应满足行政管理及不动产登记的要求。不动产测绘主要是为房产产权、房籍管理、房地产开发利用、征收税费以及城镇规划建设提供测量数据和资料的，不动产测绘分为前期准备、外业数据采集、内业绘图、成果输出四个部分。</w:t>
      </w:r>
    </w:p>
    <w:p w14:paraId="0B746F5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自任务单下发后20-30个工作日（不含现场整改、补充资料、技术审核、行政审批时间）。</w:t>
      </w:r>
    </w:p>
    <w:p w14:paraId="418E8F9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6743E5CB">
      <w:pPr>
        <w:widowControl w:val="0"/>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rPr>
        <w:t>成果要求</w:t>
      </w:r>
      <w:r>
        <w:rPr>
          <w:rFonts w:hint="eastAsia" w:asciiTheme="minorEastAsia" w:hAnsiTheme="minorEastAsia" w:eastAsiaTheme="minorEastAsia" w:cstheme="minorEastAsia"/>
          <w:snapToGrid w:val="0"/>
          <w:color w:val="auto"/>
          <w:kern w:val="0"/>
          <w:sz w:val="28"/>
          <w:szCs w:val="28"/>
          <w:highlight w:val="none"/>
          <w:lang w:eastAsia="zh-CN"/>
        </w:rPr>
        <w:t>：</w:t>
      </w:r>
    </w:p>
    <w:p w14:paraId="53691B1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b w:val="0"/>
          <w:bCs w:val="0"/>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房屋面积测量成果报告书（纸质材料+系统上传材料）</w:t>
      </w:r>
      <w:r>
        <w:rPr>
          <w:rFonts w:hint="eastAsia" w:asciiTheme="minorEastAsia" w:hAnsiTheme="minorEastAsia" w:eastAsiaTheme="minorEastAsia" w:cstheme="minorEastAsia"/>
          <w:snapToGrid w:val="0"/>
          <w:color w:val="auto"/>
          <w:kern w:val="0"/>
          <w:sz w:val="28"/>
          <w:szCs w:val="28"/>
          <w:highlight w:val="none"/>
          <w:lang w:eastAsia="zh-CN"/>
        </w:rPr>
        <w:t>。</w:t>
      </w:r>
    </w:p>
    <w:p w14:paraId="0F80ED83">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（十</w:t>
      </w:r>
      <w:r>
        <w:rPr>
          <w:rFonts w:hint="eastAsia" w:asciiTheme="minorEastAsia" w:hAnsiTheme="minorEastAsia" w:eastAsiaTheme="minorEastAsia" w:cstheme="minorEastAsia"/>
          <w:b/>
          <w:bCs/>
          <w:snapToGrid w:val="0"/>
          <w:color w:val="auto"/>
          <w:kern w:val="0"/>
          <w:sz w:val="28"/>
          <w:szCs w:val="28"/>
          <w:highlight w:val="none"/>
          <w:lang w:eastAsia="zh-CN"/>
        </w:rPr>
        <w:t>二</w:t>
      </w:r>
      <w:r>
        <w:rPr>
          <w:rFonts w:hint="eastAsia" w:asciiTheme="minorEastAsia" w:hAnsiTheme="minorEastAsia" w:eastAsiaTheme="minorEastAsia" w:cstheme="minorEastAsia"/>
          <w:b/>
          <w:bCs/>
          <w:snapToGrid w:val="0"/>
          <w:color w:val="auto"/>
          <w:kern w:val="0"/>
          <w:sz w:val="28"/>
          <w:szCs w:val="28"/>
          <w:highlight w:val="none"/>
        </w:rPr>
        <w:t>）零星工程测量</w:t>
      </w:r>
    </w:p>
    <w:p w14:paraId="0B78FA5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：根据要求完成相关测绘、测量工作等，如：无人机测绘、GPS控制测量、水准测量（标高）、放界桩、土石方测量、地块管线普查、电子地形图、晒蓝图及套打设计方案等。</w:t>
      </w:r>
    </w:p>
    <w:p w14:paraId="3166BC6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放界桩3个工作日，其他15个工作日。</w:t>
      </w:r>
    </w:p>
    <w:p w14:paraId="54309307">
      <w:pPr>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注：涉及到项目测量面积较大或遇不可抗力因素时，工作办理时限由采购人与中标单位协商确定。</w:t>
      </w:r>
    </w:p>
    <w:p w14:paraId="3E552BA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5E3D27C9">
      <w:pPr>
        <w:adjustRightInd w:val="0"/>
        <w:snapToGrid w:val="0"/>
        <w:spacing w:line="500" w:lineRule="exact"/>
        <w:ind w:firstLine="560" w:firstLineChars="200"/>
        <w:rPr>
          <w:rFonts w:hint="eastAsia" w:asciiTheme="minorEastAsia" w:hAnsiTheme="minorEastAsia" w:eastAsiaTheme="minorEastAsia" w:cstheme="minorEastAsia"/>
          <w:b w:val="0"/>
          <w:snapToGrid w:val="0"/>
          <w:color w:val="auto"/>
          <w:kern w:val="0"/>
          <w:sz w:val="28"/>
          <w:szCs w:val="28"/>
          <w:highlight w:val="none"/>
          <w:lang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b w:val="0"/>
          <w:snapToGrid w:val="0"/>
          <w:color w:val="auto"/>
          <w:kern w:val="0"/>
          <w:sz w:val="28"/>
          <w:szCs w:val="28"/>
          <w:highlight w:val="none"/>
        </w:rPr>
        <w:t>成果要求</w:t>
      </w:r>
      <w:r>
        <w:rPr>
          <w:rFonts w:hint="eastAsia" w:asciiTheme="minorEastAsia" w:hAnsiTheme="minorEastAsia" w:eastAsiaTheme="minorEastAsia" w:cstheme="minorEastAsia"/>
          <w:b w:val="0"/>
          <w:snapToGrid w:val="0"/>
          <w:color w:val="auto"/>
          <w:kern w:val="0"/>
          <w:sz w:val="28"/>
          <w:szCs w:val="28"/>
          <w:highlight w:val="none"/>
          <w:lang w:eastAsia="zh-CN"/>
        </w:rPr>
        <w:t>：</w:t>
      </w:r>
    </w:p>
    <w:p w14:paraId="1AD15058">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default" w:asciiTheme="minorEastAsia" w:hAnsiTheme="minorEastAsia" w:eastAsiaTheme="minorEastAsia" w:cstheme="minorEastAsia"/>
          <w:b/>
          <w:bCs/>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u w:val="none"/>
        </w:rPr>
        <w:t>根据项目的委托事项出具满足审批要求的成果资料</w:t>
      </w:r>
      <w:r>
        <w:rPr>
          <w:rFonts w:hint="eastAsia" w:asciiTheme="minorEastAsia" w:hAnsiTheme="minorEastAsia" w:eastAsiaTheme="minorEastAsia" w:cstheme="minorEastAsia"/>
          <w:snapToGrid w:val="0"/>
          <w:color w:val="auto"/>
          <w:kern w:val="0"/>
          <w:sz w:val="28"/>
          <w:szCs w:val="28"/>
          <w:highlight w:val="none"/>
          <w:u w:val="none"/>
          <w:lang w:eastAsia="zh-CN"/>
        </w:rPr>
        <w:t>。</w:t>
      </w:r>
    </w:p>
    <w:p w14:paraId="2BF84BAA">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十三</w:t>
      </w:r>
      <w:r>
        <w:rPr>
          <w:rFonts w:hint="eastAsia" w:asciiTheme="minorEastAsia" w:hAnsiTheme="minorEastAsia" w:eastAsiaTheme="minorEastAsia" w:cstheme="minorEastAsia"/>
          <w:b/>
          <w:bCs/>
          <w:snapToGrid w:val="0"/>
          <w:color w:val="auto"/>
          <w:kern w:val="0"/>
          <w:sz w:val="28"/>
          <w:szCs w:val="28"/>
          <w:highlight w:val="none"/>
        </w:rPr>
        <w:t>）建筑年份核查</w:t>
      </w:r>
    </w:p>
    <w:p w14:paraId="10CBC7B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：利用卫星及无人机遥感影像数据，对征拆范围线内宗地位置房屋初始可见年份进行核查，描述房屋在年份区间内发生的变化，最终结合测量单位的房屋数据形成建（构）筑物情况汇总表。</w:t>
      </w:r>
    </w:p>
    <w:p w14:paraId="4194B30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自单个项目任务单下发后15个工作日。</w:t>
      </w:r>
    </w:p>
    <w:p w14:paraId="01E7F79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注：涉及项目用地测量面积较大或遇不可抗力因素时，工作办理时限由发包人与承包人协商确定。</w:t>
      </w:r>
    </w:p>
    <w:p w14:paraId="0F73F5E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w:t>
      </w:r>
      <w:r>
        <w:rPr>
          <w:rFonts w:hint="eastAsia" w:asciiTheme="minorEastAsia" w:hAnsiTheme="minorEastAsia" w:eastAsiaTheme="minorEastAsia" w:cstheme="minorEastAsia"/>
          <w:snapToGrid w:val="0"/>
          <w:color w:val="auto"/>
          <w:kern w:val="0"/>
          <w:sz w:val="28"/>
          <w:szCs w:val="28"/>
          <w:highlight w:val="none"/>
          <w:lang w:eastAsia="zh-CN"/>
        </w:rPr>
        <w:t>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65DC0E9B">
      <w:pPr>
        <w:adjustRightInd w:val="0"/>
        <w:snapToGrid w:val="0"/>
        <w:spacing w:line="500" w:lineRule="exact"/>
        <w:ind w:firstLine="560" w:firstLineChars="200"/>
        <w:rPr>
          <w:rFonts w:hint="eastAsia" w:asciiTheme="minorEastAsia" w:hAnsiTheme="minorEastAsia" w:eastAsiaTheme="minorEastAsia" w:cstheme="minorEastAsia"/>
          <w:b w:val="0"/>
          <w:snapToGrid w:val="0"/>
          <w:color w:val="auto"/>
          <w:kern w:val="0"/>
          <w:sz w:val="28"/>
          <w:szCs w:val="28"/>
          <w:highlight w:val="none"/>
          <w:lang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b w:val="0"/>
          <w:snapToGrid w:val="0"/>
          <w:color w:val="auto"/>
          <w:kern w:val="0"/>
          <w:sz w:val="28"/>
          <w:szCs w:val="28"/>
          <w:highlight w:val="none"/>
        </w:rPr>
        <w:t>成果要求</w:t>
      </w:r>
      <w:r>
        <w:rPr>
          <w:rFonts w:hint="eastAsia" w:asciiTheme="minorEastAsia" w:hAnsiTheme="minorEastAsia" w:eastAsiaTheme="minorEastAsia" w:cstheme="minorEastAsia"/>
          <w:b w:val="0"/>
          <w:snapToGrid w:val="0"/>
          <w:color w:val="auto"/>
          <w:kern w:val="0"/>
          <w:sz w:val="28"/>
          <w:szCs w:val="28"/>
          <w:highlight w:val="none"/>
          <w:lang w:eastAsia="zh-CN"/>
        </w:rPr>
        <w:t>：</w:t>
      </w:r>
    </w:p>
    <w:p w14:paraId="7044561F">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建</w:t>
      </w:r>
      <w:r>
        <w:rPr>
          <w:rFonts w:hint="eastAsia" w:asciiTheme="minorEastAsia" w:hAnsiTheme="minorEastAsia" w:eastAsiaTheme="minorEastAsia" w:cstheme="minorEastAsia"/>
          <w:snapToGrid w:val="0"/>
          <w:color w:val="auto"/>
          <w:kern w:val="0"/>
          <w:sz w:val="28"/>
          <w:szCs w:val="28"/>
          <w:highlight w:val="none"/>
        </w:rPr>
        <w:t>（构）筑物情况汇总表</w:t>
      </w:r>
      <w:r>
        <w:rPr>
          <w:rFonts w:hint="eastAsia" w:asciiTheme="minorEastAsia" w:hAnsiTheme="minorEastAsia" w:eastAsiaTheme="minorEastAsia" w:cstheme="minorEastAsia"/>
          <w:snapToGrid w:val="0"/>
          <w:color w:val="auto"/>
          <w:kern w:val="0"/>
          <w:sz w:val="28"/>
          <w:szCs w:val="28"/>
          <w:highlight w:val="none"/>
          <w:lang w:eastAsia="zh-CN"/>
        </w:rPr>
        <w:t>。</w:t>
      </w:r>
    </w:p>
    <w:p w14:paraId="53FA25C3">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十四</w:t>
      </w:r>
      <w:r>
        <w:rPr>
          <w:rFonts w:hint="eastAsia" w:asciiTheme="minorEastAsia" w:hAnsiTheme="minorEastAsia" w:eastAsiaTheme="minorEastAsia" w:cstheme="minorEastAsia"/>
          <w:b/>
          <w:bCs/>
          <w:snapToGrid w:val="0"/>
          <w:color w:val="auto"/>
          <w:kern w:val="0"/>
          <w:sz w:val="28"/>
          <w:szCs w:val="28"/>
          <w:highlight w:val="none"/>
        </w:rPr>
        <w:t>）土地套图及附图</w:t>
      </w:r>
    </w:p>
    <w:p w14:paraId="6E2829C6">
      <w:pPr>
        <w:snapToGrid w:val="0"/>
        <w:spacing w:line="360" w:lineRule="auto"/>
        <w:ind w:firstLine="560" w:firstLineChars="200"/>
        <w:rPr>
          <w:rFonts w:ascii="宋体" w:hAnsi="宋体"/>
          <w:bCs/>
          <w:color w:val="auto"/>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w:t>
      </w:r>
      <w:r>
        <w:rPr>
          <w:rFonts w:hint="eastAsia" w:ascii="宋体" w:hAnsi="宋体"/>
          <w:bCs/>
          <w:color w:val="auto"/>
          <w:sz w:val="28"/>
          <w:szCs w:val="28"/>
          <w:highlight w:val="none"/>
        </w:rPr>
        <w:t>土地套图是在土地行政审批时必要的基础资料,主要包含了申请地块内及其相邻地块已核发用地批文的用地范围线等基本信息。套图类型包括《建设用地套图》、《历史用地套图》和《权属界线套图》。其中《建设用地套图》用于申请办理《建设用地批准书附图》业务，其工作内容是将规划用地批文的用地范围线展绘在现状地形图上；《历史用地套图》用于申请办理历史国有土地使用权登记业务，其工作内容是将历史上的规划用地批文、建设用地批准书、国家征用土地通知书，土地使用权属证明书等用地范围线展绘在现状地形图上；《权属界线套图》用于申请办理国有土地使用权首次登记及变更登记业务，其工作内容是将规划用地批文、建设用地批准书和用地结案书的范围及拟申请宗地的范围线展绘在现状地形图上。</w:t>
      </w:r>
    </w:p>
    <w:p w14:paraId="53E56328">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宋体" w:hAnsi="宋体"/>
          <w:bCs/>
          <w:color w:val="auto"/>
          <w:sz w:val="28"/>
          <w:szCs w:val="28"/>
          <w:highlight w:val="none"/>
        </w:rPr>
        <w:t>除以上几种套图以外，在土地审批过程还需要多种图件作为各类公告、公函、批文的附属图件，包括用地结案附图、建设用地批准书附图、土地他项权证附图、出让（划拨）宗地平面界址图、宗地图、地理位置图、影像图等。此类附图视各种不同需求而展绘相应的范围线于现状地形图上。</w:t>
      </w:r>
    </w:p>
    <w:p w14:paraId="445FC91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自任务单下发后5-10个工作日。</w:t>
      </w:r>
    </w:p>
    <w:p w14:paraId="217D765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注：涉及到项目用地测量面积较大或遇不可抗力因素时，工作办理时限由发包人与承包人协商确定。</w:t>
      </w:r>
    </w:p>
    <w:p w14:paraId="0F6AC2B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631CED8E">
      <w:pPr>
        <w:adjustRightInd w:val="0"/>
        <w:snapToGrid w:val="0"/>
        <w:spacing w:line="500" w:lineRule="exact"/>
        <w:ind w:firstLine="560" w:firstLineChars="200"/>
        <w:rPr>
          <w:rFonts w:hint="eastAsia" w:asciiTheme="minorEastAsia" w:hAnsiTheme="minorEastAsia" w:eastAsiaTheme="minorEastAsia" w:cstheme="minorEastAsia"/>
          <w:b w:val="0"/>
          <w:bCs w:val="0"/>
          <w:snapToGrid w:val="0"/>
          <w:color w:val="auto"/>
          <w:kern w:val="0"/>
          <w:sz w:val="28"/>
          <w:szCs w:val="28"/>
          <w:highlight w:val="none"/>
          <w:lang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b w:val="0"/>
          <w:bCs w:val="0"/>
          <w:snapToGrid w:val="0"/>
          <w:color w:val="auto"/>
          <w:kern w:val="0"/>
          <w:sz w:val="28"/>
          <w:szCs w:val="28"/>
          <w:highlight w:val="none"/>
        </w:rPr>
        <w:t>成果要求</w:t>
      </w:r>
      <w:r>
        <w:rPr>
          <w:rFonts w:hint="eastAsia" w:asciiTheme="minorEastAsia" w:hAnsiTheme="minorEastAsia" w:eastAsiaTheme="minorEastAsia" w:cstheme="minorEastAsia"/>
          <w:b w:val="0"/>
          <w:bCs w:val="0"/>
          <w:snapToGrid w:val="0"/>
          <w:color w:val="auto"/>
          <w:kern w:val="0"/>
          <w:sz w:val="28"/>
          <w:szCs w:val="28"/>
          <w:highlight w:val="none"/>
          <w:lang w:eastAsia="zh-CN"/>
        </w:rPr>
        <w:t>：</w:t>
      </w:r>
    </w:p>
    <w:p w14:paraId="62B6B03E">
      <w:pPr>
        <w:adjustRightInd w:val="0"/>
        <w:snapToGrid w:val="0"/>
        <w:spacing w:line="500" w:lineRule="exact"/>
        <w:ind w:firstLine="560" w:firstLineChars="200"/>
        <w:rPr>
          <w:rFonts w:hint="eastAsia" w:asciiTheme="minorEastAsia" w:hAnsiTheme="minorEastAsia" w:eastAsiaTheme="minorEastAsia" w:cstheme="minorEastAsia"/>
          <w:bCs w:val="0"/>
          <w:snapToGrid w:val="0"/>
          <w:color w:val="auto"/>
          <w:kern w:val="0"/>
          <w:sz w:val="28"/>
          <w:szCs w:val="28"/>
          <w:highlight w:val="none"/>
        </w:rPr>
      </w:pPr>
      <w:r>
        <w:rPr>
          <w:rFonts w:hint="eastAsia" w:asciiTheme="minorEastAsia" w:hAnsiTheme="minorEastAsia" w:eastAsiaTheme="minorEastAsia" w:cstheme="minorEastAsia"/>
          <w:bCs w:val="0"/>
          <w:snapToGrid w:val="0"/>
          <w:color w:val="auto"/>
          <w:kern w:val="0"/>
          <w:sz w:val="28"/>
          <w:szCs w:val="28"/>
          <w:highlight w:val="none"/>
        </w:rPr>
        <w:t>土地套图成果资料：</w:t>
      </w:r>
    </w:p>
    <w:p w14:paraId="518AD386">
      <w:pPr>
        <w:adjustRightInd w:val="0"/>
        <w:snapToGrid w:val="0"/>
        <w:spacing w:line="500" w:lineRule="exact"/>
        <w:ind w:firstLine="560" w:firstLineChars="200"/>
        <w:rPr>
          <w:rFonts w:hint="eastAsia" w:asciiTheme="minorEastAsia" w:hAnsiTheme="minorEastAsia" w:eastAsiaTheme="minorEastAsia" w:cstheme="minorEastAsia"/>
          <w:bCs w:val="0"/>
          <w:snapToGrid w:val="0"/>
          <w:color w:val="auto"/>
          <w:kern w:val="0"/>
          <w:sz w:val="28"/>
          <w:szCs w:val="28"/>
          <w:highlight w:val="none"/>
          <w:lang w:eastAsia="zh-CN"/>
        </w:rPr>
      </w:pPr>
      <w:r>
        <w:rPr>
          <w:rFonts w:hint="eastAsia" w:asciiTheme="minorEastAsia" w:hAnsiTheme="minorEastAsia" w:eastAsiaTheme="minorEastAsia" w:cstheme="minorEastAsia"/>
          <w:bCs w:val="0"/>
          <w:snapToGrid w:val="0"/>
          <w:color w:val="auto"/>
          <w:kern w:val="0"/>
          <w:sz w:val="28"/>
          <w:szCs w:val="28"/>
          <w:highlight w:val="none"/>
        </w:rPr>
        <w:t>土地套图图纸（份数根据采购人使用需要）</w:t>
      </w:r>
      <w:r>
        <w:rPr>
          <w:rFonts w:hint="eastAsia" w:asciiTheme="minorEastAsia" w:hAnsiTheme="minorEastAsia" w:eastAsiaTheme="minorEastAsia" w:cstheme="minorEastAsia"/>
          <w:bCs w:val="0"/>
          <w:snapToGrid w:val="0"/>
          <w:color w:val="auto"/>
          <w:kern w:val="0"/>
          <w:sz w:val="28"/>
          <w:szCs w:val="28"/>
          <w:highlight w:val="none"/>
          <w:lang w:eastAsia="zh-CN"/>
        </w:rPr>
        <w:t>。</w:t>
      </w:r>
    </w:p>
    <w:p w14:paraId="46A8FA81">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十五</w:t>
      </w:r>
      <w:r>
        <w:rPr>
          <w:rFonts w:hint="eastAsia" w:asciiTheme="minorEastAsia" w:hAnsiTheme="minorEastAsia" w:eastAsiaTheme="minorEastAsia" w:cstheme="minorEastAsia"/>
          <w:b/>
          <w:bCs/>
          <w:snapToGrid w:val="0"/>
          <w:color w:val="auto"/>
          <w:kern w:val="0"/>
          <w:sz w:val="28"/>
          <w:szCs w:val="28"/>
          <w:highlight w:val="none"/>
        </w:rPr>
        <w:t>）土地勘测定界</w:t>
      </w:r>
    </w:p>
    <w:p w14:paraId="3F81B9F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bCs w:val="0"/>
          <w:snapToGrid w:val="0"/>
          <w:color w:val="auto"/>
          <w:kern w:val="0"/>
          <w:sz w:val="28"/>
          <w:szCs w:val="28"/>
          <w:highlight w:val="none"/>
        </w:rPr>
        <w:t>该工作成果主要用于办理建设用地审查报批工作。工作内容包括：根据土地征收、征用、划拨、出让、农用地转用、土地利用规划及土地开发、整理、复垦等工作的需要，实地</w:t>
      </w:r>
      <w:r>
        <w:rPr>
          <w:rFonts w:hint="eastAsia" w:asciiTheme="minorEastAsia" w:hAnsiTheme="minorEastAsia" w:eastAsiaTheme="minorEastAsia" w:cstheme="minorEastAsia"/>
          <w:snapToGrid w:val="0"/>
          <w:color w:val="auto"/>
          <w:kern w:val="0"/>
          <w:sz w:val="28"/>
          <w:szCs w:val="28"/>
          <w:highlight w:val="none"/>
        </w:rPr>
        <w:t>控制测量(E级GPS测量）</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lang w:val="en-US" w:eastAsia="zh-CN"/>
        </w:rPr>
        <w:t>实地</w:t>
      </w:r>
      <w:r>
        <w:rPr>
          <w:rFonts w:hint="eastAsia" w:asciiTheme="minorEastAsia" w:hAnsiTheme="minorEastAsia" w:eastAsiaTheme="minorEastAsia" w:cstheme="minorEastAsia"/>
          <w:bCs w:val="0"/>
          <w:snapToGrid w:val="0"/>
          <w:color w:val="auto"/>
          <w:kern w:val="0"/>
          <w:sz w:val="28"/>
          <w:szCs w:val="28"/>
          <w:highlight w:val="none"/>
        </w:rPr>
        <w:t>界定土地使用范围、测定界址位置、</w:t>
      </w:r>
      <w:r>
        <w:rPr>
          <w:rFonts w:hint="eastAsia" w:asciiTheme="minorEastAsia" w:hAnsiTheme="minorEastAsia" w:eastAsiaTheme="minorEastAsia" w:cstheme="minorEastAsia"/>
          <w:snapToGrid w:val="0"/>
          <w:color w:val="auto"/>
          <w:kern w:val="0"/>
          <w:sz w:val="28"/>
          <w:szCs w:val="28"/>
          <w:highlight w:val="none"/>
        </w:rPr>
        <w:t>调绘土地利用现状、历年地类倒推调查</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周边用地权属</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计算用地面积</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lang w:val="en-US" w:eastAsia="zh-CN"/>
        </w:rPr>
        <w:t>初勘、详勘</w:t>
      </w:r>
      <w:r>
        <w:rPr>
          <w:rFonts w:hint="eastAsia" w:asciiTheme="minorEastAsia" w:hAnsiTheme="minorEastAsia" w:eastAsiaTheme="minorEastAsia" w:cstheme="minorEastAsia"/>
          <w:snapToGrid w:val="0"/>
          <w:color w:val="auto"/>
          <w:kern w:val="0"/>
          <w:sz w:val="28"/>
          <w:szCs w:val="28"/>
          <w:highlight w:val="none"/>
        </w:rPr>
        <w:t>等</w:t>
      </w:r>
      <w:r>
        <w:rPr>
          <w:rFonts w:hint="eastAsia" w:asciiTheme="minorEastAsia" w:hAnsiTheme="minorEastAsia" w:eastAsiaTheme="minorEastAsia" w:cstheme="minorEastAsia"/>
          <w:bCs w:val="0"/>
          <w:snapToGrid w:val="0"/>
          <w:color w:val="auto"/>
          <w:kern w:val="0"/>
          <w:sz w:val="28"/>
          <w:szCs w:val="28"/>
          <w:highlight w:val="none"/>
        </w:rPr>
        <w:t>，为土地审批和地籍管理等提供科学、准确的基础资料。</w:t>
      </w:r>
    </w:p>
    <w:p w14:paraId="1500F99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自单个项目任务单下发后20个工作日。</w:t>
      </w:r>
    </w:p>
    <w:p w14:paraId="7CFA3CE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注：涉及到项目用地测量面积较大或遇不可抗力因素时，工作办理时限由发包人与承包人协商确定。</w:t>
      </w:r>
    </w:p>
    <w:p w14:paraId="0072321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p w14:paraId="367E8A22">
      <w:pPr>
        <w:adjustRightInd w:val="0"/>
        <w:snapToGrid w:val="0"/>
        <w:spacing w:line="500" w:lineRule="exact"/>
        <w:ind w:firstLine="560" w:firstLineChars="200"/>
        <w:rPr>
          <w:rFonts w:hint="eastAsia" w:asciiTheme="minorEastAsia" w:hAnsiTheme="minorEastAsia" w:eastAsiaTheme="minorEastAsia" w:cstheme="minorEastAsia"/>
          <w:bCs w:val="0"/>
          <w:snapToGrid w:val="0"/>
          <w:color w:val="auto"/>
          <w:kern w:val="0"/>
          <w:sz w:val="28"/>
          <w:szCs w:val="28"/>
          <w:highlight w:val="none"/>
          <w:lang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b w:val="0"/>
          <w:bCs w:val="0"/>
          <w:snapToGrid w:val="0"/>
          <w:color w:val="auto"/>
          <w:kern w:val="0"/>
          <w:sz w:val="28"/>
          <w:szCs w:val="28"/>
          <w:highlight w:val="none"/>
        </w:rPr>
        <w:t>成果要求</w:t>
      </w:r>
      <w:r>
        <w:rPr>
          <w:rFonts w:hint="eastAsia" w:asciiTheme="minorEastAsia" w:hAnsiTheme="minorEastAsia" w:eastAsiaTheme="minorEastAsia" w:cstheme="minorEastAsia"/>
          <w:b w:val="0"/>
          <w:bCs w:val="0"/>
          <w:snapToGrid w:val="0"/>
          <w:color w:val="auto"/>
          <w:kern w:val="0"/>
          <w:sz w:val="28"/>
          <w:szCs w:val="28"/>
          <w:highlight w:val="none"/>
          <w:lang w:eastAsia="zh-CN"/>
        </w:rPr>
        <w:t>：</w:t>
      </w:r>
    </w:p>
    <w:p w14:paraId="104ACDF3">
      <w:pPr>
        <w:adjustRightInd w:val="0"/>
        <w:snapToGrid w:val="0"/>
        <w:spacing w:line="500" w:lineRule="exact"/>
        <w:ind w:firstLine="560" w:firstLineChars="200"/>
        <w:rPr>
          <w:rFonts w:hint="eastAsia" w:asciiTheme="minorEastAsia" w:hAnsiTheme="minorEastAsia" w:eastAsiaTheme="minorEastAsia" w:cstheme="minorEastAsia"/>
          <w:bCs w:val="0"/>
          <w:snapToGrid w:val="0"/>
          <w:color w:val="auto"/>
          <w:kern w:val="0"/>
          <w:sz w:val="28"/>
          <w:szCs w:val="28"/>
          <w:highlight w:val="none"/>
        </w:rPr>
      </w:pPr>
      <w:r>
        <w:rPr>
          <w:rFonts w:hint="eastAsia" w:asciiTheme="minorEastAsia" w:hAnsiTheme="minorEastAsia" w:eastAsiaTheme="minorEastAsia" w:cstheme="minorEastAsia"/>
          <w:bCs w:val="0"/>
          <w:snapToGrid w:val="0"/>
          <w:color w:val="auto"/>
          <w:kern w:val="0"/>
          <w:sz w:val="28"/>
          <w:szCs w:val="28"/>
          <w:highlight w:val="none"/>
        </w:rPr>
        <w:t>①勘测定界技术报告书（份数根据采购人使用需要）；</w:t>
      </w:r>
    </w:p>
    <w:p w14:paraId="62972F26">
      <w:pPr>
        <w:adjustRightInd w:val="0"/>
        <w:snapToGrid w:val="0"/>
        <w:spacing w:line="500" w:lineRule="exact"/>
        <w:ind w:firstLine="560" w:firstLineChars="200"/>
        <w:rPr>
          <w:rFonts w:hint="eastAsia" w:asciiTheme="minorEastAsia" w:hAnsiTheme="minorEastAsia" w:eastAsiaTheme="minorEastAsia" w:cstheme="minorEastAsia"/>
          <w:bCs w:val="0"/>
          <w:snapToGrid w:val="0"/>
          <w:color w:val="auto"/>
          <w:kern w:val="0"/>
          <w:sz w:val="28"/>
          <w:szCs w:val="28"/>
          <w:highlight w:val="none"/>
        </w:rPr>
      </w:pPr>
      <w:r>
        <w:rPr>
          <w:rFonts w:hint="eastAsia" w:asciiTheme="minorEastAsia" w:hAnsiTheme="minorEastAsia" w:eastAsiaTheme="minorEastAsia" w:cstheme="minorEastAsia"/>
          <w:bCs w:val="0"/>
          <w:snapToGrid w:val="0"/>
          <w:color w:val="auto"/>
          <w:kern w:val="0"/>
          <w:sz w:val="28"/>
          <w:szCs w:val="28"/>
          <w:highlight w:val="none"/>
        </w:rPr>
        <w:t>②电子数据矢量文件光盘。</w:t>
      </w:r>
    </w:p>
    <w:p w14:paraId="603BFD1D">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十六</w:t>
      </w:r>
      <w:r>
        <w:rPr>
          <w:rFonts w:hint="eastAsia" w:asciiTheme="minorEastAsia" w:hAnsiTheme="minorEastAsia" w:eastAsiaTheme="minorEastAsia" w:cstheme="minorEastAsia"/>
          <w:b/>
          <w:bCs/>
          <w:snapToGrid w:val="0"/>
          <w:color w:val="auto"/>
          <w:kern w:val="0"/>
          <w:sz w:val="28"/>
          <w:szCs w:val="28"/>
          <w:highlight w:val="none"/>
        </w:rPr>
        <w:t>）用地报批</w:t>
      </w:r>
    </w:p>
    <w:p w14:paraId="7367083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w:t>
      </w:r>
    </w:p>
    <w:p w14:paraId="44C1D2D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协助编制完成建设用地报批材料，包括但不限于：区自然资源主管部门审查报告（请示）材料、农转用方案、规划审查相关材料、地类审查相关材料、权属审查相关材料、耕地占补平衡相关材料、违法用地处罚材料、占用林地相关材料、涉及国有用地相关材料</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以及其他城镇批次建设用地农转用和土地征收实施材料等；协助完成土地征收过程中预公告、土地现状调查确认、编制征地补偿安置方案、征地补偿安置公告、放弃听证、区政府出具的关于征地情况说明等文件</w:t>
      </w:r>
      <w:r>
        <w:rPr>
          <w:rFonts w:hint="eastAsia" w:asciiTheme="minorEastAsia" w:hAnsiTheme="minorEastAsia" w:eastAsiaTheme="minorEastAsia" w:cstheme="minorEastAsia"/>
          <w:snapToGrid w:val="0"/>
          <w:color w:val="auto"/>
          <w:kern w:val="0"/>
          <w:sz w:val="28"/>
          <w:szCs w:val="28"/>
          <w:highlight w:val="none"/>
          <w:lang w:eastAsia="zh-CN"/>
        </w:rPr>
        <w:t>收集</w:t>
      </w:r>
      <w:r>
        <w:rPr>
          <w:rFonts w:hint="eastAsia" w:asciiTheme="minorEastAsia" w:hAnsiTheme="minorEastAsia" w:eastAsiaTheme="minorEastAsia" w:cstheme="minorEastAsia"/>
          <w:snapToGrid w:val="0"/>
          <w:color w:val="auto"/>
          <w:kern w:val="0"/>
          <w:sz w:val="28"/>
          <w:szCs w:val="28"/>
          <w:highlight w:val="none"/>
        </w:rPr>
        <w:t>。协助编制基本情况证明、听证材料等办理社保审核工作需要的相关材料。</w:t>
      </w:r>
    </w:p>
    <w:p w14:paraId="267D125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跟进自然资源主管部门用地审查进度，并取得用地批复。在报批材料报送市规划和自然资源局后，做好跟各相关部门的沟通、联络及协调工作，并根据审查意见及时进行补件完善，直至取得项目用地报批的批复文件，并做好统计、归档等工作。</w:t>
      </w:r>
    </w:p>
    <w:p w14:paraId="4CBB5C3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跟进省自然资源厅对用地报批材料备案，按要求补正有关材料，直至通过省自然资源厅备案。</w:t>
      </w:r>
    </w:p>
    <w:p w14:paraId="707AC3A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出具勘界成果后2-3个月，其中征地预公告10个工作日，征地补偿安置公告30天，区级组卷15个工作日，报审20个工作日。</w:t>
      </w:r>
    </w:p>
    <w:p w14:paraId="271ABA1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参照《国家计委关于印发建设项目前期工作咨询收费暂行规定的通知》（计价格</w:t>
      </w:r>
      <w:r>
        <w:rPr>
          <w:rFonts w:hint="eastAsia" w:asciiTheme="minorEastAsia" w:hAnsiTheme="minorEastAsia" w:eastAsiaTheme="minorEastAsia" w:cstheme="minorEastAsia"/>
          <w:snapToGrid w:val="0"/>
          <w:color w:val="auto"/>
          <w:kern w:val="0"/>
          <w:sz w:val="28"/>
          <w:szCs w:val="28"/>
          <w:highlight w:val="none"/>
          <w:lang w:eastAsia="zh-CN"/>
        </w:rPr>
        <w:t>〔1999〕283号</w:t>
      </w:r>
      <w:r>
        <w:rPr>
          <w:rFonts w:hint="eastAsia" w:asciiTheme="minorEastAsia" w:hAnsiTheme="minorEastAsia" w:eastAsiaTheme="minorEastAsia" w:cstheme="minorEastAsia"/>
          <w:snapToGrid w:val="0"/>
          <w:color w:val="auto"/>
          <w:kern w:val="0"/>
          <w:sz w:val="28"/>
          <w:szCs w:val="28"/>
          <w:highlight w:val="none"/>
        </w:rPr>
        <w:t>），并结合中标下浮率计取。</w:t>
      </w:r>
    </w:p>
    <w:p w14:paraId="61ABF0F9">
      <w:pPr>
        <w:adjustRightInd w:val="0"/>
        <w:snapToGrid w:val="0"/>
        <w:spacing w:line="500" w:lineRule="exact"/>
        <w:ind w:firstLine="560" w:firstLineChars="200"/>
        <w:rPr>
          <w:rFonts w:hint="eastAsia" w:asciiTheme="minorEastAsia" w:hAnsiTheme="minorEastAsia" w:eastAsiaTheme="minorEastAsia" w:cstheme="minorEastAsia"/>
          <w:b w:val="0"/>
          <w:snapToGrid w:val="0"/>
          <w:color w:val="auto"/>
          <w:kern w:val="0"/>
          <w:sz w:val="28"/>
          <w:szCs w:val="28"/>
          <w:highlight w:val="none"/>
          <w:lang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b w:val="0"/>
          <w:snapToGrid w:val="0"/>
          <w:color w:val="auto"/>
          <w:kern w:val="0"/>
          <w:sz w:val="28"/>
          <w:szCs w:val="28"/>
          <w:highlight w:val="none"/>
        </w:rPr>
        <w:t>成果要求</w:t>
      </w:r>
      <w:r>
        <w:rPr>
          <w:rFonts w:hint="eastAsia" w:asciiTheme="minorEastAsia" w:hAnsiTheme="minorEastAsia" w:eastAsiaTheme="minorEastAsia" w:cstheme="minorEastAsia"/>
          <w:b w:val="0"/>
          <w:snapToGrid w:val="0"/>
          <w:color w:val="auto"/>
          <w:kern w:val="0"/>
          <w:sz w:val="28"/>
          <w:szCs w:val="28"/>
          <w:highlight w:val="none"/>
          <w:lang w:eastAsia="zh-CN"/>
        </w:rPr>
        <w:t>：</w:t>
      </w:r>
    </w:p>
    <w:p w14:paraId="4538C422">
      <w:pPr>
        <w:adjustRightInd w:val="0"/>
        <w:snapToGrid w:val="0"/>
        <w:spacing w:line="500" w:lineRule="exact"/>
        <w:ind w:firstLine="560" w:firstLineChars="200"/>
        <w:rPr>
          <w:rFonts w:hAnsi="宋体"/>
          <w:color w:val="auto"/>
          <w:sz w:val="24"/>
          <w:highlight w:val="none"/>
        </w:rPr>
      </w:pPr>
      <w:r>
        <w:rPr>
          <w:rFonts w:hint="eastAsia" w:asciiTheme="minorEastAsia" w:hAnsiTheme="minorEastAsia" w:eastAsiaTheme="minorEastAsia" w:cstheme="minorEastAsia"/>
          <w:snapToGrid w:val="0"/>
          <w:color w:val="auto"/>
          <w:kern w:val="0"/>
          <w:sz w:val="28"/>
          <w:szCs w:val="28"/>
          <w:highlight w:val="none"/>
        </w:rPr>
        <w:t>用地组卷报批材料及用地批复文件</w:t>
      </w:r>
      <w:r>
        <w:rPr>
          <w:rFonts w:hint="eastAsia" w:asciiTheme="minorEastAsia" w:hAnsiTheme="minorEastAsia" w:eastAsiaTheme="minorEastAsia" w:cstheme="minorEastAsia"/>
          <w:snapToGrid w:val="0"/>
          <w:color w:val="auto"/>
          <w:kern w:val="0"/>
          <w:sz w:val="28"/>
          <w:szCs w:val="28"/>
          <w:highlight w:val="none"/>
          <w:lang w:eastAsia="zh-CN"/>
        </w:rPr>
        <w:t>。</w:t>
      </w:r>
    </w:p>
    <w:p w14:paraId="34CE1C51">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十七</w:t>
      </w:r>
      <w:r>
        <w:rPr>
          <w:rFonts w:hint="eastAsia" w:asciiTheme="minorEastAsia" w:hAnsiTheme="minorEastAsia" w:eastAsiaTheme="minorEastAsia" w:cstheme="minorEastAsia"/>
          <w:b/>
          <w:bCs/>
          <w:snapToGrid w:val="0"/>
          <w:color w:val="auto"/>
          <w:kern w:val="0"/>
          <w:sz w:val="28"/>
          <w:szCs w:val="28"/>
          <w:highlight w:val="none"/>
        </w:rPr>
        <w:t>）林地报批</w:t>
      </w:r>
    </w:p>
    <w:p w14:paraId="25791A7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：林地数据收集、作业设计调查、报告编制、定桩测量。</w:t>
      </w:r>
    </w:p>
    <w:p w14:paraId="372F86A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根据项目的实际情况协商决定。</w:t>
      </w:r>
    </w:p>
    <w:p w14:paraId="1671AF7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参考中国林业工程建设协会《关于印发&lt;林业行业调查规划项目收费指导意见&gt;（试行）的通知》（林建协</w:t>
      </w:r>
      <w:r>
        <w:rPr>
          <w:rFonts w:hint="eastAsia" w:asciiTheme="minorEastAsia" w:hAnsiTheme="minorEastAsia" w:eastAsiaTheme="minorEastAsia" w:cstheme="minorEastAsia"/>
          <w:snapToGrid w:val="0"/>
          <w:color w:val="auto"/>
          <w:kern w:val="0"/>
          <w:sz w:val="28"/>
          <w:szCs w:val="28"/>
          <w:highlight w:val="none"/>
          <w:lang w:eastAsia="zh-CN"/>
        </w:rPr>
        <w:t>〔2018〕15号</w:t>
      </w:r>
      <w:r>
        <w:rPr>
          <w:rFonts w:hint="eastAsia" w:asciiTheme="minorEastAsia" w:hAnsiTheme="minorEastAsia" w:eastAsiaTheme="minorEastAsia" w:cstheme="minorEastAsia"/>
          <w:snapToGrid w:val="0"/>
          <w:color w:val="auto"/>
          <w:kern w:val="0"/>
          <w:sz w:val="28"/>
          <w:szCs w:val="28"/>
          <w:highlight w:val="none"/>
        </w:rPr>
        <w:t>）计费标准，并结合中标下浮率计取。</w:t>
      </w:r>
    </w:p>
    <w:p w14:paraId="1D4F3210">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lang w:val="en-US" w:eastAsia="zh-CN"/>
        </w:rPr>
        <w:t>成果要求：</w:t>
      </w:r>
    </w:p>
    <w:p w14:paraId="093FCCEB">
      <w:pPr>
        <w:widowControl w:val="0"/>
        <w:numPr>
          <w:ilvl w:val="-1"/>
          <w:numId w:val="0"/>
        </w:numPr>
        <w:autoSpaceDE/>
        <w:autoSpaceDN/>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bCs w:val="0"/>
          <w:snapToGrid w:val="0"/>
          <w:color w:val="auto"/>
          <w:kern w:val="0"/>
          <w:sz w:val="28"/>
          <w:szCs w:val="28"/>
          <w:highlight w:val="none"/>
        </w:rPr>
        <w:t>①</w:t>
      </w:r>
      <w:r>
        <w:rPr>
          <w:rFonts w:hint="eastAsia" w:asciiTheme="minorEastAsia" w:hAnsiTheme="minorEastAsia" w:eastAsiaTheme="minorEastAsia" w:cstheme="minorEastAsia"/>
          <w:snapToGrid w:val="0"/>
          <w:color w:val="auto"/>
          <w:kern w:val="0"/>
          <w:sz w:val="28"/>
          <w:szCs w:val="28"/>
          <w:highlight w:val="none"/>
        </w:rPr>
        <w:t>《使用林地可行性报告文本》；</w:t>
      </w:r>
    </w:p>
    <w:p w14:paraId="23DC93C2">
      <w:pPr>
        <w:numPr>
          <w:ilvl w:val="-1"/>
          <w:numId w:val="0"/>
        </w:numPr>
        <w:autoSpaceDE/>
        <w:autoSpaceDN/>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bCs w:val="0"/>
          <w:snapToGrid w:val="0"/>
          <w:color w:val="auto"/>
          <w:kern w:val="0"/>
          <w:sz w:val="28"/>
          <w:szCs w:val="28"/>
          <w:highlight w:val="none"/>
        </w:rPr>
        <w:t>②</w:t>
      </w:r>
      <w:r>
        <w:rPr>
          <w:rFonts w:hint="eastAsia" w:asciiTheme="minorEastAsia" w:hAnsiTheme="minorEastAsia" w:eastAsiaTheme="minorEastAsia" w:cstheme="minorEastAsia"/>
          <w:snapToGrid w:val="0"/>
          <w:color w:val="auto"/>
          <w:kern w:val="0"/>
          <w:sz w:val="28"/>
          <w:szCs w:val="28"/>
          <w:highlight w:val="none"/>
        </w:rPr>
        <w:t>《采伐作业设计书》</w:t>
      </w:r>
      <w:r>
        <w:rPr>
          <w:rFonts w:hint="eastAsia" w:asciiTheme="minorEastAsia" w:hAnsiTheme="minorEastAsia" w:eastAsiaTheme="minorEastAsia" w:cstheme="minorEastAsia"/>
          <w:snapToGrid w:val="0"/>
          <w:color w:val="auto"/>
          <w:kern w:val="0"/>
          <w:sz w:val="28"/>
          <w:szCs w:val="28"/>
          <w:highlight w:val="none"/>
          <w:lang w:val="en-US" w:eastAsia="zh-CN"/>
        </w:rPr>
        <w:t>等。</w:t>
      </w:r>
    </w:p>
    <w:p w14:paraId="16DF23F0">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十八</w:t>
      </w:r>
      <w:r>
        <w:rPr>
          <w:rFonts w:hint="eastAsia" w:asciiTheme="minorEastAsia" w:hAnsiTheme="minorEastAsia" w:eastAsiaTheme="minorEastAsia" w:cstheme="minorEastAsia"/>
          <w:b/>
          <w:bCs/>
          <w:snapToGrid w:val="0"/>
          <w:color w:val="auto"/>
          <w:kern w:val="0"/>
          <w:sz w:val="28"/>
          <w:szCs w:val="28"/>
          <w:highlight w:val="none"/>
        </w:rPr>
        <w:t>）耕作层剥离方案编制</w:t>
      </w:r>
    </w:p>
    <w:p w14:paraId="37B7FE8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：编制占用耕地耕作层剥离再利用方案，含取土检测、分析处理、工程预算、图件制作，制定各项工作保障措施等内容。根据土壤调查评价情况，形成耕作层剥离及再利用方案成果。</w:t>
      </w:r>
    </w:p>
    <w:p w14:paraId="14B1E45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在确定剥离地块后，45个工作日内完成耕作层剥离方案的编制工作，包含土壤检测、方案编制和组织专家评审等相关工作。</w:t>
      </w:r>
    </w:p>
    <w:p w14:paraId="619CFB2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参照《国家计委关于印发建设项目前期工作咨询收费暂行规定的通知》(计价格〔</w:t>
      </w:r>
      <w:r>
        <w:rPr>
          <w:rFonts w:hint="eastAsia" w:asciiTheme="minorEastAsia" w:hAnsiTheme="minorEastAsia" w:eastAsiaTheme="minorEastAsia" w:cstheme="minorEastAsia"/>
          <w:snapToGrid w:val="0"/>
          <w:color w:val="auto"/>
          <w:kern w:val="0"/>
          <w:sz w:val="28"/>
          <w:szCs w:val="28"/>
          <w:highlight w:val="none"/>
          <w:lang w:val="en-US" w:eastAsia="zh-CN"/>
        </w:rPr>
        <w:t>1999</w:t>
      </w:r>
      <w:r>
        <w:rPr>
          <w:rFonts w:hint="eastAsia" w:asciiTheme="minorEastAsia" w:hAnsiTheme="minorEastAsia" w:eastAsiaTheme="minorEastAsia" w:cstheme="minorEastAsia"/>
          <w:snapToGrid w:val="0"/>
          <w:color w:val="auto"/>
          <w:kern w:val="0"/>
          <w:sz w:val="28"/>
          <w:szCs w:val="28"/>
          <w:highlight w:val="none"/>
        </w:rPr>
        <w:t>〕1283号)计费标准，并结合中标下浮率计取。</w:t>
      </w:r>
    </w:p>
    <w:p w14:paraId="2717FB84">
      <w:pPr>
        <w:adjustRightInd w:val="0"/>
        <w:snapToGrid w:val="0"/>
        <w:spacing w:line="500" w:lineRule="exact"/>
        <w:ind w:firstLine="560" w:firstLineChars="200"/>
        <w:rPr>
          <w:rFonts w:hint="eastAsia" w:asciiTheme="minorEastAsia" w:hAnsiTheme="minorEastAsia" w:eastAsiaTheme="minorEastAsia" w:cstheme="minorEastAsia"/>
          <w:b w:val="0"/>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u w:val="none"/>
          <w:lang w:val="en-US" w:eastAsia="zh-CN"/>
        </w:rPr>
        <w:t>4.</w:t>
      </w:r>
      <w:r>
        <w:rPr>
          <w:rFonts w:hint="eastAsia" w:asciiTheme="minorEastAsia" w:hAnsiTheme="minorEastAsia" w:eastAsiaTheme="minorEastAsia" w:cstheme="minorEastAsia"/>
          <w:b w:val="0"/>
          <w:bCs w:val="0"/>
          <w:snapToGrid w:val="0"/>
          <w:color w:val="auto"/>
          <w:kern w:val="0"/>
          <w:sz w:val="28"/>
          <w:szCs w:val="28"/>
          <w:highlight w:val="none"/>
        </w:rPr>
        <w:t>成果要求</w:t>
      </w:r>
      <w:r>
        <w:rPr>
          <w:rFonts w:hint="eastAsia" w:asciiTheme="minorEastAsia" w:hAnsiTheme="minorEastAsia" w:eastAsiaTheme="minorEastAsia" w:cstheme="minorEastAsia"/>
          <w:b w:val="0"/>
          <w:bCs w:val="0"/>
          <w:snapToGrid w:val="0"/>
          <w:color w:val="auto"/>
          <w:kern w:val="0"/>
          <w:sz w:val="28"/>
          <w:szCs w:val="28"/>
          <w:highlight w:val="none"/>
          <w:lang w:eastAsia="zh-CN"/>
        </w:rPr>
        <w:t>：</w:t>
      </w:r>
    </w:p>
    <w:p w14:paraId="15EC507F">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成果资料内容为耕作层剥离方案报告，包括但不限于下列成果：</w:t>
      </w:r>
    </w:p>
    <w:p w14:paraId="2D464854">
      <w:pPr>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bCs w:val="0"/>
          <w:snapToGrid w:val="0"/>
          <w:color w:val="auto"/>
          <w:kern w:val="0"/>
          <w:sz w:val="28"/>
          <w:szCs w:val="28"/>
          <w:highlight w:val="none"/>
        </w:rPr>
        <w:t>①</w:t>
      </w:r>
      <w:r>
        <w:rPr>
          <w:rFonts w:hint="eastAsia" w:asciiTheme="minorEastAsia" w:hAnsiTheme="minorEastAsia" w:eastAsiaTheme="minorEastAsia" w:cstheme="minorEastAsia"/>
          <w:snapToGrid w:val="0"/>
          <w:color w:val="auto"/>
          <w:kern w:val="0"/>
          <w:sz w:val="28"/>
          <w:szCs w:val="28"/>
          <w:highlight w:val="none"/>
        </w:rPr>
        <w:t>文字内容，包括土壤调查与评价、方案设计、存储区选择、工程量测算、资金估算、实施计划等内容；</w:t>
      </w:r>
    </w:p>
    <w:p w14:paraId="01E842D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rPr>
        <w:t>②附图，包括剖面图、土地利用现状图、规划图、运输线路图、卫星影像图等</w:t>
      </w:r>
      <w:r>
        <w:rPr>
          <w:rFonts w:hint="eastAsia" w:asciiTheme="minorEastAsia" w:hAnsiTheme="minorEastAsia" w:eastAsiaTheme="minorEastAsia" w:cstheme="minorEastAsia"/>
          <w:snapToGrid w:val="0"/>
          <w:color w:val="auto"/>
          <w:kern w:val="0"/>
          <w:sz w:val="28"/>
          <w:szCs w:val="28"/>
          <w:highlight w:val="none"/>
          <w:lang w:eastAsia="zh-CN"/>
        </w:rPr>
        <w:t>。</w:t>
      </w:r>
    </w:p>
    <w:p w14:paraId="23C59E8D">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u w:val="none"/>
          <w:lang w:eastAsia="zh-CN"/>
        </w:rPr>
        <w:t>（</w:t>
      </w:r>
      <w:r>
        <w:rPr>
          <w:rFonts w:hint="eastAsia" w:asciiTheme="minorEastAsia" w:hAnsiTheme="minorEastAsia" w:eastAsiaTheme="minorEastAsia" w:cstheme="minorEastAsia"/>
          <w:b/>
          <w:bCs/>
          <w:snapToGrid w:val="0"/>
          <w:color w:val="auto"/>
          <w:kern w:val="0"/>
          <w:sz w:val="28"/>
          <w:szCs w:val="28"/>
          <w:highlight w:val="none"/>
          <w:u w:val="none"/>
          <w:lang w:eastAsia="zh-CN"/>
        </w:rPr>
        <w:t>十九</w:t>
      </w:r>
      <w:r>
        <w:rPr>
          <w:rFonts w:hint="eastAsia" w:asciiTheme="minorEastAsia" w:hAnsiTheme="minorEastAsia" w:eastAsiaTheme="minorEastAsia" w:cstheme="minorEastAsia"/>
          <w:b/>
          <w:bCs/>
          <w:snapToGrid w:val="0"/>
          <w:color w:val="auto"/>
          <w:kern w:val="0"/>
          <w:sz w:val="28"/>
          <w:szCs w:val="28"/>
          <w:highlight w:val="none"/>
          <w:u w:val="none"/>
          <w:lang w:eastAsia="zh-CN"/>
        </w:rPr>
        <w:t>）征地拆迁和管线迁改前期摸查报告编制</w:t>
      </w:r>
    </w:p>
    <w:p w14:paraId="402D0F7B">
      <w:pPr>
        <w:pStyle w:val="15"/>
        <w:keepNext w:val="0"/>
        <w:keepLines w:val="0"/>
        <w:pageBreakBefore w:val="0"/>
        <w:widowControl w:val="0"/>
        <w:kinsoku/>
        <w:wordWrap/>
        <w:overflowPunct/>
        <w:topLinePunct w:val="0"/>
        <w:autoSpaceDE/>
        <w:autoSpaceDN/>
        <w:bidi w:val="0"/>
        <w:adjustRightInd w:val="0"/>
        <w:snapToGrid w:val="0"/>
        <w:spacing w:line="360" w:lineRule="auto"/>
        <w:ind w:firstLine="660" w:firstLineChars="236"/>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lang w:eastAsia="zh-CN"/>
        </w:rPr>
        <w:t>但不限于</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1）初步确定拟征收的土地、建(构)筑物性质及数量；2）对各类管线进行摸查，初步确定管线权属单位及数量并制定管线迁改初步方案；3）编制征收补偿和管线迁改估算；4）对下阶段设计提出设计优化建议(如桥梁墩位布置等)及征拆重点难点问题分析；5）编制征收摸查报告，报告包括项目基本情况、编制依据、被征收土地及建(构)筑物列表说明并附图、现状管线的沿布图及拟迁改管线的初步补偿方案并附图、现场勘查及测绘资料、重点难点分析、优化建议和征收估算等内容</w:t>
      </w:r>
      <w:r>
        <w:rPr>
          <w:rFonts w:hint="eastAsia" w:asciiTheme="minorEastAsia" w:hAnsiTheme="minorEastAsia" w:eastAsiaTheme="minorEastAsia" w:cstheme="minorEastAsia"/>
          <w:snapToGrid w:val="0"/>
          <w:color w:val="auto"/>
          <w:kern w:val="0"/>
          <w:sz w:val="28"/>
          <w:szCs w:val="28"/>
          <w:highlight w:val="none"/>
        </w:rPr>
        <w:t>。</w:t>
      </w:r>
    </w:p>
    <w:p w14:paraId="44FFBA59">
      <w:pPr>
        <w:pStyle w:val="15"/>
        <w:keepNext w:val="0"/>
        <w:keepLines w:val="0"/>
        <w:pageBreakBefore w:val="0"/>
        <w:widowControl w:val="0"/>
        <w:kinsoku/>
        <w:wordWrap/>
        <w:overflowPunct/>
        <w:topLinePunct w:val="0"/>
        <w:autoSpaceDE/>
        <w:autoSpaceDN/>
        <w:bidi w:val="0"/>
        <w:adjustRightInd w:val="0"/>
        <w:snapToGrid w:val="0"/>
        <w:spacing w:line="360" w:lineRule="auto"/>
        <w:ind w:firstLine="660" w:firstLineChars="236"/>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办理期限</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lang w:val="en-US" w:eastAsia="zh-CN"/>
        </w:rPr>
        <w:t>根据项目的实际情况协商决定</w:t>
      </w:r>
      <w:r>
        <w:rPr>
          <w:rFonts w:hint="eastAsia" w:asciiTheme="minorEastAsia" w:hAnsiTheme="minorEastAsia" w:eastAsiaTheme="minorEastAsia" w:cstheme="minorEastAsia"/>
          <w:snapToGrid w:val="0"/>
          <w:color w:val="auto"/>
          <w:kern w:val="0"/>
          <w:sz w:val="28"/>
          <w:szCs w:val="28"/>
          <w:highlight w:val="none"/>
        </w:rPr>
        <w:t>。</w:t>
      </w:r>
    </w:p>
    <w:p w14:paraId="25A334D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参考</w:t>
      </w:r>
      <w:r>
        <w:rPr>
          <w:rFonts w:hint="eastAsia" w:asciiTheme="minorEastAsia" w:hAnsiTheme="minorEastAsia" w:eastAsiaTheme="minorEastAsia" w:cstheme="minorEastAsia"/>
          <w:b w:val="0"/>
          <w:bCs w:val="0"/>
          <w:snapToGrid w:val="0"/>
          <w:color w:val="auto"/>
          <w:kern w:val="0"/>
          <w:sz w:val="28"/>
          <w:szCs w:val="28"/>
          <w:highlight w:val="none"/>
          <w:lang w:eastAsia="zh-CN"/>
        </w:rPr>
        <w:t>《广州市住房和城乡建设委员会关于印发城建项目征收前期摸排工作实施方案的通知》(编号穗建前期</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lang w:val="en-US" w:eastAsia="zh-CN"/>
        </w:rPr>
        <w:t>2017</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b w:val="0"/>
          <w:bCs w:val="0"/>
          <w:snapToGrid w:val="0"/>
          <w:color w:val="auto"/>
          <w:kern w:val="0"/>
          <w:sz w:val="28"/>
          <w:szCs w:val="28"/>
          <w:highlight w:val="none"/>
          <w:lang w:eastAsia="zh-CN"/>
        </w:rPr>
        <w:t>1608号）计费标准，</w:t>
      </w:r>
      <w:r>
        <w:rPr>
          <w:rFonts w:hint="eastAsia" w:asciiTheme="minorEastAsia" w:hAnsiTheme="minorEastAsia" w:eastAsiaTheme="minorEastAsia" w:cstheme="minorEastAsia"/>
          <w:snapToGrid w:val="0"/>
          <w:color w:val="auto"/>
          <w:kern w:val="0"/>
          <w:sz w:val="28"/>
          <w:szCs w:val="28"/>
          <w:highlight w:val="none"/>
        </w:rPr>
        <w:t>并结合中标下浮率计取</w:t>
      </w:r>
      <w:r>
        <w:rPr>
          <w:rFonts w:hint="eastAsia" w:asciiTheme="minorEastAsia" w:hAnsiTheme="minorEastAsia" w:eastAsiaTheme="minorEastAsia" w:cstheme="minorEastAsia"/>
          <w:snapToGrid w:val="0"/>
          <w:color w:val="auto"/>
          <w:kern w:val="0"/>
          <w:sz w:val="28"/>
          <w:szCs w:val="28"/>
          <w:highlight w:val="none"/>
          <w:lang w:eastAsia="zh-CN"/>
        </w:rPr>
        <w:t>。</w:t>
      </w:r>
    </w:p>
    <w:p w14:paraId="463716ED">
      <w:pPr>
        <w:pStyle w:val="15"/>
        <w:adjustRightInd/>
        <w:snapToGrid/>
        <w:spacing w:line="360" w:lineRule="auto"/>
        <w:ind w:firstLine="660" w:firstLineChars="236"/>
        <w:rPr>
          <w:rFonts w:hint="eastAsia" w:asciiTheme="minorEastAsia" w:hAnsiTheme="minorEastAsia" w:eastAsiaTheme="minorEastAsia" w:cstheme="minorEastAsia"/>
          <w:b w:val="0"/>
          <w:strike w:val="0"/>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b w:val="0"/>
          <w:bCs w:val="0"/>
          <w:strike w:val="0"/>
          <w:snapToGrid w:val="0"/>
          <w:color w:val="auto"/>
          <w:kern w:val="0"/>
          <w:sz w:val="28"/>
          <w:szCs w:val="28"/>
          <w:highlight w:val="none"/>
        </w:rPr>
        <w:t>成果要求</w:t>
      </w:r>
      <w:r>
        <w:rPr>
          <w:rFonts w:hint="eastAsia" w:asciiTheme="minorEastAsia" w:hAnsiTheme="minorEastAsia" w:eastAsiaTheme="minorEastAsia" w:cstheme="minorEastAsia"/>
          <w:b w:val="0"/>
          <w:bCs w:val="0"/>
          <w:strike w:val="0"/>
          <w:snapToGrid w:val="0"/>
          <w:color w:val="auto"/>
          <w:kern w:val="0"/>
          <w:sz w:val="28"/>
          <w:szCs w:val="28"/>
          <w:highlight w:val="none"/>
          <w:lang w:eastAsia="zh-CN"/>
        </w:rPr>
        <w:t>：</w:t>
      </w:r>
    </w:p>
    <w:p w14:paraId="27B4CF33">
      <w:pPr>
        <w:pStyle w:val="15"/>
        <w:keepNext w:val="0"/>
        <w:keepLines w:val="0"/>
        <w:pageBreakBefore w:val="0"/>
        <w:widowControl w:val="0"/>
        <w:kinsoku/>
        <w:wordWrap/>
        <w:overflowPunct/>
        <w:topLinePunct w:val="0"/>
        <w:autoSpaceDE/>
        <w:autoSpaceDN/>
        <w:bidi w:val="0"/>
        <w:adjustRightInd/>
        <w:snapToGrid/>
        <w:spacing w:line="360" w:lineRule="auto"/>
        <w:ind w:firstLine="660" w:firstLineChars="236"/>
        <w:jc w:val="both"/>
        <w:textAlignment w:val="auto"/>
        <w:rPr>
          <w:rFonts w:hint="default" w:asciiTheme="minorEastAsia" w:hAnsiTheme="minorEastAsia" w:eastAsiaTheme="minorEastAsia" w:cstheme="minorEastAsia"/>
          <w:b/>
          <w:bCs/>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u w:val="none"/>
        </w:rPr>
        <w:t>根据项目的委托事项出具满足审批要求的成果资料</w:t>
      </w:r>
      <w:r>
        <w:rPr>
          <w:rFonts w:hint="eastAsia" w:asciiTheme="minorEastAsia" w:hAnsiTheme="minorEastAsia" w:eastAsiaTheme="minorEastAsia" w:cstheme="minorEastAsia"/>
          <w:strike w:val="0"/>
          <w:snapToGrid w:val="0"/>
          <w:color w:val="auto"/>
          <w:kern w:val="0"/>
          <w:sz w:val="28"/>
          <w:szCs w:val="28"/>
          <w:highlight w:val="none"/>
        </w:rPr>
        <w:t>。</w:t>
      </w:r>
    </w:p>
    <w:p w14:paraId="5CDA9DF2">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lang w:eastAsia="zh-CN"/>
        </w:rPr>
      </w:pPr>
      <w:bookmarkStart w:id="47" w:name="_Toc25428"/>
      <w:bookmarkStart w:id="48" w:name="_Toc81930162"/>
      <w:bookmarkStart w:id="49" w:name="_Toc32394"/>
      <w:bookmarkStart w:id="50" w:name="_Toc4387"/>
      <w:bookmarkStart w:id="51" w:name="_Toc22887"/>
      <w:bookmarkStart w:id="52" w:name="_Toc20717"/>
      <w:bookmarkStart w:id="53" w:name="_Toc112071509"/>
      <w:bookmarkStart w:id="54" w:name="_Toc28400"/>
      <w:bookmarkStart w:id="55" w:name="_Toc1592"/>
      <w:bookmarkStart w:id="56" w:name="_Toc7710"/>
      <w:bookmarkStart w:id="57" w:name="_Toc23887"/>
      <w:bookmarkStart w:id="58" w:name="_Toc26487"/>
      <w:bookmarkStart w:id="59" w:name="_Toc6298"/>
      <w:bookmarkStart w:id="60" w:name="_Toc9013"/>
      <w:bookmarkStart w:id="61" w:name="_Toc10165"/>
      <w:bookmarkStart w:id="62" w:name="_Toc8632"/>
      <w:r>
        <w:rPr>
          <w:rFonts w:hint="eastAsia" w:asciiTheme="minorEastAsia" w:hAnsiTheme="minorEastAsia" w:eastAsiaTheme="minorEastAsia" w:cstheme="minorEastAsia"/>
          <w:b/>
          <w:bCs/>
          <w:snapToGrid w:val="0"/>
          <w:color w:val="auto"/>
          <w:kern w:val="0"/>
          <w:sz w:val="28"/>
          <w:szCs w:val="28"/>
          <w:highlight w:val="none"/>
        </w:rPr>
        <w:t>第二条 适用标准</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92118CE">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lang w:val="zh-CN"/>
        </w:rPr>
      </w:pPr>
      <w:r>
        <w:rPr>
          <w:rStyle w:val="32"/>
          <w:rFonts w:hint="eastAsia" w:asciiTheme="minorEastAsia" w:hAnsiTheme="minorEastAsia" w:eastAsiaTheme="minorEastAsia" w:cstheme="minorEastAsia"/>
          <w:b/>
          <w:bCs/>
          <w:snapToGrid w:val="0"/>
          <w:color w:val="auto"/>
          <w:kern w:val="0"/>
          <w:sz w:val="28"/>
          <w:szCs w:val="28"/>
          <w:highlight w:val="none"/>
          <w:lang w:val="zh-CN"/>
        </w:rPr>
        <w:t>本合同所列技术标准如遇国家或地方新颁布的强制性标准，应按最新标准执行；推荐性标准优先采用最新版本</w:t>
      </w:r>
      <w:r>
        <w:rPr>
          <w:rFonts w:hint="eastAsia" w:asciiTheme="minorEastAsia" w:hAnsiTheme="minorEastAsia" w:eastAsiaTheme="minorEastAsia" w:cstheme="minorEastAsia"/>
          <w:snapToGrid w:val="0"/>
          <w:color w:val="auto"/>
          <w:kern w:val="0"/>
          <w:sz w:val="28"/>
          <w:szCs w:val="28"/>
          <w:highlight w:val="none"/>
          <w:lang w:val="zh-CN"/>
        </w:rPr>
        <w:t>，</w:t>
      </w:r>
      <w:r>
        <w:rPr>
          <w:rStyle w:val="32"/>
          <w:rFonts w:hint="eastAsia" w:asciiTheme="minorEastAsia" w:hAnsiTheme="minorEastAsia" w:eastAsiaTheme="minorEastAsia" w:cstheme="minorEastAsia"/>
          <w:b/>
          <w:bCs/>
          <w:snapToGrid w:val="0"/>
          <w:color w:val="auto"/>
          <w:kern w:val="0"/>
          <w:sz w:val="28"/>
          <w:szCs w:val="28"/>
          <w:highlight w:val="none"/>
          <w:lang w:val="zh-CN"/>
        </w:rPr>
        <w:t>所发生的费用已包含在本合同约定的费用内。承包人未及时采用新标准导致成果不合格的，视为违约。</w:t>
      </w:r>
    </w:p>
    <w:p w14:paraId="1FC73247">
      <w:pPr>
        <w:adjustRightInd w:val="0"/>
        <w:snapToGrid w:val="0"/>
        <w:spacing w:line="500" w:lineRule="exact"/>
        <w:ind w:firstLine="560" w:firstLineChars="200"/>
        <w:rPr>
          <w:rFonts w:hint="eastAsia" w:asciiTheme="minorEastAsia" w:hAnsiTheme="minorEastAsia" w:eastAsiaTheme="minorEastAsia" w:cstheme="minorEastAsia"/>
          <w:b w:val="0"/>
          <w:bCs w:val="0"/>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1</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w:t>
      </w:r>
      <w:r>
        <w:rPr>
          <w:rFonts w:hint="eastAsia" w:asciiTheme="minorEastAsia" w:hAnsiTheme="minorEastAsia" w:eastAsiaTheme="minorEastAsia" w:cstheme="minorEastAsia"/>
          <w:b w:val="0"/>
          <w:bCs w:val="0"/>
          <w:snapToGrid w:val="0"/>
          <w:color w:val="auto"/>
          <w:kern w:val="0"/>
          <w:sz w:val="28"/>
          <w:szCs w:val="28"/>
          <w:highlight w:val="none"/>
        </w:rPr>
        <w:t>《城市测量规范》 CJJ/T 8；</w:t>
      </w:r>
    </w:p>
    <w:p w14:paraId="5C9AA664">
      <w:pPr>
        <w:adjustRightInd w:val="0"/>
        <w:snapToGrid w:val="0"/>
        <w:spacing w:line="500" w:lineRule="exact"/>
        <w:ind w:firstLine="560" w:firstLineChars="200"/>
        <w:rPr>
          <w:rFonts w:hint="eastAsia" w:asciiTheme="minorEastAsia" w:hAnsiTheme="minorEastAsia" w:eastAsiaTheme="minorEastAsia" w:cstheme="minorEastAsia"/>
          <w:b w:val="0"/>
          <w:bCs w:val="0"/>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2</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w:t>
      </w:r>
      <w:r>
        <w:rPr>
          <w:rFonts w:hint="eastAsia" w:asciiTheme="minorEastAsia" w:hAnsiTheme="minorEastAsia" w:eastAsiaTheme="minorEastAsia" w:cstheme="minorEastAsia"/>
          <w:b w:val="0"/>
          <w:bCs w:val="0"/>
          <w:snapToGrid w:val="0"/>
          <w:color w:val="auto"/>
          <w:kern w:val="0"/>
          <w:sz w:val="28"/>
          <w:szCs w:val="28"/>
          <w:highlight w:val="none"/>
        </w:rPr>
        <w:t>《卫星定位城市测量技术标准》 CJJ/T73；</w:t>
      </w:r>
    </w:p>
    <w:p w14:paraId="5F4DA0E3">
      <w:pPr>
        <w:adjustRightInd w:val="0"/>
        <w:snapToGrid w:val="0"/>
        <w:spacing w:line="500" w:lineRule="exact"/>
        <w:ind w:firstLine="560" w:firstLineChars="200"/>
        <w:rPr>
          <w:rFonts w:hint="eastAsia" w:asciiTheme="minorEastAsia" w:hAnsiTheme="minorEastAsia" w:eastAsiaTheme="minorEastAsia" w:cstheme="minorEastAsia"/>
          <w:b w:val="0"/>
          <w:bCs w:val="0"/>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3</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w:t>
      </w:r>
      <w:r>
        <w:rPr>
          <w:rFonts w:hint="eastAsia" w:asciiTheme="minorEastAsia" w:hAnsiTheme="minorEastAsia" w:eastAsiaTheme="minorEastAsia" w:cstheme="minorEastAsia"/>
          <w:b w:val="0"/>
          <w:bCs w:val="0"/>
          <w:snapToGrid w:val="0"/>
          <w:color w:val="auto"/>
          <w:kern w:val="0"/>
          <w:sz w:val="28"/>
          <w:szCs w:val="28"/>
          <w:highlight w:val="none"/>
        </w:rPr>
        <w:t>《建筑工程建筑面积计算规范》 GB/T 50353；</w:t>
      </w:r>
    </w:p>
    <w:p w14:paraId="2EB5313A">
      <w:pPr>
        <w:adjustRightInd w:val="0"/>
        <w:snapToGrid w:val="0"/>
        <w:spacing w:line="500" w:lineRule="exact"/>
        <w:ind w:firstLine="560" w:firstLineChars="200"/>
        <w:rPr>
          <w:rFonts w:hint="eastAsia" w:asciiTheme="minorEastAsia" w:hAnsiTheme="minorEastAsia" w:eastAsiaTheme="minorEastAsia" w:cstheme="minorEastAsia"/>
          <w:b w:val="0"/>
          <w:bCs w:val="0"/>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4</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w:t>
      </w:r>
      <w:r>
        <w:rPr>
          <w:rFonts w:hint="eastAsia" w:asciiTheme="minorEastAsia" w:hAnsiTheme="minorEastAsia" w:eastAsiaTheme="minorEastAsia" w:cstheme="minorEastAsia"/>
          <w:b w:val="0"/>
          <w:bCs w:val="0"/>
          <w:snapToGrid w:val="0"/>
          <w:color w:val="auto"/>
          <w:kern w:val="0"/>
          <w:sz w:val="28"/>
          <w:szCs w:val="28"/>
          <w:highlight w:val="none"/>
        </w:rPr>
        <w:t>《房产测量规范》 GB/T 17986.1；</w:t>
      </w:r>
    </w:p>
    <w:p w14:paraId="187596F8">
      <w:pPr>
        <w:adjustRightInd w:val="0"/>
        <w:snapToGrid w:val="0"/>
        <w:spacing w:line="500" w:lineRule="exact"/>
        <w:ind w:firstLine="560" w:firstLineChars="200"/>
        <w:rPr>
          <w:rFonts w:hint="eastAsia" w:asciiTheme="minorEastAsia" w:hAnsiTheme="minorEastAsia" w:eastAsiaTheme="minorEastAsia" w:cstheme="minorEastAsia"/>
          <w:b w:val="0"/>
          <w:bCs w:val="0"/>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5</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w:t>
      </w:r>
      <w:r>
        <w:rPr>
          <w:rFonts w:hint="eastAsia" w:asciiTheme="minorEastAsia" w:hAnsiTheme="minorEastAsia" w:eastAsiaTheme="minorEastAsia" w:cstheme="minorEastAsia"/>
          <w:b w:val="0"/>
          <w:bCs w:val="0"/>
          <w:snapToGrid w:val="0"/>
          <w:color w:val="auto"/>
          <w:kern w:val="0"/>
          <w:sz w:val="28"/>
          <w:szCs w:val="28"/>
          <w:highlight w:val="none"/>
        </w:rPr>
        <w:t>《数字地图测绘技术规程》 DB4401/T 31；</w:t>
      </w:r>
    </w:p>
    <w:p w14:paraId="0A089D36">
      <w:pPr>
        <w:adjustRightInd w:val="0"/>
        <w:snapToGrid w:val="0"/>
        <w:spacing w:line="500" w:lineRule="exact"/>
        <w:ind w:firstLine="560" w:firstLineChars="200"/>
        <w:rPr>
          <w:rFonts w:hint="eastAsia" w:asciiTheme="minorEastAsia" w:hAnsiTheme="minorEastAsia" w:eastAsiaTheme="minorEastAsia" w:cstheme="minorEastAsia"/>
          <w:b w:val="0"/>
          <w:bCs w:val="0"/>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6</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w:t>
      </w:r>
      <w:r>
        <w:rPr>
          <w:rFonts w:hint="eastAsia" w:asciiTheme="minorEastAsia" w:hAnsiTheme="minorEastAsia" w:eastAsiaTheme="minorEastAsia" w:cstheme="minorEastAsia"/>
          <w:b w:val="0"/>
          <w:bCs w:val="0"/>
          <w:snapToGrid w:val="0"/>
          <w:color w:val="auto"/>
          <w:kern w:val="0"/>
          <w:sz w:val="28"/>
          <w:szCs w:val="28"/>
          <w:highlight w:val="none"/>
        </w:rPr>
        <w:t>《地下空间测绘技术规程》DB4401/T 32；</w:t>
      </w:r>
    </w:p>
    <w:p w14:paraId="25BABB36">
      <w:pPr>
        <w:adjustRightInd w:val="0"/>
        <w:snapToGrid w:val="0"/>
        <w:spacing w:line="500" w:lineRule="exact"/>
        <w:ind w:left="0" w:leftChars="0" w:firstLine="560" w:firstLineChars="200"/>
        <w:rPr>
          <w:rFonts w:hint="eastAsia" w:asciiTheme="minorEastAsia" w:hAnsiTheme="minorEastAsia" w:eastAsiaTheme="minorEastAsia" w:cstheme="minorEastAsia"/>
          <w:b w:val="0"/>
          <w:bCs w:val="0"/>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7</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w:t>
      </w:r>
      <w:r>
        <w:rPr>
          <w:rFonts w:hint="eastAsia" w:asciiTheme="minorEastAsia" w:hAnsiTheme="minorEastAsia" w:eastAsiaTheme="minorEastAsia" w:cstheme="minorEastAsia"/>
          <w:b w:val="0"/>
          <w:bCs w:val="0"/>
          <w:snapToGrid w:val="0"/>
          <w:color w:val="auto"/>
          <w:kern w:val="0"/>
          <w:sz w:val="28"/>
          <w:szCs w:val="28"/>
          <w:highlight w:val="none"/>
        </w:rPr>
        <w:t>《广州市城乡规划技术规定》 广州市人民政府令第133号、第158号、第168号；</w:t>
      </w:r>
    </w:p>
    <w:p w14:paraId="55CD54CF">
      <w:pPr>
        <w:adjustRightInd w:val="0"/>
        <w:snapToGrid w:val="0"/>
        <w:spacing w:line="500" w:lineRule="exact"/>
        <w:ind w:firstLine="560" w:firstLineChars="200"/>
        <w:rPr>
          <w:rFonts w:hint="eastAsia" w:asciiTheme="minorEastAsia" w:hAnsiTheme="minorEastAsia" w:eastAsiaTheme="minorEastAsia" w:cstheme="minorEastAsia"/>
          <w:b w:val="0"/>
          <w:bCs w:val="0"/>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8</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w:t>
      </w:r>
      <w:r>
        <w:rPr>
          <w:rFonts w:hint="eastAsia" w:asciiTheme="minorEastAsia" w:hAnsiTheme="minorEastAsia" w:eastAsiaTheme="minorEastAsia" w:cstheme="minorEastAsia"/>
          <w:b w:val="0"/>
          <w:bCs w:val="0"/>
          <w:snapToGrid w:val="0"/>
          <w:color w:val="auto"/>
          <w:kern w:val="0"/>
          <w:sz w:val="28"/>
          <w:szCs w:val="28"/>
          <w:highlight w:val="none"/>
        </w:rPr>
        <w:t>《1:500 1:1000 1:2000地形图图式》 DB4401/T 166；</w:t>
      </w:r>
    </w:p>
    <w:p w14:paraId="2E7F0649">
      <w:pPr>
        <w:adjustRightInd w:val="0"/>
        <w:snapToGrid w:val="0"/>
        <w:spacing w:line="500" w:lineRule="exact"/>
        <w:ind w:firstLine="560" w:firstLineChars="200"/>
        <w:rPr>
          <w:rFonts w:hint="eastAsia" w:asciiTheme="minorEastAsia" w:hAnsiTheme="minorEastAsia" w:eastAsiaTheme="minorEastAsia" w:cstheme="minorEastAsia"/>
          <w:b w:val="0"/>
          <w:bCs w:val="0"/>
          <w:snapToGrid w:val="0"/>
          <w:color w:val="auto"/>
          <w:kern w:val="0"/>
          <w:sz w:val="28"/>
          <w:szCs w:val="28"/>
          <w:highlight w:val="none"/>
          <w:lang w:val="en-US"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9</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《建设工程联合测绘技术规程》DB4401/T 101-2020</w:t>
      </w:r>
      <w:r>
        <w:rPr>
          <w:rFonts w:hint="eastAsia" w:asciiTheme="minorEastAsia" w:hAnsiTheme="minorEastAsia" w:eastAsiaTheme="minorEastAsia" w:cstheme="minorEastAsia"/>
          <w:b w:val="0"/>
          <w:bCs w:val="0"/>
          <w:snapToGrid w:val="0"/>
          <w:color w:val="auto"/>
          <w:kern w:val="0"/>
          <w:sz w:val="28"/>
          <w:szCs w:val="28"/>
          <w:highlight w:val="none"/>
        </w:rPr>
        <w:t>；</w:t>
      </w:r>
    </w:p>
    <w:p w14:paraId="65E405A4">
      <w:pPr>
        <w:adjustRightInd w:val="0"/>
        <w:snapToGrid w:val="0"/>
        <w:spacing w:line="500" w:lineRule="exact"/>
        <w:ind w:left="0" w:leftChars="0"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10</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《广州市规划管理容积率指标计算办法》（穗国土规划规字〔2018〕9号）</w:t>
      </w:r>
      <w:r>
        <w:rPr>
          <w:rFonts w:hint="eastAsia" w:asciiTheme="minorEastAsia" w:hAnsiTheme="minorEastAsia" w:eastAsiaTheme="minorEastAsia" w:cstheme="minorEastAsia"/>
          <w:b w:val="0"/>
          <w:bCs w:val="0"/>
          <w:snapToGrid w:val="0"/>
          <w:color w:val="auto"/>
          <w:kern w:val="0"/>
          <w:sz w:val="28"/>
          <w:szCs w:val="28"/>
          <w:highlight w:val="none"/>
        </w:rPr>
        <w:t>；</w:t>
      </w:r>
    </w:p>
    <w:p w14:paraId="25167657">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b w:val="0"/>
          <w:bCs w:val="0"/>
          <w:snapToGrid w:val="0"/>
          <w:color w:val="auto"/>
          <w:kern w:val="0"/>
          <w:sz w:val="28"/>
          <w:szCs w:val="28"/>
          <w:highlight w:val="none"/>
          <w:lang w:val="en-US" w:eastAsia="zh-CN"/>
        </w:rPr>
        <w:t>11</w:t>
      </w:r>
      <w:r>
        <w:rPr>
          <w:rFonts w:hint="eastAsia" w:asciiTheme="minorEastAsia" w:hAnsiTheme="minorEastAsia" w:eastAsiaTheme="minorEastAsia" w:cstheme="minorEastAsia"/>
          <w:b w:val="0"/>
          <w:bCs w:val="0"/>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rPr>
        <w:t>《中华人民共和国城乡规划法》</w:t>
      </w:r>
      <w:r>
        <w:rPr>
          <w:rFonts w:hint="eastAsia" w:asciiTheme="minorEastAsia" w:hAnsiTheme="minorEastAsia" w:eastAsiaTheme="minorEastAsia" w:cstheme="minorEastAsia"/>
          <w:b w:val="0"/>
          <w:bCs w:val="0"/>
          <w:snapToGrid w:val="0"/>
          <w:color w:val="auto"/>
          <w:kern w:val="0"/>
          <w:sz w:val="28"/>
          <w:szCs w:val="28"/>
          <w:highlight w:val="none"/>
        </w:rPr>
        <w:t>；</w:t>
      </w:r>
    </w:p>
    <w:p w14:paraId="60168E1F">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12</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rPr>
        <w:t>《广东省城市控制性详细规划管理条例》</w:t>
      </w:r>
      <w:r>
        <w:rPr>
          <w:rFonts w:hint="eastAsia" w:asciiTheme="minorEastAsia" w:hAnsiTheme="minorEastAsia" w:eastAsiaTheme="minorEastAsia" w:cstheme="minorEastAsia"/>
          <w:b w:val="0"/>
          <w:bCs w:val="0"/>
          <w:snapToGrid w:val="0"/>
          <w:color w:val="auto"/>
          <w:kern w:val="0"/>
          <w:sz w:val="28"/>
          <w:szCs w:val="28"/>
          <w:highlight w:val="none"/>
        </w:rPr>
        <w:t>；</w:t>
      </w:r>
    </w:p>
    <w:p w14:paraId="3CEA04D1">
      <w:pPr>
        <w:adjustRightInd w:val="0"/>
        <w:snapToGrid w:val="0"/>
        <w:spacing w:line="500" w:lineRule="exact"/>
        <w:ind w:firstLine="560" w:firstLineChars="200"/>
        <w:rPr>
          <w:rFonts w:hint="eastAsia" w:asciiTheme="minorEastAsia" w:hAnsiTheme="minorEastAsia" w:eastAsiaTheme="minorEastAsia" w:cstheme="minorEastAsia"/>
          <w:bCs w:val="0"/>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13</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rPr>
        <w:t>《土地利用现状分类》 GB/T 21010</w:t>
      </w:r>
      <w:r>
        <w:rPr>
          <w:rFonts w:hint="eastAsia" w:asciiTheme="minorEastAsia" w:hAnsiTheme="minorEastAsia" w:eastAsiaTheme="minorEastAsia" w:cstheme="minorEastAsia"/>
          <w:b w:val="0"/>
          <w:bCs w:val="0"/>
          <w:snapToGrid w:val="0"/>
          <w:color w:val="auto"/>
          <w:kern w:val="0"/>
          <w:sz w:val="28"/>
          <w:szCs w:val="28"/>
          <w:highlight w:val="none"/>
        </w:rPr>
        <w:t>；</w:t>
      </w:r>
    </w:p>
    <w:p w14:paraId="45FE5995">
      <w:pPr>
        <w:adjustRightInd w:val="0"/>
        <w:snapToGrid w:val="0"/>
        <w:spacing w:line="500" w:lineRule="exact"/>
        <w:ind w:firstLine="560" w:firstLineChars="200"/>
        <w:jc w:val="both"/>
        <w:rPr>
          <w:rFonts w:hint="eastAsia" w:asciiTheme="minorEastAsia" w:hAnsiTheme="minorEastAsia" w:eastAsiaTheme="minorEastAsia" w:cstheme="minorEastAsia"/>
          <w:bCs w:val="0"/>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14</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bCs w:val="0"/>
          <w:snapToGrid w:val="0"/>
          <w:color w:val="auto"/>
          <w:kern w:val="0"/>
          <w:sz w:val="28"/>
          <w:szCs w:val="28"/>
          <w:highlight w:val="none"/>
        </w:rPr>
        <w:t>《地籍测绘规范》（CH5002-94）</w:t>
      </w:r>
      <w:r>
        <w:rPr>
          <w:rFonts w:hint="eastAsia" w:asciiTheme="minorEastAsia" w:hAnsiTheme="minorEastAsia" w:eastAsiaTheme="minorEastAsia" w:cstheme="minorEastAsia"/>
          <w:b w:val="0"/>
          <w:bCs w:val="0"/>
          <w:snapToGrid w:val="0"/>
          <w:color w:val="auto"/>
          <w:kern w:val="0"/>
          <w:sz w:val="28"/>
          <w:szCs w:val="28"/>
          <w:highlight w:val="none"/>
        </w:rPr>
        <w:t>；</w:t>
      </w:r>
    </w:p>
    <w:p w14:paraId="44EF7629">
      <w:pPr>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15</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bCs w:val="0"/>
          <w:snapToGrid w:val="0"/>
          <w:color w:val="auto"/>
          <w:kern w:val="0"/>
          <w:sz w:val="28"/>
          <w:szCs w:val="28"/>
          <w:highlight w:val="none"/>
        </w:rPr>
        <w:t>《地籍调查规程》 DB4401/T 2</w:t>
      </w:r>
      <w:r>
        <w:rPr>
          <w:rFonts w:hint="eastAsia" w:asciiTheme="minorEastAsia" w:hAnsiTheme="minorEastAsia" w:eastAsiaTheme="minorEastAsia" w:cstheme="minorEastAsia"/>
          <w:b w:val="0"/>
          <w:bCs w:val="0"/>
          <w:snapToGrid w:val="0"/>
          <w:color w:val="auto"/>
          <w:kern w:val="0"/>
          <w:sz w:val="28"/>
          <w:szCs w:val="28"/>
          <w:highlight w:val="none"/>
        </w:rPr>
        <w:t>；</w:t>
      </w:r>
    </w:p>
    <w:p w14:paraId="655D8375">
      <w:pPr>
        <w:keepNext w:val="0"/>
        <w:keepLines w:val="0"/>
        <w:widowControl w:val="0"/>
        <w:numPr>
          <w:ilvl w:val="-1"/>
          <w:numId w:val="0"/>
        </w:numPr>
        <w:suppressLineNumbers w:val="0"/>
        <w:adjustRightInd w:val="0"/>
        <w:snapToGrid w:val="0"/>
        <w:spacing w:before="0" w:beforeAutospacing="0" w:after="0" w:afterAutospacing="0" w:line="500" w:lineRule="exact"/>
        <w:ind w:left="0" w:firstLine="560" w:firstLineChars="200"/>
        <w:rPr>
          <w:rFonts w:hint="eastAsia" w:asciiTheme="minorEastAsia" w:hAnsiTheme="minorEastAsia" w:eastAsiaTheme="minorEastAsia" w:cstheme="minorEastAsia"/>
          <w:snapToGrid w:val="0"/>
          <w:color w:val="auto"/>
          <w:kern w:val="0"/>
          <w:sz w:val="28"/>
          <w:szCs w:val="28"/>
          <w:highlight w:val="none"/>
          <w:lang w:eastAsia="zh-CN"/>
        </w:rPr>
      </w:pPr>
    </w:p>
    <w:p w14:paraId="2599C78C">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第三条 服务期限及委托形式</w:t>
      </w:r>
    </w:p>
    <w:p w14:paraId="74A352C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（一）服务期限：本合同履行过程中满足以下之一，即停止后续的委托业务：</w:t>
      </w:r>
    </w:p>
    <w:p w14:paraId="725055AD">
      <w:pPr>
        <w:keepNext w:val="0"/>
        <w:keepLines w:val="0"/>
        <w:pageBreakBefore w:val="0"/>
        <w:widowControl w:val="0"/>
        <w:kinsoku/>
        <w:wordWrap/>
        <w:overflowPunct/>
        <w:topLinePunct w:val="0"/>
        <w:autoSpaceDE/>
        <w:autoSpaceDN/>
        <w:bidi w:val="0"/>
        <w:adjustRightInd w:val="0"/>
        <w:snapToGrid w:val="0"/>
        <w:spacing w:line="500" w:lineRule="exact"/>
        <w:ind w:left="279" w:leftChars="133" w:firstLine="280" w:firstLineChars="1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1</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rPr>
        <w:t>自中标通知书发出之日起算满两年止（</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年</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月</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日至</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年</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月</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日）。</w:t>
      </w:r>
    </w:p>
    <w:p w14:paraId="213183F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2</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rPr>
        <w:t>按本合同所涉及的全部单个委托项目的金额累计达到或接近合同暂定总额。</w:t>
      </w:r>
    </w:p>
    <w:p w14:paraId="05C3C71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（二）</w:t>
      </w:r>
      <w:r>
        <w:rPr>
          <w:rFonts w:hint="eastAsia" w:asciiTheme="minorEastAsia" w:hAnsiTheme="minorEastAsia" w:eastAsiaTheme="minorEastAsia" w:cstheme="minorEastAsia"/>
          <w:snapToGrid w:val="0"/>
          <w:color w:val="auto"/>
          <w:kern w:val="0"/>
          <w:sz w:val="28"/>
          <w:szCs w:val="28"/>
          <w:highlight w:val="none"/>
          <w:lang w:val="zh-CN"/>
        </w:rPr>
        <w:t>在服务期满前已发出的委托，乙方均应按合同要求完成全部工作。</w:t>
      </w:r>
    </w:p>
    <w:p w14:paraId="12C5FD7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（三）</w:t>
      </w:r>
      <w:r>
        <w:rPr>
          <w:rFonts w:hint="eastAsia" w:asciiTheme="minorEastAsia" w:hAnsiTheme="minorEastAsia" w:eastAsiaTheme="minorEastAsia" w:cstheme="minorEastAsia"/>
          <w:snapToGrid w:val="0"/>
          <w:color w:val="auto"/>
          <w:kern w:val="0"/>
          <w:sz w:val="28"/>
          <w:szCs w:val="28"/>
          <w:highlight w:val="none"/>
        </w:rPr>
        <w:t>发</w:t>
      </w:r>
      <w:r>
        <w:rPr>
          <w:rFonts w:hint="eastAsia" w:asciiTheme="minorEastAsia" w:hAnsiTheme="minorEastAsia" w:eastAsiaTheme="minorEastAsia" w:cstheme="minorEastAsia"/>
          <w:snapToGrid w:val="0"/>
          <w:color w:val="auto"/>
          <w:kern w:val="0"/>
          <w:sz w:val="28"/>
          <w:szCs w:val="28"/>
          <w:highlight w:val="none"/>
          <w:lang w:val="zh-CN"/>
        </w:rPr>
        <w:t>包人根据实际需要，与承包人协商开展的工作内容和工期、技术要求，并按单个子项工程为单位以工作任务单（格式见附件）的形式委托承包人开展</w:t>
      </w:r>
      <w:r>
        <w:rPr>
          <w:rFonts w:hint="eastAsia" w:asciiTheme="minorEastAsia" w:hAnsiTheme="minorEastAsia" w:eastAsiaTheme="minorEastAsia" w:cstheme="minorEastAsia"/>
          <w:snapToGrid w:val="0"/>
          <w:color w:val="auto"/>
          <w:kern w:val="0"/>
          <w:sz w:val="28"/>
          <w:szCs w:val="28"/>
          <w:highlight w:val="none"/>
        </w:rPr>
        <w:t>技术服务</w:t>
      </w:r>
      <w:r>
        <w:rPr>
          <w:rFonts w:hint="eastAsia" w:asciiTheme="minorEastAsia" w:hAnsiTheme="minorEastAsia" w:eastAsiaTheme="minorEastAsia" w:cstheme="minorEastAsia"/>
          <w:snapToGrid w:val="0"/>
          <w:color w:val="auto"/>
          <w:kern w:val="0"/>
          <w:sz w:val="28"/>
          <w:szCs w:val="28"/>
          <w:highlight w:val="none"/>
          <w:lang w:val="zh-CN"/>
        </w:rPr>
        <w:t>工作。</w:t>
      </w:r>
      <w:r>
        <w:rPr>
          <w:rFonts w:hint="eastAsia" w:asciiTheme="minorEastAsia" w:hAnsiTheme="minorEastAsia" w:eastAsiaTheme="minorEastAsia" w:cstheme="minorEastAsia"/>
          <w:snapToGrid w:val="0"/>
          <w:color w:val="auto"/>
          <w:kern w:val="0"/>
          <w:sz w:val="28"/>
          <w:szCs w:val="28"/>
          <w:highlight w:val="none"/>
        </w:rPr>
        <w:t>承包人（联合体各方）根据工作内容分工承接相应子项工程，</w:t>
      </w:r>
      <w:r>
        <w:rPr>
          <w:rFonts w:hint="eastAsia" w:asciiTheme="minorEastAsia" w:hAnsiTheme="minorEastAsia" w:eastAsiaTheme="minorEastAsia" w:cstheme="minorEastAsia"/>
          <w:snapToGrid w:val="0"/>
          <w:color w:val="auto"/>
          <w:kern w:val="0"/>
          <w:sz w:val="28"/>
          <w:szCs w:val="28"/>
          <w:highlight w:val="none"/>
          <w:lang w:val="zh-CN"/>
        </w:rPr>
        <w:t>在收到工作任务单后必须在7日内进场工作，同时根据该次任务单拟定对应子合同稿（格式见附件）报发包人，完成</w:t>
      </w:r>
      <w:r>
        <w:rPr>
          <w:rFonts w:hint="eastAsia" w:asciiTheme="minorEastAsia" w:hAnsiTheme="minorEastAsia" w:eastAsiaTheme="minorEastAsia" w:cstheme="minorEastAsia"/>
          <w:snapToGrid w:val="0"/>
          <w:color w:val="auto"/>
          <w:kern w:val="0"/>
          <w:sz w:val="28"/>
          <w:szCs w:val="28"/>
          <w:highlight w:val="none"/>
        </w:rPr>
        <w:t>子</w:t>
      </w:r>
      <w:r>
        <w:rPr>
          <w:rFonts w:hint="eastAsia" w:asciiTheme="minorEastAsia" w:hAnsiTheme="minorEastAsia" w:eastAsiaTheme="minorEastAsia" w:cstheme="minorEastAsia"/>
          <w:snapToGrid w:val="0"/>
          <w:color w:val="auto"/>
          <w:kern w:val="0"/>
          <w:sz w:val="28"/>
          <w:szCs w:val="28"/>
          <w:highlight w:val="none"/>
          <w:lang w:val="zh-CN"/>
        </w:rPr>
        <w:t>合同签订。工作任务单作为子合同附件，具有同等法律效力。</w:t>
      </w:r>
    </w:p>
    <w:p w14:paraId="07A9B8DF">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第四条 合同价款、结算及支付方式</w:t>
      </w:r>
    </w:p>
    <w:p w14:paraId="330F420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（一）本框架合同（含税）暂定总价大写：</w:t>
      </w:r>
      <w:r>
        <w:rPr>
          <w:rFonts w:hint="eastAsia" w:asciiTheme="minorEastAsia" w:hAnsiTheme="minorEastAsia" w:eastAsiaTheme="minorEastAsia" w:cstheme="minorEastAsia"/>
          <w:snapToGrid w:val="0"/>
          <w:color w:val="auto"/>
          <w:kern w:val="0"/>
          <w:sz w:val="28"/>
          <w:szCs w:val="28"/>
          <w:highlight w:val="none"/>
          <w:u w:val="single"/>
        </w:rPr>
        <w:t xml:space="preserve">人民币 </w:t>
      </w:r>
      <w:r>
        <w:rPr>
          <w:rFonts w:hint="eastAsia" w:asciiTheme="minorEastAsia" w:hAnsiTheme="minorEastAsia" w:eastAsiaTheme="minorEastAsia" w:cstheme="minorEastAsia"/>
          <w:snapToGrid w:val="0"/>
          <w:color w:val="auto"/>
          <w:kern w:val="0"/>
          <w:sz w:val="28"/>
          <w:szCs w:val="28"/>
          <w:highlight w:val="none"/>
          <w:u w:val="single"/>
          <w:lang w:val="en-US" w:eastAsia="zh-CN"/>
        </w:rPr>
        <w:t xml:space="preserve">   ,小写：   元</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u w:val="single"/>
          <w:lang w:val="en-US" w:eastAsia="zh-CN"/>
        </w:rPr>
        <w:t xml:space="preserve">中标下浮率   </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rPr>
        <w:t>该价格包括了完成本合同范围内所有内容的费用，包括但不限于人工费、材料费、设备使用费、设备进出场费、数据处理费、交通差旅费、安全文明施工费、技术服务费、报告编写费、各项管理费、</w:t>
      </w:r>
      <w:r>
        <w:rPr>
          <w:rFonts w:hint="eastAsia" w:asciiTheme="minorEastAsia" w:hAnsiTheme="minorEastAsia" w:eastAsiaTheme="minorEastAsia" w:cstheme="minorEastAsia"/>
          <w:snapToGrid w:val="0"/>
          <w:color w:val="auto"/>
          <w:kern w:val="0"/>
          <w:sz w:val="28"/>
          <w:szCs w:val="28"/>
          <w:highlight w:val="none"/>
          <w:lang w:eastAsia="zh-CN"/>
        </w:rPr>
        <w:t>以</w:t>
      </w:r>
      <w:r>
        <w:rPr>
          <w:rFonts w:hint="eastAsia" w:asciiTheme="minorEastAsia" w:hAnsiTheme="minorEastAsia" w:eastAsiaTheme="minorEastAsia" w:cstheme="minorEastAsia"/>
          <w:snapToGrid w:val="0"/>
          <w:color w:val="auto"/>
          <w:kern w:val="0"/>
          <w:sz w:val="28"/>
          <w:szCs w:val="28"/>
          <w:highlight w:val="none"/>
        </w:rPr>
        <w:t>及所有因提供技术服务应交纳的政府规费、利润、税金、保险、风险费用等。承包人要综合考虑，未考虑报价项目视为含在</w:t>
      </w:r>
      <w:r>
        <w:rPr>
          <w:rFonts w:hint="eastAsia" w:asciiTheme="minorEastAsia" w:hAnsiTheme="minorEastAsia" w:eastAsiaTheme="minorEastAsia" w:cstheme="minorEastAsia"/>
          <w:snapToGrid w:val="0"/>
          <w:color w:val="auto"/>
          <w:kern w:val="0"/>
          <w:sz w:val="28"/>
          <w:szCs w:val="28"/>
          <w:highlight w:val="none"/>
          <w:lang w:eastAsia="zh-CN"/>
        </w:rPr>
        <w:t>其他</w:t>
      </w:r>
      <w:r>
        <w:rPr>
          <w:rFonts w:hint="eastAsia" w:asciiTheme="minorEastAsia" w:hAnsiTheme="minorEastAsia" w:eastAsiaTheme="minorEastAsia" w:cstheme="minorEastAsia"/>
          <w:snapToGrid w:val="0"/>
          <w:color w:val="auto"/>
          <w:kern w:val="0"/>
          <w:sz w:val="28"/>
          <w:szCs w:val="28"/>
          <w:highlight w:val="none"/>
        </w:rPr>
        <w:t>单价中。</w:t>
      </w:r>
    </w:p>
    <w:p w14:paraId="6FDBB51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（二）关于子合同价的确定原则</w:t>
      </w:r>
    </w:p>
    <w:p w14:paraId="02828683">
      <w:pPr>
        <w:keepNext w:val="0"/>
        <w:keepLines w:val="0"/>
        <w:pageBreakBefore w:val="0"/>
        <w:widowControl w:val="0"/>
        <w:tabs>
          <w:tab w:val="left" w:pos="4410"/>
        </w:tabs>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本框架合同签订后，根据项目实际需求，每个子项目单独签订子合同，</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根据承包人（联合体各方）的工作内容分工确定子项目的承接单位</w:t>
      </w:r>
      <w:r>
        <w:rPr>
          <w:rFonts w:hint="eastAsia" w:asciiTheme="minorEastAsia" w:hAnsiTheme="minorEastAsia" w:eastAsiaTheme="minorEastAsia" w:cstheme="minorEastAsia"/>
          <w:snapToGrid w:val="0"/>
          <w:color w:val="auto"/>
          <w:kern w:val="0"/>
          <w:sz w:val="28"/>
          <w:szCs w:val="28"/>
          <w:highlight w:val="none"/>
          <w:lang w:eastAsia="zh-CN"/>
        </w:rPr>
        <w:t>），由发包人出具工作任务单，</w:t>
      </w:r>
      <w:r>
        <w:rPr>
          <w:rFonts w:hint="eastAsia" w:asciiTheme="minorEastAsia" w:hAnsiTheme="minorEastAsia" w:eastAsiaTheme="minorEastAsia" w:cstheme="minorEastAsia"/>
          <w:snapToGrid w:val="0"/>
          <w:color w:val="auto"/>
          <w:kern w:val="0"/>
          <w:sz w:val="28"/>
          <w:szCs w:val="28"/>
          <w:highlight w:val="none"/>
        </w:rPr>
        <w:t>并</w:t>
      </w:r>
      <w:r>
        <w:rPr>
          <w:rFonts w:hint="eastAsia" w:asciiTheme="minorEastAsia" w:hAnsiTheme="minorEastAsia" w:eastAsiaTheme="minorEastAsia" w:cstheme="minorEastAsia"/>
          <w:snapToGrid w:val="0"/>
          <w:color w:val="auto"/>
          <w:kern w:val="0"/>
          <w:sz w:val="28"/>
          <w:szCs w:val="28"/>
          <w:highlight w:val="none"/>
          <w:lang w:eastAsia="zh-CN"/>
        </w:rPr>
        <w:t>与承包人</w:t>
      </w:r>
      <w:r>
        <w:rPr>
          <w:rFonts w:hint="eastAsia" w:asciiTheme="minorEastAsia" w:hAnsiTheme="minorEastAsia" w:eastAsiaTheme="minorEastAsia" w:cstheme="minorEastAsia"/>
          <w:snapToGrid w:val="0"/>
          <w:color w:val="auto"/>
          <w:kern w:val="0"/>
          <w:sz w:val="28"/>
          <w:szCs w:val="28"/>
          <w:highlight w:val="none"/>
        </w:rPr>
        <w:t>签订子合同，各子合同单独支付和结算。</w:t>
      </w:r>
    </w:p>
    <w:p w14:paraId="5725E5B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子合同工程量为根据项目需求的预计工程量，子合同单价按以下原则确定：按每项工作内容收费依据计取（收费依据详见本合同第一条委托内容及要求），再乘以（1-</w:t>
      </w:r>
      <w:r>
        <w:rPr>
          <w:rFonts w:hint="eastAsia" w:asciiTheme="minorEastAsia" w:hAnsiTheme="minorEastAsia" w:eastAsiaTheme="minorEastAsia" w:cstheme="minorEastAsia"/>
          <w:snapToGrid w:val="0"/>
          <w:color w:val="auto"/>
          <w:kern w:val="0"/>
          <w:sz w:val="28"/>
          <w:szCs w:val="28"/>
          <w:highlight w:val="none"/>
          <w:lang w:eastAsia="zh-CN"/>
        </w:rPr>
        <w:t>中标</w:t>
      </w:r>
      <w:r>
        <w:rPr>
          <w:rFonts w:hint="eastAsia" w:asciiTheme="minorEastAsia" w:hAnsiTheme="minorEastAsia" w:eastAsiaTheme="minorEastAsia" w:cstheme="minorEastAsia"/>
          <w:snapToGrid w:val="0"/>
          <w:color w:val="auto"/>
          <w:kern w:val="0"/>
          <w:sz w:val="28"/>
          <w:szCs w:val="28"/>
          <w:highlight w:val="none"/>
        </w:rPr>
        <w:t>下浮率）作为子合同</w:t>
      </w:r>
      <w:r>
        <w:rPr>
          <w:rFonts w:hint="eastAsia" w:asciiTheme="minorEastAsia" w:hAnsiTheme="minorEastAsia" w:eastAsiaTheme="minorEastAsia" w:cstheme="minorEastAsia"/>
          <w:snapToGrid w:val="0"/>
          <w:color w:val="auto"/>
          <w:kern w:val="0"/>
          <w:sz w:val="28"/>
          <w:szCs w:val="28"/>
          <w:highlight w:val="none"/>
          <w:lang w:eastAsia="zh-CN"/>
        </w:rPr>
        <w:t>合同</w:t>
      </w:r>
      <w:r>
        <w:rPr>
          <w:rFonts w:hint="eastAsia" w:asciiTheme="minorEastAsia" w:hAnsiTheme="minorEastAsia" w:eastAsiaTheme="minorEastAsia" w:cstheme="minorEastAsia"/>
          <w:snapToGrid w:val="0"/>
          <w:color w:val="auto"/>
          <w:kern w:val="0"/>
          <w:sz w:val="28"/>
          <w:szCs w:val="28"/>
          <w:highlight w:val="none"/>
        </w:rPr>
        <w:t>价（本项目下浮率为</w:t>
      </w:r>
      <w:r>
        <w:rPr>
          <w:rFonts w:hint="eastAsia" w:asciiTheme="minorEastAsia" w:hAnsiTheme="minorEastAsia" w:eastAsiaTheme="minorEastAsia" w:cstheme="minorEastAsia"/>
          <w:snapToGrid w:val="0"/>
          <w:color w:val="auto"/>
          <w:kern w:val="0"/>
          <w:sz w:val="28"/>
          <w:szCs w:val="28"/>
          <w:highlight w:val="none"/>
          <w:lang w:val="en-US" w:eastAsia="zh-CN"/>
        </w:rPr>
        <w:t>xxx</w:t>
      </w:r>
      <w:r>
        <w:rPr>
          <w:rFonts w:hint="eastAsia" w:asciiTheme="minorEastAsia" w:hAnsiTheme="minorEastAsia" w:eastAsiaTheme="minorEastAsia" w:cstheme="minorEastAsia"/>
          <w:snapToGrid w:val="0"/>
          <w:color w:val="auto"/>
          <w:kern w:val="0"/>
          <w:sz w:val="28"/>
          <w:szCs w:val="28"/>
          <w:highlight w:val="none"/>
        </w:rPr>
        <w:t>%）。</w:t>
      </w:r>
    </w:p>
    <w:p w14:paraId="498598F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（三）</w:t>
      </w:r>
      <w:r>
        <w:rPr>
          <w:rFonts w:hint="eastAsia" w:asciiTheme="minorEastAsia" w:hAnsiTheme="minorEastAsia" w:eastAsiaTheme="minorEastAsia" w:cstheme="minorEastAsia"/>
          <w:snapToGrid w:val="0"/>
          <w:color w:val="auto"/>
          <w:kern w:val="0"/>
          <w:sz w:val="28"/>
          <w:szCs w:val="28"/>
          <w:highlight w:val="none"/>
          <w:lang w:val="zh-CN"/>
        </w:rPr>
        <w:t>结算方式：</w:t>
      </w:r>
    </w:p>
    <w:p w14:paraId="45632BA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结算价</w:t>
      </w:r>
      <w:r>
        <w:rPr>
          <w:rFonts w:hint="eastAsia" w:asciiTheme="minorEastAsia" w:hAnsiTheme="minorEastAsia" w:eastAsiaTheme="minorEastAsia" w:cstheme="minorEastAsia"/>
          <w:snapToGrid w:val="0"/>
          <w:color w:val="auto"/>
          <w:kern w:val="0"/>
          <w:sz w:val="28"/>
          <w:szCs w:val="28"/>
          <w:highlight w:val="none"/>
          <w:lang w:val="zh-CN"/>
        </w:rPr>
        <w:t>按各子合同确定的合同</w:t>
      </w:r>
      <w:r>
        <w:rPr>
          <w:rFonts w:hint="eastAsia" w:asciiTheme="minorEastAsia" w:hAnsiTheme="minorEastAsia" w:eastAsiaTheme="minorEastAsia" w:cstheme="minorEastAsia"/>
          <w:snapToGrid w:val="0"/>
          <w:color w:val="auto"/>
          <w:kern w:val="0"/>
          <w:sz w:val="28"/>
          <w:szCs w:val="28"/>
          <w:highlight w:val="none"/>
        </w:rPr>
        <w:t>综合</w:t>
      </w:r>
      <w:r>
        <w:rPr>
          <w:rFonts w:hint="eastAsia" w:asciiTheme="minorEastAsia" w:hAnsiTheme="minorEastAsia" w:eastAsiaTheme="minorEastAsia" w:cstheme="minorEastAsia"/>
          <w:snapToGrid w:val="0"/>
          <w:color w:val="auto"/>
          <w:kern w:val="0"/>
          <w:sz w:val="28"/>
          <w:szCs w:val="28"/>
          <w:highlight w:val="none"/>
          <w:lang w:val="zh-CN"/>
        </w:rPr>
        <w:t>单价包干，</w:t>
      </w:r>
      <w:r>
        <w:rPr>
          <w:rFonts w:hint="eastAsia" w:asciiTheme="minorEastAsia" w:hAnsiTheme="minorEastAsia" w:eastAsiaTheme="minorEastAsia" w:cstheme="minorEastAsia"/>
          <w:snapToGrid w:val="0"/>
          <w:color w:val="auto"/>
          <w:kern w:val="0"/>
          <w:sz w:val="28"/>
          <w:szCs w:val="28"/>
          <w:highlight w:val="none"/>
        </w:rPr>
        <w:t>工程量</w:t>
      </w:r>
      <w:r>
        <w:rPr>
          <w:rFonts w:hint="eastAsia" w:asciiTheme="minorEastAsia" w:hAnsiTheme="minorEastAsia" w:eastAsiaTheme="minorEastAsia" w:cstheme="minorEastAsia"/>
          <w:snapToGrid w:val="0"/>
          <w:color w:val="auto"/>
          <w:kern w:val="0"/>
          <w:sz w:val="28"/>
          <w:szCs w:val="28"/>
          <w:highlight w:val="none"/>
          <w:lang w:val="zh-CN"/>
        </w:rPr>
        <w:t>根据</w:t>
      </w:r>
      <w:r>
        <w:rPr>
          <w:rFonts w:hint="eastAsia" w:asciiTheme="minorEastAsia" w:hAnsiTheme="minorEastAsia" w:eastAsiaTheme="minorEastAsia" w:cstheme="minorEastAsia"/>
          <w:snapToGrid w:val="0"/>
          <w:color w:val="auto"/>
          <w:kern w:val="0"/>
          <w:sz w:val="28"/>
          <w:szCs w:val="28"/>
          <w:highlight w:val="none"/>
        </w:rPr>
        <w:t>发包人对应单个工作</w:t>
      </w:r>
      <w:r>
        <w:rPr>
          <w:rFonts w:hint="eastAsia" w:asciiTheme="minorEastAsia" w:hAnsiTheme="minorEastAsia" w:eastAsiaTheme="minorEastAsia" w:cstheme="minorEastAsia"/>
          <w:snapToGrid w:val="0"/>
          <w:color w:val="auto"/>
          <w:kern w:val="0"/>
          <w:sz w:val="28"/>
          <w:szCs w:val="28"/>
          <w:highlight w:val="none"/>
          <w:lang w:val="zh-CN"/>
        </w:rPr>
        <w:t>任务单开展相关工作并实际完成的</w:t>
      </w:r>
      <w:r>
        <w:rPr>
          <w:rFonts w:hint="eastAsia" w:asciiTheme="minorEastAsia" w:hAnsiTheme="minorEastAsia" w:eastAsiaTheme="minorEastAsia" w:cstheme="minorEastAsia"/>
          <w:snapToGrid w:val="0"/>
          <w:color w:val="auto"/>
          <w:kern w:val="0"/>
          <w:sz w:val="28"/>
          <w:szCs w:val="28"/>
          <w:highlight w:val="none"/>
        </w:rPr>
        <w:t>工程量</w:t>
      </w:r>
      <w:r>
        <w:rPr>
          <w:rFonts w:hint="eastAsia" w:asciiTheme="minorEastAsia" w:hAnsiTheme="minorEastAsia" w:eastAsiaTheme="minorEastAsia" w:cstheme="minorEastAsia"/>
          <w:snapToGrid w:val="0"/>
          <w:color w:val="auto"/>
          <w:kern w:val="0"/>
          <w:sz w:val="28"/>
          <w:szCs w:val="28"/>
          <w:highlight w:val="none"/>
          <w:lang w:val="zh-CN"/>
        </w:rPr>
        <w:t>计算</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lang w:val="zh-CN"/>
        </w:rPr>
        <w:t>单价乘以</w:t>
      </w:r>
      <w:r>
        <w:rPr>
          <w:rFonts w:hint="eastAsia" w:asciiTheme="minorEastAsia" w:hAnsiTheme="minorEastAsia" w:eastAsiaTheme="minorEastAsia" w:cstheme="minorEastAsia"/>
          <w:snapToGrid w:val="0"/>
          <w:color w:val="auto"/>
          <w:kern w:val="0"/>
          <w:sz w:val="28"/>
          <w:szCs w:val="28"/>
          <w:highlight w:val="none"/>
        </w:rPr>
        <w:t>工程量</w:t>
      </w:r>
      <w:r>
        <w:rPr>
          <w:rFonts w:hint="eastAsia" w:asciiTheme="minorEastAsia" w:hAnsiTheme="minorEastAsia" w:eastAsiaTheme="minorEastAsia" w:cstheme="minorEastAsia"/>
          <w:snapToGrid w:val="0"/>
          <w:color w:val="auto"/>
          <w:kern w:val="0"/>
          <w:sz w:val="28"/>
          <w:szCs w:val="28"/>
          <w:highlight w:val="none"/>
          <w:lang w:val="zh-CN"/>
        </w:rPr>
        <w:t>之积即为各子项目合同</w:t>
      </w:r>
      <w:r>
        <w:rPr>
          <w:rFonts w:hint="eastAsia" w:asciiTheme="minorEastAsia" w:hAnsiTheme="minorEastAsia" w:eastAsiaTheme="minorEastAsia" w:cstheme="minorEastAsia"/>
          <w:snapToGrid w:val="0"/>
          <w:color w:val="auto"/>
          <w:kern w:val="0"/>
          <w:sz w:val="28"/>
          <w:szCs w:val="28"/>
          <w:highlight w:val="none"/>
        </w:rPr>
        <w:t>技术</w:t>
      </w:r>
      <w:r>
        <w:rPr>
          <w:rFonts w:hint="eastAsia" w:asciiTheme="minorEastAsia" w:hAnsiTheme="minorEastAsia" w:eastAsiaTheme="minorEastAsia" w:cstheme="minorEastAsia"/>
          <w:snapToGrid w:val="0"/>
          <w:color w:val="auto"/>
          <w:kern w:val="0"/>
          <w:sz w:val="28"/>
          <w:szCs w:val="28"/>
          <w:highlight w:val="none"/>
          <w:lang w:val="zh-CN"/>
        </w:rPr>
        <w:t>服务费结算金额。</w:t>
      </w:r>
      <w:r>
        <w:rPr>
          <w:rFonts w:hint="eastAsia" w:asciiTheme="minorEastAsia" w:hAnsiTheme="minorEastAsia" w:eastAsiaTheme="minorEastAsia" w:cstheme="minorEastAsia"/>
          <w:snapToGrid w:val="0"/>
          <w:color w:val="auto"/>
          <w:kern w:val="0"/>
          <w:sz w:val="28"/>
          <w:szCs w:val="28"/>
          <w:highlight w:val="none"/>
          <w:lang w:val="en-US"/>
        </w:rPr>
        <w:t>根据相关法律法规及规范性文件，如子合同的结算价须报送财政部门进行财政评审的，则该子合同最终结算价以财政部门评审价为准；如无须报送财政评审的，则该子合同最终结算价以发包人或发包人委托的具有相应资质的第三方咨询单位审核意见为准。</w:t>
      </w:r>
    </w:p>
    <w:p w14:paraId="658DBC1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（四）支付</w:t>
      </w:r>
      <w:r>
        <w:rPr>
          <w:rFonts w:hint="eastAsia" w:asciiTheme="minorEastAsia" w:hAnsiTheme="minorEastAsia" w:eastAsiaTheme="minorEastAsia" w:cstheme="minorEastAsia"/>
          <w:snapToGrid w:val="0"/>
          <w:color w:val="auto"/>
          <w:kern w:val="0"/>
          <w:sz w:val="28"/>
          <w:szCs w:val="28"/>
          <w:highlight w:val="none"/>
          <w:lang w:val="zh-CN"/>
        </w:rPr>
        <w:t>方式：</w:t>
      </w:r>
      <w:r>
        <w:rPr>
          <w:rFonts w:hint="eastAsia"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lang w:val="zh-CN"/>
        </w:rPr>
        <w:t>承包人</w:t>
      </w:r>
      <w:r>
        <w:rPr>
          <w:rFonts w:hint="eastAsia" w:asciiTheme="minorEastAsia" w:hAnsiTheme="minorEastAsia" w:eastAsiaTheme="minorEastAsia" w:cstheme="minorEastAsia"/>
          <w:snapToGrid w:val="0"/>
          <w:color w:val="auto"/>
          <w:kern w:val="0"/>
          <w:sz w:val="28"/>
          <w:szCs w:val="28"/>
          <w:highlight w:val="none"/>
        </w:rPr>
        <w:t>按工作任务单</w:t>
      </w:r>
      <w:r>
        <w:rPr>
          <w:rFonts w:hint="eastAsia" w:asciiTheme="minorEastAsia" w:hAnsiTheme="minorEastAsia" w:eastAsiaTheme="minorEastAsia" w:cstheme="minorEastAsia"/>
          <w:snapToGrid w:val="0"/>
          <w:color w:val="auto"/>
          <w:kern w:val="0"/>
          <w:sz w:val="28"/>
          <w:szCs w:val="28"/>
          <w:highlight w:val="none"/>
          <w:lang w:val="zh-CN"/>
        </w:rPr>
        <w:t>完成单个子项目工程后，向发包人提交已完成的单项工程量清单、结算材料等资料，</w:t>
      </w:r>
      <w:r>
        <w:rPr>
          <w:rFonts w:hint="eastAsia" w:asciiTheme="minorEastAsia" w:hAnsiTheme="minorEastAsia" w:eastAsiaTheme="minorEastAsia" w:cstheme="minorEastAsia"/>
          <w:snapToGrid w:val="0"/>
          <w:color w:val="auto"/>
          <w:kern w:val="0"/>
          <w:sz w:val="28"/>
          <w:szCs w:val="28"/>
          <w:highlight w:val="none"/>
        </w:rPr>
        <w:t>经发包人确认，</w:t>
      </w:r>
      <w:r>
        <w:rPr>
          <w:rFonts w:hint="eastAsia" w:asciiTheme="minorEastAsia" w:hAnsiTheme="minorEastAsia" w:eastAsiaTheme="minorEastAsia" w:cstheme="minorEastAsia"/>
          <w:snapToGrid w:val="0"/>
          <w:color w:val="auto"/>
          <w:kern w:val="0"/>
          <w:sz w:val="28"/>
          <w:szCs w:val="28"/>
          <w:highlight w:val="none"/>
          <w:lang w:val="zh-CN"/>
        </w:rPr>
        <w:t>发包人根据合同约定及相关规定办理结算手续且收到乙方提交的全额增值税发票及请款函等资料后，向乙方支付至单个子项目结算金额的100%。</w:t>
      </w:r>
    </w:p>
    <w:p w14:paraId="3C25A0F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2.</w:t>
      </w:r>
      <w:r>
        <w:rPr>
          <w:rFonts w:hint="eastAsia" w:asciiTheme="minorEastAsia" w:hAnsiTheme="minorEastAsia" w:eastAsiaTheme="minorEastAsia" w:cstheme="minorEastAsia"/>
          <w:snapToGrid w:val="0"/>
          <w:color w:val="auto"/>
          <w:kern w:val="0"/>
          <w:sz w:val="28"/>
          <w:szCs w:val="28"/>
          <w:highlight w:val="none"/>
          <w:lang w:val="zh-CN"/>
        </w:rPr>
        <w:t>承包人的收款账号为：</w:t>
      </w:r>
    </w:p>
    <w:p w14:paraId="589C4952">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开户</w:t>
      </w:r>
      <w:r>
        <w:rPr>
          <w:rFonts w:hint="eastAsia" w:asciiTheme="minorEastAsia" w:hAnsiTheme="minorEastAsia" w:eastAsiaTheme="minorEastAsia" w:cstheme="minorEastAsia"/>
          <w:snapToGrid w:val="0"/>
          <w:color w:val="auto"/>
          <w:kern w:val="0"/>
          <w:sz w:val="28"/>
          <w:szCs w:val="28"/>
          <w:highlight w:val="none"/>
          <w:lang w:eastAsia="zh-CN"/>
        </w:rPr>
        <w:t>名：</w:t>
      </w:r>
    </w:p>
    <w:p w14:paraId="0A44129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（2）开户行：</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p>
    <w:p w14:paraId="7C7CFB1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rPr>
        <w:t>（3）账号</w:t>
      </w:r>
      <w:r>
        <w:rPr>
          <w:rFonts w:hint="eastAsia" w:asciiTheme="minorEastAsia" w:hAnsiTheme="minorEastAsia" w:eastAsiaTheme="minorEastAsia" w:cstheme="minorEastAsia"/>
          <w:snapToGrid w:val="0"/>
          <w:color w:val="auto"/>
          <w:kern w:val="0"/>
          <w:sz w:val="28"/>
          <w:szCs w:val="28"/>
          <w:highlight w:val="none"/>
          <w:lang w:eastAsia="zh-CN"/>
        </w:rPr>
        <w:t>：</w:t>
      </w:r>
    </w:p>
    <w:p w14:paraId="3F9A293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lang w:val="zh-CN"/>
        </w:rPr>
        <w:t>上述款项的支付，承包人均需按照发包人要求提供等额增值税专用发票及请款函等资料，并需按财政部门关于财政资金集中支付程序，及发包人相关管理办法执行，否则发包人有权不予付款。发包人在规定支付款项的时间内向财政部门申请支付，视为发包人已履行付款义务，因财政部门审核延误支付的，不视为发包人违约。同时，承包人不得因此而停止工作。如承包人向发包人提供的发票不符合本合同约定或法律规定，因此给发包人造成的一切损失由承包人承担。</w:t>
      </w:r>
    </w:p>
    <w:p w14:paraId="5C2A482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4.</w:t>
      </w:r>
      <w:r>
        <w:rPr>
          <w:rFonts w:hint="eastAsia" w:asciiTheme="minorEastAsia" w:hAnsiTheme="minorEastAsia" w:eastAsiaTheme="minorEastAsia" w:cstheme="minorEastAsia"/>
          <w:snapToGrid w:val="0"/>
          <w:color w:val="auto"/>
          <w:kern w:val="0"/>
          <w:sz w:val="28"/>
          <w:szCs w:val="28"/>
          <w:highlight w:val="none"/>
          <w:lang w:val="zh-CN"/>
        </w:rPr>
        <w:t>承包人因违约行为应支付的违约金、赔偿金及发包人实现债权的合理费用（包括律师费、评估费等），以实际损失为限。发包人有权书面通知承包人后，从本合同或双方其他合作项目的应付款中直接扣除。承包人若对扣款有异议，应在收到通知后5个工作日内提出书面说明，双方协商不成时按争议解决条款处理。因不可抗力或发包人过错导致的损失，承包人不承担本条责任。</w:t>
      </w:r>
    </w:p>
    <w:p w14:paraId="071ED4A3">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lang w:val="zh-CN"/>
        </w:rPr>
        <w:t>第五条</w:t>
      </w:r>
      <w:r>
        <w:rPr>
          <w:rFonts w:hint="eastAsia" w:asciiTheme="minorEastAsia" w:hAnsiTheme="minorEastAsia" w:eastAsiaTheme="minorEastAsia" w:cstheme="minorEastAsia"/>
          <w:b/>
          <w:bCs/>
          <w:snapToGrid w:val="0"/>
          <w:color w:val="auto"/>
          <w:kern w:val="0"/>
          <w:sz w:val="28"/>
          <w:szCs w:val="28"/>
          <w:highlight w:val="none"/>
        </w:rPr>
        <w:t xml:space="preserve">  承包人分工</w:t>
      </w:r>
      <w:r>
        <w:rPr>
          <w:rFonts w:hint="eastAsia" w:asciiTheme="minorEastAsia" w:hAnsiTheme="minorEastAsia" w:eastAsiaTheme="minorEastAsia" w:cstheme="minorEastAsia"/>
          <w:b/>
          <w:bCs/>
          <w:snapToGrid w:val="0"/>
          <w:color w:val="auto"/>
          <w:kern w:val="0"/>
          <w:sz w:val="28"/>
          <w:szCs w:val="28"/>
          <w:highlight w:val="none"/>
          <w:lang w:val="en-US" w:eastAsia="zh-CN"/>
        </w:rPr>
        <w:t>【</w:t>
      </w:r>
      <w:r>
        <w:rPr>
          <w:rFonts w:hint="eastAsia" w:asciiTheme="minorEastAsia" w:hAnsiTheme="minorEastAsia" w:eastAsiaTheme="minorEastAsia" w:cstheme="minorEastAsia"/>
          <w:b/>
          <w:bCs/>
          <w:snapToGrid w:val="0"/>
          <w:color w:val="auto"/>
          <w:kern w:val="0"/>
          <w:sz w:val="28"/>
          <w:szCs w:val="28"/>
          <w:highlight w:val="none"/>
        </w:rPr>
        <w:t>联合体</w:t>
      </w:r>
      <w:r>
        <w:rPr>
          <w:rFonts w:hint="eastAsia" w:asciiTheme="minorEastAsia" w:hAnsiTheme="minorEastAsia" w:eastAsiaTheme="minorEastAsia" w:cstheme="minorEastAsia"/>
          <w:b/>
          <w:bCs/>
          <w:snapToGrid w:val="0"/>
          <w:color w:val="auto"/>
          <w:kern w:val="0"/>
          <w:sz w:val="28"/>
          <w:szCs w:val="28"/>
          <w:highlight w:val="none"/>
          <w:lang w:eastAsia="zh-CN"/>
        </w:rPr>
        <w:t>投标适用</w:t>
      </w:r>
      <w:r>
        <w:rPr>
          <w:rFonts w:hint="eastAsia" w:asciiTheme="minorEastAsia" w:hAnsiTheme="minorEastAsia" w:eastAsiaTheme="minorEastAsia" w:cstheme="minorEastAsia"/>
          <w:b/>
          <w:bCs/>
          <w:snapToGrid w:val="0"/>
          <w:color w:val="auto"/>
          <w:kern w:val="0"/>
          <w:sz w:val="28"/>
          <w:szCs w:val="28"/>
          <w:highlight w:val="none"/>
          <w:lang w:val="en-US" w:eastAsia="zh-CN"/>
        </w:rPr>
        <w:t>】</w:t>
      </w:r>
    </w:p>
    <w:p w14:paraId="6DB122A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（一）</w:t>
      </w:r>
      <w:r>
        <w:rPr>
          <w:rFonts w:hint="eastAsia" w:asciiTheme="minorEastAsia" w:hAnsiTheme="minorEastAsia" w:eastAsiaTheme="minorEastAsia" w:cstheme="minorEastAsia"/>
          <w:snapToGrid w:val="0"/>
          <w:color w:val="auto"/>
          <w:kern w:val="0"/>
          <w:sz w:val="28"/>
          <w:szCs w:val="28"/>
          <w:highlight w:val="none"/>
        </w:rPr>
        <w:t>承包人（主）</w:t>
      </w:r>
      <w:r>
        <w:rPr>
          <w:rFonts w:hint="eastAsia" w:asciiTheme="minorEastAsia" w:hAnsiTheme="minorEastAsia" w:eastAsiaTheme="minorEastAsia" w:cstheme="minorEastAsia"/>
          <w:snapToGrid w:val="0"/>
          <w:color w:val="auto"/>
          <w:kern w:val="0"/>
          <w:sz w:val="28"/>
          <w:szCs w:val="28"/>
          <w:highlight w:val="none"/>
          <w:lang w:eastAsia="zh-CN"/>
        </w:rPr>
        <w:t>XXX</w:t>
      </w:r>
      <w:r>
        <w:rPr>
          <w:rFonts w:hint="eastAsia" w:asciiTheme="minorEastAsia" w:hAnsiTheme="minorEastAsia" w:eastAsiaTheme="minorEastAsia" w:cstheme="minorEastAsia"/>
          <w:snapToGrid w:val="0"/>
          <w:color w:val="auto"/>
          <w:kern w:val="0"/>
          <w:sz w:val="28"/>
          <w:szCs w:val="28"/>
          <w:highlight w:val="none"/>
        </w:rPr>
        <w:t>负责的工作内容：</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p>
    <w:p w14:paraId="5E8CE09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（二）</w:t>
      </w:r>
      <w:r>
        <w:rPr>
          <w:rFonts w:hint="eastAsia" w:asciiTheme="minorEastAsia" w:hAnsiTheme="minorEastAsia" w:eastAsiaTheme="minorEastAsia" w:cstheme="minorEastAsia"/>
          <w:snapToGrid w:val="0"/>
          <w:color w:val="auto"/>
          <w:kern w:val="0"/>
          <w:sz w:val="28"/>
          <w:szCs w:val="28"/>
          <w:highlight w:val="none"/>
        </w:rPr>
        <w:t>承包人（成）</w:t>
      </w:r>
      <w:r>
        <w:rPr>
          <w:rFonts w:hint="eastAsia" w:asciiTheme="minorEastAsia" w:hAnsiTheme="minorEastAsia" w:eastAsiaTheme="minorEastAsia" w:cstheme="minorEastAsia"/>
          <w:snapToGrid w:val="0"/>
          <w:color w:val="auto"/>
          <w:kern w:val="0"/>
          <w:sz w:val="28"/>
          <w:szCs w:val="28"/>
          <w:highlight w:val="none"/>
          <w:lang w:eastAsia="zh-CN"/>
        </w:rPr>
        <w:t>XXX</w:t>
      </w:r>
      <w:r>
        <w:rPr>
          <w:rFonts w:hint="eastAsia" w:asciiTheme="minorEastAsia" w:hAnsiTheme="minorEastAsia" w:eastAsiaTheme="minorEastAsia" w:cstheme="minorEastAsia"/>
          <w:snapToGrid w:val="0"/>
          <w:color w:val="auto"/>
          <w:kern w:val="0"/>
          <w:sz w:val="28"/>
          <w:szCs w:val="28"/>
          <w:highlight w:val="none"/>
        </w:rPr>
        <w:t>负责的工作内容：</w:t>
      </w:r>
      <w:r>
        <w:rPr>
          <w:rFonts w:hint="eastAsia" w:asciiTheme="minorEastAsia" w:hAnsiTheme="minorEastAsia" w:eastAsiaTheme="minorEastAsia" w:cstheme="minorEastAsia"/>
          <w:snapToGrid w:val="0"/>
          <w:color w:val="auto"/>
          <w:kern w:val="0"/>
          <w:sz w:val="28"/>
          <w:szCs w:val="28"/>
          <w:highlight w:val="none"/>
          <w:lang w:eastAsia="zh-CN"/>
        </w:rPr>
        <w:t xml:space="preserve"> </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w:t>
      </w:r>
    </w:p>
    <w:p w14:paraId="753ACF19">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第六条 各方责任和义务</w:t>
      </w:r>
    </w:p>
    <w:p w14:paraId="20EDA6F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（一）发包人</w:t>
      </w:r>
    </w:p>
    <w:p w14:paraId="262BBB1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lang w:val="zh-CN"/>
        </w:rPr>
        <w:t>按合同约定向承包人支付合同费用。</w:t>
      </w:r>
    </w:p>
    <w:p w14:paraId="4F899E9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lang w:val="zh-CN"/>
        </w:rPr>
        <w:t>向承包人提供相关的文件资料：自本合同签订后且送达工作任务单起3个工作日内，发包人向承包人提供有关资料和提出技术要求。</w:t>
      </w:r>
    </w:p>
    <w:p w14:paraId="7CE579D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lang w:val="zh-CN"/>
        </w:rPr>
        <w:t>为承包人开展工作提供便利条件。</w:t>
      </w:r>
    </w:p>
    <w:p w14:paraId="0684AF0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4.</w:t>
      </w:r>
      <w:r>
        <w:rPr>
          <w:rFonts w:hint="eastAsia" w:asciiTheme="minorEastAsia" w:hAnsiTheme="minorEastAsia" w:eastAsiaTheme="minorEastAsia" w:cstheme="minorEastAsia"/>
          <w:snapToGrid w:val="0"/>
          <w:color w:val="auto"/>
          <w:kern w:val="0"/>
          <w:sz w:val="28"/>
          <w:szCs w:val="28"/>
          <w:highlight w:val="none"/>
          <w:lang w:val="zh-CN"/>
        </w:rPr>
        <w:t>检查</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在本合同项目工作中的进度和质量情况，并提出合理改进意见。</w:t>
      </w:r>
    </w:p>
    <w:p w14:paraId="6EDA7E9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（二）承包人</w:t>
      </w:r>
    </w:p>
    <w:p w14:paraId="1CF05F6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1.承包人</w:t>
      </w:r>
      <w:r>
        <w:rPr>
          <w:rFonts w:hint="eastAsia" w:asciiTheme="minorEastAsia" w:hAnsiTheme="minorEastAsia" w:eastAsiaTheme="minorEastAsia" w:cstheme="minorEastAsia"/>
          <w:snapToGrid w:val="0"/>
          <w:color w:val="auto"/>
          <w:kern w:val="0"/>
          <w:sz w:val="28"/>
          <w:szCs w:val="28"/>
          <w:highlight w:val="none"/>
          <w:lang w:val="zh-CN"/>
        </w:rPr>
        <w:t>须具备完成本合同服务内容的相应资质、场所、人员、设备等全部能力条件，并确保合同履行期间一直有效。</w:t>
      </w:r>
    </w:p>
    <w:p w14:paraId="3B6D64C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2.按本合同规定的时间和数量向发包人交付成果文件，并对其质量负责。资料装订规格必须符合档案归档规定。</w:t>
      </w:r>
    </w:p>
    <w:p w14:paraId="2DB71AA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3.若提供的成果资料质量不符合国家技术规范、标准、规程及发包人的有关要求，承包人应负责无偿给予补充完善使其达到质量合格。</w:t>
      </w:r>
    </w:p>
    <w:p w14:paraId="0E127D6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4.承包人应按照项目全面质量检查检验的要求配备必要的设备仪器、计算机、车辆等。在作业区域使用的仪器设备应按照有关要求进行检测并合格，不得使用未经年检或检验不合格的设备用于作业。</w:t>
      </w:r>
    </w:p>
    <w:p w14:paraId="71E0DA1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5.</w:t>
      </w:r>
      <w:r>
        <w:rPr>
          <w:rFonts w:hint="eastAsia" w:asciiTheme="minorEastAsia" w:hAnsiTheme="minorEastAsia" w:eastAsiaTheme="minorEastAsia" w:cstheme="minorEastAsia"/>
          <w:snapToGrid w:val="0"/>
          <w:color w:val="auto"/>
          <w:kern w:val="0"/>
          <w:sz w:val="28"/>
          <w:szCs w:val="28"/>
          <w:highlight w:val="none"/>
          <w:lang w:val="zh-CN"/>
        </w:rPr>
        <w:t>承包人承诺遵守发包人制订的关于工程建设管理的各项制度、规定和管理办法等。合同生效后，承包人应履行合同义务及职责，并视为接受及认同发包人制订的关于工程建设管理的各项制度、规定和管理办法，包括但不限于管理制度、工作指引（或作业指导书）、工作流程等。如承包人违反发包人相关制度、规定和管理办法等的，发包人有权依据相关制度、规定和管理办法等要求承包人承担违约责任及赔偿损失。</w:t>
      </w:r>
    </w:p>
    <w:p w14:paraId="2EBA49E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6.承包人</w:t>
      </w:r>
      <w:r>
        <w:rPr>
          <w:rFonts w:hint="eastAsia" w:asciiTheme="minorEastAsia" w:hAnsiTheme="minorEastAsia" w:eastAsiaTheme="minorEastAsia" w:cstheme="minorEastAsia"/>
          <w:snapToGrid w:val="0"/>
          <w:color w:val="auto"/>
          <w:kern w:val="0"/>
          <w:sz w:val="28"/>
          <w:szCs w:val="28"/>
          <w:highlight w:val="none"/>
          <w:lang w:val="zh-CN"/>
        </w:rPr>
        <w:t>提供服务过程中应采取必要的安全生产、保险、环境保护、正面舆情等措施，自行妥善处理与内部员工等其他主体关系，确保不发生违规作业、人身伤亡、财产损失、违法犯罪等负面事件，否则自行承担全部法律责任。</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指派人员在执行本合同义务或上下班途中发生事故对</w:t>
      </w:r>
      <w:r>
        <w:rPr>
          <w:rFonts w:hint="eastAsia" w:asciiTheme="minorEastAsia" w:hAnsiTheme="minorEastAsia" w:eastAsiaTheme="minorEastAsia" w:cstheme="minorEastAsia"/>
          <w:snapToGrid w:val="0"/>
          <w:color w:val="auto"/>
          <w:kern w:val="0"/>
          <w:sz w:val="28"/>
          <w:szCs w:val="28"/>
          <w:highlight w:val="none"/>
        </w:rPr>
        <w:t>发包人</w:t>
      </w:r>
      <w:r>
        <w:rPr>
          <w:rFonts w:hint="eastAsia" w:asciiTheme="minorEastAsia" w:hAnsiTheme="minorEastAsia" w:eastAsiaTheme="minorEastAsia" w:cstheme="minorEastAsia"/>
          <w:snapToGrid w:val="0"/>
          <w:color w:val="auto"/>
          <w:kern w:val="0"/>
          <w:sz w:val="28"/>
          <w:szCs w:val="28"/>
          <w:highlight w:val="none"/>
          <w:lang w:val="zh-CN"/>
        </w:rPr>
        <w:t>、第三方造成人身、财产损害的，或</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指派人员因自身疾病或其他意外原因造成伤亡的，</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应及时处理，并承担相应的民事责任，</w:t>
      </w:r>
      <w:r>
        <w:rPr>
          <w:rFonts w:hint="eastAsia" w:asciiTheme="minorEastAsia" w:hAnsiTheme="minorEastAsia" w:eastAsiaTheme="minorEastAsia" w:cstheme="minorEastAsia"/>
          <w:snapToGrid w:val="0"/>
          <w:color w:val="auto"/>
          <w:kern w:val="0"/>
          <w:sz w:val="28"/>
          <w:szCs w:val="28"/>
          <w:highlight w:val="none"/>
        </w:rPr>
        <w:t>发包人</w:t>
      </w:r>
      <w:r>
        <w:rPr>
          <w:rFonts w:hint="eastAsia" w:asciiTheme="minorEastAsia" w:hAnsiTheme="minorEastAsia" w:eastAsiaTheme="minorEastAsia" w:cstheme="minorEastAsia"/>
          <w:snapToGrid w:val="0"/>
          <w:color w:val="auto"/>
          <w:kern w:val="0"/>
          <w:sz w:val="28"/>
          <w:szCs w:val="28"/>
          <w:highlight w:val="none"/>
          <w:lang w:val="zh-CN"/>
        </w:rPr>
        <w:t>对此不承担责任。</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撤场时须及时清理场地。</w:t>
      </w:r>
    </w:p>
    <w:p w14:paraId="70C43C8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7.</w:t>
      </w:r>
      <w:r>
        <w:rPr>
          <w:rFonts w:hint="eastAsia" w:asciiTheme="minorEastAsia" w:hAnsiTheme="minorEastAsia" w:eastAsiaTheme="minorEastAsia" w:cstheme="minorEastAsia"/>
          <w:snapToGrid w:val="0"/>
          <w:color w:val="auto"/>
          <w:kern w:val="0"/>
          <w:sz w:val="28"/>
          <w:szCs w:val="28"/>
          <w:highlight w:val="none"/>
          <w:lang w:val="zh-CN"/>
        </w:rPr>
        <w:t>发包人根据项目服务情况要求约谈承包人法定代表人的，承包人法定代表人应积极配合。</w:t>
      </w:r>
    </w:p>
    <w:p w14:paraId="6914FE8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8.</w:t>
      </w:r>
      <w:r>
        <w:rPr>
          <w:rFonts w:hint="eastAsia" w:asciiTheme="minorEastAsia" w:hAnsiTheme="minorEastAsia" w:eastAsiaTheme="minorEastAsia" w:cstheme="minorEastAsia"/>
          <w:snapToGrid w:val="0"/>
          <w:color w:val="auto"/>
          <w:kern w:val="0"/>
          <w:sz w:val="28"/>
          <w:szCs w:val="28"/>
          <w:highlight w:val="none"/>
          <w:lang w:val="zh-CN"/>
        </w:rPr>
        <w:t>因承包人原因未能有效履行合同约定或未能按发包人要求严格把关、认真履职的，经行政部门发现或提出问题经发包人确认后，发包人有权要求承包人承担相应违约责任，承包人对此无异议。</w:t>
      </w:r>
    </w:p>
    <w:p w14:paraId="4462031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9.</w:t>
      </w:r>
      <w:r>
        <w:rPr>
          <w:rFonts w:hint="eastAsia" w:asciiTheme="minorEastAsia" w:hAnsiTheme="minorEastAsia" w:eastAsiaTheme="minorEastAsia" w:cstheme="minorEastAsia"/>
          <w:snapToGrid w:val="0"/>
          <w:color w:val="auto"/>
          <w:kern w:val="0"/>
          <w:sz w:val="28"/>
          <w:szCs w:val="28"/>
          <w:highlight w:val="none"/>
          <w:lang w:val="zh-CN"/>
        </w:rPr>
        <w:t>承包人按发包人要求提供其他相关服务。</w:t>
      </w:r>
    </w:p>
    <w:p w14:paraId="6921D17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10.</w:t>
      </w:r>
      <w:r>
        <w:rPr>
          <w:rFonts w:hint="eastAsia" w:asciiTheme="minorEastAsia" w:hAnsiTheme="minorEastAsia" w:eastAsiaTheme="minorEastAsia" w:cstheme="minorEastAsia"/>
          <w:snapToGrid w:val="0"/>
          <w:color w:val="auto"/>
          <w:kern w:val="0"/>
          <w:sz w:val="28"/>
          <w:szCs w:val="28"/>
          <w:highlight w:val="none"/>
          <w:lang w:val="zh-CN"/>
        </w:rPr>
        <w:t>本合同有关条款和补充合同中规定承包人应负的其他责任。</w:t>
      </w:r>
    </w:p>
    <w:p w14:paraId="41CDA55C">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第七条 违约责任</w:t>
      </w:r>
    </w:p>
    <w:p w14:paraId="65B7244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（一）</w:t>
      </w:r>
      <w:r>
        <w:rPr>
          <w:rFonts w:hint="eastAsia" w:asciiTheme="minorEastAsia" w:hAnsiTheme="minorEastAsia" w:eastAsiaTheme="minorEastAsia" w:cstheme="minorEastAsia"/>
          <w:snapToGrid w:val="0"/>
          <w:color w:val="auto"/>
          <w:kern w:val="0"/>
          <w:sz w:val="28"/>
          <w:szCs w:val="28"/>
          <w:highlight w:val="none"/>
          <w:lang w:val="zh-CN"/>
        </w:rPr>
        <w:t>由于发包人变更计划、提供资料不准确、未按期提供本合同服务工作中涉及的资料，致使承包人不能按期完成工作时，发包人应按承包人的实际情况顺延工作时间。</w:t>
      </w:r>
    </w:p>
    <w:p w14:paraId="31FACAE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（二）</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应按合同要求提供质量合格、符合国家规范要求的成果文件，并对成果文件负责。如因承包人责任造成的返工，</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必须在</w:t>
      </w:r>
      <w:r>
        <w:rPr>
          <w:rFonts w:hint="eastAsia" w:asciiTheme="minorEastAsia" w:hAnsiTheme="minorEastAsia" w:eastAsiaTheme="minorEastAsia" w:cstheme="minorEastAsia"/>
          <w:snapToGrid w:val="0"/>
          <w:color w:val="auto"/>
          <w:kern w:val="0"/>
          <w:sz w:val="28"/>
          <w:szCs w:val="28"/>
          <w:highlight w:val="none"/>
        </w:rPr>
        <w:t>发包人</w:t>
      </w:r>
      <w:r>
        <w:rPr>
          <w:rFonts w:hint="eastAsia" w:asciiTheme="minorEastAsia" w:hAnsiTheme="minorEastAsia" w:eastAsiaTheme="minorEastAsia" w:cstheme="minorEastAsia"/>
          <w:snapToGrid w:val="0"/>
          <w:color w:val="auto"/>
          <w:kern w:val="0"/>
          <w:sz w:val="28"/>
          <w:szCs w:val="28"/>
          <w:highlight w:val="none"/>
          <w:lang w:val="zh-CN"/>
        </w:rPr>
        <w:t>要求的时间内无偿返工，并符合约定条件。</w:t>
      </w:r>
    </w:p>
    <w:p w14:paraId="1B2A730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（三）</w:t>
      </w:r>
      <w:r>
        <w:rPr>
          <w:rFonts w:hint="eastAsia" w:asciiTheme="minorEastAsia" w:hAnsiTheme="minorEastAsia" w:eastAsiaTheme="minorEastAsia" w:cstheme="minorEastAsia"/>
          <w:snapToGrid w:val="0"/>
          <w:color w:val="auto"/>
          <w:kern w:val="0"/>
          <w:sz w:val="28"/>
          <w:szCs w:val="28"/>
          <w:highlight w:val="none"/>
          <w:lang w:val="zh-CN"/>
        </w:rPr>
        <w:t>由于承包人原因，承包人未能按合同约定的时间或发包人的要求提交成果文件，发包人将书面告知限期整改；承包人未在期限内改正的，每逾期1日，应按</w:t>
      </w:r>
      <w:r>
        <w:rPr>
          <w:rFonts w:hint="eastAsia" w:asciiTheme="minorEastAsia" w:hAnsiTheme="minorEastAsia" w:eastAsiaTheme="minorEastAsia" w:cstheme="minorEastAsia"/>
          <w:snapToGrid w:val="0"/>
          <w:color w:val="auto"/>
          <w:kern w:val="0"/>
          <w:sz w:val="28"/>
          <w:szCs w:val="28"/>
          <w:highlight w:val="none"/>
          <w:lang w:val="zh-CN"/>
        </w:rPr>
        <w:t>子项目合同暂定总额的</w:t>
      </w:r>
      <w:r>
        <w:rPr>
          <w:rFonts w:hint="eastAsia" w:asciiTheme="minorEastAsia" w:hAnsiTheme="minorEastAsia" w:eastAsiaTheme="minorEastAsia" w:cstheme="minorEastAsia"/>
          <w:snapToGrid w:val="0"/>
          <w:color w:val="auto"/>
          <w:kern w:val="0"/>
          <w:sz w:val="28"/>
          <w:szCs w:val="28"/>
          <w:highlight w:val="none"/>
          <w:u w:val="none"/>
          <w:lang w:val="zh-CN"/>
        </w:rPr>
        <w:t>千分之三</w:t>
      </w:r>
      <w:r>
        <w:rPr>
          <w:rFonts w:hint="eastAsia" w:asciiTheme="minorEastAsia" w:hAnsiTheme="minorEastAsia" w:eastAsiaTheme="minorEastAsia" w:cstheme="minorEastAsia"/>
          <w:snapToGrid w:val="0"/>
          <w:color w:val="auto"/>
          <w:kern w:val="0"/>
          <w:sz w:val="28"/>
          <w:szCs w:val="28"/>
          <w:highlight w:val="none"/>
          <w:lang w:val="zh-CN"/>
        </w:rPr>
        <w:t>向</w:t>
      </w:r>
      <w:r>
        <w:rPr>
          <w:rFonts w:hint="eastAsia" w:asciiTheme="minorEastAsia" w:hAnsiTheme="minorEastAsia" w:eastAsiaTheme="minorEastAsia" w:cstheme="minorEastAsia"/>
          <w:snapToGrid w:val="0"/>
          <w:color w:val="auto"/>
          <w:kern w:val="0"/>
          <w:sz w:val="28"/>
          <w:szCs w:val="28"/>
          <w:highlight w:val="none"/>
        </w:rPr>
        <w:t>发包人</w:t>
      </w:r>
      <w:r>
        <w:rPr>
          <w:rFonts w:hint="eastAsia" w:asciiTheme="minorEastAsia" w:hAnsiTheme="minorEastAsia" w:eastAsiaTheme="minorEastAsia" w:cstheme="minorEastAsia"/>
          <w:snapToGrid w:val="0"/>
          <w:color w:val="auto"/>
          <w:kern w:val="0"/>
          <w:sz w:val="28"/>
          <w:szCs w:val="28"/>
          <w:highlight w:val="none"/>
          <w:lang w:val="zh-CN"/>
        </w:rPr>
        <w:t>支付违约金；由于承包人不配合、不整改或屡次整改不到位等违约行为影响项目推进的，发包人视其严重程度有权保留进一步追究承包人违约责任的权利，如超出整改通知书限定整改期限的，发包人有权单方解除子项目合同。</w:t>
      </w:r>
    </w:p>
    <w:p w14:paraId="08F8DB09">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eastAsia="zh-CN"/>
        </w:rPr>
        <w:t>（四）</w:t>
      </w:r>
      <w:r>
        <w:rPr>
          <w:rFonts w:hint="eastAsia" w:asciiTheme="minorEastAsia" w:hAnsiTheme="minorEastAsia" w:eastAsiaTheme="minorEastAsia" w:cstheme="minorEastAsia"/>
          <w:snapToGrid w:val="0"/>
          <w:color w:val="auto"/>
          <w:kern w:val="0"/>
          <w:sz w:val="28"/>
          <w:szCs w:val="28"/>
          <w:highlight w:val="none"/>
          <w:lang w:val="zh-CN"/>
        </w:rPr>
        <w:t>因承包人测量结果数据质量导致发包人建筑规划验收不能通过，由承包人承担全部责任，发包人有权要求承包人退回已收取的全部款项，且追究因此造成的一切损失。</w:t>
      </w:r>
      <w:r>
        <w:rPr>
          <w:rStyle w:val="32"/>
          <w:rFonts w:hint="eastAsia" w:asciiTheme="minorEastAsia" w:hAnsiTheme="minorEastAsia" w:eastAsiaTheme="minorEastAsia" w:cstheme="minorEastAsia"/>
          <w:snapToGrid w:val="0"/>
          <w:color w:val="auto"/>
          <w:kern w:val="0"/>
          <w:sz w:val="28"/>
          <w:szCs w:val="28"/>
          <w:highlight w:val="none"/>
          <w:lang w:val="zh-CN"/>
        </w:rPr>
        <w:t>一般缺陷</w:t>
      </w:r>
      <w:r>
        <w:rPr>
          <w:rFonts w:hint="eastAsia" w:asciiTheme="minorEastAsia" w:hAnsiTheme="minorEastAsia" w:eastAsiaTheme="minorEastAsia" w:cstheme="minorEastAsia"/>
          <w:snapToGrid w:val="0"/>
          <w:color w:val="auto"/>
          <w:kern w:val="0"/>
          <w:sz w:val="28"/>
          <w:szCs w:val="28"/>
          <w:highlight w:val="none"/>
          <w:lang w:val="zh-CN"/>
        </w:rPr>
        <w:t>（如文字错误、图面瑕疵）：承包人需在</w:t>
      </w:r>
      <w:r>
        <w:rPr>
          <w:rStyle w:val="32"/>
          <w:rFonts w:hint="eastAsia" w:asciiTheme="minorEastAsia" w:hAnsiTheme="minorEastAsia" w:eastAsiaTheme="minorEastAsia" w:cstheme="minorEastAsia"/>
          <w:snapToGrid w:val="0"/>
          <w:color w:val="auto"/>
          <w:kern w:val="0"/>
          <w:sz w:val="28"/>
          <w:szCs w:val="28"/>
          <w:highlight w:val="none"/>
          <w:lang w:val="zh-CN"/>
        </w:rPr>
        <w:t>48小时内</w:t>
      </w:r>
      <w:r>
        <w:rPr>
          <w:rFonts w:hint="eastAsia" w:asciiTheme="minorEastAsia" w:hAnsiTheme="minorEastAsia" w:eastAsiaTheme="minorEastAsia" w:cstheme="minorEastAsia"/>
          <w:snapToGrid w:val="0"/>
          <w:color w:val="auto"/>
          <w:kern w:val="0"/>
          <w:sz w:val="28"/>
          <w:szCs w:val="28"/>
          <w:highlight w:val="none"/>
          <w:lang w:val="zh-CN"/>
        </w:rPr>
        <w:t>修正，逾期按0.1%/日支付违约金。</w:t>
      </w:r>
      <w:r>
        <w:rPr>
          <w:rStyle w:val="32"/>
          <w:rFonts w:hint="eastAsia" w:asciiTheme="minorEastAsia" w:hAnsiTheme="minorEastAsia" w:eastAsiaTheme="minorEastAsia" w:cstheme="minorEastAsia"/>
          <w:snapToGrid w:val="0"/>
          <w:color w:val="auto"/>
          <w:kern w:val="0"/>
          <w:sz w:val="28"/>
          <w:szCs w:val="28"/>
          <w:highlight w:val="none"/>
          <w:lang w:val="zh-CN"/>
        </w:rPr>
        <w:t>严重缺陷</w:t>
      </w:r>
      <w:r>
        <w:rPr>
          <w:rFonts w:hint="eastAsia" w:asciiTheme="minorEastAsia" w:hAnsiTheme="minorEastAsia" w:eastAsiaTheme="minorEastAsia" w:cstheme="minorEastAsia"/>
          <w:snapToGrid w:val="0"/>
          <w:color w:val="auto"/>
          <w:kern w:val="0"/>
          <w:sz w:val="28"/>
          <w:szCs w:val="28"/>
          <w:highlight w:val="none"/>
          <w:lang w:val="zh-CN"/>
        </w:rPr>
        <w:t>（如数据造假、技术标准不满足强制性规范）：发包人有权解除子合同，承包人按子项目合同暂定总额的</w:t>
      </w:r>
      <w:r>
        <w:rPr>
          <w:rStyle w:val="32"/>
          <w:rFonts w:hint="eastAsia" w:asciiTheme="minorEastAsia" w:hAnsiTheme="minorEastAsia" w:eastAsiaTheme="minorEastAsia" w:cstheme="minorEastAsia"/>
          <w:snapToGrid w:val="0"/>
          <w:color w:val="auto"/>
          <w:kern w:val="0"/>
          <w:sz w:val="28"/>
          <w:szCs w:val="28"/>
          <w:highlight w:val="none"/>
          <w:lang w:val="zh-CN"/>
        </w:rPr>
        <w:t>20%</w:t>
      </w:r>
      <w:r>
        <w:rPr>
          <w:rFonts w:hint="eastAsia" w:asciiTheme="minorEastAsia" w:hAnsiTheme="minorEastAsia" w:eastAsiaTheme="minorEastAsia" w:cstheme="minorEastAsia"/>
          <w:snapToGrid w:val="0"/>
          <w:color w:val="auto"/>
          <w:kern w:val="0"/>
          <w:sz w:val="28"/>
          <w:szCs w:val="28"/>
          <w:highlight w:val="none"/>
          <w:lang w:val="zh-CN"/>
        </w:rPr>
        <w:t>支付违约金，并赔偿发包人全部损失。</w:t>
      </w:r>
    </w:p>
    <w:p w14:paraId="3406F09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（五）</w:t>
      </w:r>
      <w:r>
        <w:rPr>
          <w:rFonts w:hint="eastAsia" w:asciiTheme="minorEastAsia" w:hAnsiTheme="minorEastAsia" w:eastAsiaTheme="minorEastAsia" w:cstheme="minorEastAsia"/>
          <w:snapToGrid w:val="0"/>
          <w:color w:val="auto"/>
          <w:kern w:val="0"/>
          <w:sz w:val="28"/>
          <w:szCs w:val="28"/>
          <w:highlight w:val="none"/>
          <w:lang w:val="zh-CN"/>
        </w:rPr>
        <w:t>在作业区域使用的一切设备应按照有关要求进行检测并合格，不得使用未经年检或检查不合格的设备用于作业，否则将按合同暂定总价5%承担违约责任，如造成发包人损失的，应赔偿由此对发包人造成的全部损失。</w:t>
      </w:r>
    </w:p>
    <w:p w14:paraId="03202C1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（六）</w:t>
      </w:r>
      <w:r>
        <w:rPr>
          <w:rFonts w:hint="eastAsia" w:asciiTheme="minorEastAsia" w:hAnsiTheme="minorEastAsia" w:eastAsiaTheme="minorEastAsia" w:cstheme="minorEastAsia"/>
          <w:snapToGrid w:val="0"/>
          <w:color w:val="auto"/>
          <w:kern w:val="0"/>
          <w:sz w:val="28"/>
          <w:szCs w:val="28"/>
          <w:highlight w:val="none"/>
          <w:lang w:val="zh-CN"/>
        </w:rPr>
        <w:t>承包人在履行合同过程中，对发包人提供的一切资料严格保密、妥善保管，不得对发包人的资料及文件用于本合同外的其他用途，不得外泄或丢失，非经发包人书面同意，不得变动任何材料信息。否则，承包人需向发包人支付子项目</w:t>
      </w:r>
      <w:r>
        <w:rPr>
          <w:rFonts w:hint="eastAsia" w:asciiTheme="minorEastAsia" w:hAnsiTheme="minorEastAsia" w:eastAsiaTheme="minorEastAsia" w:cstheme="minorEastAsia"/>
          <w:snapToGrid w:val="0"/>
          <w:color w:val="auto"/>
          <w:kern w:val="0"/>
          <w:sz w:val="28"/>
          <w:szCs w:val="28"/>
          <w:highlight w:val="none"/>
          <w:lang w:val="zh-CN"/>
        </w:rPr>
        <w:t>合同暂定总额</w:t>
      </w:r>
      <w:r>
        <w:rPr>
          <w:rFonts w:hint="eastAsia" w:asciiTheme="minorEastAsia" w:hAnsiTheme="minorEastAsia" w:eastAsiaTheme="minorEastAsia" w:cstheme="minorEastAsia"/>
          <w:snapToGrid w:val="0"/>
          <w:color w:val="auto"/>
          <w:kern w:val="0"/>
          <w:sz w:val="28"/>
          <w:szCs w:val="28"/>
          <w:highlight w:val="none"/>
          <w:lang w:val="zh-CN"/>
        </w:rPr>
        <w:t>10%的违约金并按照发包人要求进行整改。</w:t>
      </w:r>
    </w:p>
    <w:p w14:paraId="4D786D5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（七）</w:t>
      </w:r>
      <w:r>
        <w:rPr>
          <w:rFonts w:hint="eastAsia" w:asciiTheme="minorEastAsia" w:hAnsiTheme="minorEastAsia" w:eastAsiaTheme="minorEastAsia" w:cstheme="minorEastAsia"/>
          <w:snapToGrid w:val="0"/>
          <w:color w:val="auto"/>
          <w:kern w:val="0"/>
          <w:sz w:val="28"/>
          <w:szCs w:val="28"/>
          <w:highlight w:val="none"/>
          <w:lang w:val="zh-CN"/>
        </w:rPr>
        <w:t>承包人未按合同约定全面履行的，发包人有权书面要求其进行整改，且承包人应按子项目合同暂定总额的每次千分之三向守约方支付违约金。合同及相关管理制度对具体违约行为另有约定的，从其约定。</w:t>
      </w:r>
    </w:p>
    <w:p w14:paraId="6305818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（八）</w:t>
      </w:r>
      <w:r>
        <w:rPr>
          <w:rFonts w:hint="eastAsia" w:asciiTheme="minorEastAsia" w:hAnsiTheme="minorEastAsia" w:eastAsiaTheme="minorEastAsia" w:cstheme="minorEastAsia"/>
          <w:snapToGrid w:val="0"/>
          <w:color w:val="auto"/>
          <w:kern w:val="0"/>
          <w:sz w:val="28"/>
          <w:szCs w:val="28"/>
          <w:highlight w:val="none"/>
          <w:lang w:val="zh-CN"/>
        </w:rPr>
        <w:t>本合同履行期间，因承包人原因造成子项目合同提前终止或解除的，承包人除退还发包人已付的全部款项外，还应向发包人支付子项目合同暂定总额10%的违约金。</w:t>
      </w:r>
    </w:p>
    <w:p w14:paraId="7998E567">
      <w:pPr>
        <w:adjustRightInd w:val="0"/>
        <w:snapToGrid w:val="0"/>
        <w:spacing w:line="500" w:lineRule="exact"/>
        <w:ind w:firstLine="560" w:firstLineChars="200"/>
        <w:jc w:val="both"/>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（九）合同违约金及罚款的支付方式：发包人可选择从履约担保、应付进度款扣除，或由承包人直接向发包人支付等方式。</w:t>
      </w:r>
    </w:p>
    <w:p w14:paraId="15D0CB3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（十）</w:t>
      </w:r>
      <w:r>
        <w:rPr>
          <w:rFonts w:hint="eastAsia" w:asciiTheme="minorEastAsia" w:hAnsiTheme="minorEastAsia" w:eastAsiaTheme="minorEastAsia" w:cstheme="minorEastAsia"/>
          <w:snapToGrid w:val="0"/>
          <w:color w:val="auto"/>
          <w:kern w:val="0"/>
          <w:sz w:val="28"/>
          <w:szCs w:val="28"/>
          <w:highlight w:val="none"/>
          <w:lang w:val="zh-CN"/>
        </w:rPr>
        <w:t>如承包人有以下行为之一的，发包人有权立即单方面解除本合同，承包人应向发包人按合同暂定总额10%支付违约金，在收到解除通知之日起15日内退还发包人已支付的全部款项：</w:t>
      </w:r>
    </w:p>
    <w:p w14:paraId="2F62A97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1.</w:t>
      </w:r>
      <w:r>
        <w:rPr>
          <w:rFonts w:hint="eastAsia" w:asciiTheme="minorEastAsia" w:hAnsiTheme="minorEastAsia" w:eastAsiaTheme="minorEastAsia" w:cstheme="minorEastAsia"/>
          <w:snapToGrid w:val="0"/>
          <w:color w:val="auto"/>
          <w:kern w:val="0"/>
          <w:sz w:val="28"/>
          <w:szCs w:val="28"/>
          <w:highlight w:val="none"/>
          <w:lang w:val="zh-CN"/>
        </w:rPr>
        <w:t>承包人将本合同的全部或擅自将本合同部分分包给第三方，或让第三方借用其资质实际承担本合同的工作；</w:t>
      </w:r>
    </w:p>
    <w:p w14:paraId="7939C44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2.</w:t>
      </w:r>
      <w:r>
        <w:rPr>
          <w:rFonts w:hint="eastAsia" w:asciiTheme="minorEastAsia" w:hAnsiTheme="minorEastAsia" w:eastAsiaTheme="minorEastAsia" w:cstheme="minorEastAsia"/>
          <w:snapToGrid w:val="0"/>
          <w:color w:val="auto"/>
          <w:kern w:val="0"/>
          <w:sz w:val="28"/>
          <w:szCs w:val="28"/>
          <w:highlight w:val="none"/>
          <w:lang w:val="zh-CN"/>
        </w:rPr>
        <w:t>承包人提供伪造、变造工作成果或资料文件的；</w:t>
      </w:r>
    </w:p>
    <w:p w14:paraId="0B949F8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3.</w:t>
      </w:r>
      <w:r>
        <w:rPr>
          <w:rFonts w:hint="eastAsia" w:asciiTheme="minorEastAsia" w:hAnsiTheme="minorEastAsia" w:eastAsiaTheme="minorEastAsia" w:cstheme="minorEastAsia"/>
          <w:snapToGrid w:val="0"/>
          <w:color w:val="auto"/>
          <w:kern w:val="0"/>
          <w:sz w:val="28"/>
          <w:szCs w:val="28"/>
          <w:highlight w:val="none"/>
          <w:lang w:val="zh-CN"/>
        </w:rPr>
        <w:t>承包人不具备履行本合同约定事项的相关资质，或在合同存续期间存在缺少相关资质的情况；</w:t>
      </w:r>
    </w:p>
    <w:p w14:paraId="43A0B7F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lang w:val="zh-CN"/>
        </w:rPr>
        <w:t>承包人多次不按合同约定全面履行的，发包人要求承包人整改，承包人拒绝整改或整改仍未达到发包人要求的；</w:t>
      </w:r>
    </w:p>
    <w:p w14:paraId="4E12A9F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5.</w:t>
      </w:r>
      <w:r>
        <w:rPr>
          <w:rFonts w:hint="eastAsia" w:asciiTheme="minorEastAsia" w:hAnsiTheme="minorEastAsia" w:eastAsiaTheme="minorEastAsia" w:cstheme="minorEastAsia"/>
          <w:snapToGrid w:val="0"/>
          <w:color w:val="auto"/>
          <w:kern w:val="0"/>
          <w:sz w:val="28"/>
          <w:szCs w:val="28"/>
          <w:highlight w:val="none"/>
          <w:lang w:val="zh-CN"/>
        </w:rPr>
        <w:t>承包人法定代表人无正当理由拒绝约谈累计3次及以上；</w:t>
      </w:r>
    </w:p>
    <w:p w14:paraId="27AF3C9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6.</w:t>
      </w:r>
      <w:r>
        <w:rPr>
          <w:rFonts w:hint="eastAsia" w:asciiTheme="minorEastAsia" w:hAnsiTheme="minorEastAsia" w:eastAsiaTheme="minorEastAsia" w:cstheme="minorEastAsia"/>
          <w:snapToGrid w:val="0"/>
          <w:color w:val="auto"/>
          <w:kern w:val="0"/>
          <w:sz w:val="28"/>
          <w:szCs w:val="28"/>
          <w:highlight w:val="none"/>
          <w:lang w:val="zh-CN"/>
        </w:rPr>
        <w:t>承包人多次未按合同约定逾期提供合格成果；</w:t>
      </w:r>
    </w:p>
    <w:p w14:paraId="60136FB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7.</w:t>
      </w:r>
      <w:r>
        <w:rPr>
          <w:rFonts w:hint="eastAsia" w:asciiTheme="minorEastAsia" w:hAnsiTheme="minorEastAsia" w:eastAsiaTheme="minorEastAsia" w:cstheme="minorEastAsia"/>
          <w:snapToGrid w:val="0"/>
          <w:color w:val="auto"/>
          <w:kern w:val="0"/>
          <w:sz w:val="28"/>
          <w:szCs w:val="28"/>
          <w:highlight w:val="none"/>
          <w:lang w:val="zh-CN"/>
        </w:rPr>
        <w:t>其</w:t>
      </w:r>
      <w:r>
        <w:rPr>
          <w:rFonts w:hint="eastAsia" w:asciiTheme="minorEastAsia" w:hAnsiTheme="minorEastAsia" w:eastAsiaTheme="minorEastAsia" w:cstheme="minorEastAsia"/>
          <w:snapToGrid w:val="0"/>
          <w:color w:val="auto"/>
          <w:kern w:val="0"/>
          <w:sz w:val="28"/>
          <w:szCs w:val="28"/>
          <w:highlight w:val="none"/>
          <w:lang w:eastAsia="zh-CN"/>
        </w:rPr>
        <w:t>他</w:t>
      </w:r>
      <w:r>
        <w:rPr>
          <w:rFonts w:hint="eastAsia" w:asciiTheme="minorEastAsia" w:hAnsiTheme="minorEastAsia" w:eastAsiaTheme="minorEastAsia" w:cstheme="minorEastAsia"/>
          <w:snapToGrid w:val="0"/>
          <w:color w:val="auto"/>
          <w:kern w:val="0"/>
          <w:sz w:val="28"/>
          <w:szCs w:val="28"/>
          <w:highlight w:val="none"/>
        </w:rPr>
        <w:t>违反法律法规、部门规章、行业性规范规定的行为。</w:t>
      </w:r>
    </w:p>
    <w:p w14:paraId="00E3F47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（十）</w:t>
      </w:r>
      <w:r>
        <w:rPr>
          <w:rFonts w:hint="eastAsia" w:asciiTheme="minorEastAsia" w:hAnsiTheme="minorEastAsia" w:eastAsiaTheme="minorEastAsia" w:cstheme="minorEastAsia"/>
          <w:snapToGrid w:val="0"/>
          <w:color w:val="auto"/>
          <w:kern w:val="0"/>
          <w:sz w:val="28"/>
          <w:szCs w:val="28"/>
          <w:highlight w:val="none"/>
          <w:lang w:val="zh-CN"/>
        </w:rPr>
        <w:t>发包人向承包人发出解除或部分解除合同的通知后，合同解除或部分解除即生效，承包人必须在3日内停止被解除部分的工作，5日内配合发包人完成工作和有关资料的移交，所交接资料必须完整。承包人无特殊原因未在规定期限内完成移交和撤出，或交接资料不完整的，发包人有权处理其留在现场的材料、设备和其他物件，处理费用由承包人承担。因承包人拒交或延误交接现场工作和有关资料而引致发包人现场秩序受扰及其他方面的损失，发包人有权要求承包人赔偿有关损失。发包人在发出解除或部分解除合同的通知后，发包人即可委托新的服务方承接被解除部分的工作，承包人不得影响或阻碍新的服务方办理进场手续和相关工作。</w:t>
      </w:r>
    </w:p>
    <w:p w14:paraId="66CD1D7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（十一）</w:t>
      </w:r>
      <w:r>
        <w:rPr>
          <w:rFonts w:hint="eastAsia" w:asciiTheme="minorEastAsia" w:hAnsiTheme="minorEastAsia" w:eastAsiaTheme="minorEastAsia" w:cstheme="minorEastAsia"/>
          <w:snapToGrid w:val="0"/>
          <w:color w:val="auto"/>
          <w:kern w:val="0"/>
          <w:sz w:val="28"/>
          <w:szCs w:val="28"/>
          <w:highlight w:val="none"/>
          <w:lang w:val="zh-CN"/>
        </w:rPr>
        <w:t>本合同承包人需赔偿给发包人造成的全部经济损失，包括但不限于违约金、赔偿金、律师费、诉讼费、仲裁费、调查费、财产保全费、执行费、差旅费、交通费、食宿费等发包人实现债权的一切费用。</w:t>
      </w:r>
    </w:p>
    <w:p w14:paraId="5F2F065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（十二）</w:t>
      </w:r>
      <w:r>
        <w:rPr>
          <w:rFonts w:hint="eastAsia" w:asciiTheme="minorEastAsia" w:hAnsiTheme="minorEastAsia" w:eastAsiaTheme="minorEastAsia" w:cstheme="minorEastAsia"/>
          <w:snapToGrid w:val="0"/>
          <w:color w:val="auto"/>
          <w:kern w:val="0"/>
          <w:sz w:val="28"/>
          <w:szCs w:val="28"/>
          <w:highlight w:val="none"/>
          <w:lang w:val="zh-CN"/>
        </w:rPr>
        <w:t>上述所有需承包人赔付、退还的金额，承包人须在收到发包人书面通知10天内完成赔付、退还工作，承包人不予赔付、返还或者无款可扣的，发包人有权按照本合同约定向承包人进行索赔并要求承包人同时支付该款项的逾期利息（按同期全国银行间同业拆借中心公布的贷款市场报价利率计算）。</w:t>
      </w:r>
    </w:p>
    <w:p w14:paraId="01B32E5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（十三）</w:t>
      </w:r>
      <w:r>
        <w:rPr>
          <w:rFonts w:hint="eastAsia" w:asciiTheme="minorEastAsia" w:hAnsiTheme="minorEastAsia" w:eastAsiaTheme="minorEastAsia" w:cstheme="minorEastAsia"/>
          <w:snapToGrid w:val="0"/>
          <w:color w:val="auto"/>
          <w:kern w:val="0"/>
          <w:sz w:val="28"/>
          <w:szCs w:val="28"/>
          <w:highlight w:val="none"/>
          <w:lang w:val="zh-CN"/>
        </w:rPr>
        <w:t>违约金不足以补偿守约方损失的，违约方应承担全部经济责任和法律责任。</w:t>
      </w:r>
    </w:p>
    <w:p w14:paraId="12FE767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（十四）</w:t>
      </w:r>
      <w:r>
        <w:rPr>
          <w:rFonts w:hint="eastAsia" w:asciiTheme="minorEastAsia" w:hAnsiTheme="minorEastAsia" w:eastAsiaTheme="minorEastAsia" w:cstheme="minorEastAsia"/>
          <w:snapToGrid w:val="0"/>
          <w:color w:val="auto"/>
          <w:kern w:val="0"/>
          <w:sz w:val="28"/>
          <w:szCs w:val="28"/>
          <w:highlight w:val="none"/>
          <w:lang w:val="zh-CN"/>
        </w:rPr>
        <w:t>承包人违约责任的认定方式及送达程序</w:t>
      </w:r>
    </w:p>
    <w:p w14:paraId="5815E7E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1.</w:t>
      </w:r>
      <w:r>
        <w:rPr>
          <w:rFonts w:hint="eastAsia" w:asciiTheme="minorEastAsia" w:hAnsiTheme="minorEastAsia" w:eastAsiaTheme="minorEastAsia" w:cstheme="minorEastAsia"/>
          <w:snapToGrid w:val="0"/>
          <w:color w:val="auto"/>
          <w:kern w:val="0"/>
          <w:sz w:val="28"/>
          <w:szCs w:val="28"/>
          <w:highlight w:val="none"/>
          <w:lang w:val="zh-CN"/>
        </w:rPr>
        <w:t>认定方式：发包人依据整改通知单、督办通知单、通知、通报、会议纪要等书面文件，向承包人发出《违约处理决定书》，违约处理决定以发包人出具的《违约处理决定书》确定的内容为准。</w:t>
      </w:r>
    </w:p>
    <w:p w14:paraId="2D957C1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2.</w:t>
      </w:r>
      <w:r>
        <w:rPr>
          <w:rFonts w:hint="eastAsia" w:asciiTheme="minorEastAsia" w:hAnsiTheme="minorEastAsia" w:eastAsiaTheme="minorEastAsia" w:cstheme="minorEastAsia"/>
          <w:snapToGrid w:val="0"/>
          <w:color w:val="auto"/>
          <w:kern w:val="0"/>
          <w:sz w:val="28"/>
          <w:szCs w:val="28"/>
          <w:highlight w:val="none"/>
          <w:lang w:val="zh-CN"/>
        </w:rPr>
        <w:t>送达程序：发包人以下列方式之一将书面违约处理决定书送达承包人。</w:t>
      </w:r>
    </w:p>
    <w:p w14:paraId="31D3FB5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w:t>
      </w:r>
      <w:r>
        <w:rPr>
          <w:rFonts w:hint="eastAsia" w:asciiTheme="minorEastAsia" w:hAnsiTheme="minorEastAsia" w:eastAsiaTheme="minorEastAsia" w:cstheme="minorEastAsia"/>
          <w:snapToGrid w:val="0"/>
          <w:color w:val="auto"/>
          <w:kern w:val="0"/>
          <w:sz w:val="28"/>
          <w:szCs w:val="28"/>
          <w:highlight w:val="none"/>
          <w:lang w:val="en-US" w:eastAsia="zh-CN"/>
        </w:rPr>
        <w:t>1</w:t>
      </w:r>
      <w:r>
        <w:rPr>
          <w:rFonts w:hint="eastAsia" w:asciiTheme="minorEastAsia" w:hAnsiTheme="minorEastAsia" w:eastAsiaTheme="minorEastAsia" w:cstheme="minorEastAsia"/>
          <w:snapToGrid w:val="0"/>
          <w:color w:val="auto"/>
          <w:kern w:val="0"/>
          <w:sz w:val="28"/>
          <w:szCs w:val="28"/>
          <w:highlight w:val="none"/>
          <w:lang w:val="zh-CN"/>
        </w:rPr>
        <w:t>）承包人现场管理机构工作人员签收；</w:t>
      </w:r>
    </w:p>
    <w:p w14:paraId="2EB648E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w:t>
      </w:r>
      <w:r>
        <w:rPr>
          <w:rFonts w:hint="eastAsia" w:asciiTheme="minorEastAsia" w:hAnsiTheme="minorEastAsia" w:eastAsiaTheme="minorEastAsia" w:cstheme="minorEastAsia"/>
          <w:snapToGrid w:val="0"/>
          <w:color w:val="auto"/>
          <w:kern w:val="0"/>
          <w:sz w:val="28"/>
          <w:szCs w:val="28"/>
          <w:highlight w:val="none"/>
          <w:lang w:val="en-US" w:eastAsia="zh-CN"/>
        </w:rPr>
        <w:t>2</w:t>
      </w:r>
      <w:r>
        <w:rPr>
          <w:rFonts w:hint="eastAsia" w:asciiTheme="minorEastAsia" w:hAnsiTheme="minorEastAsia" w:eastAsiaTheme="minorEastAsia" w:cstheme="minorEastAsia"/>
          <w:snapToGrid w:val="0"/>
          <w:color w:val="auto"/>
          <w:kern w:val="0"/>
          <w:sz w:val="28"/>
          <w:szCs w:val="28"/>
          <w:highlight w:val="none"/>
          <w:lang w:val="zh-CN"/>
        </w:rPr>
        <w:t>）承包人其他工作人员签收；</w:t>
      </w:r>
    </w:p>
    <w:p w14:paraId="5EAE95F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w:t>
      </w:r>
      <w:r>
        <w:rPr>
          <w:rFonts w:hint="eastAsia" w:asciiTheme="minorEastAsia" w:hAnsiTheme="minorEastAsia" w:eastAsiaTheme="minorEastAsia" w:cstheme="minorEastAsia"/>
          <w:snapToGrid w:val="0"/>
          <w:color w:val="auto"/>
          <w:kern w:val="0"/>
          <w:sz w:val="28"/>
          <w:szCs w:val="28"/>
          <w:highlight w:val="none"/>
          <w:lang w:val="en-US" w:eastAsia="zh-CN"/>
        </w:rPr>
        <w:t>3</w:t>
      </w:r>
      <w:r>
        <w:rPr>
          <w:rFonts w:hint="eastAsia" w:asciiTheme="minorEastAsia" w:hAnsiTheme="minorEastAsia" w:eastAsiaTheme="minorEastAsia" w:cstheme="minorEastAsia"/>
          <w:snapToGrid w:val="0"/>
          <w:color w:val="auto"/>
          <w:kern w:val="0"/>
          <w:sz w:val="28"/>
          <w:szCs w:val="28"/>
          <w:highlight w:val="none"/>
          <w:lang w:val="zh-CN"/>
        </w:rPr>
        <w:t>）发包人邮寄送达。</w:t>
      </w:r>
    </w:p>
    <w:p w14:paraId="226C5CA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3.</w:t>
      </w:r>
      <w:r>
        <w:rPr>
          <w:rFonts w:hint="eastAsia" w:asciiTheme="minorEastAsia" w:hAnsiTheme="minorEastAsia" w:eastAsiaTheme="minorEastAsia" w:cstheme="minorEastAsia"/>
          <w:snapToGrid w:val="0"/>
          <w:color w:val="auto"/>
          <w:kern w:val="0"/>
          <w:sz w:val="28"/>
          <w:szCs w:val="28"/>
          <w:highlight w:val="none"/>
          <w:lang w:val="zh-CN"/>
        </w:rPr>
        <w:t>发包人发出的《违约处理决定书》一经送达承包人立即生效。承包人如有证据证明不应由其承担违约责任的，应在收到违约处理决定后3天内以书面形式向发包人提出异议并附上有关证据；发包人在收到承包人的异议后15个工作日内审核完毕且作出书面决定并通知承包人。承包人未在上述期限内提出异议的，视为同意《违约处理决定书》。</w:t>
      </w:r>
    </w:p>
    <w:p w14:paraId="0F5B1F0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lang w:val="zh-CN"/>
        </w:rPr>
        <w:t>在任何索赔和争议期间，不论索赔是否有据，均不能免除承包人按合同约定履行义务，承包人不得以此拒不履行或拖延合同的履行，否则，导致发包人实际损失的，发包人有权解除合同并保留向承包人的追索权。</w:t>
      </w:r>
    </w:p>
    <w:p w14:paraId="2EA16E1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b w:val="0"/>
          <w:bCs w:val="0"/>
          <w:snapToGrid w:val="0"/>
          <w:color w:val="auto"/>
          <w:kern w:val="0"/>
          <w:sz w:val="28"/>
          <w:szCs w:val="28"/>
          <w:highlight w:val="none"/>
          <w:lang w:val="zh-CN" w:eastAsia="zh-CN"/>
        </w:rPr>
      </w:pPr>
      <w:r>
        <w:rPr>
          <w:rFonts w:hint="eastAsia" w:asciiTheme="minorEastAsia" w:hAnsiTheme="minorEastAsia" w:eastAsiaTheme="minorEastAsia" w:cstheme="minorEastAsia"/>
          <w:b w:val="0"/>
          <w:bCs w:val="0"/>
          <w:snapToGrid w:val="0"/>
          <w:color w:val="auto"/>
          <w:kern w:val="0"/>
          <w:sz w:val="28"/>
          <w:szCs w:val="28"/>
          <w:highlight w:val="none"/>
          <w:lang w:val="zh-CN" w:eastAsia="zh-CN"/>
        </w:rPr>
        <w:t>（十五）前述违约金</w:t>
      </w:r>
      <w:r>
        <w:rPr>
          <w:rFonts w:hint="eastAsia" w:asciiTheme="minorEastAsia" w:hAnsiTheme="minorEastAsia" w:eastAsiaTheme="minorEastAsia" w:cstheme="minorEastAsia"/>
          <w:snapToGrid w:val="0"/>
          <w:color w:val="auto"/>
          <w:kern w:val="0"/>
          <w:sz w:val="28"/>
          <w:szCs w:val="28"/>
          <w:highlight w:val="none"/>
          <w:lang w:val="zh-CN"/>
        </w:rPr>
        <w:t>累计不超过合同暂定总额的</w:t>
      </w:r>
      <w:r>
        <w:rPr>
          <w:rFonts w:hint="eastAsia" w:asciiTheme="minorEastAsia" w:hAnsiTheme="minorEastAsia" w:eastAsiaTheme="minorEastAsia" w:cstheme="minorEastAsia"/>
          <w:snapToGrid w:val="0"/>
          <w:color w:val="auto"/>
          <w:kern w:val="0"/>
          <w:sz w:val="28"/>
          <w:szCs w:val="28"/>
          <w:highlight w:val="none"/>
          <w:lang w:val="en-US" w:eastAsia="zh-CN"/>
        </w:rPr>
        <w:t>2</w:t>
      </w:r>
      <w:r>
        <w:rPr>
          <w:rStyle w:val="32"/>
          <w:rFonts w:hint="eastAsia" w:asciiTheme="minorEastAsia" w:hAnsiTheme="minorEastAsia" w:eastAsiaTheme="minorEastAsia" w:cstheme="minorEastAsia"/>
          <w:snapToGrid w:val="0"/>
          <w:color w:val="auto"/>
          <w:kern w:val="0"/>
          <w:sz w:val="28"/>
          <w:szCs w:val="28"/>
          <w:highlight w:val="none"/>
          <w:lang w:val="zh-CN"/>
        </w:rPr>
        <w:t>0%</w:t>
      </w:r>
      <w:r>
        <w:rPr>
          <w:rStyle w:val="32"/>
          <w:rFonts w:hint="eastAsia" w:asciiTheme="minorEastAsia" w:hAnsiTheme="minorEastAsia" w:eastAsiaTheme="minorEastAsia" w:cstheme="minorEastAsia"/>
          <w:snapToGrid w:val="0"/>
          <w:color w:val="auto"/>
          <w:kern w:val="0"/>
          <w:sz w:val="28"/>
          <w:szCs w:val="28"/>
          <w:highlight w:val="none"/>
          <w:lang w:val="zh-CN" w:eastAsia="zh-CN"/>
        </w:rPr>
        <w:t>。</w:t>
      </w:r>
    </w:p>
    <w:p w14:paraId="6E7395AA">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第八条 履约担保</w:t>
      </w:r>
    </w:p>
    <w:p w14:paraId="6F402AD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1</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rPr>
        <w:t>履约担保的金额（合同暂定金额</w:t>
      </w:r>
      <w:r>
        <w:rPr>
          <w:rFonts w:hint="eastAsia" w:asciiTheme="minorEastAsia" w:hAnsiTheme="minorEastAsia" w:eastAsiaTheme="minorEastAsia" w:cstheme="minorEastAsia"/>
          <w:snapToGrid w:val="0"/>
          <w:color w:val="auto"/>
          <w:kern w:val="0"/>
          <w:sz w:val="28"/>
          <w:szCs w:val="28"/>
          <w:highlight w:val="none"/>
          <w:lang w:eastAsia="zh-CN"/>
        </w:rPr>
        <w:t>的</w:t>
      </w:r>
      <w:r>
        <w:rPr>
          <w:rFonts w:hint="eastAsia" w:asciiTheme="minorEastAsia" w:hAnsiTheme="minorEastAsia" w:eastAsiaTheme="minorEastAsia" w:cstheme="minorEastAsia"/>
          <w:snapToGrid w:val="0"/>
          <w:color w:val="auto"/>
          <w:kern w:val="0"/>
          <w:sz w:val="28"/>
          <w:szCs w:val="28"/>
          <w:highlight w:val="none"/>
        </w:rPr>
        <w:t>10%）为大写：人民币</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 xml:space="preserve"> ，小写：  元。</w:t>
      </w:r>
    </w:p>
    <w:p w14:paraId="60B35C4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2</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rPr>
        <w:t>履约担保方式：见索即付、不可撤销的履约保函，担保范围涵盖违约金、赔偿金、维权费用及质保责任。</w:t>
      </w:r>
    </w:p>
    <w:p w14:paraId="4F41F8A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3</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rPr>
        <w:t>提供履约担保的时间：签订本合同后15日内。</w:t>
      </w:r>
    </w:p>
    <w:p w14:paraId="46EDB8B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4</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rPr>
        <w:t>出具履约保函的担保人：应由在中国注册且营业地点在广东省内的银行开具。</w:t>
      </w:r>
    </w:p>
    <w:p w14:paraId="59925220">
      <w:pPr>
        <w:keepNext w:val="0"/>
        <w:keepLines w:val="0"/>
        <w:widowControl w:val="0"/>
        <w:suppressLineNumbers w:val="0"/>
        <w:adjustRightInd w:val="0"/>
        <w:snapToGrid w:val="0"/>
        <w:spacing w:before="0" w:beforeAutospacing="0" w:after="0" w:afterAutospacing="0" w:line="500" w:lineRule="exact"/>
        <w:ind w:left="0" w:right="0" w:firstLine="560" w:firstLineChars="200"/>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5.</w:t>
      </w:r>
      <w:r>
        <w:rPr>
          <w:rFonts w:hint="eastAsia" w:asciiTheme="minorEastAsia" w:hAnsiTheme="minorEastAsia" w:eastAsiaTheme="minorEastAsia" w:cstheme="minorEastAsia"/>
          <w:snapToGrid w:val="0"/>
          <w:color w:val="auto"/>
          <w:kern w:val="0"/>
          <w:sz w:val="28"/>
          <w:szCs w:val="28"/>
          <w:highlight w:val="none"/>
        </w:rPr>
        <w:t>发包人有权根据违约情况直接索赔保函或扣款，承包人应在3日内补足保函额度。</w:t>
      </w:r>
    </w:p>
    <w:p w14:paraId="79C25C16">
      <w:pPr>
        <w:keepNext w:val="0"/>
        <w:keepLines w:val="0"/>
        <w:widowControl w:val="0"/>
        <w:numPr>
          <w:ilvl w:val="-1"/>
          <w:numId w:val="0"/>
        </w:numPr>
        <w:suppressLineNumbers w:val="0"/>
        <w:adjustRightInd w:val="0"/>
        <w:snapToGrid w:val="0"/>
        <w:spacing w:before="0" w:beforeAutospacing="0" w:after="0" w:afterAutospacing="0" w:line="500" w:lineRule="exact"/>
        <w:ind w:left="0" w:firstLine="560" w:firstLineChars="200"/>
        <w:rPr>
          <w:color w:val="auto"/>
          <w:highlight w:val="none"/>
        </w:rPr>
      </w:pPr>
      <w:r>
        <w:rPr>
          <w:rFonts w:hint="eastAsia" w:asciiTheme="minorEastAsia" w:hAnsiTheme="minorEastAsia" w:eastAsiaTheme="minorEastAsia" w:cstheme="minorEastAsia"/>
          <w:snapToGrid w:val="0"/>
          <w:color w:val="auto"/>
          <w:kern w:val="0"/>
          <w:sz w:val="28"/>
          <w:szCs w:val="28"/>
          <w:highlight w:val="none"/>
          <w:lang w:eastAsia="zh-CN"/>
        </w:rPr>
        <w:t>6</w:t>
      </w:r>
      <w:r>
        <w:rPr>
          <w:rFonts w:hint="eastAsia" w:asciiTheme="minorEastAsia" w:hAnsiTheme="minorEastAsia" w:eastAsiaTheme="minorEastAsia" w:cstheme="minorEastAsia"/>
          <w:snapToGrid w:val="0"/>
          <w:color w:val="auto"/>
          <w:kern w:val="0"/>
          <w:sz w:val="28"/>
          <w:szCs w:val="28"/>
          <w:highlight w:val="none"/>
          <w:lang w:val="en-US" w:eastAsia="zh-CN"/>
        </w:rPr>
        <w:t>.</w:t>
      </w:r>
      <w:r>
        <w:rPr>
          <w:rFonts w:hint="eastAsia" w:asciiTheme="minorEastAsia" w:hAnsiTheme="minorEastAsia" w:eastAsiaTheme="minorEastAsia" w:cstheme="minorEastAsia"/>
          <w:snapToGrid w:val="0"/>
          <w:color w:val="auto"/>
          <w:kern w:val="0"/>
          <w:sz w:val="28"/>
          <w:szCs w:val="28"/>
          <w:highlight w:val="none"/>
        </w:rPr>
        <w:t>履约保函退还时间的约定：</w:t>
      </w:r>
      <w:r>
        <w:rPr>
          <w:rFonts w:hint="eastAsia" w:asciiTheme="minorEastAsia" w:hAnsiTheme="minorEastAsia" w:eastAsiaTheme="minorEastAsia" w:cstheme="minorEastAsia"/>
          <w:snapToGrid w:val="0"/>
          <w:color w:val="auto"/>
          <w:kern w:val="0"/>
          <w:sz w:val="28"/>
          <w:szCs w:val="28"/>
          <w:highlight w:val="none"/>
          <w:lang w:eastAsia="zh-CN"/>
        </w:rPr>
        <w:t>承包</w:t>
      </w:r>
      <w:r>
        <w:rPr>
          <w:rFonts w:hint="eastAsia" w:asciiTheme="minorEastAsia" w:hAnsiTheme="minorEastAsia" w:eastAsiaTheme="minorEastAsia" w:cstheme="minorEastAsia"/>
          <w:snapToGrid w:val="0"/>
          <w:color w:val="auto"/>
          <w:kern w:val="0"/>
          <w:sz w:val="28"/>
          <w:szCs w:val="28"/>
          <w:highlight w:val="none"/>
        </w:rPr>
        <w:t>人未按合同的规定履约，</w:t>
      </w:r>
      <w:r>
        <w:rPr>
          <w:rFonts w:hint="eastAsia" w:asciiTheme="minorEastAsia" w:hAnsiTheme="minorEastAsia" w:eastAsiaTheme="minorEastAsia" w:cstheme="minorEastAsia"/>
          <w:snapToGrid w:val="0"/>
          <w:color w:val="auto"/>
          <w:kern w:val="0"/>
          <w:sz w:val="28"/>
          <w:szCs w:val="28"/>
          <w:highlight w:val="none"/>
          <w:lang w:eastAsia="zh-CN"/>
        </w:rPr>
        <w:t>发包</w:t>
      </w:r>
      <w:r>
        <w:rPr>
          <w:rFonts w:hint="eastAsia" w:asciiTheme="minorEastAsia" w:hAnsiTheme="minorEastAsia" w:eastAsiaTheme="minorEastAsia" w:cstheme="minorEastAsia"/>
          <w:snapToGrid w:val="0"/>
          <w:color w:val="auto"/>
          <w:kern w:val="0"/>
          <w:sz w:val="28"/>
          <w:szCs w:val="28"/>
          <w:highlight w:val="none"/>
        </w:rPr>
        <w:t>人有权依据保函向担保人索赔。</w:t>
      </w:r>
      <w:r>
        <w:rPr>
          <w:rFonts w:hint="eastAsia" w:asciiTheme="minorEastAsia" w:hAnsiTheme="minorEastAsia" w:eastAsiaTheme="minorEastAsia" w:cstheme="minorEastAsia"/>
          <w:snapToGrid w:val="0"/>
          <w:color w:val="auto"/>
          <w:kern w:val="0"/>
          <w:sz w:val="28"/>
          <w:szCs w:val="28"/>
          <w:highlight w:val="none"/>
          <w:lang w:eastAsia="zh-CN"/>
        </w:rPr>
        <w:t>承包</w:t>
      </w:r>
      <w:r>
        <w:rPr>
          <w:rFonts w:hint="eastAsia" w:asciiTheme="minorEastAsia" w:hAnsiTheme="minorEastAsia" w:eastAsiaTheme="minorEastAsia" w:cstheme="minorEastAsia"/>
          <w:snapToGrid w:val="0"/>
          <w:color w:val="auto"/>
          <w:kern w:val="0"/>
          <w:sz w:val="28"/>
          <w:szCs w:val="28"/>
          <w:highlight w:val="none"/>
        </w:rPr>
        <w:t>人</w:t>
      </w:r>
      <w:r>
        <w:rPr>
          <w:rFonts w:hint="eastAsia" w:asciiTheme="minorEastAsia" w:hAnsiTheme="minorEastAsia" w:eastAsiaTheme="minorEastAsia" w:cstheme="minorEastAsia"/>
          <w:snapToGrid w:val="0"/>
          <w:color w:val="auto"/>
          <w:kern w:val="0"/>
          <w:sz w:val="28"/>
          <w:szCs w:val="28"/>
          <w:highlight w:val="none"/>
          <w:lang w:eastAsia="zh-CN"/>
        </w:rPr>
        <w:t>应确保</w:t>
      </w:r>
      <w:r>
        <w:rPr>
          <w:rFonts w:hint="eastAsia" w:asciiTheme="minorEastAsia" w:hAnsiTheme="minorEastAsia" w:eastAsiaTheme="minorEastAsia" w:cstheme="minorEastAsia"/>
          <w:snapToGrid w:val="0"/>
          <w:color w:val="auto"/>
          <w:kern w:val="0"/>
          <w:sz w:val="28"/>
          <w:szCs w:val="28"/>
          <w:highlight w:val="none"/>
        </w:rPr>
        <w:t>履约保函</w:t>
      </w:r>
      <w:r>
        <w:rPr>
          <w:rFonts w:hint="eastAsia" w:asciiTheme="minorEastAsia" w:hAnsiTheme="minorEastAsia" w:eastAsiaTheme="minorEastAsia" w:cstheme="minorEastAsia"/>
          <w:snapToGrid w:val="0"/>
          <w:color w:val="auto"/>
          <w:kern w:val="0"/>
          <w:sz w:val="28"/>
          <w:szCs w:val="28"/>
          <w:highlight w:val="none"/>
          <w:lang w:eastAsia="zh-CN"/>
        </w:rPr>
        <w:t>一直有效，当</w:t>
      </w:r>
      <w:r>
        <w:rPr>
          <w:rFonts w:hint="eastAsia" w:asciiTheme="minorEastAsia" w:hAnsiTheme="minorEastAsia" w:eastAsiaTheme="minorEastAsia" w:cstheme="minorEastAsia"/>
          <w:snapToGrid w:val="0"/>
          <w:color w:val="auto"/>
          <w:kern w:val="0"/>
          <w:sz w:val="28"/>
          <w:szCs w:val="28"/>
          <w:highlight w:val="none"/>
        </w:rPr>
        <w:t>履约保函</w:t>
      </w:r>
      <w:r>
        <w:rPr>
          <w:rFonts w:hint="eastAsia" w:asciiTheme="minorEastAsia" w:hAnsiTheme="minorEastAsia" w:eastAsiaTheme="minorEastAsia" w:cstheme="minorEastAsia"/>
          <w:snapToGrid w:val="0"/>
          <w:color w:val="auto"/>
          <w:kern w:val="0"/>
          <w:sz w:val="28"/>
          <w:szCs w:val="28"/>
          <w:highlight w:val="none"/>
          <w:lang w:eastAsia="zh-CN"/>
        </w:rPr>
        <w:t>有效期将至</w:t>
      </w:r>
      <w:r>
        <w:rPr>
          <w:rFonts w:hint="eastAsia" w:asciiTheme="minorEastAsia" w:hAnsiTheme="minorEastAsia" w:eastAsiaTheme="minorEastAsia" w:cstheme="minorEastAsia"/>
          <w:snapToGrid w:val="0"/>
          <w:color w:val="auto"/>
          <w:kern w:val="0"/>
          <w:sz w:val="28"/>
          <w:szCs w:val="28"/>
          <w:highlight w:val="none"/>
        </w:rPr>
        <w:t>，须</w:t>
      </w:r>
      <w:r>
        <w:rPr>
          <w:rFonts w:hint="eastAsia" w:asciiTheme="minorEastAsia" w:hAnsiTheme="minorEastAsia" w:eastAsiaTheme="minorEastAsia" w:cstheme="minorEastAsia"/>
          <w:snapToGrid w:val="0"/>
          <w:color w:val="auto"/>
          <w:kern w:val="0"/>
          <w:sz w:val="28"/>
          <w:szCs w:val="28"/>
          <w:highlight w:val="none"/>
          <w:lang w:eastAsia="zh-CN"/>
        </w:rPr>
        <w:t>提前</w:t>
      </w:r>
      <w:r>
        <w:rPr>
          <w:rFonts w:hint="eastAsia" w:asciiTheme="minorEastAsia" w:hAnsiTheme="minorEastAsia" w:eastAsiaTheme="minorEastAsia" w:cstheme="minorEastAsia"/>
          <w:snapToGrid w:val="0"/>
          <w:color w:val="auto"/>
          <w:kern w:val="0"/>
          <w:sz w:val="28"/>
          <w:szCs w:val="28"/>
          <w:highlight w:val="none"/>
          <w:lang w:val="en-US" w:eastAsia="zh-CN"/>
        </w:rPr>
        <w:t>30天办理</w:t>
      </w:r>
      <w:r>
        <w:rPr>
          <w:rFonts w:hint="eastAsia" w:asciiTheme="minorEastAsia" w:hAnsiTheme="minorEastAsia" w:eastAsiaTheme="minorEastAsia" w:cstheme="minorEastAsia"/>
          <w:snapToGrid w:val="0"/>
          <w:color w:val="auto"/>
          <w:kern w:val="0"/>
          <w:sz w:val="28"/>
          <w:szCs w:val="28"/>
          <w:highlight w:val="none"/>
        </w:rPr>
        <w:t>延长</w:t>
      </w:r>
      <w:r>
        <w:rPr>
          <w:rFonts w:hint="eastAsia" w:asciiTheme="minorEastAsia" w:hAnsiTheme="minorEastAsia" w:eastAsiaTheme="minorEastAsia" w:cstheme="minorEastAsia"/>
          <w:snapToGrid w:val="0"/>
          <w:color w:val="auto"/>
          <w:kern w:val="0"/>
          <w:sz w:val="28"/>
          <w:szCs w:val="28"/>
          <w:highlight w:val="none"/>
          <w:lang w:eastAsia="zh-CN"/>
        </w:rPr>
        <w:t>手续。</w:t>
      </w:r>
      <w:r>
        <w:rPr>
          <w:rFonts w:hint="eastAsia" w:asciiTheme="minorEastAsia" w:hAnsiTheme="minorEastAsia" w:eastAsiaTheme="minorEastAsia" w:cstheme="minorEastAsia"/>
          <w:snapToGrid w:val="0"/>
          <w:color w:val="auto"/>
          <w:kern w:val="0"/>
          <w:sz w:val="28"/>
          <w:szCs w:val="28"/>
          <w:highlight w:val="none"/>
          <w:lang w:eastAsia="zh-CN"/>
        </w:rPr>
        <w:t>发包</w:t>
      </w:r>
      <w:r>
        <w:rPr>
          <w:rFonts w:hint="eastAsia" w:asciiTheme="minorEastAsia" w:hAnsiTheme="minorEastAsia" w:eastAsiaTheme="minorEastAsia" w:cstheme="minorEastAsia"/>
          <w:snapToGrid w:val="0"/>
          <w:color w:val="auto"/>
          <w:kern w:val="0"/>
          <w:sz w:val="28"/>
          <w:szCs w:val="28"/>
          <w:highlight w:val="none"/>
        </w:rPr>
        <w:t>人在</w:t>
      </w:r>
      <w:r>
        <w:rPr>
          <w:rFonts w:hint="eastAsia" w:asciiTheme="minorEastAsia" w:hAnsiTheme="minorEastAsia" w:eastAsiaTheme="minorEastAsia" w:cstheme="minorEastAsia"/>
          <w:snapToGrid w:val="0"/>
          <w:color w:val="auto"/>
          <w:kern w:val="0"/>
          <w:sz w:val="28"/>
          <w:szCs w:val="28"/>
          <w:highlight w:val="none"/>
          <w:lang w:eastAsia="zh-CN"/>
        </w:rPr>
        <w:t>承包人完成本框架合同项下所有子项目合同约定的服务内容后6</w:t>
      </w:r>
      <w:r>
        <w:rPr>
          <w:rFonts w:hint="eastAsia" w:asciiTheme="minorEastAsia" w:hAnsiTheme="minorEastAsia" w:eastAsiaTheme="minorEastAsia" w:cstheme="minorEastAsia"/>
          <w:snapToGrid w:val="0"/>
          <w:color w:val="auto"/>
          <w:kern w:val="0"/>
          <w:sz w:val="28"/>
          <w:szCs w:val="28"/>
          <w:highlight w:val="none"/>
          <w:lang w:val="en-US" w:eastAsia="zh-CN"/>
        </w:rPr>
        <w:t>0</w:t>
      </w:r>
      <w:r>
        <w:rPr>
          <w:rFonts w:hint="eastAsia" w:asciiTheme="minorEastAsia" w:hAnsiTheme="minorEastAsia" w:eastAsiaTheme="minorEastAsia" w:cstheme="minorEastAsia"/>
          <w:snapToGrid w:val="0"/>
          <w:color w:val="auto"/>
          <w:kern w:val="0"/>
          <w:sz w:val="28"/>
          <w:szCs w:val="28"/>
          <w:highlight w:val="none"/>
        </w:rPr>
        <w:t>天内退还</w:t>
      </w:r>
      <w:r>
        <w:rPr>
          <w:rFonts w:hint="eastAsia" w:asciiTheme="minorEastAsia" w:hAnsiTheme="minorEastAsia" w:eastAsiaTheme="minorEastAsia" w:cstheme="minorEastAsia"/>
          <w:snapToGrid w:val="0"/>
          <w:color w:val="auto"/>
          <w:kern w:val="0"/>
          <w:sz w:val="28"/>
          <w:szCs w:val="28"/>
          <w:highlight w:val="none"/>
          <w:lang w:eastAsia="zh-CN"/>
        </w:rPr>
        <w:t>承包</w:t>
      </w:r>
      <w:r>
        <w:rPr>
          <w:rFonts w:hint="eastAsia" w:asciiTheme="minorEastAsia" w:hAnsiTheme="minorEastAsia" w:eastAsiaTheme="minorEastAsia" w:cstheme="minorEastAsia"/>
          <w:snapToGrid w:val="0"/>
          <w:color w:val="auto"/>
          <w:kern w:val="0"/>
          <w:sz w:val="28"/>
          <w:szCs w:val="28"/>
          <w:highlight w:val="none"/>
        </w:rPr>
        <w:t>人的履约保函</w:t>
      </w:r>
      <w:r>
        <w:rPr>
          <w:rFonts w:hint="eastAsia" w:asciiTheme="minorEastAsia" w:hAnsiTheme="minorEastAsia" w:eastAsiaTheme="minorEastAsia" w:cstheme="minorEastAsia"/>
          <w:snapToGrid w:val="0"/>
          <w:color w:val="auto"/>
          <w:kern w:val="0"/>
          <w:sz w:val="28"/>
          <w:szCs w:val="28"/>
          <w:highlight w:val="none"/>
          <w:lang w:eastAsia="zh-CN"/>
        </w:rPr>
        <w:t>原件</w:t>
      </w:r>
      <w:r>
        <w:rPr>
          <w:rFonts w:hint="eastAsia" w:asciiTheme="minorEastAsia" w:hAnsiTheme="minorEastAsia" w:eastAsiaTheme="minorEastAsia" w:cstheme="minorEastAsia"/>
          <w:snapToGrid w:val="0"/>
          <w:color w:val="auto"/>
          <w:kern w:val="0"/>
          <w:sz w:val="28"/>
          <w:szCs w:val="28"/>
          <w:highlight w:val="none"/>
        </w:rPr>
        <w:t>。</w:t>
      </w:r>
    </w:p>
    <w:p w14:paraId="776C92CC">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第九条 建设管理单位的授权</w:t>
      </w:r>
    </w:p>
    <w:p w14:paraId="6796F4D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因项目建设管理需要，发包人（</w:t>
      </w:r>
      <w:r>
        <w:rPr>
          <w:rFonts w:hint="eastAsia" w:asciiTheme="minorEastAsia" w:hAnsiTheme="minorEastAsia" w:eastAsiaTheme="minorEastAsia" w:cstheme="minorEastAsia"/>
          <w:snapToGrid w:val="0"/>
          <w:color w:val="auto"/>
          <w:kern w:val="0"/>
          <w:sz w:val="28"/>
          <w:szCs w:val="28"/>
          <w:highlight w:val="none"/>
          <w:lang w:eastAsia="zh-CN"/>
        </w:rPr>
        <w:t>甲方</w:t>
      </w:r>
      <w:r>
        <w:rPr>
          <w:rFonts w:hint="eastAsia" w:asciiTheme="minorEastAsia" w:hAnsiTheme="minorEastAsia" w:eastAsiaTheme="minorEastAsia" w:cstheme="minorEastAsia"/>
          <w:snapToGrid w:val="0"/>
          <w:color w:val="auto"/>
          <w:kern w:val="0"/>
          <w:sz w:val="28"/>
          <w:szCs w:val="28"/>
          <w:highlight w:val="none"/>
        </w:rPr>
        <w:t>）有权委托建设管理单位（或代建单位）负责本工程的建设管理，承包人应服从建设管理单位（或代建单位）管理并配合其开展工作。发包人（</w:t>
      </w:r>
      <w:r>
        <w:rPr>
          <w:rFonts w:hint="eastAsia" w:asciiTheme="minorEastAsia" w:hAnsiTheme="minorEastAsia" w:eastAsiaTheme="minorEastAsia" w:cstheme="minorEastAsia"/>
          <w:snapToGrid w:val="0"/>
          <w:color w:val="auto"/>
          <w:kern w:val="0"/>
          <w:sz w:val="28"/>
          <w:szCs w:val="28"/>
          <w:highlight w:val="none"/>
          <w:lang w:eastAsia="zh-CN"/>
        </w:rPr>
        <w:t>甲方</w:t>
      </w:r>
      <w:r>
        <w:rPr>
          <w:rFonts w:hint="eastAsia" w:asciiTheme="minorEastAsia" w:hAnsiTheme="minorEastAsia" w:eastAsiaTheme="minorEastAsia" w:cstheme="minorEastAsia"/>
          <w:snapToGrid w:val="0"/>
          <w:color w:val="auto"/>
          <w:kern w:val="0"/>
          <w:sz w:val="28"/>
          <w:szCs w:val="28"/>
          <w:highlight w:val="none"/>
        </w:rPr>
        <w:t>）委托管理的权限、内容、范围等将另行签订书面合同予以明确，建设管理单位（或代建单位）按合同约定代表发包人（</w:t>
      </w:r>
      <w:r>
        <w:rPr>
          <w:rFonts w:hint="eastAsia" w:asciiTheme="minorEastAsia" w:hAnsiTheme="minorEastAsia" w:eastAsiaTheme="minorEastAsia" w:cstheme="minorEastAsia"/>
          <w:snapToGrid w:val="0"/>
          <w:color w:val="auto"/>
          <w:kern w:val="0"/>
          <w:sz w:val="28"/>
          <w:szCs w:val="28"/>
          <w:highlight w:val="none"/>
          <w:lang w:eastAsia="zh-CN"/>
        </w:rPr>
        <w:t>甲方</w:t>
      </w:r>
      <w:r>
        <w:rPr>
          <w:rFonts w:hint="eastAsia" w:asciiTheme="minorEastAsia" w:hAnsiTheme="minorEastAsia" w:eastAsiaTheme="minorEastAsia" w:cstheme="minorEastAsia"/>
          <w:snapToGrid w:val="0"/>
          <w:color w:val="auto"/>
          <w:kern w:val="0"/>
          <w:sz w:val="28"/>
          <w:szCs w:val="28"/>
          <w:highlight w:val="none"/>
        </w:rPr>
        <w:t>）履行项目建设管理职责。如本项目有建设管理单位（或代建单位），则本合同中所约定的有关承包人报发包人审核或确认等内容，均应按项目建设管理流程先由承包人报建设管理单位（或代建单位）审核确认，再由建设管理单位（或代建单位）报发包人（</w:t>
      </w:r>
      <w:r>
        <w:rPr>
          <w:rFonts w:hint="eastAsia" w:asciiTheme="minorEastAsia" w:hAnsiTheme="minorEastAsia" w:eastAsiaTheme="minorEastAsia" w:cstheme="minorEastAsia"/>
          <w:snapToGrid w:val="0"/>
          <w:color w:val="auto"/>
          <w:kern w:val="0"/>
          <w:sz w:val="28"/>
          <w:szCs w:val="28"/>
          <w:highlight w:val="none"/>
          <w:lang w:eastAsia="zh-CN"/>
        </w:rPr>
        <w:t>甲方</w:t>
      </w:r>
      <w:r>
        <w:rPr>
          <w:rFonts w:hint="eastAsia" w:asciiTheme="minorEastAsia" w:hAnsiTheme="minorEastAsia" w:eastAsiaTheme="minorEastAsia" w:cstheme="minorEastAsia"/>
          <w:snapToGrid w:val="0"/>
          <w:color w:val="auto"/>
          <w:kern w:val="0"/>
          <w:sz w:val="28"/>
          <w:szCs w:val="28"/>
          <w:highlight w:val="none"/>
        </w:rPr>
        <w:t>）批准后方可执行。</w:t>
      </w:r>
    </w:p>
    <w:p w14:paraId="0685CC5C">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第十条 保密条款及知识产权归属</w:t>
      </w:r>
    </w:p>
    <w:p w14:paraId="521D0AF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（一）</w:t>
      </w:r>
      <w:r>
        <w:rPr>
          <w:rFonts w:hint="eastAsia" w:asciiTheme="minorEastAsia" w:hAnsiTheme="minorEastAsia" w:eastAsiaTheme="minorEastAsia" w:cstheme="minorEastAsia"/>
          <w:snapToGrid w:val="0"/>
          <w:color w:val="auto"/>
          <w:kern w:val="0"/>
          <w:sz w:val="28"/>
          <w:szCs w:val="28"/>
          <w:highlight w:val="none"/>
          <w:lang w:val="zh-CN"/>
        </w:rPr>
        <w:t>发包人对提供的资料和承包人提交的成果拥有知识产权和所有权。未经发包人书面同意，承包人不得将有关资料及成果向第三人转让或用于其他项目。如发生以上情况，承包人除承担由此给发包人造成的经济损失外，还应相应法律责任。</w:t>
      </w:r>
    </w:p>
    <w:p w14:paraId="454723C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（二）</w:t>
      </w:r>
      <w:r>
        <w:rPr>
          <w:rFonts w:hint="eastAsia" w:asciiTheme="minorEastAsia" w:hAnsiTheme="minorEastAsia" w:eastAsiaTheme="minorEastAsia" w:cstheme="minorEastAsia"/>
          <w:snapToGrid w:val="0"/>
          <w:color w:val="auto"/>
          <w:kern w:val="0"/>
          <w:sz w:val="28"/>
          <w:szCs w:val="28"/>
          <w:highlight w:val="none"/>
          <w:lang w:val="zh-CN"/>
        </w:rPr>
        <w:t>承包人承诺，向发包人提供的内容、资料、服务等不会侵犯任何第三方的权利；若发生侵犯第三方的情况，由承包人承担全部的责任并自行处理相关纠纷，消除对发包人的影响。如发包人因此已向第三方承担任何形式的违约金、赔偿金或履行相应责任的，发包人在支付相应款项或履行相应责任后，可凭支付违约金、赔偿金或履行责任的证明直接向承包人追偿，承包人对此应予以认可。</w:t>
      </w:r>
    </w:p>
    <w:p w14:paraId="22F3463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（三）</w:t>
      </w:r>
      <w:r>
        <w:rPr>
          <w:rFonts w:hint="eastAsia" w:asciiTheme="minorEastAsia" w:hAnsiTheme="minorEastAsia" w:eastAsiaTheme="minorEastAsia" w:cstheme="minorEastAsia"/>
          <w:snapToGrid w:val="0"/>
          <w:color w:val="auto"/>
          <w:kern w:val="0"/>
          <w:sz w:val="28"/>
          <w:szCs w:val="28"/>
          <w:highlight w:val="none"/>
          <w:lang w:val="zh-CN"/>
        </w:rPr>
        <w:t>在本合同有效期内，发包人利用承包人提交的技术咨询工作成果所完成的新的技术成果，归发包人所有。</w:t>
      </w:r>
    </w:p>
    <w:p w14:paraId="12C32C9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（四）</w:t>
      </w:r>
      <w:r>
        <w:rPr>
          <w:rFonts w:hint="eastAsia" w:asciiTheme="minorEastAsia" w:hAnsiTheme="minorEastAsia" w:eastAsiaTheme="minorEastAsia" w:cstheme="minorEastAsia"/>
          <w:snapToGrid w:val="0"/>
          <w:color w:val="auto"/>
          <w:kern w:val="0"/>
          <w:sz w:val="28"/>
          <w:szCs w:val="28"/>
          <w:highlight w:val="none"/>
          <w:lang w:val="zh-CN"/>
        </w:rPr>
        <w:t xml:space="preserve">在本合同有效期内，承包人利用发包人提供的技术资料和工作条件所完成的新的技术成果，归发包人所有。 </w:t>
      </w:r>
    </w:p>
    <w:p w14:paraId="6BF7DD7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（五）</w:t>
      </w:r>
      <w:r>
        <w:rPr>
          <w:rFonts w:hint="eastAsia" w:asciiTheme="minorEastAsia" w:hAnsiTheme="minorEastAsia" w:eastAsiaTheme="minorEastAsia" w:cstheme="minorEastAsia"/>
          <w:snapToGrid w:val="0"/>
          <w:color w:val="auto"/>
          <w:kern w:val="0"/>
          <w:sz w:val="28"/>
          <w:szCs w:val="28"/>
          <w:highlight w:val="none"/>
          <w:lang w:val="zh-CN"/>
        </w:rPr>
        <w:t>在合同履行过程中及终止后，未经发包人的书面同意，承包人不得向外泄漏与本合同项目、本合同及发包人的业务和经营有关资料。</w:t>
      </w:r>
    </w:p>
    <w:p w14:paraId="31503C8F">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（六）承包人</w:t>
      </w:r>
      <w:r>
        <w:rPr>
          <w:rFonts w:hint="eastAsia" w:asciiTheme="minorEastAsia" w:hAnsiTheme="minorEastAsia" w:eastAsiaTheme="minorEastAsia" w:cstheme="minorEastAsia"/>
          <w:snapToGrid w:val="0"/>
          <w:color w:val="auto"/>
          <w:kern w:val="0"/>
          <w:sz w:val="28"/>
          <w:szCs w:val="28"/>
          <w:highlight w:val="none"/>
          <w:u w:val="none"/>
          <w:lang w:val="zh-CN"/>
        </w:rPr>
        <w:t>必须严格遵守国家、省、市档案保密制度及国家其它相关保密法规,必须采取措施对项目整理过程中的档案实体和数据的保密，并保证安全；不得截留和向第三方泄露所涉及的档案，资料的范围、内容及最终形成的各类数据，确保档案信息的安全保密；如有违反，依法追究责任。项目涉及的保密条款并不因项目合同的终止就失效，该条款对各方依旧有法律约束力。</w:t>
      </w:r>
    </w:p>
    <w:p w14:paraId="0F2C99C1">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第十一条 技术责任和经济责任</w:t>
      </w:r>
    </w:p>
    <w:p w14:paraId="52734F1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（一）</w:t>
      </w:r>
      <w:r>
        <w:rPr>
          <w:rFonts w:hint="eastAsia" w:asciiTheme="minorEastAsia" w:hAnsiTheme="minorEastAsia" w:eastAsiaTheme="minorEastAsia" w:cstheme="minorEastAsia"/>
          <w:snapToGrid w:val="0"/>
          <w:color w:val="auto"/>
          <w:kern w:val="0"/>
          <w:sz w:val="28"/>
          <w:szCs w:val="28"/>
          <w:highlight w:val="none"/>
          <w:lang w:val="zh-CN"/>
        </w:rPr>
        <w:t>承包人对本合同项下负有全部的最终技术责任和经济责任。在本合同执行过程中，不因发包人对承包人工作的任何接触、检查、确认与批准而减轻或免除承包人的任何责任。</w:t>
      </w:r>
    </w:p>
    <w:p w14:paraId="478E65C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二）承包人确认，其已对合同生效之前发包人提供的全部资料和技术文件进行了仔细的检查、研究和考虑，也对合同生效后发包人将要提供和/或可能提供的资料进行了评估和考虑。在此基础上，承包人已经完全了解、预计和接受了发包人已提供和/或将要提供的全部资料和技术文件存在和/或可能存在的瑕疵，并将自费进行补救。</w:t>
      </w:r>
    </w:p>
    <w:p w14:paraId="6CD4236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（三）</w:t>
      </w:r>
      <w:r>
        <w:rPr>
          <w:rFonts w:hint="eastAsia" w:asciiTheme="minorEastAsia" w:hAnsiTheme="minorEastAsia" w:eastAsiaTheme="minorEastAsia" w:cstheme="minorEastAsia"/>
          <w:snapToGrid w:val="0"/>
          <w:color w:val="auto"/>
          <w:kern w:val="0"/>
          <w:sz w:val="28"/>
          <w:szCs w:val="28"/>
          <w:highlight w:val="none"/>
          <w:lang w:val="zh-CN"/>
        </w:rPr>
        <w:t>承包人在查阅协议文件或在本合同执行过程中，有责任对发包人提供的任何资料进行审核。如发现其中有任何缺陷，应第一时间通知发包人。如承包人未发现对于有经验的承包人应能发现的上述缺陷，并给发包人造成损失的，承包人应承担赔偿责任。</w:t>
      </w:r>
    </w:p>
    <w:p w14:paraId="5E0AA3FA">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第十二条 其他事项</w:t>
      </w:r>
    </w:p>
    <w:p w14:paraId="44AEC87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（一）</w:t>
      </w:r>
      <w:r>
        <w:rPr>
          <w:rFonts w:hint="eastAsia" w:asciiTheme="minorEastAsia" w:hAnsiTheme="minorEastAsia" w:eastAsiaTheme="minorEastAsia" w:cstheme="minorEastAsia"/>
          <w:snapToGrid w:val="0"/>
          <w:color w:val="auto"/>
          <w:kern w:val="0"/>
          <w:sz w:val="28"/>
          <w:szCs w:val="28"/>
          <w:highlight w:val="none"/>
          <w:lang w:val="zh-CN"/>
        </w:rPr>
        <w:t>承包人指定</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lang w:val="zh-CN"/>
        </w:rPr>
        <w:t>（身份证号码</w:t>
      </w:r>
      <w:r>
        <w:rPr>
          <w:rFonts w:hint="eastAsia" w:asciiTheme="minorEastAsia" w:hAnsiTheme="minorEastAsia" w:eastAsiaTheme="minorEastAsia" w:cstheme="minorEastAsia"/>
          <w:snapToGrid w:val="0"/>
          <w:color w:val="auto"/>
          <w:kern w:val="0"/>
          <w:sz w:val="28"/>
          <w:szCs w:val="28"/>
          <w:highlight w:val="none"/>
          <w:lang w:val="en-US" w:eastAsia="zh-CN"/>
        </w:rPr>
        <w:t>xxx</w:t>
      </w:r>
      <w:r>
        <w:rPr>
          <w:rFonts w:hint="eastAsia" w:asciiTheme="minorEastAsia" w:hAnsiTheme="minorEastAsia" w:eastAsiaTheme="minorEastAsia" w:cstheme="minorEastAsia"/>
          <w:snapToGrid w:val="0"/>
          <w:color w:val="auto"/>
          <w:kern w:val="0"/>
          <w:sz w:val="28"/>
          <w:szCs w:val="28"/>
          <w:highlight w:val="none"/>
          <w:lang w:val="zh-CN"/>
        </w:rPr>
        <w:t>，手机号码</w:t>
      </w:r>
      <w:r>
        <w:rPr>
          <w:rFonts w:hint="eastAsia" w:asciiTheme="minorEastAsia" w:hAnsiTheme="minorEastAsia" w:eastAsiaTheme="minorEastAsia" w:cstheme="minorEastAsia"/>
          <w:snapToGrid w:val="0"/>
          <w:color w:val="auto"/>
          <w:kern w:val="0"/>
          <w:sz w:val="28"/>
          <w:szCs w:val="28"/>
          <w:highlight w:val="none"/>
          <w:lang w:val="en-US" w:eastAsia="zh-CN"/>
        </w:rPr>
        <w:t>xxx</w:t>
      </w:r>
      <w:r>
        <w:rPr>
          <w:rFonts w:hint="eastAsia" w:asciiTheme="minorEastAsia" w:hAnsiTheme="minorEastAsia" w:eastAsiaTheme="minorEastAsia" w:cstheme="minorEastAsia"/>
          <w:snapToGrid w:val="0"/>
          <w:color w:val="auto"/>
          <w:kern w:val="0"/>
          <w:sz w:val="28"/>
          <w:szCs w:val="28"/>
          <w:highlight w:val="none"/>
          <w:lang w:val="zh-CN"/>
        </w:rPr>
        <w:t>）为项目联系人，负责本项目有关工作事项，并对双方往来文件进行签收。</w:t>
      </w:r>
    </w:p>
    <w:p w14:paraId="6F4346FB">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zh-CN"/>
        </w:rPr>
        <w:t>（二）</w:t>
      </w:r>
      <w:r>
        <w:rPr>
          <w:rFonts w:hint="eastAsia" w:asciiTheme="minorEastAsia" w:hAnsiTheme="minorEastAsia" w:eastAsiaTheme="minorEastAsia" w:cstheme="minorEastAsia"/>
          <w:snapToGrid w:val="0"/>
          <w:color w:val="auto"/>
          <w:kern w:val="0"/>
          <w:sz w:val="28"/>
          <w:szCs w:val="28"/>
          <w:highlight w:val="none"/>
          <w:u w:val="none"/>
          <w:lang w:val="zh-CN"/>
        </w:rPr>
        <w:t>人员投入要求</w:t>
      </w:r>
    </w:p>
    <w:p w14:paraId="62E5B0A0">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en-US" w:eastAsia="zh-CN"/>
        </w:rPr>
        <w:t>1.承包人</w:t>
      </w:r>
      <w:r>
        <w:rPr>
          <w:rFonts w:hint="eastAsia" w:asciiTheme="minorEastAsia" w:hAnsiTheme="minorEastAsia" w:eastAsiaTheme="minorEastAsia" w:cstheme="minorEastAsia"/>
          <w:snapToGrid w:val="0"/>
          <w:color w:val="auto"/>
          <w:kern w:val="0"/>
          <w:sz w:val="28"/>
          <w:szCs w:val="28"/>
          <w:highlight w:val="none"/>
          <w:u w:val="none"/>
          <w:lang w:val="zh-CN"/>
        </w:rPr>
        <w:t>必须按</w:t>
      </w:r>
      <w:r>
        <w:rPr>
          <w:rFonts w:hint="eastAsia" w:asciiTheme="minorEastAsia" w:hAnsiTheme="minorEastAsia" w:eastAsiaTheme="minorEastAsia" w:cstheme="minorEastAsia"/>
          <w:snapToGrid w:val="0"/>
          <w:color w:val="auto"/>
          <w:kern w:val="0"/>
          <w:sz w:val="28"/>
          <w:szCs w:val="28"/>
          <w:highlight w:val="none"/>
          <w:u w:val="none"/>
          <w:lang w:val="zh-CN"/>
        </w:rPr>
        <w:t>合同文件</w:t>
      </w:r>
      <w:r>
        <w:rPr>
          <w:rFonts w:hint="eastAsia" w:asciiTheme="minorEastAsia" w:hAnsiTheme="minorEastAsia" w:eastAsiaTheme="minorEastAsia" w:cstheme="minorEastAsia"/>
          <w:snapToGrid w:val="0"/>
          <w:color w:val="auto"/>
          <w:kern w:val="0"/>
          <w:sz w:val="28"/>
          <w:szCs w:val="28"/>
          <w:highlight w:val="none"/>
          <w:u w:val="none"/>
          <w:lang w:val="zh-CN"/>
        </w:rPr>
        <w:t>承诺的人员名单落实作业</w:t>
      </w:r>
      <w:r>
        <w:rPr>
          <w:rFonts w:hint="eastAsia" w:asciiTheme="minorEastAsia" w:hAnsiTheme="minorEastAsia" w:eastAsiaTheme="minorEastAsia" w:cstheme="minorEastAsia"/>
          <w:snapToGrid w:val="0"/>
          <w:color w:val="auto"/>
          <w:kern w:val="0"/>
          <w:sz w:val="28"/>
          <w:szCs w:val="28"/>
          <w:highlight w:val="none"/>
          <w:u w:val="none"/>
          <w:lang w:val="zh-CN"/>
        </w:rPr>
        <w:t>人员及</w:t>
      </w:r>
      <w:r>
        <w:rPr>
          <w:rFonts w:hint="eastAsia" w:asciiTheme="minorEastAsia" w:hAnsiTheme="minorEastAsia" w:eastAsiaTheme="minorEastAsia" w:cstheme="minorEastAsia"/>
          <w:snapToGrid w:val="0"/>
          <w:color w:val="auto"/>
          <w:kern w:val="0"/>
          <w:sz w:val="28"/>
          <w:szCs w:val="28"/>
          <w:highlight w:val="none"/>
          <w:u w:val="none"/>
          <w:lang w:val="zh-CN"/>
        </w:rPr>
        <w:t>管理人员。</w:t>
      </w:r>
    </w:p>
    <w:p w14:paraId="2A273F13">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en-US" w:eastAsia="zh-CN"/>
        </w:rPr>
        <w:t>2.</w:t>
      </w:r>
      <w:r>
        <w:rPr>
          <w:rFonts w:hint="eastAsia" w:asciiTheme="minorEastAsia" w:hAnsiTheme="minorEastAsia" w:eastAsiaTheme="minorEastAsia" w:cstheme="minorEastAsia"/>
          <w:snapToGrid w:val="0"/>
          <w:color w:val="auto"/>
          <w:kern w:val="0"/>
          <w:sz w:val="28"/>
          <w:szCs w:val="28"/>
          <w:highlight w:val="none"/>
          <w:u w:val="none"/>
          <w:lang w:val="zh-CN"/>
        </w:rPr>
        <w:t>项目除项目负责人外，还必须设置技术负责人。</w:t>
      </w:r>
    </w:p>
    <w:p w14:paraId="286743D4">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zh-CN"/>
        </w:rPr>
        <w:t>（三）</w:t>
      </w:r>
      <w:r>
        <w:rPr>
          <w:rFonts w:hint="eastAsia" w:asciiTheme="minorEastAsia" w:hAnsiTheme="minorEastAsia" w:eastAsiaTheme="minorEastAsia" w:cstheme="minorEastAsia"/>
          <w:snapToGrid w:val="0"/>
          <w:color w:val="auto"/>
          <w:kern w:val="0"/>
          <w:sz w:val="28"/>
          <w:szCs w:val="28"/>
          <w:highlight w:val="none"/>
          <w:u w:val="none"/>
          <w:lang w:val="zh-CN"/>
        </w:rPr>
        <w:t>仪器设备投入要求</w:t>
      </w:r>
    </w:p>
    <w:p w14:paraId="2E26097E">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en-US" w:eastAsia="zh-CN"/>
        </w:rPr>
        <w:t>1.承包人</w:t>
      </w:r>
      <w:r>
        <w:rPr>
          <w:rFonts w:hint="eastAsia" w:asciiTheme="minorEastAsia" w:hAnsiTheme="minorEastAsia" w:eastAsiaTheme="minorEastAsia" w:cstheme="minorEastAsia"/>
          <w:snapToGrid w:val="0"/>
          <w:color w:val="auto"/>
          <w:kern w:val="0"/>
          <w:sz w:val="28"/>
          <w:szCs w:val="28"/>
          <w:highlight w:val="none"/>
          <w:u w:val="none"/>
          <w:lang w:val="zh-CN"/>
        </w:rPr>
        <w:t>应按照项目全面质量检查检验的要求配备必要的设备仪器、计算机、车辆等。</w:t>
      </w:r>
    </w:p>
    <w:p w14:paraId="6146C3BB">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en-US" w:eastAsia="zh-CN"/>
        </w:rPr>
        <w:t>2.</w:t>
      </w:r>
      <w:r>
        <w:rPr>
          <w:rFonts w:hint="eastAsia" w:asciiTheme="minorEastAsia" w:hAnsiTheme="minorEastAsia" w:eastAsiaTheme="minorEastAsia" w:cstheme="minorEastAsia"/>
          <w:snapToGrid w:val="0"/>
          <w:color w:val="auto"/>
          <w:kern w:val="0"/>
          <w:sz w:val="28"/>
          <w:szCs w:val="28"/>
          <w:highlight w:val="none"/>
          <w:u w:val="none"/>
          <w:lang w:val="zh-CN"/>
        </w:rPr>
        <w:t>在作业区域使用的仪器设备应按照有关要求进行检测并合格，</w:t>
      </w:r>
      <w:r>
        <w:rPr>
          <w:rFonts w:hint="eastAsia" w:asciiTheme="minorEastAsia" w:hAnsiTheme="minorEastAsia" w:eastAsiaTheme="minorEastAsia" w:cstheme="minorEastAsia"/>
          <w:snapToGrid w:val="0"/>
          <w:color w:val="auto"/>
          <w:kern w:val="0"/>
          <w:sz w:val="28"/>
          <w:szCs w:val="28"/>
          <w:highlight w:val="none"/>
          <w:u w:val="none"/>
          <w:lang w:val="en-US" w:eastAsia="zh-CN"/>
        </w:rPr>
        <w:t>承包人</w:t>
      </w:r>
      <w:r>
        <w:rPr>
          <w:rFonts w:hint="eastAsia" w:asciiTheme="minorEastAsia" w:hAnsiTheme="minorEastAsia" w:eastAsiaTheme="minorEastAsia" w:cstheme="minorEastAsia"/>
          <w:snapToGrid w:val="0"/>
          <w:color w:val="auto"/>
          <w:kern w:val="0"/>
          <w:sz w:val="28"/>
          <w:szCs w:val="28"/>
          <w:highlight w:val="none"/>
          <w:u w:val="none"/>
          <w:lang w:val="zh-CN"/>
        </w:rPr>
        <w:t>不得使用未经年检或检验不合格的设备用于作业，否则将按合同总价5%承担违约责任。</w:t>
      </w:r>
    </w:p>
    <w:p w14:paraId="24C0070D">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zh-CN"/>
        </w:rPr>
        <w:t>（四）</w:t>
      </w:r>
      <w:r>
        <w:rPr>
          <w:rFonts w:hint="eastAsia" w:asciiTheme="minorEastAsia" w:hAnsiTheme="minorEastAsia" w:eastAsiaTheme="minorEastAsia" w:cstheme="minorEastAsia"/>
          <w:snapToGrid w:val="0"/>
          <w:color w:val="auto"/>
          <w:kern w:val="0"/>
          <w:sz w:val="28"/>
          <w:szCs w:val="28"/>
          <w:highlight w:val="none"/>
          <w:u w:val="none"/>
          <w:lang w:val="zh-CN"/>
        </w:rPr>
        <w:t>项目管理要求</w:t>
      </w:r>
    </w:p>
    <w:p w14:paraId="519FD9D3">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en-US" w:eastAsia="zh-CN"/>
        </w:rPr>
        <w:t>承包人</w:t>
      </w:r>
      <w:r>
        <w:rPr>
          <w:rFonts w:hint="eastAsia" w:asciiTheme="minorEastAsia" w:hAnsiTheme="minorEastAsia" w:eastAsiaTheme="minorEastAsia" w:cstheme="minorEastAsia"/>
          <w:snapToGrid w:val="0"/>
          <w:color w:val="auto"/>
          <w:kern w:val="0"/>
          <w:sz w:val="28"/>
          <w:szCs w:val="28"/>
          <w:highlight w:val="none"/>
          <w:u w:val="none"/>
          <w:lang w:val="zh-CN"/>
        </w:rPr>
        <w:t>必须针对本项目要求，制订操作性强的项目管理方案，列明承诺的各专业人员的配备情况。必须在</w:t>
      </w:r>
      <w:r>
        <w:rPr>
          <w:rFonts w:hint="eastAsia" w:asciiTheme="minorEastAsia" w:hAnsiTheme="minorEastAsia" w:eastAsiaTheme="minorEastAsia" w:cstheme="minorEastAsia"/>
          <w:snapToGrid w:val="0"/>
          <w:color w:val="auto"/>
          <w:kern w:val="0"/>
          <w:sz w:val="28"/>
          <w:szCs w:val="28"/>
          <w:highlight w:val="none"/>
          <w:u w:val="none"/>
          <w:lang w:val="zh-CN"/>
        </w:rPr>
        <w:t>发包</w:t>
      </w:r>
      <w:r>
        <w:rPr>
          <w:rFonts w:hint="eastAsia" w:asciiTheme="minorEastAsia" w:hAnsiTheme="minorEastAsia" w:eastAsiaTheme="minorEastAsia" w:cstheme="minorEastAsia"/>
          <w:snapToGrid w:val="0"/>
          <w:color w:val="auto"/>
          <w:kern w:val="0"/>
          <w:sz w:val="28"/>
          <w:szCs w:val="28"/>
          <w:highlight w:val="none"/>
          <w:u w:val="none"/>
          <w:lang w:val="zh-CN"/>
        </w:rPr>
        <w:t>人要求的时间进度内完成本项目所有工作内容及相关服务。</w:t>
      </w:r>
    </w:p>
    <w:p w14:paraId="567D5B29">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zh-CN"/>
        </w:rPr>
        <w:t>（五）</w:t>
      </w:r>
      <w:r>
        <w:rPr>
          <w:rFonts w:hint="eastAsia" w:asciiTheme="minorEastAsia" w:hAnsiTheme="minorEastAsia" w:eastAsiaTheme="minorEastAsia" w:cstheme="minorEastAsia"/>
          <w:snapToGrid w:val="0"/>
          <w:color w:val="auto"/>
          <w:kern w:val="0"/>
          <w:sz w:val="28"/>
          <w:szCs w:val="28"/>
          <w:highlight w:val="none"/>
          <w:u w:val="none"/>
          <w:lang w:val="zh-CN"/>
        </w:rPr>
        <w:t>质量要求</w:t>
      </w:r>
    </w:p>
    <w:p w14:paraId="00A5AAC4">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en-US" w:eastAsia="zh-CN"/>
        </w:rPr>
        <w:t>承包人</w:t>
      </w:r>
      <w:r>
        <w:rPr>
          <w:rFonts w:hint="eastAsia" w:asciiTheme="minorEastAsia" w:hAnsiTheme="minorEastAsia" w:eastAsiaTheme="minorEastAsia" w:cstheme="minorEastAsia"/>
          <w:snapToGrid w:val="0"/>
          <w:color w:val="auto"/>
          <w:kern w:val="0"/>
          <w:sz w:val="28"/>
          <w:szCs w:val="28"/>
          <w:highlight w:val="none"/>
          <w:u w:val="none"/>
          <w:lang w:val="zh-CN"/>
        </w:rPr>
        <w:t>提交的成果资料应符合有关法律、法规、标准、规范的要求，并保证工作成果满足行政审批部门的要求，</w:t>
      </w:r>
      <w:r>
        <w:rPr>
          <w:rFonts w:hint="eastAsia" w:asciiTheme="minorEastAsia" w:hAnsiTheme="minorEastAsia" w:eastAsiaTheme="minorEastAsia" w:cstheme="minorEastAsia"/>
          <w:snapToGrid w:val="0"/>
          <w:color w:val="auto"/>
          <w:kern w:val="0"/>
          <w:sz w:val="28"/>
          <w:szCs w:val="28"/>
          <w:highlight w:val="none"/>
          <w:u w:val="none"/>
          <w:lang w:val="en-US" w:eastAsia="zh-CN"/>
        </w:rPr>
        <w:t>承包人</w:t>
      </w:r>
      <w:r>
        <w:rPr>
          <w:rFonts w:hint="eastAsia" w:asciiTheme="minorEastAsia" w:hAnsiTheme="minorEastAsia" w:eastAsiaTheme="minorEastAsia" w:cstheme="minorEastAsia"/>
          <w:snapToGrid w:val="0"/>
          <w:color w:val="auto"/>
          <w:kern w:val="0"/>
          <w:sz w:val="28"/>
          <w:szCs w:val="28"/>
          <w:highlight w:val="none"/>
          <w:u w:val="none"/>
          <w:lang w:val="zh-CN"/>
        </w:rPr>
        <w:t>提供的</w:t>
      </w:r>
      <w:r>
        <w:rPr>
          <w:rFonts w:hint="eastAsia" w:asciiTheme="minorEastAsia" w:hAnsiTheme="minorEastAsia" w:eastAsiaTheme="minorEastAsia" w:cstheme="minorEastAsia"/>
          <w:snapToGrid w:val="0"/>
          <w:color w:val="auto"/>
          <w:kern w:val="0"/>
          <w:sz w:val="28"/>
          <w:szCs w:val="28"/>
          <w:highlight w:val="none"/>
          <w:u w:val="none"/>
          <w:lang w:val="zh-CN" w:eastAsia="zh-CN"/>
        </w:rPr>
        <w:t>规划或</w:t>
      </w:r>
      <w:r>
        <w:rPr>
          <w:rFonts w:hint="eastAsia" w:asciiTheme="minorEastAsia" w:hAnsiTheme="minorEastAsia" w:eastAsiaTheme="minorEastAsia" w:cstheme="minorEastAsia"/>
          <w:snapToGrid w:val="0"/>
          <w:color w:val="auto"/>
          <w:kern w:val="0"/>
          <w:sz w:val="28"/>
          <w:szCs w:val="28"/>
          <w:highlight w:val="none"/>
          <w:u w:val="none"/>
          <w:lang w:val="zh-CN"/>
        </w:rPr>
        <w:t>测绘成果质量不合格，将无偿给予</w:t>
      </w:r>
      <w:r>
        <w:rPr>
          <w:rFonts w:hint="eastAsia" w:asciiTheme="minorEastAsia" w:hAnsiTheme="minorEastAsia" w:eastAsiaTheme="minorEastAsia" w:cstheme="minorEastAsia"/>
          <w:snapToGrid w:val="0"/>
          <w:color w:val="auto"/>
          <w:kern w:val="0"/>
          <w:sz w:val="28"/>
          <w:szCs w:val="28"/>
          <w:highlight w:val="none"/>
          <w:u w:val="none"/>
          <w:lang w:val="zh-CN" w:eastAsia="zh-CN"/>
        </w:rPr>
        <w:t>重新规划或</w:t>
      </w:r>
      <w:r>
        <w:rPr>
          <w:rFonts w:hint="eastAsia" w:asciiTheme="minorEastAsia" w:hAnsiTheme="minorEastAsia" w:eastAsiaTheme="minorEastAsia" w:cstheme="minorEastAsia"/>
          <w:snapToGrid w:val="0"/>
          <w:color w:val="auto"/>
          <w:kern w:val="0"/>
          <w:sz w:val="28"/>
          <w:szCs w:val="28"/>
          <w:highlight w:val="none"/>
          <w:u w:val="none"/>
          <w:lang w:val="zh-CN"/>
        </w:rPr>
        <w:t>重测或采取补救措施,以达到质量要求；对于成果的质量问题和</w:t>
      </w:r>
      <w:r>
        <w:rPr>
          <w:rFonts w:hint="eastAsia" w:asciiTheme="minorEastAsia" w:hAnsiTheme="minorEastAsia" w:eastAsiaTheme="minorEastAsia" w:cstheme="minorEastAsia"/>
          <w:snapToGrid w:val="0"/>
          <w:color w:val="auto"/>
          <w:kern w:val="0"/>
          <w:sz w:val="28"/>
          <w:szCs w:val="28"/>
          <w:highlight w:val="none"/>
          <w:u w:val="none"/>
          <w:lang w:val="zh-CN"/>
        </w:rPr>
        <w:t>发包</w:t>
      </w:r>
      <w:r>
        <w:rPr>
          <w:rFonts w:hint="eastAsia" w:asciiTheme="minorEastAsia" w:hAnsiTheme="minorEastAsia" w:eastAsiaTheme="minorEastAsia" w:cstheme="minorEastAsia"/>
          <w:snapToGrid w:val="0"/>
          <w:color w:val="auto"/>
          <w:kern w:val="0"/>
          <w:sz w:val="28"/>
          <w:szCs w:val="28"/>
          <w:highlight w:val="none"/>
          <w:u w:val="none"/>
          <w:lang w:val="zh-CN"/>
        </w:rPr>
        <w:t>人临时提出的其它一切技术要求，</w:t>
      </w:r>
      <w:r>
        <w:rPr>
          <w:rFonts w:hint="eastAsia" w:asciiTheme="minorEastAsia" w:hAnsiTheme="minorEastAsia" w:eastAsiaTheme="minorEastAsia" w:cstheme="minorEastAsia"/>
          <w:snapToGrid w:val="0"/>
          <w:color w:val="auto"/>
          <w:kern w:val="0"/>
          <w:sz w:val="28"/>
          <w:szCs w:val="28"/>
          <w:highlight w:val="none"/>
          <w:u w:val="none"/>
          <w:lang w:val="en-US" w:eastAsia="zh-CN"/>
        </w:rPr>
        <w:t>承包人</w:t>
      </w:r>
      <w:r>
        <w:rPr>
          <w:rFonts w:hint="eastAsia" w:asciiTheme="minorEastAsia" w:hAnsiTheme="minorEastAsia" w:eastAsiaTheme="minorEastAsia" w:cstheme="minorEastAsia"/>
          <w:snapToGrid w:val="0"/>
          <w:color w:val="auto"/>
          <w:kern w:val="0"/>
          <w:sz w:val="28"/>
          <w:szCs w:val="28"/>
          <w:highlight w:val="none"/>
          <w:u w:val="none"/>
          <w:lang w:val="zh-CN"/>
        </w:rPr>
        <w:t>应按时进行无偿修改或生产；成果交付后，在其正常使用时，出现任何由</w:t>
      </w:r>
      <w:r>
        <w:rPr>
          <w:rFonts w:hint="eastAsia" w:asciiTheme="minorEastAsia" w:hAnsiTheme="minorEastAsia" w:eastAsiaTheme="minorEastAsia" w:cstheme="minorEastAsia"/>
          <w:snapToGrid w:val="0"/>
          <w:color w:val="auto"/>
          <w:kern w:val="0"/>
          <w:sz w:val="28"/>
          <w:szCs w:val="28"/>
          <w:highlight w:val="none"/>
          <w:u w:val="none"/>
          <w:lang w:val="en-US" w:eastAsia="zh-CN"/>
        </w:rPr>
        <w:t>承包人</w:t>
      </w:r>
      <w:r>
        <w:rPr>
          <w:rFonts w:hint="eastAsia" w:asciiTheme="minorEastAsia" w:hAnsiTheme="minorEastAsia" w:eastAsiaTheme="minorEastAsia" w:cstheme="minorEastAsia"/>
          <w:snapToGrid w:val="0"/>
          <w:color w:val="auto"/>
          <w:kern w:val="0"/>
          <w:sz w:val="28"/>
          <w:szCs w:val="28"/>
          <w:highlight w:val="none"/>
          <w:u w:val="none"/>
          <w:lang w:val="zh-CN"/>
        </w:rPr>
        <w:t>造成的重大质量问题，</w:t>
      </w:r>
      <w:r>
        <w:rPr>
          <w:rFonts w:hint="eastAsia" w:asciiTheme="minorEastAsia" w:hAnsiTheme="minorEastAsia" w:eastAsiaTheme="minorEastAsia" w:cstheme="minorEastAsia"/>
          <w:snapToGrid w:val="0"/>
          <w:color w:val="auto"/>
          <w:kern w:val="0"/>
          <w:sz w:val="28"/>
          <w:szCs w:val="28"/>
          <w:highlight w:val="none"/>
          <w:u w:val="none"/>
          <w:lang w:val="en-US" w:eastAsia="zh-CN"/>
        </w:rPr>
        <w:t>承包人</w:t>
      </w:r>
      <w:r>
        <w:rPr>
          <w:rFonts w:hint="eastAsia" w:asciiTheme="minorEastAsia" w:hAnsiTheme="minorEastAsia" w:eastAsiaTheme="minorEastAsia" w:cstheme="minorEastAsia"/>
          <w:snapToGrid w:val="0"/>
          <w:color w:val="auto"/>
          <w:kern w:val="0"/>
          <w:sz w:val="28"/>
          <w:szCs w:val="28"/>
          <w:highlight w:val="none"/>
          <w:u w:val="none"/>
          <w:lang w:val="zh-CN"/>
        </w:rPr>
        <w:t>应承担由此引发的一切责任后果，妥善处理好各项善后事宜。</w:t>
      </w:r>
    </w:p>
    <w:p w14:paraId="78DF89AF">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zh-CN"/>
        </w:rPr>
        <w:t>（六）</w:t>
      </w:r>
      <w:r>
        <w:rPr>
          <w:rFonts w:hint="eastAsia" w:asciiTheme="minorEastAsia" w:hAnsiTheme="minorEastAsia" w:eastAsiaTheme="minorEastAsia" w:cstheme="minorEastAsia"/>
          <w:snapToGrid w:val="0"/>
          <w:color w:val="auto"/>
          <w:kern w:val="0"/>
          <w:sz w:val="28"/>
          <w:szCs w:val="28"/>
          <w:highlight w:val="none"/>
          <w:u w:val="none"/>
          <w:lang w:val="zh-CN"/>
        </w:rPr>
        <w:t>服务要求</w:t>
      </w:r>
    </w:p>
    <w:p w14:paraId="792CBF4B">
      <w:pPr>
        <w:adjustRightInd w:val="0"/>
        <w:snapToGrid w:val="0"/>
        <w:spacing w:line="500" w:lineRule="exact"/>
        <w:ind w:firstLine="560" w:firstLineChars="200"/>
        <w:rPr>
          <w:rFonts w:hint="eastAsia" w:asciiTheme="minorEastAsia" w:hAnsiTheme="minorEastAsia" w:eastAsiaTheme="minorEastAsia" w:cstheme="minorEastAsia"/>
          <w:snapToGrid w:val="0"/>
          <w:color w:val="auto"/>
          <w:kern w:val="0"/>
          <w:sz w:val="28"/>
          <w:szCs w:val="28"/>
          <w:highlight w:val="none"/>
          <w:u w:val="none"/>
          <w:lang w:val="zh-CN"/>
        </w:rPr>
      </w:pPr>
      <w:r>
        <w:rPr>
          <w:rFonts w:hint="eastAsia" w:asciiTheme="minorEastAsia" w:hAnsiTheme="minorEastAsia" w:eastAsiaTheme="minorEastAsia" w:cstheme="minorEastAsia"/>
          <w:snapToGrid w:val="0"/>
          <w:color w:val="auto"/>
          <w:kern w:val="0"/>
          <w:sz w:val="28"/>
          <w:szCs w:val="28"/>
          <w:highlight w:val="none"/>
          <w:u w:val="none"/>
          <w:lang w:val="en-US" w:eastAsia="zh-CN"/>
        </w:rPr>
        <w:t>承包人</w:t>
      </w:r>
      <w:r>
        <w:rPr>
          <w:rFonts w:hint="eastAsia" w:asciiTheme="minorEastAsia" w:hAnsiTheme="minorEastAsia" w:eastAsiaTheme="minorEastAsia" w:cstheme="minorEastAsia"/>
          <w:snapToGrid w:val="0"/>
          <w:color w:val="auto"/>
          <w:kern w:val="0"/>
          <w:sz w:val="28"/>
          <w:szCs w:val="28"/>
          <w:highlight w:val="none"/>
          <w:u w:val="none"/>
          <w:lang w:val="zh-CN"/>
        </w:rPr>
        <w:t>必须根据本项目</w:t>
      </w:r>
      <w:r>
        <w:rPr>
          <w:rFonts w:hint="eastAsia" w:asciiTheme="minorEastAsia" w:hAnsiTheme="minorEastAsia" w:eastAsiaTheme="minorEastAsia" w:cstheme="minorEastAsia"/>
          <w:snapToGrid w:val="0"/>
          <w:color w:val="auto"/>
          <w:kern w:val="0"/>
          <w:sz w:val="28"/>
          <w:szCs w:val="28"/>
          <w:highlight w:val="none"/>
          <w:u w:val="none"/>
          <w:lang w:val="zh-CN"/>
        </w:rPr>
        <w:t>合同</w:t>
      </w:r>
      <w:r>
        <w:rPr>
          <w:rFonts w:hint="eastAsia" w:asciiTheme="minorEastAsia" w:hAnsiTheme="minorEastAsia" w:eastAsiaTheme="minorEastAsia" w:cstheme="minorEastAsia"/>
          <w:snapToGrid w:val="0"/>
          <w:color w:val="auto"/>
          <w:kern w:val="0"/>
          <w:sz w:val="28"/>
          <w:szCs w:val="28"/>
          <w:highlight w:val="none"/>
          <w:u w:val="none"/>
          <w:lang w:val="zh-CN"/>
        </w:rPr>
        <w:t>要求提供完整的服务，并有针对性地进行详细描述。</w:t>
      </w:r>
    </w:p>
    <w:p w14:paraId="5CD85B0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（七）</w:t>
      </w:r>
      <w:r>
        <w:rPr>
          <w:rFonts w:hint="eastAsia" w:asciiTheme="minorEastAsia" w:hAnsiTheme="minorEastAsia" w:eastAsiaTheme="minorEastAsia" w:cstheme="minorEastAsia"/>
          <w:snapToGrid w:val="0"/>
          <w:color w:val="auto"/>
          <w:kern w:val="0"/>
          <w:sz w:val="28"/>
          <w:szCs w:val="28"/>
          <w:highlight w:val="none"/>
          <w:lang w:val="zh-CN"/>
        </w:rPr>
        <w:t>各方确认本合同中约定的联系方式真实有效，各方依此向对方发出的所有通知、文件、资料均视为送达。承包人变更项目联系人的，应当及时以书面形式通知发包人。未及时通知并影响本合同履行或造成损失的，应承担相应的责任。</w:t>
      </w:r>
    </w:p>
    <w:p w14:paraId="1E59843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（八）</w:t>
      </w:r>
      <w:r>
        <w:rPr>
          <w:rFonts w:hint="eastAsia" w:asciiTheme="minorEastAsia" w:hAnsiTheme="minorEastAsia" w:eastAsiaTheme="minorEastAsia" w:cstheme="minorEastAsia"/>
          <w:snapToGrid w:val="0"/>
          <w:color w:val="auto"/>
          <w:kern w:val="0"/>
          <w:sz w:val="28"/>
          <w:szCs w:val="28"/>
          <w:highlight w:val="none"/>
          <w:lang w:val="zh-CN"/>
        </w:rPr>
        <w:t>合同各方因履行本合同而相互发出或者提供的所有通知、文件、资料，均需当面交付或以在本合同中列明的地址、传真或电子邮箱送达。任何一方当事人向对方所发出的信件，在邮政特快专递交邮后的第3日视为送达；发出的短信/传真/微信/电子邮件，自前述电子文件内容在发送方正确填写地址且未被系统退回的情况下，视为进入对方数据电文接收系统即视为送达。若送达日为非工作日,则视为在下一工作日送达。一方当事人变更名称、地址、联系人或通信终端的，应当在变更后3个工作日内及时书面通知本合同其他主体，本合同其他主体实际收到变更通知前的送达仍为有效送达，电子送达与书面送达具有同等法律效力。</w:t>
      </w:r>
    </w:p>
    <w:p w14:paraId="0F82069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eastAsia="宋体" w:asciiTheme="minorEastAsia" w:hAnsiTheme="minorEastAsia" w:cstheme="minorEastAsia"/>
          <w:snapToGrid w:val="0"/>
          <w:color w:val="auto"/>
          <w:kern w:val="0"/>
          <w:sz w:val="28"/>
          <w:szCs w:val="28"/>
          <w:highlight w:val="none"/>
          <w:lang w:val="zh-CN" w:eastAsia="zh-CN"/>
        </w:rPr>
      </w:pPr>
      <w:r>
        <w:rPr>
          <w:rFonts w:hint="eastAsia" w:asciiTheme="minorEastAsia" w:hAnsiTheme="minorEastAsia" w:eastAsiaTheme="minorEastAsia" w:cstheme="minorEastAsia"/>
          <w:snapToGrid w:val="0"/>
          <w:color w:val="auto"/>
          <w:kern w:val="0"/>
          <w:sz w:val="28"/>
          <w:szCs w:val="28"/>
          <w:highlight w:val="none"/>
          <w:lang w:val="zh-CN"/>
        </w:rPr>
        <w:t>（九）由于不能预见、不能避免和不能克服的自然原因或社会原因，致使本合同不能履行或者不能完全履行时，遇到上述不可抗力事件的一方，应立即书面通知合同另一方，并应在不可抗力事件发生后十五天内，向合同另一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遭受不可抗力的一方未履行上述义务的，不能免除其违约责任。</w:t>
      </w:r>
      <w:r>
        <w:rPr>
          <w:rStyle w:val="32"/>
          <w:rFonts w:hint="eastAsia" w:asciiTheme="minorEastAsia" w:hAnsiTheme="minorEastAsia" w:eastAsiaTheme="minorEastAsia" w:cstheme="minorEastAsia"/>
          <w:snapToGrid w:val="0"/>
          <w:color w:val="auto"/>
          <w:kern w:val="0"/>
          <w:sz w:val="28"/>
          <w:szCs w:val="28"/>
          <w:highlight w:val="none"/>
          <w:lang w:val="zh-CN"/>
        </w:rPr>
        <w:t>不可抗力</w:t>
      </w:r>
      <w:r>
        <w:rPr>
          <w:rFonts w:hint="eastAsia" w:asciiTheme="minorEastAsia" w:hAnsiTheme="minorEastAsia" w:eastAsiaTheme="minorEastAsia" w:cstheme="minorEastAsia"/>
          <w:snapToGrid w:val="0"/>
          <w:color w:val="auto"/>
          <w:kern w:val="0"/>
          <w:sz w:val="28"/>
          <w:szCs w:val="28"/>
          <w:highlight w:val="none"/>
          <w:lang w:val="zh-CN"/>
        </w:rPr>
        <w:t>包括但不限于地震、洪水、战争、暴乱、政府紧急征用、突发公共卫生事件及双方书面确认的其他情形。</w:t>
      </w:r>
    </w:p>
    <w:p w14:paraId="6F343DD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lang w:eastAsia="zh-CN"/>
        </w:rPr>
      </w:pPr>
      <w:r>
        <w:rPr>
          <w:rFonts w:hint="eastAsia" w:asciiTheme="minorEastAsia" w:hAnsiTheme="minorEastAsia" w:eastAsiaTheme="minorEastAsia" w:cstheme="minorEastAsia"/>
          <w:b w:val="0"/>
          <w:bCs w:val="0"/>
          <w:snapToGrid w:val="0"/>
          <w:color w:val="auto"/>
          <w:kern w:val="0"/>
          <w:sz w:val="28"/>
          <w:szCs w:val="28"/>
          <w:highlight w:val="none"/>
          <w:lang w:val="zh-CN" w:eastAsia="zh-CN"/>
        </w:rPr>
        <w:t>（十）</w:t>
      </w:r>
      <w:r>
        <w:rPr>
          <w:rFonts w:hint="eastAsia" w:asciiTheme="minorEastAsia" w:hAnsiTheme="minorEastAsia" w:eastAsiaTheme="minorEastAsia" w:cstheme="minorEastAsia"/>
          <w:snapToGrid w:val="0"/>
          <w:color w:val="auto"/>
          <w:kern w:val="0"/>
          <w:sz w:val="28"/>
          <w:szCs w:val="28"/>
          <w:highlight w:val="none"/>
          <w:lang w:val="zh-CN"/>
        </w:rPr>
        <w:t>甲方特别声明：本框架协议签订后，甲方有权根据行政管理需要，就涉及协议范围内全部或部分事项另行委托其他机构开展相同或类似工作。乙方承诺对此不持异议，并同意甲方无需因此承担任何违约责任。但甲方应确保其他机构的委托不会影响乙方正常履行本合同项下权利和义务（若因法律法规限制导致本条款部分无效，不影响合同其他条款效力）。</w:t>
      </w:r>
    </w:p>
    <w:p w14:paraId="20D1BCFF">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第十三条 争议的解决</w:t>
      </w:r>
    </w:p>
    <w:p w14:paraId="588A248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（一）</w:t>
      </w:r>
      <w:r>
        <w:rPr>
          <w:rFonts w:hint="eastAsia" w:asciiTheme="minorEastAsia" w:hAnsiTheme="minorEastAsia" w:eastAsiaTheme="minorEastAsia" w:cstheme="minorEastAsia"/>
          <w:snapToGrid w:val="0"/>
          <w:color w:val="auto"/>
          <w:kern w:val="0"/>
          <w:sz w:val="28"/>
          <w:szCs w:val="28"/>
          <w:highlight w:val="none"/>
          <w:lang w:val="zh-CN"/>
        </w:rPr>
        <w:t>本合同发生争议时，发包人、承包人应及时协商解决，也可由当地建设行政主管部门调解，协商或调解不成时，任何一方均有权向工程项目所在地人民法院起诉。</w:t>
      </w:r>
    </w:p>
    <w:p w14:paraId="575CB15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（二）</w:t>
      </w:r>
      <w:r>
        <w:rPr>
          <w:rFonts w:hint="eastAsia" w:asciiTheme="minorEastAsia" w:hAnsiTheme="minorEastAsia" w:eastAsiaTheme="minorEastAsia" w:cstheme="minorEastAsia"/>
          <w:snapToGrid w:val="0"/>
          <w:color w:val="auto"/>
          <w:kern w:val="0"/>
          <w:sz w:val="28"/>
          <w:szCs w:val="28"/>
          <w:highlight w:val="none"/>
          <w:lang w:val="zh-CN"/>
        </w:rPr>
        <w:t>在争议的协商、调解、起诉过程中，双方仍应继续承担合同约定的各自的责任和义务，保证本合同工作和工程建设的正常进行。</w:t>
      </w:r>
    </w:p>
    <w:p w14:paraId="09110E97">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lang w:val="zh-CN"/>
        </w:rPr>
      </w:pPr>
      <w:r>
        <w:rPr>
          <w:rFonts w:hint="eastAsia" w:asciiTheme="minorEastAsia" w:hAnsiTheme="minorEastAsia" w:eastAsiaTheme="minorEastAsia" w:cstheme="minorEastAsia"/>
          <w:b/>
          <w:bCs/>
          <w:snapToGrid w:val="0"/>
          <w:color w:val="auto"/>
          <w:kern w:val="0"/>
          <w:sz w:val="28"/>
          <w:szCs w:val="28"/>
          <w:highlight w:val="none"/>
          <w:lang w:val="zh-CN"/>
        </w:rPr>
        <w:t>第十四条 合同变更、解除与终止</w:t>
      </w:r>
    </w:p>
    <w:p w14:paraId="320AB25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（一）本合同如有未尽事宜，合同当事人协商解决，必要时可签订与本合同具有同等法律效力的补充协议。</w:t>
      </w:r>
    </w:p>
    <w:p w14:paraId="1014274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（二）</w:t>
      </w:r>
      <w:r>
        <w:rPr>
          <w:rFonts w:hint="eastAsia" w:asciiTheme="minorEastAsia" w:hAnsiTheme="minorEastAsia" w:eastAsiaTheme="minorEastAsia" w:cstheme="minorEastAsia"/>
          <w:snapToGrid w:val="0"/>
          <w:color w:val="auto"/>
          <w:kern w:val="0"/>
          <w:sz w:val="28"/>
          <w:szCs w:val="28"/>
          <w:highlight w:val="none"/>
          <w:lang w:val="zh-CN"/>
        </w:rPr>
        <w:t>本合同的变更必须由各方协商一致，并以书面形式确定。涉及调整合同价款的，严格按照广州市花都区印发的工程变更管理办法或相关文件等规定执行。</w:t>
      </w:r>
    </w:p>
    <w:p w14:paraId="7BF86D5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（三）</w:t>
      </w:r>
      <w:r>
        <w:rPr>
          <w:rFonts w:hint="eastAsia" w:asciiTheme="minorEastAsia" w:hAnsiTheme="minorEastAsia" w:eastAsiaTheme="minorEastAsia" w:cstheme="minorEastAsia"/>
          <w:snapToGrid w:val="0"/>
          <w:color w:val="auto"/>
          <w:kern w:val="0"/>
          <w:sz w:val="28"/>
          <w:szCs w:val="28"/>
          <w:highlight w:val="none"/>
          <w:lang w:val="zh-CN"/>
        </w:rPr>
        <w:t>除法定或本合同另有约定外，任何一方不得单方解除协议。</w:t>
      </w:r>
    </w:p>
    <w:p w14:paraId="38A07B5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（四）</w:t>
      </w:r>
      <w:r>
        <w:rPr>
          <w:rFonts w:hint="eastAsia" w:asciiTheme="minorEastAsia" w:hAnsiTheme="minorEastAsia" w:eastAsiaTheme="minorEastAsia" w:cstheme="minorEastAsia"/>
          <w:snapToGrid w:val="0"/>
          <w:color w:val="auto"/>
          <w:kern w:val="0"/>
          <w:sz w:val="28"/>
          <w:szCs w:val="28"/>
          <w:highlight w:val="none"/>
          <w:lang w:val="zh-CN"/>
        </w:rPr>
        <w:t>除法定和合同约定外，有下列情形之一的，合同当事人可以解除合同：</w:t>
      </w:r>
    </w:p>
    <w:p w14:paraId="3BD3C1E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1.</w:t>
      </w:r>
      <w:r>
        <w:rPr>
          <w:rFonts w:hint="eastAsia" w:asciiTheme="minorEastAsia" w:hAnsiTheme="minorEastAsia" w:eastAsiaTheme="minorEastAsia" w:cstheme="minorEastAsia"/>
          <w:snapToGrid w:val="0"/>
          <w:color w:val="auto"/>
          <w:kern w:val="0"/>
          <w:sz w:val="28"/>
          <w:szCs w:val="28"/>
          <w:highlight w:val="none"/>
          <w:lang w:val="zh-CN"/>
        </w:rPr>
        <w:t>因不可抗力致使合同无法履行；</w:t>
      </w:r>
    </w:p>
    <w:p w14:paraId="516777D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2.</w:t>
      </w:r>
      <w:r>
        <w:rPr>
          <w:rFonts w:hint="eastAsia" w:asciiTheme="minorEastAsia" w:hAnsiTheme="minorEastAsia" w:eastAsiaTheme="minorEastAsia" w:cstheme="minorEastAsia"/>
          <w:snapToGrid w:val="0"/>
          <w:color w:val="auto"/>
          <w:kern w:val="0"/>
          <w:sz w:val="28"/>
          <w:szCs w:val="28"/>
          <w:highlight w:val="none"/>
          <w:lang w:val="zh-CN"/>
        </w:rPr>
        <w:t>因一方严重违约致使合同目的无法履行或实际履行已无必要；</w:t>
      </w:r>
    </w:p>
    <w:p w14:paraId="33C5D29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3.</w:t>
      </w:r>
      <w:r>
        <w:rPr>
          <w:rFonts w:hint="eastAsia" w:asciiTheme="minorEastAsia" w:hAnsiTheme="minorEastAsia" w:eastAsiaTheme="minorEastAsia" w:cstheme="minorEastAsia"/>
          <w:snapToGrid w:val="0"/>
          <w:color w:val="auto"/>
          <w:kern w:val="0"/>
          <w:sz w:val="28"/>
          <w:szCs w:val="28"/>
          <w:highlight w:val="none"/>
          <w:lang w:val="zh-CN"/>
        </w:rPr>
        <w:t>因一方违约致使合同目的无法实现。</w:t>
      </w:r>
    </w:p>
    <w:p w14:paraId="11D5C15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4.</w:t>
      </w:r>
      <w:r>
        <w:rPr>
          <w:rFonts w:hint="eastAsia" w:asciiTheme="minorEastAsia" w:hAnsiTheme="minorEastAsia" w:eastAsiaTheme="minorEastAsia" w:cstheme="minorEastAsia"/>
          <w:snapToGrid w:val="0"/>
          <w:color w:val="auto"/>
          <w:kern w:val="0"/>
          <w:sz w:val="28"/>
          <w:szCs w:val="28"/>
          <w:highlight w:val="none"/>
          <w:lang w:val="zh-CN"/>
        </w:rPr>
        <w:t>因政策调整或规划调整或征地拆迁等客观原因造成本工程项目条件发生重大变化，使合同无法继续履行的，发包人有权解除合同，并免除发包人违约责任，发包人无需就此对承包人给予赔偿，由发包人与承包人协商签订书面协议明确清算原则进行结算。</w:t>
      </w:r>
    </w:p>
    <w:p w14:paraId="48CA638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en-US" w:eastAsia="zh-CN"/>
        </w:rPr>
        <w:t>5.</w:t>
      </w:r>
      <w:r>
        <w:rPr>
          <w:rFonts w:hint="eastAsia" w:asciiTheme="minorEastAsia" w:hAnsiTheme="minorEastAsia" w:eastAsiaTheme="minorEastAsia" w:cstheme="minorEastAsia"/>
          <w:snapToGrid w:val="0"/>
          <w:color w:val="auto"/>
          <w:kern w:val="0"/>
          <w:sz w:val="28"/>
          <w:szCs w:val="28"/>
          <w:highlight w:val="none"/>
          <w:lang w:val="zh-CN"/>
        </w:rPr>
        <w:t>因国家政策变化或受到相关主管部门处罚，承包人丧失履行合同能力的。</w:t>
      </w:r>
    </w:p>
    <w:p w14:paraId="2C4FE60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（五）各方就本合同解除协商一致的，可以解除合同。</w:t>
      </w:r>
    </w:p>
    <w:p w14:paraId="3B57BBB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（六）</w:t>
      </w:r>
      <w:r>
        <w:rPr>
          <w:rFonts w:hint="eastAsia" w:asciiTheme="minorEastAsia" w:hAnsiTheme="minorEastAsia" w:eastAsiaTheme="minorEastAsia" w:cstheme="minorEastAsia"/>
          <w:snapToGrid w:val="0"/>
          <w:color w:val="auto"/>
          <w:kern w:val="0"/>
          <w:sz w:val="28"/>
          <w:szCs w:val="28"/>
          <w:highlight w:val="none"/>
          <w:lang w:val="zh-CN"/>
        </w:rPr>
        <w:t>本合同当事人一方依法律规定或本合同约定要求解除合同的，应当书面通知对方。</w:t>
      </w:r>
    </w:p>
    <w:p w14:paraId="0B1F92B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（七）</w:t>
      </w:r>
      <w:r>
        <w:rPr>
          <w:rFonts w:hint="eastAsia" w:asciiTheme="minorEastAsia" w:hAnsiTheme="minorEastAsia" w:eastAsiaTheme="minorEastAsia" w:cstheme="minorEastAsia"/>
          <w:snapToGrid w:val="0"/>
          <w:color w:val="auto"/>
          <w:kern w:val="0"/>
          <w:sz w:val="28"/>
          <w:szCs w:val="28"/>
          <w:highlight w:val="none"/>
          <w:lang w:val="zh-CN"/>
        </w:rPr>
        <w:t>本合同的权利和义务终止后，各方应当遵循诚实信用原则，履行通知、协助等义务。</w:t>
      </w:r>
    </w:p>
    <w:p w14:paraId="0944D80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（八）</w:t>
      </w:r>
      <w:r>
        <w:rPr>
          <w:rFonts w:hint="eastAsia" w:asciiTheme="minorEastAsia" w:hAnsiTheme="minorEastAsia" w:eastAsiaTheme="minorEastAsia" w:cstheme="minorEastAsia"/>
          <w:snapToGrid w:val="0"/>
          <w:color w:val="auto"/>
          <w:kern w:val="0"/>
          <w:sz w:val="28"/>
          <w:szCs w:val="28"/>
          <w:highlight w:val="none"/>
          <w:lang w:val="zh-CN"/>
        </w:rPr>
        <w:t>本合同的终止并不影响本合同项下未完成的其他在终止日前已产生的义务或权利。</w:t>
      </w:r>
    </w:p>
    <w:p w14:paraId="36AF0431">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Theme="minorEastAsia" w:hAnsiTheme="minorEastAsia" w:eastAsiaTheme="minorEastAsia" w:cstheme="minorEastAsia"/>
          <w:b/>
          <w:bCs/>
          <w:snapToGrid w:val="0"/>
          <w:color w:val="auto"/>
          <w:kern w:val="0"/>
          <w:sz w:val="28"/>
          <w:szCs w:val="28"/>
          <w:highlight w:val="none"/>
          <w:lang w:val="zh-CN"/>
        </w:rPr>
      </w:pPr>
      <w:r>
        <w:rPr>
          <w:rFonts w:hint="eastAsia" w:asciiTheme="minorEastAsia" w:hAnsiTheme="minorEastAsia" w:eastAsiaTheme="minorEastAsia" w:cstheme="minorEastAsia"/>
          <w:b/>
          <w:bCs/>
          <w:snapToGrid w:val="0"/>
          <w:color w:val="auto"/>
          <w:kern w:val="0"/>
          <w:sz w:val="28"/>
          <w:szCs w:val="28"/>
          <w:highlight w:val="none"/>
        </w:rPr>
        <w:t>第十五条 合同签订与生效</w:t>
      </w:r>
    </w:p>
    <w:p w14:paraId="780CFC1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（一）本合同经合同签署各方法定代表人或委托代理人签字或盖章并加盖单位公章（或合同章）后生效。合同生效之后，双方一致同意就</w:t>
      </w:r>
      <w:r>
        <w:rPr>
          <w:rFonts w:hint="eastAsia" w:asciiTheme="minorEastAsia" w:hAnsiTheme="minorEastAsia" w:eastAsiaTheme="minorEastAsia" w:cstheme="minorEastAsia"/>
          <w:snapToGrid w:val="0"/>
          <w:color w:val="auto"/>
          <w:kern w:val="0"/>
          <w:sz w:val="28"/>
          <w:szCs w:val="28"/>
          <w:highlight w:val="none"/>
          <w:lang w:val="zh-CN"/>
        </w:rPr>
        <w:t>中标通知书</w:t>
      </w:r>
      <w:r>
        <w:rPr>
          <w:rFonts w:hint="eastAsia" w:asciiTheme="minorEastAsia" w:hAnsiTheme="minorEastAsia" w:eastAsiaTheme="minorEastAsia" w:cstheme="minorEastAsia"/>
          <w:snapToGrid w:val="0"/>
          <w:color w:val="auto"/>
          <w:kern w:val="0"/>
          <w:sz w:val="28"/>
          <w:szCs w:val="28"/>
          <w:highlight w:val="none"/>
          <w:lang w:val="zh-CN"/>
        </w:rPr>
        <w:t>发出之日起至合同生效之日期间按合同约定的履约行为予以追认。合同各方履行完成本合同规定的义务后，本合同自行终止。</w:t>
      </w:r>
    </w:p>
    <w:p w14:paraId="2FB7A4A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eastAsia="zh-CN"/>
        </w:rPr>
        <w:t>（二）</w:t>
      </w:r>
      <w:r>
        <w:rPr>
          <w:rFonts w:hint="eastAsia" w:asciiTheme="minorEastAsia" w:hAnsiTheme="minorEastAsia" w:eastAsiaTheme="minorEastAsia" w:cstheme="minorEastAsia"/>
          <w:snapToGrid w:val="0"/>
          <w:color w:val="auto"/>
          <w:kern w:val="0"/>
          <w:sz w:val="28"/>
          <w:szCs w:val="28"/>
          <w:highlight w:val="none"/>
          <w:lang w:val="zh-CN"/>
        </w:rPr>
        <w:t>正本一式</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xx </w:t>
      </w:r>
      <w:r>
        <w:rPr>
          <w:rFonts w:hint="eastAsia" w:asciiTheme="minorEastAsia" w:hAnsiTheme="minorEastAsia" w:eastAsiaTheme="minorEastAsia" w:cstheme="minorEastAsia"/>
          <w:snapToGrid w:val="0"/>
          <w:color w:val="auto"/>
          <w:kern w:val="0"/>
          <w:sz w:val="28"/>
          <w:szCs w:val="28"/>
          <w:highlight w:val="none"/>
          <w:lang w:val="zh-CN"/>
        </w:rPr>
        <w:t>份，各方各执一份；副本一式</w:t>
      </w:r>
      <w:r>
        <w:rPr>
          <w:rFonts w:hint="eastAsia" w:asciiTheme="minorEastAsia" w:hAnsiTheme="minorEastAsia" w:eastAsiaTheme="minorEastAsia" w:cstheme="minorEastAsia"/>
          <w:snapToGrid w:val="0"/>
          <w:color w:val="auto"/>
          <w:kern w:val="0"/>
          <w:sz w:val="28"/>
          <w:szCs w:val="28"/>
          <w:highlight w:val="none"/>
          <w:lang w:val="en-US" w:eastAsia="zh-CN"/>
        </w:rPr>
        <w:t>xx</w:t>
      </w:r>
      <w:r>
        <w:rPr>
          <w:rFonts w:hint="eastAsia" w:asciiTheme="minorEastAsia" w:hAnsiTheme="minorEastAsia" w:eastAsiaTheme="minorEastAsia" w:cstheme="minorEastAsia"/>
          <w:snapToGrid w:val="0"/>
          <w:color w:val="auto"/>
          <w:kern w:val="0"/>
          <w:sz w:val="28"/>
          <w:szCs w:val="28"/>
          <w:highlight w:val="none"/>
          <w:lang w:val="zh-CN"/>
        </w:rPr>
        <w:t>份，各方各执</w:t>
      </w:r>
      <w:r>
        <w:rPr>
          <w:rFonts w:hint="eastAsia" w:asciiTheme="minorEastAsia" w:hAnsiTheme="minorEastAsia" w:eastAsiaTheme="minorEastAsia" w:cstheme="minorEastAsia"/>
          <w:snapToGrid w:val="0"/>
          <w:color w:val="auto"/>
          <w:kern w:val="0"/>
          <w:sz w:val="28"/>
          <w:szCs w:val="28"/>
          <w:highlight w:val="none"/>
          <w:lang w:val="en-US" w:eastAsia="zh-CN"/>
        </w:rPr>
        <w:t>xx</w:t>
      </w:r>
      <w:r>
        <w:rPr>
          <w:rFonts w:hint="eastAsia" w:asciiTheme="minorEastAsia" w:hAnsiTheme="minorEastAsia" w:eastAsiaTheme="minorEastAsia" w:cstheme="minorEastAsia"/>
          <w:snapToGrid w:val="0"/>
          <w:color w:val="auto"/>
          <w:kern w:val="0"/>
          <w:sz w:val="28"/>
          <w:szCs w:val="28"/>
          <w:highlight w:val="none"/>
          <w:lang w:val="zh-CN"/>
        </w:rPr>
        <w:t>份，正副本具同等法律效力。</w:t>
      </w:r>
    </w:p>
    <w:p w14:paraId="67A1FA5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916C84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br w:type="page"/>
      </w:r>
    </w:p>
    <w:p w14:paraId="0D434AD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60DAD6F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（此页为</w:t>
      </w:r>
      <w:r>
        <w:rPr>
          <w:rFonts w:hint="eastAsia" w:asciiTheme="minorEastAsia" w:hAnsiTheme="minorEastAsia" w:eastAsiaTheme="minorEastAsia" w:cstheme="minorEastAsia"/>
          <w:snapToGrid w:val="0"/>
          <w:color w:val="auto"/>
          <w:kern w:val="0"/>
          <w:sz w:val="28"/>
          <w:szCs w:val="28"/>
          <w:highlight w:val="none"/>
          <w:lang w:val="en-US" w:eastAsia="zh-CN"/>
        </w:rPr>
        <w:t>xxxxx</w:t>
      </w:r>
      <w:r>
        <w:rPr>
          <w:rFonts w:hint="eastAsia" w:asciiTheme="minorEastAsia" w:hAnsiTheme="minorEastAsia" w:eastAsiaTheme="minorEastAsia" w:cstheme="minorEastAsia"/>
          <w:snapToGrid w:val="0"/>
          <w:color w:val="auto"/>
          <w:kern w:val="0"/>
          <w:sz w:val="28"/>
          <w:szCs w:val="28"/>
          <w:highlight w:val="none"/>
        </w:rPr>
        <w:t>项目框架合同签署页）</w:t>
      </w:r>
    </w:p>
    <w:p w14:paraId="63D4740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2D9AD0E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发包人（甲方）：广州市花都区交通运输局（盖章）</w:t>
      </w:r>
    </w:p>
    <w:p w14:paraId="4DD9891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w:t>
      </w:r>
    </w:p>
    <w:p w14:paraId="7B20A97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或授权委托人：</w:t>
      </w:r>
    </w:p>
    <w:p w14:paraId="2AB0307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地址：广州市花都区紫薇路23号3号楼</w:t>
      </w:r>
    </w:p>
    <w:p w14:paraId="5D4D525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邮编编码：</w:t>
      </w:r>
    </w:p>
    <w:p w14:paraId="1C10D27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联系人：</w:t>
      </w:r>
    </w:p>
    <w:p w14:paraId="4347D3A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联系电话：</w:t>
      </w:r>
    </w:p>
    <w:p w14:paraId="05EEE7B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签订日期：详见合同封面。</w:t>
      </w:r>
    </w:p>
    <w:p w14:paraId="591ACD7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1C1A8CCC">
      <w:pPr>
        <w:keepNext w:val="0"/>
        <w:keepLines w:val="0"/>
        <w:pageBreakBefore w:val="0"/>
        <w:widowControl w:val="0"/>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eastAsia="zh-CN"/>
        </w:rPr>
        <w:t>承包人（乙方）：</w:t>
      </w:r>
      <w:r>
        <w:rPr>
          <w:rFonts w:hint="eastAsia" w:asciiTheme="minorEastAsia" w:hAnsiTheme="minorEastAsia" w:eastAsiaTheme="minorEastAsia" w:cstheme="minorEastAsia"/>
          <w:snapToGrid w:val="0"/>
          <w:color w:val="auto"/>
          <w:kern w:val="0"/>
          <w:sz w:val="28"/>
          <w:szCs w:val="28"/>
          <w:highlight w:val="none"/>
          <w:lang w:val="en-US" w:eastAsia="zh-CN"/>
        </w:rPr>
        <w:t>xxx（盖章）</w:t>
      </w:r>
    </w:p>
    <w:p w14:paraId="24A1457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w:t>
      </w:r>
    </w:p>
    <w:p w14:paraId="0369846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或授权委托人：</w:t>
      </w:r>
    </w:p>
    <w:p w14:paraId="61D38D9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地址：</w:t>
      </w:r>
    </w:p>
    <w:p w14:paraId="1826B0B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邮编编码：</w:t>
      </w:r>
    </w:p>
    <w:p w14:paraId="6087A7B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联系人：</w:t>
      </w:r>
    </w:p>
    <w:p w14:paraId="0F9229E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联系电话：</w:t>
      </w:r>
    </w:p>
    <w:p w14:paraId="412E03D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签订日期：详见合同封面。</w:t>
      </w:r>
    </w:p>
    <w:p w14:paraId="333D107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D7640A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FDA260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br w:type="page"/>
      </w:r>
    </w:p>
    <w:p w14:paraId="500B8EA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第二部分 合同附件</w:t>
      </w:r>
    </w:p>
    <w:p w14:paraId="5063EDD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1.中标通知书</w:t>
      </w:r>
    </w:p>
    <w:p w14:paraId="01DC822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2.花都区建设工程项目廉洁责任合同</w:t>
      </w:r>
    </w:p>
    <w:p w14:paraId="3BD159C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3.承包人法定代表人证明书及法定代表人身份证复印件</w:t>
      </w:r>
    </w:p>
    <w:p w14:paraId="5BD8166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4.投标报价文件</w:t>
      </w:r>
    </w:p>
    <w:p w14:paraId="19B567F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5.投标文件关键页（拟人员表及负责人资质、拟投入设备、联合体协议等）</w:t>
      </w:r>
    </w:p>
    <w:p w14:paraId="27352CF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6</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lang w:eastAsia="zh-CN"/>
        </w:rPr>
        <w:t>十九</w:t>
      </w:r>
      <w:r>
        <w:rPr>
          <w:rFonts w:hint="eastAsia" w:asciiTheme="minorEastAsia" w:hAnsiTheme="minorEastAsia" w:eastAsiaTheme="minorEastAsia" w:cstheme="minorEastAsia"/>
          <w:snapToGrid w:val="0"/>
          <w:color w:val="auto"/>
          <w:kern w:val="0"/>
          <w:sz w:val="28"/>
          <w:szCs w:val="28"/>
          <w:highlight w:val="none"/>
        </w:rPr>
        <w:t>项工作内容计费文件</w:t>
      </w:r>
    </w:p>
    <w:p w14:paraId="3653A9F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7</w:t>
      </w:r>
      <w:r>
        <w:rPr>
          <w:rFonts w:hint="eastAsia" w:asciiTheme="minorEastAsia" w:hAnsiTheme="minorEastAsia" w:eastAsiaTheme="minorEastAsia" w:cstheme="minorEastAsia"/>
          <w:snapToGrid w:val="0"/>
          <w:color w:val="auto"/>
          <w:kern w:val="0"/>
          <w:sz w:val="28"/>
          <w:szCs w:val="28"/>
          <w:highlight w:val="none"/>
        </w:rPr>
        <w:t>.工作任务单（格式）</w:t>
      </w:r>
    </w:p>
    <w:p w14:paraId="14C5486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8</w:t>
      </w:r>
      <w:r>
        <w:rPr>
          <w:rFonts w:hint="eastAsia" w:asciiTheme="minorEastAsia" w:hAnsiTheme="minorEastAsia" w:eastAsiaTheme="minorEastAsia" w:cstheme="minorEastAsia"/>
          <w:snapToGrid w:val="0"/>
          <w:color w:val="auto"/>
          <w:kern w:val="0"/>
          <w:sz w:val="28"/>
          <w:szCs w:val="28"/>
          <w:highlight w:val="none"/>
        </w:rPr>
        <w:t>.子合同范本（格式）</w:t>
      </w:r>
    </w:p>
    <w:p w14:paraId="1A2DDFC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br w:type="page"/>
      </w:r>
    </w:p>
    <w:p w14:paraId="6E7FC32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附件1.中标通知书</w:t>
      </w:r>
    </w:p>
    <w:p w14:paraId="39E339E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61B58A2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1F0C616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1D7B2A8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4E3E158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4A489B0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71A53D7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5CD9FF8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132354F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316694D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21EAE49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6956899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3D174C5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746526B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65004BA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3BD49CF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1C5F52F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1F06D84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014DA72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1F37F30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368628E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3F5543B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附件2.花都区建设工程项目廉洁责任合同</w:t>
      </w:r>
    </w:p>
    <w:p w14:paraId="022CD53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13A7E1E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napToGrid w:val="0"/>
          <w:color w:val="auto"/>
          <w:kern w:val="0"/>
          <w:sz w:val="48"/>
          <w:szCs w:val="48"/>
          <w:highlight w:val="none"/>
        </w:rPr>
      </w:pPr>
      <w:r>
        <w:rPr>
          <w:rFonts w:hint="eastAsia" w:asciiTheme="minorEastAsia" w:hAnsiTheme="minorEastAsia" w:eastAsiaTheme="minorEastAsia" w:cstheme="minorEastAsia"/>
          <w:b/>
          <w:bCs/>
          <w:snapToGrid w:val="0"/>
          <w:color w:val="auto"/>
          <w:kern w:val="0"/>
          <w:sz w:val="48"/>
          <w:szCs w:val="48"/>
          <w:highlight w:val="none"/>
        </w:rPr>
        <w:t>花都区建设工程项目廉洁责任合同</w:t>
      </w:r>
    </w:p>
    <w:p w14:paraId="1AA7C30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w:t>
      </w:r>
      <w:r>
        <w:rPr>
          <w:rFonts w:hint="eastAsia" w:asciiTheme="minorEastAsia" w:hAnsiTheme="minorEastAsia" w:eastAsiaTheme="minorEastAsia" w:cstheme="minorEastAsia"/>
          <w:snapToGrid w:val="0"/>
          <w:color w:val="auto"/>
          <w:kern w:val="0"/>
          <w:sz w:val="28"/>
          <w:szCs w:val="28"/>
          <w:highlight w:val="none"/>
          <w:lang w:eastAsia="zh-CN"/>
        </w:rPr>
        <w:t>甲方</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u w:val="single"/>
        </w:rPr>
        <w:t>广州市花都区交通运输局</w:t>
      </w:r>
    </w:p>
    <w:p w14:paraId="7FEBC9AF">
      <w:pPr>
        <w:keepNext w:val="0"/>
        <w:keepLines w:val="0"/>
        <w:pageBreakBefore w:val="0"/>
        <w:widowControl w:val="0"/>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snapToGrid w:val="0"/>
          <w:color w:val="auto"/>
          <w:kern w:val="0"/>
          <w:sz w:val="28"/>
          <w:szCs w:val="28"/>
          <w:highlight w:val="none"/>
          <w:u w:val="single"/>
          <w:lang w:val="en-US" w:eastAsia="zh-CN"/>
        </w:rPr>
      </w:pPr>
      <w:r>
        <w:rPr>
          <w:rFonts w:hint="eastAsia" w:asciiTheme="minorEastAsia" w:hAnsiTheme="minorEastAsia" w:eastAsiaTheme="minorEastAsia" w:cstheme="minorEastAsia"/>
          <w:snapToGrid w:val="0"/>
          <w:color w:val="auto"/>
          <w:kern w:val="0"/>
          <w:sz w:val="28"/>
          <w:szCs w:val="28"/>
          <w:highlight w:val="none"/>
          <w:lang w:eastAsia="zh-CN"/>
        </w:rPr>
        <w:t>承包人（乙方）：</w:t>
      </w:r>
      <w:r>
        <w:rPr>
          <w:rFonts w:hint="eastAsia" w:asciiTheme="minorEastAsia" w:hAnsiTheme="minorEastAsia" w:eastAsiaTheme="minorEastAsia" w:cstheme="minorEastAsia"/>
          <w:snapToGrid w:val="0"/>
          <w:color w:val="auto"/>
          <w:kern w:val="0"/>
          <w:sz w:val="28"/>
          <w:szCs w:val="28"/>
          <w:highlight w:val="none"/>
          <w:u w:val="single"/>
          <w:lang w:val="en-US" w:eastAsia="zh-CN"/>
        </w:rPr>
        <w:t xml:space="preserve">                     </w:t>
      </w:r>
    </w:p>
    <w:p w14:paraId="6FE6CF1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rPr>
        <w:t>建设工程项</w:t>
      </w:r>
      <w:r>
        <w:rPr>
          <w:rFonts w:hint="eastAsia" w:asciiTheme="minorEastAsia" w:hAnsiTheme="minorEastAsia" w:eastAsiaTheme="minorEastAsia" w:cstheme="minorEastAsia"/>
          <w:snapToGrid w:val="0"/>
          <w:color w:val="auto"/>
          <w:kern w:val="0"/>
          <w:sz w:val="28"/>
          <w:szCs w:val="28"/>
          <w:highlight w:val="none"/>
          <w:lang w:eastAsia="zh-CN"/>
        </w:rPr>
        <w:t>目：</w:t>
      </w:r>
      <w:r>
        <w:rPr>
          <w:rFonts w:hint="eastAsia" w:asciiTheme="minorEastAsia" w:hAnsiTheme="minorEastAsia" w:eastAsiaTheme="minorEastAsia" w:cstheme="minorEastAsia"/>
          <w:snapToGrid w:val="0"/>
          <w:color w:val="auto"/>
          <w:kern w:val="0"/>
          <w:sz w:val="28"/>
          <w:szCs w:val="28"/>
          <w:highlight w:val="none"/>
          <w:u w:val="single"/>
          <w:lang w:val="en-US" w:eastAsia="zh-CN"/>
        </w:rPr>
        <w:t xml:space="preserve">                     </w:t>
      </w:r>
    </w:p>
    <w:p w14:paraId="2A498D2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rPr>
        <w:t>建设工程地</w:t>
      </w:r>
      <w:r>
        <w:rPr>
          <w:rFonts w:hint="eastAsia" w:asciiTheme="minorEastAsia" w:hAnsiTheme="minorEastAsia" w:eastAsiaTheme="minorEastAsia" w:cstheme="minorEastAsia"/>
          <w:snapToGrid w:val="0"/>
          <w:color w:val="auto"/>
          <w:kern w:val="0"/>
          <w:sz w:val="28"/>
          <w:szCs w:val="28"/>
          <w:highlight w:val="none"/>
          <w:lang w:eastAsia="zh-CN"/>
        </w:rPr>
        <w:t>点：</w:t>
      </w:r>
      <w:r>
        <w:rPr>
          <w:rFonts w:hint="eastAsia" w:asciiTheme="minorEastAsia" w:hAnsiTheme="minorEastAsia" w:eastAsiaTheme="minorEastAsia" w:cstheme="minorEastAsia"/>
          <w:snapToGrid w:val="0"/>
          <w:color w:val="auto"/>
          <w:kern w:val="0"/>
          <w:sz w:val="28"/>
          <w:szCs w:val="28"/>
          <w:highlight w:val="none"/>
          <w:u w:val="single"/>
        </w:rPr>
        <w:t>广州市花都区</w:t>
      </w:r>
    </w:p>
    <w:p w14:paraId="604FA73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为贯彻落实国家、省、市有关廉洁规定，深化廉洁花都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14:paraId="7834016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第一条  本合同适用于花都区政府财政资金和国有资金占控股或主导地位的公开招标建设工程项目，涵盖工程施工类及服务类合同。辖区范围内其他工程项目可参照执行。</w:t>
      </w:r>
    </w:p>
    <w:p w14:paraId="07308FA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第二条  发包人及其工作人员不得利用项目或职权为本人及亲属谋取不正当利益，包括下列行为：</w:t>
      </w:r>
    </w:p>
    <w:p w14:paraId="79730C3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2.1  索取、接受或者以借为名占用承包人的财物，包括但不限于任何形式的礼品礼金、好处费、回扣、各种有价证券、购物卡及其他支付凭证、房产、车辆、贵重物品等；</w:t>
      </w:r>
    </w:p>
    <w:p w14:paraId="10DD15A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2.2  接受承包人宴请（工作餐除外）及旅游、健身、娱乐等活动安排；</w:t>
      </w:r>
    </w:p>
    <w:p w14:paraId="6EBDF1B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2.3  向承包人报销任何应由自身承担、支付的费用；</w:t>
      </w:r>
    </w:p>
    <w:p w14:paraId="3C4AF39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2.4  向承包人推荐分包人，推销材料和设备，要求承包人购买指定的材料和设备；</w:t>
      </w:r>
    </w:p>
    <w:p w14:paraId="1B450B5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  私自为建设工程安排施工队伍，从事与建设工程有关的各种有偿中介服务；</w:t>
      </w:r>
    </w:p>
    <w:p w14:paraId="212CF97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2.6  要求或者暗示承包人为本人或亲属的工作安排、职务晋升、经商办企业、出国出境、旅游、留学、探亲、定居等提供资助或便利；</w:t>
      </w:r>
    </w:p>
    <w:p w14:paraId="2080A15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2.7  默许、纵容、授意亲属收受承包人财物，或从事与建设工程有关的材料和设备供应、工程分包、劳务等经济活动；</w:t>
      </w:r>
    </w:p>
    <w:p w14:paraId="4FACB92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2.8  其他利用项目或职权谋取不正当利益的行为。</w:t>
      </w:r>
    </w:p>
    <w:p w14:paraId="1DBD6A8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第三条  承包人及其工作人员不得通过商业贿赂等不正当手段谋取利益，包括下列行为：</w:t>
      </w:r>
    </w:p>
    <w:p w14:paraId="655B2AE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3.1  同意或主动向发包人及其工作人员提供第二条约定的禁止性行为；</w:t>
      </w:r>
    </w:p>
    <w:p w14:paraId="1AE3F77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14:paraId="7A7A59E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3.3  接受与建设工程相关的代建、施工、监理（项目管理）、勘察、设计、咨询等有关单位及其工作人员的商业贿赂。</w:t>
      </w:r>
    </w:p>
    <w:p w14:paraId="716A066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3.4  接受分包（工程分包、劳务分包等）单位、材料设备供应单位等单位及其工作人员的商业贿赂。</w:t>
      </w:r>
    </w:p>
    <w:p w14:paraId="095F4E9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3.5  其他通过不正当手段谋取利益的行为。</w:t>
      </w:r>
    </w:p>
    <w:p w14:paraId="00DC033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第四条  发包人、承包人及双方工作人员不得违规干预或插手建设工程招投标活动，禁止串通投标（围标）等不正当竞争行为。</w:t>
      </w:r>
    </w:p>
    <w:p w14:paraId="3F56744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第五条  廉洁风险防控机制</w:t>
      </w:r>
    </w:p>
    <w:p w14:paraId="59F7076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14:paraId="57B638B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第六条  廉洁违约责任</w:t>
      </w:r>
    </w:p>
    <w:p w14:paraId="39F3995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6.1  发包人及其工作人员违反本合同第二条和第四条规定，相关责任人应受到相应的党纪政务（纪）处分，涉嫌犯罪的，移送司法机关依法处理；给承包人造成经济损失的，应承担相应的赔偿责任。</w:t>
      </w:r>
    </w:p>
    <w:p w14:paraId="7EE4DDD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6.2  承包人及其工作人员违反本合同第三条和第四条规定，经有关主管部门查证属实或者经纪检监察机关认定违纪、经司法机关依法确定构成违法犯罪的，承包人应按次向发包人支付廉洁违约金（施工类建设项目合同价款2%且不超过100万元人民币，服务类建设项目合同价款5%且不超过50万元人民币）；给发包人造成经济损失的，还应承担相应的赔偿责任。同时，发包人有权：（1）如承包人的行为严重影响合同的履行或者严重干扰市场公平竞争营商环境，可单方解除主合同；（2）将承包人的履约评价评为不合格，并拒绝其参与发包人负责实施项目的投标或摇珠；（3）将有关情况报相关主管部门记录，作为企业诚信评分考核，建议给予通报并向社会进行公示。</w:t>
      </w:r>
    </w:p>
    <w:p w14:paraId="14C3060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第七条  监督举报</w:t>
      </w:r>
    </w:p>
    <w:p w14:paraId="1994FDE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承包人均有监督举报的权利和义务，发现对方有违反本合同的行为，可向花都区纪委监委举报。花都区纪委监委将按照相关规定予以受理，鼓励实名举报，严查诬告陷害，对实名举报有功人员给予一定的现金奖励，对诬告陷害的依规依纪依法给予处理。</w:t>
      </w:r>
    </w:p>
    <w:p w14:paraId="61F0BEA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花都区纪委监委举报方式：</w:t>
      </w:r>
    </w:p>
    <w:p w14:paraId="0635AF3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来信举报：广州市花都区迎宾大道89号花都区纪委监委，邮编：510800</w:t>
      </w:r>
    </w:p>
    <w:p w14:paraId="7B732C1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电话举报：020-12388</w:t>
      </w:r>
    </w:p>
    <w:p w14:paraId="50F39B4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第八条  其他约定</w:t>
      </w:r>
    </w:p>
    <w:p w14:paraId="4FE18FF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本合同作为双方所签署主合同的附件，与主合同具有同等法律效力。对项目涉及的廉洁问题，不受项目竣工验收、工作人员离职或退休等原因影响，发包人、承包人仍应按合同约定承担相应的违约责任。</w:t>
      </w:r>
    </w:p>
    <w:p w14:paraId="3C16391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本合同经</w:t>
      </w:r>
      <w:r>
        <w:rPr>
          <w:rFonts w:hint="eastAsia" w:asciiTheme="minorEastAsia" w:hAnsiTheme="minorEastAsia" w:eastAsiaTheme="minorEastAsia" w:cstheme="minorEastAsia"/>
          <w:snapToGrid w:val="0"/>
          <w:color w:val="auto"/>
          <w:kern w:val="0"/>
          <w:sz w:val="28"/>
          <w:szCs w:val="28"/>
          <w:highlight w:val="none"/>
          <w:lang w:eastAsia="zh-CN"/>
        </w:rPr>
        <w:t>甲乙</w:t>
      </w:r>
      <w:r>
        <w:rPr>
          <w:rFonts w:hint="eastAsia" w:asciiTheme="minorEastAsia" w:hAnsiTheme="minorEastAsia" w:eastAsiaTheme="minorEastAsia" w:cstheme="minorEastAsia"/>
          <w:snapToGrid w:val="0"/>
          <w:color w:val="auto"/>
          <w:kern w:val="0"/>
          <w:sz w:val="28"/>
          <w:szCs w:val="28"/>
          <w:highlight w:val="none"/>
        </w:rPr>
        <w:t>双方签署后生效。</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33"/>
      </w:tblGrid>
      <w:tr w14:paraId="425A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933" w:type="dxa"/>
          </w:tcPr>
          <w:p w14:paraId="1D9B2EC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w:t>
            </w:r>
            <w:r>
              <w:rPr>
                <w:rFonts w:hint="eastAsia" w:asciiTheme="minorEastAsia" w:hAnsiTheme="minorEastAsia" w:eastAsiaTheme="minorEastAsia" w:cstheme="minorEastAsia"/>
                <w:snapToGrid w:val="0"/>
                <w:color w:val="auto"/>
                <w:kern w:val="0"/>
                <w:sz w:val="28"/>
                <w:szCs w:val="28"/>
                <w:highlight w:val="none"/>
                <w:lang w:eastAsia="zh-CN"/>
              </w:rPr>
              <w:t>（甲方）</w:t>
            </w:r>
            <w:r>
              <w:rPr>
                <w:rFonts w:hint="eastAsia" w:asciiTheme="minorEastAsia" w:hAnsiTheme="minorEastAsia" w:eastAsiaTheme="minorEastAsia" w:cstheme="minorEastAsia"/>
                <w:snapToGrid w:val="0"/>
                <w:color w:val="auto"/>
                <w:kern w:val="0"/>
                <w:sz w:val="28"/>
                <w:szCs w:val="28"/>
                <w:highlight w:val="none"/>
              </w:rPr>
              <w:t>：广州市花都区交通运输局（盖章）</w:t>
            </w:r>
          </w:p>
          <w:p w14:paraId="314A1DB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法定代表人/授权委托人（签字）：</w:t>
            </w:r>
          </w:p>
        </w:tc>
      </w:tr>
      <w:tr w14:paraId="7D64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8933" w:type="dxa"/>
          </w:tcPr>
          <w:p w14:paraId="760D6A5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1B6E0F7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eastAsia="zh-CN"/>
              </w:rPr>
              <w:t>（乙方）：</w:t>
            </w:r>
            <w:r>
              <w:rPr>
                <w:rFonts w:hint="eastAsia" w:asciiTheme="minorEastAsia" w:hAnsiTheme="minorEastAsia" w:eastAsiaTheme="minorEastAsia" w:cstheme="minorEastAsia"/>
                <w:snapToGrid w:val="0"/>
                <w:color w:val="auto"/>
                <w:kern w:val="0"/>
                <w:sz w:val="28"/>
                <w:szCs w:val="28"/>
                <w:highlight w:val="none"/>
                <w:lang w:val="en-US" w:eastAsia="zh-CN"/>
              </w:rPr>
              <w:t>xxx</w:t>
            </w:r>
            <w:r>
              <w:rPr>
                <w:rFonts w:hint="eastAsia" w:asciiTheme="minorEastAsia" w:hAnsiTheme="minorEastAsia" w:eastAsiaTheme="minorEastAsia" w:cstheme="minorEastAsia"/>
                <w:snapToGrid w:val="0"/>
                <w:color w:val="auto"/>
                <w:kern w:val="0"/>
                <w:sz w:val="28"/>
                <w:szCs w:val="28"/>
                <w:highlight w:val="none"/>
              </w:rPr>
              <w:t>（盖章）</w:t>
            </w:r>
          </w:p>
          <w:p w14:paraId="53581B5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法定代表人/授权委托人（签字）：</w:t>
            </w:r>
          </w:p>
        </w:tc>
      </w:tr>
      <w:tr w14:paraId="0F08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3" w:type="dxa"/>
            <w:vAlign w:val="top"/>
          </w:tcPr>
          <w:p w14:paraId="416661E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签订地点</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u w:val="single"/>
              </w:rPr>
              <w:t>广州市花都区</w:t>
            </w:r>
          </w:p>
          <w:p w14:paraId="68906BE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签订时间：</w:t>
            </w:r>
            <w:r>
              <w:rPr>
                <w:rFonts w:hint="eastAsia" w:asciiTheme="minorEastAsia" w:hAnsiTheme="minorEastAsia" w:eastAsiaTheme="minorEastAsia" w:cstheme="minorEastAsia"/>
                <w:snapToGrid w:val="0"/>
                <w:color w:val="auto"/>
                <w:kern w:val="0"/>
                <w:sz w:val="28"/>
                <w:szCs w:val="28"/>
                <w:highlight w:val="none"/>
                <w:u w:val="single"/>
              </w:rPr>
              <w:t>详见本合同封面</w:t>
            </w:r>
          </w:p>
        </w:tc>
      </w:tr>
    </w:tbl>
    <w:p w14:paraId="24A96E5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6AD166A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261BB273">
      <w:pPr>
        <w:pStyle w:val="2"/>
        <w:rPr>
          <w:rFonts w:hint="eastAsia" w:asciiTheme="minorEastAsia" w:hAnsiTheme="minorEastAsia" w:eastAsiaTheme="minorEastAsia" w:cstheme="minorEastAsia"/>
          <w:snapToGrid w:val="0"/>
          <w:color w:val="auto"/>
          <w:kern w:val="0"/>
          <w:sz w:val="28"/>
          <w:szCs w:val="28"/>
          <w:highlight w:val="none"/>
        </w:rPr>
      </w:pPr>
    </w:p>
    <w:p w14:paraId="0DF9D3A6">
      <w:pPr>
        <w:pStyle w:val="2"/>
        <w:rPr>
          <w:rFonts w:hint="eastAsia" w:asciiTheme="minorEastAsia" w:hAnsiTheme="minorEastAsia" w:eastAsiaTheme="minorEastAsia" w:cstheme="minorEastAsia"/>
          <w:snapToGrid w:val="0"/>
          <w:color w:val="auto"/>
          <w:kern w:val="0"/>
          <w:sz w:val="28"/>
          <w:szCs w:val="28"/>
          <w:highlight w:val="none"/>
        </w:rPr>
      </w:pPr>
    </w:p>
    <w:p w14:paraId="3FCE8277">
      <w:pPr>
        <w:pStyle w:val="2"/>
        <w:rPr>
          <w:rFonts w:hint="eastAsia" w:asciiTheme="minorEastAsia" w:hAnsiTheme="minorEastAsia" w:eastAsiaTheme="minorEastAsia" w:cstheme="minorEastAsia"/>
          <w:snapToGrid w:val="0"/>
          <w:color w:val="auto"/>
          <w:kern w:val="0"/>
          <w:sz w:val="28"/>
          <w:szCs w:val="28"/>
          <w:highlight w:val="none"/>
        </w:rPr>
      </w:pPr>
    </w:p>
    <w:p w14:paraId="1188627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附件3.承包人法定代表人证明书及法定代表人身份证复印件</w:t>
      </w:r>
    </w:p>
    <w:p w14:paraId="16BCDDD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403C13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附件4.投标报价文件</w:t>
      </w:r>
    </w:p>
    <w:p w14:paraId="454EA94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4DA0857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附件5.投标文件关键页（拟</w:t>
      </w:r>
      <w:r>
        <w:rPr>
          <w:rFonts w:hint="eastAsia" w:asciiTheme="minorEastAsia" w:hAnsiTheme="minorEastAsia" w:eastAsiaTheme="minorEastAsia" w:cstheme="minorEastAsia"/>
          <w:snapToGrid w:val="0"/>
          <w:color w:val="auto"/>
          <w:kern w:val="0"/>
          <w:sz w:val="28"/>
          <w:szCs w:val="28"/>
          <w:highlight w:val="none"/>
          <w:lang w:eastAsia="zh-CN"/>
        </w:rPr>
        <w:t>投入</w:t>
      </w:r>
      <w:r>
        <w:rPr>
          <w:rFonts w:hint="eastAsia" w:asciiTheme="minorEastAsia" w:hAnsiTheme="minorEastAsia" w:eastAsiaTheme="minorEastAsia" w:cstheme="minorEastAsia"/>
          <w:snapToGrid w:val="0"/>
          <w:color w:val="auto"/>
          <w:kern w:val="0"/>
          <w:sz w:val="28"/>
          <w:szCs w:val="28"/>
          <w:highlight w:val="none"/>
        </w:rPr>
        <w:t>人员表及负责人</w:t>
      </w:r>
      <w:r>
        <w:rPr>
          <w:rFonts w:hint="eastAsia" w:asciiTheme="minorEastAsia" w:hAnsiTheme="minorEastAsia" w:eastAsiaTheme="minorEastAsia" w:cstheme="minorEastAsia"/>
          <w:snapToGrid w:val="0"/>
          <w:color w:val="auto"/>
          <w:kern w:val="0"/>
          <w:sz w:val="28"/>
          <w:szCs w:val="28"/>
          <w:highlight w:val="none"/>
          <w:lang w:eastAsia="zh-CN"/>
        </w:rPr>
        <w:t>、技术负责人</w:t>
      </w:r>
      <w:r>
        <w:rPr>
          <w:rFonts w:hint="eastAsia" w:asciiTheme="minorEastAsia" w:hAnsiTheme="minorEastAsia" w:eastAsiaTheme="minorEastAsia" w:cstheme="minorEastAsia"/>
          <w:snapToGrid w:val="0"/>
          <w:color w:val="auto"/>
          <w:kern w:val="0"/>
          <w:sz w:val="28"/>
          <w:szCs w:val="28"/>
          <w:highlight w:val="none"/>
        </w:rPr>
        <w:t>资质、拟投入设备、联合体协议等）</w:t>
      </w:r>
    </w:p>
    <w:p w14:paraId="239C0F8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4BD7FD0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2BC7D35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493BF8F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A0BC66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6939CBD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2A4AD06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48B3ACA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3D9D684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0A2B671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18A2DB1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157DA3B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0FB0703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47B0B64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0306FA04">
      <w:pPr>
        <w:pStyle w:val="2"/>
        <w:rPr>
          <w:rFonts w:hint="eastAsia"/>
          <w:color w:val="auto"/>
          <w:highlight w:val="none"/>
        </w:rPr>
      </w:pPr>
    </w:p>
    <w:p w14:paraId="3470281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47214A5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附件</w:t>
      </w:r>
      <w:r>
        <w:rPr>
          <w:rFonts w:hint="eastAsia" w:asciiTheme="minorEastAsia" w:hAnsiTheme="minorEastAsia" w:eastAsiaTheme="minorEastAsia" w:cstheme="minorEastAsia"/>
          <w:b/>
          <w:bCs/>
          <w:snapToGrid w:val="0"/>
          <w:color w:val="auto"/>
          <w:kern w:val="0"/>
          <w:sz w:val="28"/>
          <w:szCs w:val="28"/>
          <w:highlight w:val="none"/>
          <w:lang w:val="en-US" w:eastAsia="zh-CN"/>
        </w:rPr>
        <w:t>6</w:t>
      </w: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十九</w:t>
      </w:r>
      <w:r>
        <w:rPr>
          <w:rFonts w:hint="eastAsia" w:asciiTheme="minorEastAsia" w:hAnsiTheme="minorEastAsia" w:eastAsiaTheme="minorEastAsia" w:cstheme="minorEastAsia"/>
          <w:b/>
          <w:bCs/>
          <w:snapToGrid w:val="0"/>
          <w:color w:val="auto"/>
          <w:kern w:val="0"/>
          <w:sz w:val="28"/>
          <w:szCs w:val="28"/>
          <w:highlight w:val="none"/>
        </w:rPr>
        <w:t>项工作内容计费</w:t>
      </w:r>
      <w:r>
        <w:rPr>
          <w:rFonts w:hint="eastAsia" w:asciiTheme="minorEastAsia" w:hAnsiTheme="minorEastAsia" w:eastAsiaTheme="minorEastAsia" w:cstheme="minorEastAsia"/>
          <w:b/>
          <w:bCs/>
          <w:snapToGrid w:val="0"/>
          <w:color w:val="auto"/>
          <w:kern w:val="0"/>
          <w:sz w:val="28"/>
          <w:szCs w:val="28"/>
          <w:highlight w:val="none"/>
          <w:lang w:eastAsia="zh-CN"/>
        </w:rPr>
        <w:t>依据</w:t>
      </w:r>
      <w:r>
        <w:rPr>
          <w:rFonts w:hint="eastAsia" w:asciiTheme="minorEastAsia" w:hAnsiTheme="minorEastAsia" w:eastAsiaTheme="minorEastAsia" w:cstheme="minorEastAsia"/>
          <w:b/>
          <w:bCs/>
          <w:snapToGrid w:val="0"/>
          <w:color w:val="auto"/>
          <w:kern w:val="0"/>
          <w:sz w:val="28"/>
          <w:szCs w:val="28"/>
          <w:highlight w:val="none"/>
        </w:rPr>
        <w:t>文件</w:t>
      </w:r>
    </w:p>
    <w:p w14:paraId="03932B27">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b w:val="0"/>
          <w:bCs w:val="0"/>
          <w:snapToGrid w:val="0"/>
          <w:color w:val="auto"/>
          <w:kern w:val="0"/>
          <w:sz w:val="28"/>
          <w:szCs w:val="28"/>
          <w:highlight w:val="none"/>
          <w:u w:val="single"/>
          <w:lang w:eastAsia="zh-CN"/>
        </w:rPr>
      </w:pPr>
      <w:r>
        <w:rPr>
          <w:rFonts w:hint="eastAsia" w:asciiTheme="minorEastAsia" w:hAnsiTheme="minorEastAsia" w:eastAsiaTheme="minorEastAsia" w:cstheme="minorEastAsia"/>
          <w:b w:val="0"/>
          <w:bCs w:val="0"/>
          <w:snapToGrid w:val="0"/>
          <w:color w:val="auto"/>
          <w:kern w:val="0"/>
          <w:sz w:val="28"/>
          <w:szCs w:val="28"/>
          <w:highlight w:val="none"/>
          <w:u w:val="single"/>
          <w:lang w:eastAsia="zh-CN"/>
        </w:rPr>
        <w:t>注：</w:t>
      </w:r>
      <w:r>
        <w:rPr>
          <w:rFonts w:hint="eastAsia" w:asciiTheme="minorEastAsia" w:hAnsiTheme="minorEastAsia" w:eastAsiaTheme="minorEastAsia" w:cstheme="minorEastAsia"/>
          <w:b w:val="0"/>
          <w:bCs w:val="0"/>
          <w:snapToGrid w:val="0"/>
          <w:color w:val="auto"/>
          <w:kern w:val="0"/>
          <w:sz w:val="28"/>
          <w:szCs w:val="28"/>
          <w:highlight w:val="none"/>
          <w:u w:val="single"/>
          <w:lang w:val="en-US" w:eastAsia="zh-CN"/>
        </w:rPr>
        <w:t>1.</w:t>
      </w:r>
      <w:r>
        <w:rPr>
          <w:rFonts w:hint="eastAsia" w:asciiTheme="minorEastAsia" w:hAnsiTheme="minorEastAsia" w:eastAsiaTheme="minorEastAsia" w:cstheme="minorEastAsia"/>
          <w:b w:val="0"/>
          <w:bCs w:val="0"/>
          <w:snapToGrid w:val="0"/>
          <w:color w:val="auto"/>
          <w:kern w:val="0"/>
          <w:sz w:val="28"/>
          <w:szCs w:val="28"/>
          <w:highlight w:val="none"/>
          <w:u w:val="single"/>
          <w:lang w:eastAsia="zh-CN"/>
        </w:rPr>
        <w:t>各项费用根据合同约定计费依据计取后，根据子合同项目规模参考使用本附件的折扣数，具体费用以签订的子合同为准。</w:t>
      </w:r>
    </w:p>
    <w:p w14:paraId="1B6FD132">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b w:val="0"/>
          <w:bCs w:val="0"/>
          <w:snapToGrid w:val="0"/>
          <w:color w:val="auto"/>
          <w:kern w:val="0"/>
          <w:sz w:val="28"/>
          <w:szCs w:val="28"/>
          <w:highlight w:val="none"/>
          <w:u w:val="single"/>
          <w:lang w:eastAsia="zh-CN"/>
        </w:rPr>
      </w:pPr>
      <w:r>
        <w:rPr>
          <w:rFonts w:hint="eastAsia" w:asciiTheme="minorEastAsia" w:hAnsiTheme="minorEastAsia" w:eastAsiaTheme="minorEastAsia" w:cstheme="minorEastAsia"/>
          <w:b w:val="0"/>
          <w:bCs w:val="0"/>
          <w:snapToGrid w:val="0"/>
          <w:color w:val="auto"/>
          <w:kern w:val="0"/>
          <w:sz w:val="28"/>
          <w:szCs w:val="28"/>
          <w:highlight w:val="none"/>
          <w:u w:val="single"/>
          <w:lang w:val="en-US" w:eastAsia="zh-CN"/>
        </w:rPr>
        <w:t>2.项目复杂程度暂定，根据项目具体情况按照计费标准做出相应的调整，并结合合同下浮率（中标下浮率）计算。</w:t>
      </w:r>
    </w:p>
    <w:p w14:paraId="54D21859">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13DC38D4">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一</w:t>
      </w:r>
      <w:r>
        <w:rPr>
          <w:rFonts w:hint="eastAsia" w:asciiTheme="minorEastAsia" w:hAnsiTheme="minorEastAsia" w:eastAsiaTheme="minorEastAsia" w:cstheme="minorEastAsia"/>
          <w:b/>
          <w:bCs/>
          <w:snapToGrid w:val="0"/>
          <w:color w:val="auto"/>
          <w:kern w:val="0"/>
          <w:sz w:val="28"/>
          <w:szCs w:val="28"/>
          <w:highlight w:val="none"/>
        </w:rPr>
        <w:t>）控规调整</w:t>
      </w:r>
    </w:p>
    <w:p w14:paraId="4E014E42">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w:t>
      </w:r>
      <w:r>
        <w:rPr>
          <w:rFonts w:hint="eastAsia" w:asciiTheme="minorEastAsia" w:hAnsiTheme="minorEastAsia" w:eastAsiaTheme="minorEastAsia" w:cstheme="minorEastAsia"/>
          <w:snapToGrid w:val="0"/>
          <w:color w:val="auto"/>
          <w:kern w:val="0"/>
          <w:sz w:val="28"/>
          <w:szCs w:val="28"/>
          <w:highlight w:val="none"/>
        </w:rPr>
        <w:t>照《广东省城市规划收费标准的建议》（2003年10月）中的控制性详细规划相关标准</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并结合中标下浮率计取。</w:t>
      </w:r>
    </w:p>
    <w:p w14:paraId="6243258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drawing>
          <wp:inline distT="0" distB="0" distL="0" distR="0">
            <wp:extent cx="3813810" cy="1893570"/>
            <wp:effectExtent l="0" t="0" r="15240" b="11430"/>
            <wp:docPr id="20" name="图片 1" descr="控规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控规标准"/>
                    <pic:cNvPicPr>
                      <a:picLocks noChangeAspect="1" noChangeArrowheads="1"/>
                    </pic:cNvPicPr>
                  </pic:nvPicPr>
                  <pic:blipFill>
                    <a:blip r:embed="rId6" cstate="print">
                      <a:extLst>
                        <a:ext uri="{28A0092B-C50C-407E-A947-70E740481C1C}">
                          <a14:useLocalDpi xmlns:a14="http://schemas.microsoft.com/office/drawing/2010/main" val="0"/>
                        </a:ext>
                      </a:extLst>
                    </a:blip>
                    <a:srcRect b="12000"/>
                    <a:stretch>
                      <a:fillRect/>
                    </a:stretch>
                  </pic:blipFill>
                  <pic:spPr>
                    <a:xfrm>
                      <a:off x="0" y="0"/>
                      <a:ext cx="3813810" cy="1893570"/>
                    </a:xfrm>
                    <a:prstGeom prst="rect">
                      <a:avLst/>
                    </a:prstGeom>
                    <a:noFill/>
                    <a:ln>
                      <a:noFill/>
                    </a:ln>
                  </pic:spPr>
                </pic:pic>
              </a:graphicData>
            </a:graphic>
          </wp:inline>
        </w:drawing>
      </w:r>
    </w:p>
    <w:p w14:paraId="6A8CDEEB">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《广东省城市规划收费标准的建议》</w:t>
      </w:r>
    </w:p>
    <w:p w14:paraId="5092D04C">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05125B47">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二</w:t>
      </w:r>
      <w:r>
        <w:rPr>
          <w:rFonts w:hint="eastAsia" w:asciiTheme="minorEastAsia" w:hAnsiTheme="minorEastAsia" w:eastAsiaTheme="minorEastAsia" w:cstheme="minorEastAsia"/>
          <w:b/>
          <w:bCs/>
          <w:snapToGrid w:val="0"/>
          <w:color w:val="auto"/>
          <w:kern w:val="0"/>
          <w:sz w:val="28"/>
          <w:szCs w:val="28"/>
          <w:highlight w:val="none"/>
        </w:rPr>
        <w:t>）现状地形图测量</w:t>
      </w:r>
    </w:p>
    <w:p w14:paraId="2F4A135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tbl>
      <w:tblPr>
        <w:tblStyle w:val="30"/>
        <w:tblW w:w="8298" w:type="dxa"/>
        <w:jc w:val="center"/>
        <w:tblLayout w:type="fixed"/>
        <w:tblCellMar>
          <w:top w:w="0" w:type="dxa"/>
          <w:left w:w="108" w:type="dxa"/>
          <w:bottom w:w="0" w:type="dxa"/>
          <w:right w:w="108" w:type="dxa"/>
        </w:tblCellMar>
      </w:tblPr>
      <w:tblGrid>
        <w:gridCol w:w="795"/>
        <w:gridCol w:w="1007"/>
        <w:gridCol w:w="2542"/>
        <w:gridCol w:w="1183"/>
        <w:gridCol w:w="2771"/>
      </w:tblGrid>
      <w:tr w14:paraId="5C4B8D09">
        <w:tblPrEx>
          <w:tblCellMar>
            <w:top w:w="0" w:type="dxa"/>
            <w:left w:w="108" w:type="dxa"/>
            <w:bottom w:w="0" w:type="dxa"/>
            <w:right w:w="108" w:type="dxa"/>
          </w:tblCellMar>
        </w:tblPrEx>
        <w:trPr>
          <w:trHeight w:val="176" w:hRule="atLeast"/>
          <w:tblHeader/>
          <w:jc w:val="center"/>
        </w:trPr>
        <w:tc>
          <w:tcPr>
            <w:tcW w:w="795"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4DBD56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657B66B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183"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715F86A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771"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5C21FDB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2ED04339">
        <w:tblPrEx>
          <w:tblCellMar>
            <w:top w:w="0" w:type="dxa"/>
            <w:left w:w="108" w:type="dxa"/>
            <w:bottom w:w="0" w:type="dxa"/>
            <w:right w:w="108" w:type="dxa"/>
          </w:tblCellMar>
        </w:tblPrEx>
        <w:trPr>
          <w:trHeight w:val="230" w:hRule="atLeast"/>
          <w:jc w:val="center"/>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46864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1007"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16B7A4C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控制测量</w:t>
            </w:r>
          </w:p>
        </w:tc>
        <w:tc>
          <w:tcPr>
            <w:tcW w:w="2542"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7D4636F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动态、E级</w:t>
            </w:r>
          </w:p>
        </w:tc>
        <w:tc>
          <w:tcPr>
            <w:tcW w:w="1183"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02EEC64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AE93B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2553（Ⅱ）</w:t>
            </w:r>
          </w:p>
        </w:tc>
      </w:tr>
      <w:tr w14:paraId="438B9B34">
        <w:tblPrEx>
          <w:tblCellMar>
            <w:top w:w="0" w:type="dxa"/>
            <w:left w:w="108" w:type="dxa"/>
            <w:bottom w:w="0" w:type="dxa"/>
            <w:right w:w="108" w:type="dxa"/>
          </w:tblCellMar>
        </w:tblPrEx>
        <w:trPr>
          <w:trHeight w:val="166" w:hRule="atLeast"/>
          <w:jc w:val="center"/>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7BBCE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1007"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3674C4E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542"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17B18F6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183"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2658510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92C50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3512.06（Ⅲ）</w:t>
            </w:r>
          </w:p>
        </w:tc>
      </w:tr>
      <w:tr w14:paraId="20FD49D7">
        <w:tblPrEx>
          <w:tblCellMar>
            <w:top w:w="0" w:type="dxa"/>
            <w:left w:w="108" w:type="dxa"/>
            <w:bottom w:w="0" w:type="dxa"/>
            <w:right w:w="108" w:type="dxa"/>
          </w:tblCellMar>
        </w:tblPrEx>
        <w:trPr>
          <w:trHeight w:val="378" w:hRule="atLeast"/>
          <w:jc w:val="center"/>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4B48A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p>
        </w:tc>
        <w:tc>
          <w:tcPr>
            <w:tcW w:w="100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E586C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野外地形数据采集及成图</w:t>
            </w:r>
          </w:p>
        </w:tc>
        <w:tc>
          <w:tcPr>
            <w:tcW w:w="254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CD768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1:500地形图测量</w:t>
            </w:r>
          </w:p>
        </w:tc>
        <w:tc>
          <w:tcPr>
            <w:tcW w:w="118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6B558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幅</w:t>
            </w:r>
          </w:p>
        </w:tc>
        <w:tc>
          <w:tcPr>
            <w:tcW w:w="2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F3FB8E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13456.15（Ⅱ）</w:t>
            </w:r>
          </w:p>
        </w:tc>
      </w:tr>
      <w:tr w14:paraId="08424F86">
        <w:tblPrEx>
          <w:tblCellMar>
            <w:top w:w="0" w:type="dxa"/>
            <w:left w:w="108" w:type="dxa"/>
            <w:bottom w:w="0" w:type="dxa"/>
            <w:right w:w="108" w:type="dxa"/>
          </w:tblCellMar>
        </w:tblPrEx>
        <w:trPr>
          <w:trHeight w:val="165" w:hRule="atLeast"/>
          <w:jc w:val="center"/>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B36A8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w:t>
            </w: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14:paraId="6A26275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542" w:type="dxa"/>
            <w:vMerge w:val="continue"/>
            <w:tcBorders>
              <w:top w:val="single" w:color="000000" w:sz="4" w:space="0"/>
              <w:left w:val="single" w:color="000000" w:sz="4" w:space="0"/>
              <w:bottom w:val="single" w:color="000000" w:sz="4" w:space="0"/>
              <w:right w:val="single" w:color="000000" w:sz="4" w:space="0"/>
            </w:tcBorders>
            <w:vAlign w:val="center"/>
          </w:tcPr>
          <w:p w14:paraId="76D9622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0BB24AF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071EBD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19340.32（Ⅲ）</w:t>
            </w:r>
          </w:p>
        </w:tc>
      </w:tr>
      <w:tr w14:paraId="28BCA195">
        <w:tblPrEx>
          <w:tblCellMar>
            <w:top w:w="0" w:type="dxa"/>
            <w:left w:w="108" w:type="dxa"/>
            <w:bottom w:w="0" w:type="dxa"/>
            <w:right w:w="108" w:type="dxa"/>
          </w:tblCellMar>
        </w:tblPrEx>
        <w:trPr>
          <w:trHeight w:val="165" w:hRule="atLeast"/>
          <w:jc w:val="center"/>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7F570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5</w:t>
            </w: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14:paraId="0D01223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542" w:type="dxa"/>
            <w:vMerge w:val="restart"/>
            <w:tcBorders>
              <w:top w:val="single" w:color="000000" w:sz="4" w:space="0"/>
              <w:left w:val="single" w:color="000000" w:sz="4" w:space="0"/>
              <w:right w:val="single" w:color="000000" w:sz="4" w:space="0"/>
            </w:tcBorders>
            <w:vAlign w:val="center"/>
          </w:tcPr>
          <w:p w14:paraId="40D461C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lang w:val="en-US" w:eastAsia="zh-CN"/>
              </w:rPr>
              <w:t>1</w:t>
            </w:r>
            <w:r>
              <w:rPr>
                <w:rFonts w:hint="eastAsia" w:asciiTheme="minorEastAsia" w:hAnsiTheme="minorEastAsia" w:eastAsiaTheme="minorEastAsia" w:cstheme="minorEastAsia"/>
                <w:snapToGrid w:val="0"/>
                <w:color w:val="auto"/>
                <w:kern w:val="0"/>
                <w:sz w:val="28"/>
                <w:szCs w:val="28"/>
                <w:highlight w:val="none"/>
              </w:rPr>
              <w:t>000地形图测量</w:t>
            </w:r>
          </w:p>
        </w:tc>
        <w:tc>
          <w:tcPr>
            <w:tcW w:w="1183" w:type="dxa"/>
            <w:vMerge w:val="restart"/>
            <w:tcBorders>
              <w:top w:val="single" w:color="000000" w:sz="4" w:space="0"/>
              <w:left w:val="single" w:color="000000" w:sz="4" w:space="0"/>
              <w:right w:val="single" w:color="000000" w:sz="4" w:space="0"/>
            </w:tcBorders>
            <w:vAlign w:val="center"/>
          </w:tcPr>
          <w:p w14:paraId="5D3A257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幅</w:t>
            </w:r>
          </w:p>
        </w:tc>
        <w:tc>
          <w:tcPr>
            <w:tcW w:w="2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DFF6F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27639.66</w:t>
            </w:r>
          </w:p>
        </w:tc>
      </w:tr>
      <w:tr w14:paraId="77650FD8">
        <w:tblPrEx>
          <w:tblCellMar>
            <w:top w:w="0" w:type="dxa"/>
            <w:left w:w="108" w:type="dxa"/>
            <w:bottom w:w="0" w:type="dxa"/>
            <w:right w:w="108" w:type="dxa"/>
          </w:tblCellMar>
        </w:tblPrEx>
        <w:trPr>
          <w:trHeight w:val="165" w:hRule="atLeast"/>
          <w:jc w:val="center"/>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41779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6</w:t>
            </w: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14:paraId="1C3C4AE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542" w:type="dxa"/>
            <w:vMerge w:val="continue"/>
            <w:tcBorders>
              <w:left w:val="single" w:color="000000" w:sz="4" w:space="0"/>
              <w:bottom w:val="single" w:color="000000" w:sz="4" w:space="0"/>
              <w:right w:val="single" w:color="000000" w:sz="4" w:space="0"/>
            </w:tcBorders>
            <w:vAlign w:val="center"/>
          </w:tcPr>
          <w:p w14:paraId="602DF19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183" w:type="dxa"/>
            <w:vMerge w:val="continue"/>
            <w:tcBorders>
              <w:left w:val="single" w:color="000000" w:sz="4" w:space="0"/>
              <w:bottom w:val="single" w:color="000000" w:sz="4" w:space="0"/>
              <w:right w:val="single" w:color="000000" w:sz="4" w:space="0"/>
            </w:tcBorders>
            <w:vAlign w:val="center"/>
          </w:tcPr>
          <w:p w14:paraId="2109E53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7576E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39437.13</w:t>
            </w:r>
          </w:p>
        </w:tc>
      </w:tr>
      <w:tr w14:paraId="4A6E5F15">
        <w:tblPrEx>
          <w:tblCellMar>
            <w:top w:w="0" w:type="dxa"/>
            <w:left w:w="108" w:type="dxa"/>
            <w:bottom w:w="0" w:type="dxa"/>
            <w:right w:w="108" w:type="dxa"/>
          </w:tblCellMar>
        </w:tblPrEx>
        <w:trPr>
          <w:trHeight w:val="278" w:hRule="atLeast"/>
          <w:jc w:val="center"/>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53CE1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7</w:t>
            </w: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14:paraId="40E6AB0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54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BDD41C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1:2000地形图测量</w:t>
            </w:r>
          </w:p>
        </w:tc>
        <w:tc>
          <w:tcPr>
            <w:tcW w:w="118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796C6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幅</w:t>
            </w:r>
          </w:p>
        </w:tc>
        <w:tc>
          <w:tcPr>
            <w:tcW w:w="2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DAD43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36367.98（Ⅱ）</w:t>
            </w:r>
          </w:p>
        </w:tc>
      </w:tr>
      <w:tr w14:paraId="09E86F5A">
        <w:tblPrEx>
          <w:tblCellMar>
            <w:top w:w="0" w:type="dxa"/>
            <w:left w:w="108" w:type="dxa"/>
            <w:bottom w:w="0" w:type="dxa"/>
            <w:right w:w="108" w:type="dxa"/>
          </w:tblCellMar>
        </w:tblPrEx>
        <w:trPr>
          <w:trHeight w:val="328" w:hRule="atLeast"/>
          <w:jc w:val="center"/>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91C8A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8</w:t>
            </w: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14:paraId="05AC68B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542" w:type="dxa"/>
            <w:vMerge w:val="continue"/>
            <w:tcBorders>
              <w:top w:val="single" w:color="000000" w:sz="4" w:space="0"/>
              <w:left w:val="single" w:color="000000" w:sz="4" w:space="0"/>
              <w:bottom w:val="single" w:color="000000" w:sz="4" w:space="0"/>
              <w:right w:val="single" w:color="000000" w:sz="4" w:space="0"/>
            </w:tcBorders>
            <w:vAlign w:val="center"/>
          </w:tcPr>
          <w:p w14:paraId="0324C87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7D0427D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B80921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58017.38（Ⅲ）</w:t>
            </w:r>
          </w:p>
        </w:tc>
      </w:tr>
    </w:tbl>
    <w:p w14:paraId="4341961B">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12ECABAD">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三</w:t>
      </w:r>
      <w:r>
        <w:rPr>
          <w:rFonts w:hint="eastAsia" w:asciiTheme="minorEastAsia" w:hAnsiTheme="minorEastAsia" w:eastAsiaTheme="minorEastAsia" w:cstheme="minorEastAsia"/>
          <w:b/>
          <w:bCs/>
          <w:snapToGrid w:val="0"/>
          <w:color w:val="auto"/>
          <w:kern w:val="0"/>
          <w:sz w:val="28"/>
          <w:szCs w:val="28"/>
          <w:highlight w:val="none"/>
        </w:rPr>
        <w:t>）规划放线测量（含建设工程、道路工程、地下管线）</w:t>
      </w:r>
    </w:p>
    <w:p w14:paraId="1A7474FF">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p>
    <w:tbl>
      <w:tblPr>
        <w:tblStyle w:val="30"/>
        <w:tblW w:w="8338" w:type="dxa"/>
        <w:jc w:val="center"/>
        <w:tblLayout w:type="fixed"/>
        <w:tblCellMar>
          <w:top w:w="0" w:type="dxa"/>
          <w:left w:w="108" w:type="dxa"/>
          <w:bottom w:w="0" w:type="dxa"/>
          <w:right w:w="108" w:type="dxa"/>
        </w:tblCellMar>
      </w:tblPr>
      <w:tblGrid>
        <w:gridCol w:w="798"/>
        <w:gridCol w:w="1728"/>
        <w:gridCol w:w="1756"/>
        <w:gridCol w:w="1272"/>
        <w:gridCol w:w="2784"/>
      </w:tblGrid>
      <w:tr w14:paraId="581ED456">
        <w:tblPrEx>
          <w:tblCellMar>
            <w:top w:w="0" w:type="dxa"/>
            <w:left w:w="108" w:type="dxa"/>
            <w:bottom w:w="0" w:type="dxa"/>
            <w:right w:w="108" w:type="dxa"/>
          </w:tblCellMar>
        </w:tblPrEx>
        <w:trPr>
          <w:trHeight w:val="90" w:hRule="atLeast"/>
          <w:tblHeader/>
          <w:jc w:val="center"/>
        </w:trPr>
        <w:tc>
          <w:tcPr>
            <w:tcW w:w="798"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03C9A35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1EA445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272"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31AD136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784"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1B85A3C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79BCCFE2">
        <w:tblPrEx>
          <w:tblCellMar>
            <w:top w:w="0" w:type="dxa"/>
            <w:left w:w="108" w:type="dxa"/>
            <w:bottom w:w="0" w:type="dxa"/>
            <w:right w:w="108" w:type="dxa"/>
          </w:tblCellMar>
        </w:tblPrEx>
        <w:trPr>
          <w:trHeight w:val="375" w:hRule="atLeast"/>
          <w:jc w:val="center"/>
        </w:trPr>
        <w:tc>
          <w:tcPr>
            <w:tcW w:w="7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0F8E8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172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4303F33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控制测量</w:t>
            </w:r>
          </w:p>
        </w:tc>
        <w:tc>
          <w:tcPr>
            <w:tcW w:w="1756"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66596E5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动态、E级</w:t>
            </w:r>
          </w:p>
        </w:tc>
        <w:tc>
          <w:tcPr>
            <w:tcW w:w="1272"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565E0E8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038D2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2553（Ⅱ）</w:t>
            </w:r>
          </w:p>
        </w:tc>
      </w:tr>
      <w:tr w14:paraId="678B6BFC">
        <w:tblPrEx>
          <w:tblCellMar>
            <w:top w:w="0" w:type="dxa"/>
            <w:left w:w="108" w:type="dxa"/>
            <w:bottom w:w="0" w:type="dxa"/>
            <w:right w:w="108" w:type="dxa"/>
          </w:tblCellMar>
        </w:tblPrEx>
        <w:trPr>
          <w:trHeight w:val="244" w:hRule="atLeast"/>
          <w:jc w:val="center"/>
        </w:trPr>
        <w:tc>
          <w:tcPr>
            <w:tcW w:w="7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2B92B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1728"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7EF9AFD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756"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4AA1DAC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72"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75EB74F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847DF8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3512.06（Ⅲ）</w:t>
            </w:r>
          </w:p>
        </w:tc>
      </w:tr>
      <w:tr w14:paraId="4240F681">
        <w:tblPrEx>
          <w:tblCellMar>
            <w:top w:w="0" w:type="dxa"/>
            <w:left w:w="108" w:type="dxa"/>
            <w:bottom w:w="0" w:type="dxa"/>
            <w:right w:w="108" w:type="dxa"/>
          </w:tblCellMar>
        </w:tblPrEx>
        <w:trPr>
          <w:trHeight w:val="364" w:hRule="atLeast"/>
          <w:jc w:val="center"/>
        </w:trPr>
        <w:tc>
          <w:tcPr>
            <w:tcW w:w="7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47940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p>
        </w:tc>
        <w:tc>
          <w:tcPr>
            <w:tcW w:w="172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5F8C7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放线测量现状地形图</w:t>
            </w:r>
          </w:p>
        </w:tc>
        <w:tc>
          <w:tcPr>
            <w:tcW w:w="175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81085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1:500地形图</w:t>
            </w:r>
          </w:p>
        </w:tc>
        <w:tc>
          <w:tcPr>
            <w:tcW w:w="127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A6B88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幅</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E89C71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13456.15（Ⅱ）</w:t>
            </w:r>
          </w:p>
        </w:tc>
      </w:tr>
      <w:tr w14:paraId="12553107">
        <w:tblPrEx>
          <w:tblCellMar>
            <w:top w:w="0" w:type="dxa"/>
            <w:left w:w="108" w:type="dxa"/>
            <w:bottom w:w="0" w:type="dxa"/>
            <w:right w:w="108" w:type="dxa"/>
          </w:tblCellMar>
        </w:tblPrEx>
        <w:trPr>
          <w:trHeight w:val="531" w:hRule="atLeast"/>
          <w:jc w:val="center"/>
        </w:trPr>
        <w:tc>
          <w:tcPr>
            <w:tcW w:w="7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ED664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w:t>
            </w:r>
          </w:p>
        </w:tc>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5536703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756" w:type="dxa"/>
            <w:vMerge w:val="continue"/>
            <w:tcBorders>
              <w:top w:val="single" w:color="000000" w:sz="4" w:space="0"/>
              <w:left w:val="single" w:color="000000" w:sz="4" w:space="0"/>
              <w:bottom w:val="single" w:color="000000" w:sz="4" w:space="0"/>
              <w:right w:val="single" w:color="000000" w:sz="4" w:space="0"/>
            </w:tcBorders>
            <w:vAlign w:val="center"/>
          </w:tcPr>
          <w:p w14:paraId="45292B2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14:paraId="12B25B7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B55A9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19340.32（Ⅲ）</w:t>
            </w:r>
          </w:p>
        </w:tc>
      </w:tr>
      <w:tr w14:paraId="0944F60E">
        <w:tblPrEx>
          <w:tblCellMar>
            <w:top w:w="0" w:type="dxa"/>
            <w:left w:w="108" w:type="dxa"/>
            <w:bottom w:w="0" w:type="dxa"/>
            <w:right w:w="108" w:type="dxa"/>
          </w:tblCellMar>
        </w:tblPrEx>
        <w:trPr>
          <w:trHeight w:val="753" w:hRule="atLeast"/>
          <w:jc w:val="center"/>
        </w:trPr>
        <w:tc>
          <w:tcPr>
            <w:tcW w:w="7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3B3BC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w:t>
            </w:r>
          </w:p>
        </w:tc>
        <w:tc>
          <w:tcPr>
            <w:tcW w:w="3484" w:type="dxa"/>
            <w:gridSpan w:val="2"/>
            <w:tcBorders>
              <w:top w:val="single" w:color="000000" w:sz="4" w:space="0"/>
              <w:left w:val="single" w:color="000000" w:sz="4" w:space="0"/>
              <w:bottom w:val="single" w:color="000000" w:sz="4" w:space="0"/>
              <w:right w:val="single" w:color="000000" w:sz="4" w:space="0"/>
            </w:tcBorders>
            <w:vAlign w:val="center"/>
          </w:tcPr>
          <w:p w14:paraId="76E759A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建设工程（管线关键点）放线测量、规划道路（中边桩）、用地界桩、管线点放样</w:t>
            </w:r>
          </w:p>
        </w:tc>
        <w:tc>
          <w:tcPr>
            <w:tcW w:w="1272" w:type="dxa"/>
            <w:tcBorders>
              <w:top w:val="single" w:color="000000" w:sz="4" w:space="0"/>
              <w:left w:val="single" w:color="000000" w:sz="4" w:space="0"/>
              <w:bottom w:val="single" w:color="000000" w:sz="4" w:space="0"/>
              <w:right w:val="single" w:color="000000" w:sz="4" w:space="0"/>
            </w:tcBorders>
            <w:vAlign w:val="center"/>
          </w:tcPr>
          <w:p w14:paraId="2A5823E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件</w:t>
            </w:r>
          </w:p>
          <w:p w14:paraId="7B98A1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（4点）</w:t>
            </w:r>
          </w:p>
        </w:tc>
        <w:tc>
          <w:tcPr>
            <w:tcW w:w="27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D4610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2594.32</w:t>
            </w:r>
          </w:p>
          <w:p w14:paraId="274B0B2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（648.58元/点）</w:t>
            </w:r>
          </w:p>
        </w:tc>
      </w:tr>
    </w:tbl>
    <w:p w14:paraId="23CC1257">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3103BC6A">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四</w:t>
      </w:r>
      <w:r>
        <w:rPr>
          <w:rFonts w:hint="eastAsia" w:asciiTheme="minorEastAsia" w:hAnsiTheme="minorEastAsia" w:eastAsiaTheme="minorEastAsia" w:cstheme="minorEastAsia"/>
          <w:b/>
          <w:bCs/>
          <w:snapToGrid w:val="0"/>
          <w:color w:val="auto"/>
          <w:kern w:val="0"/>
          <w:sz w:val="28"/>
          <w:szCs w:val="28"/>
          <w:highlight w:val="none"/>
        </w:rPr>
        <w:t>）规划条件核实测量（含建设工程、道路工程、地下管线）</w:t>
      </w:r>
    </w:p>
    <w:p w14:paraId="734AAF13">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tbl>
      <w:tblPr>
        <w:tblStyle w:val="30"/>
        <w:tblW w:w="8593" w:type="dxa"/>
        <w:jc w:val="center"/>
        <w:tblLayout w:type="fixed"/>
        <w:tblCellMar>
          <w:top w:w="0" w:type="dxa"/>
          <w:left w:w="108" w:type="dxa"/>
          <w:bottom w:w="0" w:type="dxa"/>
          <w:right w:w="108" w:type="dxa"/>
        </w:tblCellMar>
      </w:tblPr>
      <w:tblGrid>
        <w:gridCol w:w="883"/>
        <w:gridCol w:w="2220"/>
        <w:gridCol w:w="1781"/>
        <w:gridCol w:w="1281"/>
        <w:gridCol w:w="2428"/>
      </w:tblGrid>
      <w:tr w14:paraId="6CC641C8">
        <w:tblPrEx>
          <w:tblCellMar>
            <w:top w:w="0" w:type="dxa"/>
            <w:left w:w="108" w:type="dxa"/>
            <w:bottom w:w="0" w:type="dxa"/>
            <w:right w:w="108" w:type="dxa"/>
          </w:tblCellMar>
        </w:tblPrEx>
        <w:trPr>
          <w:trHeight w:val="353" w:hRule="atLeast"/>
          <w:tblHeader/>
          <w:jc w:val="center"/>
        </w:trPr>
        <w:tc>
          <w:tcPr>
            <w:tcW w:w="883" w:type="dxa"/>
            <w:tcBorders>
              <w:top w:val="single" w:color="auto" w:sz="4" w:space="0"/>
              <w:left w:val="single" w:color="auto" w:sz="4" w:space="0"/>
              <w:bottom w:val="single" w:color="auto" w:sz="4" w:space="0"/>
              <w:right w:val="single" w:color="auto" w:sz="4" w:space="0"/>
            </w:tcBorders>
            <w:shd w:val="clear" w:color="auto" w:fill="BEBEBE"/>
            <w:tcMar>
              <w:top w:w="15" w:type="dxa"/>
              <w:left w:w="15" w:type="dxa"/>
              <w:bottom w:w="15" w:type="dxa"/>
              <w:right w:w="15" w:type="dxa"/>
            </w:tcMar>
            <w:vAlign w:val="center"/>
          </w:tcPr>
          <w:p w14:paraId="2DEA97C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4001" w:type="dxa"/>
            <w:gridSpan w:val="2"/>
            <w:tcBorders>
              <w:top w:val="single" w:color="auto" w:sz="4" w:space="0"/>
              <w:left w:val="single" w:color="auto" w:sz="4" w:space="0"/>
              <w:bottom w:val="single" w:color="auto" w:sz="4" w:space="0"/>
              <w:right w:val="single" w:color="auto" w:sz="4" w:space="0"/>
            </w:tcBorders>
            <w:shd w:val="clear" w:color="auto" w:fill="BEBEBE"/>
            <w:tcMar>
              <w:top w:w="15" w:type="dxa"/>
              <w:left w:w="15" w:type="dxa"/>
              <w:bottom w:w="15" w:type="dxa"/>
              <w:right w:w="15" w:type="dxa"/>
            </w:tcMar>
            <w:vAlign w:val="center"/>
          </w:tcPr>
          <w:p w14:paraId="78BD0F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281" w:type="dxa"/>
            <w:tcBorders>
              <w:top w:val="single" w:color="auto" w:sz="4" w:space="0"/>
              <w:left w:val="single" w:color="auto" w:sz="4" w:space="0"/>
              <w:bottom w:val="single" w:color="auto" w:sz="4" w:space="0"/>
              <w:right w:val="single" w:color="auto" w:sz="4" w:space="0"/>
            </w:tcBorders>
            <w:shd w:val="clear" w:color="auto" w:fill="BEBEBE"/>
            <w:tcMar>
              <w:top w:w="15" w:type="dxa"/>
              <w:left w:w="15" w:type="dxa"/>
              <w:bottom w:w="15" w:type="dxa"/>
              <w:right w:w="15" w:type="dxa"/>
            </w:tcMar>
            <w:vAlign w:val="center"/>
          </w:tcPr>
          <w:p w14:paraId="55DC3E1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428" w:type="dxa"/>
            <w:tcBorders>
              <w:top w:val="single" w:color="auto" w:sz="4" w:space="0"/>
              <w:left w:val="single" w:color="auto" w:sz="4" w:space="0"/>
              <w:bottom w:val="single" w:color="auto" w:sz="4" w:space="0"/>
              <w:right w:val="single" w:color="auto" w:sz="4" w:space="0"/>
            </w:tcBorders>
            <w:shd w:val="clear" w:color="auto" w:fill="BEBEBE"/>
            <w:tcMar>
              <w:top w:w="15" w:type="dxa"/>
              <w:left w:w="15" w:type="dxa"/>
              <w:bottom w:w="15" w:type="dxa"/>
              <w:right w:w="15" w:type="dxa"/>
            </w:tcMar>
            <w:vAlign w:val="center"/>
          </w:tcPr>
          <w:p w14:paraId="4793EB5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2F95FD5B">
        <w:tblPrEx>
          <w:tblCellMar>
            <w:top w:w="0" w:type="dxa"/>
            <w:left w:w="108" w:type="dxa"/>
            <w:bottom w:w="0" w:type="dxa"/>
            <w:right w:w="108" w:type="dxa"/>
          </w:tblCellMar>
        </w:tblPrEx>
        <w:trPr>
          <w:trHeight w:val="289" w:hRule="atLeast"/>
          <w:jc w:val="center"/>
        </w:trPr>
        <w:tc>
          <w:tcPr>
            <w:tcW w:w="8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6FF2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222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7FC50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控制测量</w:t>
            </w:r>
          </w:p>
        </w:tc>
        <w:tc>
          <w:tcPr>
            <w:tcW w:w="1781"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C1EB7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动态、E级</w:t>
            </w:r>
          </w:p>
        </w:tc>
        <w:tc>
          <w:tcPr>
            <w:tcW w:w="1281"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D1DE8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42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0E356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2553（Ⅱ）</w:t>
            </w:r>
          </w:p>
        </w:tc>
      </w:tr>
      <w:tr w14:paraId="29C6737B">
        <w:tblPrEx>
          <w:tblCellMar>
            <w:top w:w="0" w:type="dxa"/>
            <w:left w:w="108" w:type="dxa"/>
            <w:bottom w:w="0" w:type="dxa"/>
            <w:right w:w="108" w:type="dxa"/>
          </w:tblCellMar>
        </w:tblPrEx>
        <w:trPr>
          <w:trHeight w:val="353" w:hRule="atLeast"/>
          <w:jc w:val="center"/>
        </w:trPr>
        <w:tc>
          <w:tcPr>
            <w:tcW w:w="8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3419E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222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FAD42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78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3FDC0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8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82678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64DC9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3512.06（Ⅲ）</w:t>
            </w:r>
          </w:p>
        </w:tc>
      </w:tr>
      <w:tr w14:paraId="3BF41FB2">
        <w:tblPrEx>
          <w:tblCellMar>
            <w:top w:w="0" w:type="dxa"/>
            <w:left w:w="108" w:type="dxa"/>
            <w:bottom w:w="0" w:type="dxa"/>
            <w:right w:w="108" w:type="dxa"/>
          </w:tblCellMar>
        </w:tblPrEx>
        <w:trPr>
          <w:trHeight w:val="349" w:hRule="atLeast"/>
          <w:jc w:val="center"/>
        </w:trPr>
        <w:tc>
          <w:tcPr>
            <w:tcW w:w="8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28A00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p>
        </w:tc>
        <w:tc>
          <w:tcPr>
            <w:tcW w:w="222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BEDA9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规划条件核实现状地形图</w:t>
            </w:r>
          </w:p>
        </w:tc>
        <w:tc>
          <w:tcPr>
            <w:tcW w:w="1781"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BDAA3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1:500地形图</w:t>
            </w:r>
          </w:p>
        </w:tc>
        <w:tc>
          <w:tcPr>
            <w:tcW w:w="1281"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2B2A8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幅</w:t>
            </w:r>
          </w:p>
        </w:tc>
        <w:tc>
          <w:tcPr>
            <w:tcW w:w="242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03A26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13456.15（Ⅱ）</w:t>
            </w:r>
          </w:p>
        </w:tc>
      </w:tr>
      <w:tr w14:paraId="29EA3476">
        <w:tblPrEx>
          <w:tblCellMar>
            <w:top w:w="0" w:type="dxa"/>
            <w:left w:w="108" w:type="dxa"/>
            <w:bottom w:w="0" w:type="dxa"/>
            <w:right w:w="108" w:type="dxa"/>
          </w:tblCellMar>
        </w:tblPrEx>
        <w:trPr>
          <w:trHeight w:val="189" w:hRule="atLeast"/>
          <w:jc w:val="center"/>
        </w:trPr>
        <w:tc>
          <w:tcPr>
            <w:tcW w:w="8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AE60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w:t>
            </w:r>
          </w:p>
        </w:tc>
        <w:tc>
          <w:tcPr>
            <w:tcW w:w="2220" w:type="dxa"/>
            <w:vMerge w:val="continue"/>
            <w:tcBorders>
              <w:top w:val="single" w:color="auto" w:sz="4" w:space="0"/>
              <w:left w:val="single" w:color="auto" w:sz="4" w:space="0"/>
              <w:bottom w:val="single" w:color="auto" w:sz="4" w:space="0"/>
              <w:right w:val="single" w:color="auto" w:sz="4" w:space="0"/>
            </w:tcBorders>
            <w:vAlign w:val="center"/>
          </w:tcPr>
          <w:p w14:paraId="664DE91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2B439BC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52AB45F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ED9AE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19340.32（Ⅲ）</w:t>
            </w:r>
          </w:p>
        </w:tc>
      </w:tr>
      <w:tr w14:paraId="6DAA2E05">
        <w:tblPrEx>
          <w:tblCellMar>
            <w:top w:w="0" w:type="dxa"/>
            <w:left w:w="108" w:type="dxa"/>
            <w:bottom w:w="0" w:type="dxa"/>
            <w:right w:w="108" w:type="dxa"/>
          </w:tblCellMar>
        </w:tblPrEx>
        <w:trPr>
          <w:trHeight w:val="703" w:hRule="atLeast"/>
          <w:jc w:val="center"/>
        </w:trPr>
        <w:tc>
          <w:tcPr>
            <w:tcW w:w="8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B9828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w:t>
            </w:r>
          </w:p>
        </w:tc>
        <w:tc>
          <w:tcPr>
            <w:tcW w:w="4001" w:type="dxa"/>
            <w:gridSpan w:val="2"/>
            <w:tcBorders>
              <w:top w:val="single" w:color="auto" w:sz="4" w:space="0"/>
              <w:left w:val="single" w:color="auto" w:sz="4" w:space="0"/>
              <w:bottom w:val="single" w:color="auto" w:sz="4" w:space="0"/>
              <w:right w:val="single" w:color="auto" w:sz="4" w:space="0"/>
            </w:tcBorders>
            <w:vAlign w:val="center"/>
          </w:tcPr>
          <w:p w14:paraId="1836A8F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道路中桩、用地界桩</w:t>
            </w:r>
          </w:p>
        </w:tc>
        <w:tc>
          <w:tcPr>
            <w:tcW w:w="1281" w:type="dxa"/>
            <w:tcBorders>
              <w:top w:val="single" w:color="auto" w:sz="4" w:space="0"/>
              <w:left w:val="single" w:color="auto" w:sz="4" w:space="0"/>
              <w:bottom w:val="single" w:color="auto" w:sz="4" w:space="0"/>
              <w:right w:val="single" w:color="auto" w:sz="4" w:space="0"/>
            </w:tcBorders>
            <w:vAlign w:val="center"/>
          </w:tcPr>
          <w:p w14:paraId="2761F6F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件</w:t>
            </w:r>
          </w:p>
          <w:p w14:paraId="3E1E9C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（4点）</w:t>
            </w:r>
          </w:p>
        </w:tc>
        <w:tc>
          <w:tcPr>
            <w:tcW w:w="242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F1C11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2594.32</w:t>
            </w:r>
          </w:p>
          <w:p w14:paraId="0A538A6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（648.58元/点）</w:t>
            </w:r>
          </w:p>
        </w:tc>
      </w:tr>
      <w:tr w14:paraId="1574C6B5">
        <w:tblPrEx>
          <w:tblCellMar>
            <w:top w:w="0" w:type="dxa"/>
            <w:left w:w="108" w:type="dxa"/>
            <w:bottom w:w="0" w:type="dxa"/>
            <w:right w:w="108" w:type="dxa"/>
          </w:tblCellMar>
        </w:tblPrEx>
        <w:trPr>
          <w:trHeight w:val="192" w:hRule="atLeast"/>
          <w:jc w:val="center"/>
        </w:trPr>
        <w:tc>
          <w:tcPr>
            <w:tcW w:w="8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3E898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14:paraId="3DC5A80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规划条件核实测量（面积测量）</w:t>
            </w:r>
          </w:p>
        </w:tc>
        <w:tc>
          <w:tcPr>
            <w:tcW w:w="1781" w:type="dxa"/>
            <w:tcBorders>
              <w:top w:val="single" w:color="auto" w:sz="4" w:space="0"/>
              <w:left w:val="single" w:color="auto" w:sz="4" w:space="0"/>
              <w:bottom w:val="single" w:color="auto" w:sz="4" w:space="0"/>
              <w:right w:val="single" w:color="auto" w:sz="4" w:space="0"/>
            </w:tcBorders>
            <w:vAlign w:val="center"/>
          </w:tcPr>
          <w:p w14:paraId="5965A85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住宅用房、厂房</w:t>
            </w:r>
          </w:p>
        </w:tc>
        <w:tc>
          <w:tcPr>
            <w:tcW w:w="1281" w:type="dxa"/>
            <w:vMerge w:val="restart"/>
            <w:tcBorders>
              <w:top w:val="single" w:color="auto" w:sz="4" w:space="0"/>
              <w:left w:val="single" w:color="auto" w:sz="4" w:space="0"/>
              <w:bottom w:val="single" w:color="auto" w:sz="4" w:space="0"/>
              <w:right w:val="single" w:color="auto" w:sz="4" w:space="0"/>
            </w:tcBorders>
            <w:vAlign w:val="center"/>
          </w:tcPr>
          <w:p w14:paraId="6AFE662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242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33E62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1.86（Ⅰ）</w:t>
            </w:r>
          </w:p>
        </w:tc>
      </w:tr>
      <w:tr w14:paraId="773B9D05">
        <w:tblPrEx>
          <w:tblCellMar>
            <w:top w:w="0" w:type="dxa"/>
            <w:left w:w="108" w:type="dxa"/>
            <w:bottom w:w="0" w:type="dxa"/>
            <w:right w:w="108" w:type="dxa"/>
          </w:tblCellMar>
        </w:tblPrEx>
        <w:trPr>
          <w:trHeight w:val="179" w:hRule="atLeast"/>
          <w:jc w:val="center"/>
        </w:trPr>
        <w:tc>
          <w:tcPr>
            <w:tcW w:w="8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1C2BF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7</w:t>
            </w:r>
          </w:p>
        </w:tc>
        <w:tc>
          <w:tcPr>
            <w:tcW w:w="2220" w:type="dxa"/>
            <w:vMerge w:val="continue"/>
            <w:tcBorders>
              <w:top w:val="single" w:color="auto" w:sz="4" w:space="0"/>
              <w:left w:val="single" w:color="auto" w:sz="4" w:space="0"/>
              <w:bottom w:val="single" w:color="auto" w:sz="4" w:space="0"/>
              <w:right w:val="single" w:color="auto" w:sz="4" w:space="0"/>
            </w:tcBorders>
            <w:vAlign w:val="center"/>
          </w:tcPr>
          <w:p w14:paraId="185ADC3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42A2BC2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公建配套、商住用房等</w:t>
            </w: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3C01D4A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610B8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2.03（Ⅱ）</w:t>
            </w:r>
          </w:p>
        </w:tc>
      </w:tr>
      <w:tr w14:paraId="6DFD75FA">
        <w:tblPrEx>
          <w:tblCellMar>
            <w:top w:w="0" w:type="dxa"/>
            <w:left w:w="108" w:type="dxa"/>
            <w:bottom w:w="0" w:type="dxa"/>
            <w:right w:w="108" w:type="dxa"/>
          </w:tblCellMar>
        </w:tblPrEx>
        <w:trPr>
          <w:trHeight w:val="204" w:hRule="atLeast"/>
          <w:jc w:val="center"/>
        </w:trPr>
        <w:tc>
          <w:tcPr>
            <w:tcW w:w="8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94626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8</w:t>
            </w:r>
          </w:p>
        </w:tc>
        <w:tc>
          <w:tcPr>
            <w:tcW w:w="2220" w:type="dxa"/>
            <w:vMerge w:val="continue"/>
            <w:tcBorders>
              <w:top w:val="single" w:color="auto" w:sz="4" w:space="0"/>
              <w:left w:val="single" w:color="auto" w:sz="4" w:space="0"/>
              <w:bottom w:val="single" w:color="auto" w:sz="4" w:space="0"/>
              <w:right w:val="single" w:color="auto" w:sz="4" w:space="0"/>
            </w:tcBorders>
            <w:vAlign w:val="center"/>
          </w:tcPr>
          <w:p w14:paraId="645813A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64ED4A2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多功能综合楼用房</w:t>
            </w: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0EA4562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413CD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2.26（Ⅲ）</w:t>
            </w:r>
          </w:p>
        </w:tc>
      </w:tr>
      <w:tr w14:paraId="54578CA1">
        <w:tblPrEx>
          <w:tblCellMar>
            <w:top w:w="0" w:type="dxa"/>
            <w:left w:w="108" w:type="dxa"/>
            <w:bottom w:w="0" w:type="dxa"/>
            <w:right w:w="108" w:type="dxa"/>
          </w:tblCellMar>
        </w:tblPrEx>
        <w:trPr>
          <w:trHeight w:val="270" w:hRule="atLeast"/>
          <w:jc w:val="center"/>
        </w:trPr>
        <w:tc>
          <w:tcPr>
            <w:tcW w:w="8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1D045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9</w:t>
            </w:r>
          </w:p>
        </w:tc>
        <w:tc>
          <w:tcPr>
            <w:tcW w:w="4001" w:type="dxa"/>
            <w:gridSpan w:val="2"/>
            <w:vMerge w:val="restart"/>
            <w:tcBorders>
              <w:top w:val="single" w:color="auto" w:sz="4" w:space="0"/>
              <w:left w:val="single" w:color="auto" w:sz="4" w:space="0"/>
              <w:right w:val="single" w:color="auto" w:sz="4" w:space="0"/>
            </w:tcBorders>
            <w:vAlign w:val="center"/>
          </w:tcPr>
          <w:p w14:paraId="12EDA9C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管线核实测量</w:t>
            </w:r>
          </w:p>
        </w:tc>
        <w:tc>
          <w:tcPr>
            <w:tcW w:w="1281" w:type="dxa"/>
            <w:vMerge w:val="restart"/>
            <w:tcBorders>
              <w:top w:val="single" w:color="auto" w:sz="4" w:space="0"/>
              <w:left w:val="single" w:color="auto" w:sz="4" w:space="0"/>
              <w:bottom w:val="single" w:color="auto" w:sz="4" w:space="0"/>
              <w:right w:val="single" w:color="auto" w:sz="4" w:space="0"/>
            </w:tcBorders>
            <w:vAlign w:val="center"/>
          </w:tcPr>
          <w:p w14:paraId="24BF0D9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公里</w:t>
            </w:r>
          </w:p>
        </w:tc>
        <w:tc>
          <w:tcPr>
            <w:tcW w:w="242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4795D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4206.88（Ⅰ）</w:t>
            </w:r>
          </w:p>
        </w:tc>
      </w:tr>
      <w:tr w14:paraId="39EC8F61">
        <w:tblPrEx>
          <w:tblCellMar>
            <w:top w:w="0" w:type="dxa"/>
            <w:left w:w="108" w:type="dxa"/>
            <w:bottom w:w="0" w:type="dxa"/>
            <w:right w:w="108" w:type="dxa"/>
          </w:tblCellMar>
        </w:tblPrEx>
        <w:trPr>
          <w:trHeight w:val="168" w:hRule="atLeast"/>
          <w:jc w:val="center"/>
        </w:trPr>
        <w:tc>
          <w:tcPr>
            <w:tcW w:w="8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770FF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10</w:t>
            </w:r>
          </w:p>
        </w:tc>
        <w:tc>
          <w:tcPr>
            <w:tcW w:w="4001" w:type="dxa"/>
            <w:gridSpan w:val="2"/>
            <w:vMerge w:val="continue"/>
            <w:tcBorders>
              <w:left w:val="single" w:color="auto" w:sz="4" w:space="0"/>
              <w:right w:val="single" w:color="auto" w:sz="4" w:space="0"/>
            </w:tcBorders>
            <w:vAlign w:val="center"/>
          </w:tcPr>
          <w:p w14:paraId="7903AB4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4233086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BC180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5757.97（Ⅱ）</w:t>
            </w:r>
          </w:p>
        </w:tc>
      </w:tr>
      <w:tr w14:paraId="4A9B69C4">
        <w:tblPrEx>
          <w:tblCellMar>
            <w:top w:w="0" w:type="dxa"/>
            <w:left w:w="108" w:type="dxa"/>
            <w:bottom w:w="0" w:type="dxa"/>
            <w:right w:w="108" w:type="dxa"/>
          </w:tblCellMar>
        </w:tblPrEx>
        <w:trPr>
          <w:trHeight w:val="363" w:hRule="atLeast"/>
          <w:jc w:val="center"/>
        </w:trPr>
        <w:tc>
          <w:tcPr>
            <w:tcW w:w="8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0BCDA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11</w:t>
            </w:r>
          </w:p>
        </w:tc>
        <w:tc>
          <w:tcPr>
            <w:tcW w:w="4001" w:type="dxa"/>
            <w:gridSpan w:val="2"/>
            <w:vMerge w:val="continue"/>
            <w:tcBorders>
              <w:left w:val="single" w:color="auto" w:sz="4" w:space="0"/>
              <w:bottom w:val="single" w:color="auto" w:sz="4" w:space="0"/>
              <w:right w:val="single" w:color="auto" w:sz="4" w:space="0"/>
            </w:tcBorders>
            <w:vAlign w:val="center"/>
          </w:tcPr>
          <w:p w14:paraId="31AF350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50D070E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1D21D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7896.38（Ⅲ）</w:t>
            </w:r>
          </w:p>
        </w:tc>
      </w:tr>
    </w:tbl>
    <w:p w14:paraId="353D459F">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4E0FDD00">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21557EF4">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五</w:t>
      </w:r>
      <w:r>
        <w:rPr>
          <w:rFonts w:hint="eastAsia" w:asciiTheme="minorEastAsia" w:hAnsiTheme="minorEastAsia" w:eastAsiaTheme="minorEastAsia" w:cstheme="minorEastAsia"/>
          <w:b/>
          <w:bCs/>
          <w:snapToGrid w:val="0"/>
          <w:color w:val="auto"/>
          <w:kern w:val="0"/>
          <w:sz w:val="28"/>
          <w:szCs w:val="28"/>
          <w:highlight w:val="none"/>
        </w:rPr>
        <w:t>）地下管线探测</w:t>
      </w:r>
    </w:p>
    <w:p w14:paraId="7A7CFE7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tbl>
      <w:tblPr>
        <w:tblStyle w:val="30"/>
        <w:tblW w:w="8804" w:type="dxa"/>
        <w:jc w:val="center"/>
        <w:tblLayout w:type="fixed"/>
        <w:tblCellMar>
          <w:top w:w="0" w:type="dxa"/>
          <w:left w:w="108" w:type="dxa"/>
          <w:bottom w:w="0" w:type="dxa"/>
          <w:right w:w="108" w:type="dxa"/>
        </w:tblCellMar>
      </w:tblPr>
      <w:tblGrid>
        <w:gridCol w:w="657"/>
        <w:gridCol w:w="764"/>
        <w:gridCol w:w="1550"/>
        <w:gridCol w:w="1188"/>
        <w:gridCol w:w="1865"/>
        <w:gridCol w:w="2780"/>
      </w:tblGrid>
      <w:tr w14:paraId="411299FE">
        <w:tblPrEx>
          <w:tblCellMar>
            <w:top w:w="0" w:type="dxa"/>
            <w:left w:w="108" w:type="dxa"/>
            <w:bottom w:w="0" w:type="dxa"/>
            <w:right w:w="108" w:type="dxa"/>
          </w:tblCellMar>
        </w:tblPrEx>
        <w:trPr>
          <w:trHeight w:val="355" w:hRule="atLeast"/>
          <w:tblHeader/>
          <w:jc w:val="center"/>
        </w:trPr>
        <w:tc>
          <w:tcPr>
            <w:tcW w:w="657"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58FE0A0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3BD9D26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项目</w:t>
            </w:r>
          </w:p>
        </w:tc>
        <w:tc>
          <w:tcPr>
            <w:tcW w:w="1188"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188FDF5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1865"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4E5FF5B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c>
          <w:tcPr>
            <w:tcW w:w="2780"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3EB9977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备注</w:t>
            </w:r>
          </w:p>
        </w:tc>
      </w:tr>
      <w:tr w14:paraId="2DFA82F7">
        <w:tblPrEx>
          <w:tblCellMar>
            <w:top w:w="15" w:type="dxa"/>
            <w:left w:w="15" w:type="dxa"/>
            <w:bottom w:w="15" w:type="dxa"/>
            <w:right w:w="15" w:type="dxa"/>
          </w:tblCellMar>
        </w:tblPrEx>
        <w:trPr>
          <w:trHeight w:val="411" w:hRule="atLeast"/>
          <w:jc w:val="center"/>
        </w:trPr>
        <w:tc>
          <w:tcPr>
            <w:tcW w:w="657" w:type="dxa"/>
            <w:vMerge w:val="restart"/>
            <w:tcBorders>
              <w:top w:val="single" w:color="000000" w:sz="4" w:space="0"/>
              <w:left w:val="single" w:color="000000" w:sz="4" w:space="0"/>
              <w:right w:val="single" w:color="000000" w:sz="4" w:space="0"/>
            </w:tcBorders>
            <w:vAlign w:val="center"/>
          </w:tcPr>
          <w:p w14:paraId="240EC5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764" w:type="dxa"/>
            <w:vMerge w:val="restart"/>
            <w:tcBorders>
              <w:top w:val="single" w:color="000000" w:sz="4" w:space="0"/>
              <w:left w:val="single" w:color="000000" w:sz="4" w:space="0"/>
              <w:right w:val="single" w:color="000000" w:sz="4" w:space="0"/>
            </w:tcBorders>
            <w:vAlign w:val="center"/>
          </w:tcPr>
          <w:p w14:paraId="4FC289D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地下管线</w:t>
            </w:r>
            <w:r>
              <w:rPr>
                <w:rFonts w:hint="eastAsia" w:asciiTheme="minorEastAsia" w:hAnsiTheme="minorEastAsia" w:eastAsiaTheme="minorEastAsia" w:cstheme="minorEastAsia"/>
                <w:snapToGrid w:val="0"/>
                <w:color w:val="auto"/>
                <w:kern w:val="0"/>
                <w:sz w:val="28"/>
                <w:szCs w:val="28"/>
                <w:highlight w:val="none"/>
              </w:rPr>
              <w:t>探测</w:t>
            </w:r>
          </w:p>
        </w:tc>
        <w:tc>
          <w:tcPr>
            <w:tcW w:w="1550" w:type="dxa"/>
            <w:vMerge w:val="restart"/>
            <w:tcBorders>
              <w:top w:val="single" w:color="000000" w:sz="4" w:space="0"/>
              <w:left w:val="single" w:color="000000" w:sz="4" w:space="0"/>
              <w:right w:val="single" w:color="000000" w:sz="4" w:space="0"/>
            </w:tcBorders>
            <w:vAlign w:val="center"/>
          </w:tcPr>
          <w:p w14:paraId="1841437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盲探管线</w:t>
            </w:r>
          </w:p>
        </w:tc>
        <w:tc>
          <w:tcPr>
            <w:tcW w:w="1188" w:type="dxa"/>
            <w:vMerge w:val="restart"/>
            <w:tcBorders>
              <w:top w:val="single" w:color="000000" w:sz="4" w:space="0"/>
              <w:left w:val="single" w:color="000000" w:sz="4" w:space="0"/>
              <w:right w:val="single" w:color="000000" w:sz="4" w:space="0"/>
            </w:tcBorders>
            <w:vAlign w:val="center"/>
          </w:tcPr>
          <w:p w14:paraId="60596A1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1865" w:type="dxa"/>
            <w:tcBorders>
              <w:top w:val="single" w:color="000000" w:sz="4" w:space="0"/>
              <w:left w:val="single" w:color="000000" w:sz="4" w:space="0"/>
              <w:bottom w:val="single" w:color="000000" w:sz="4" w:space="0"/>
              <w:right w:val="single" w:color="000000" w:sz="4" w:space="0"/>
            </w:tcBorders>
            <w:vAlign w:val="center"/>
          </w:tcPr>
          <w:p w14:paraId="25B7360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1.5</w:t>
            </w:r>
            <w:r>
              <w:rPr>
                <w:rFonts w:hint="eastAsia" w:asciiTheme="minorEastAsia" w:hAnsiTheme="minorEastAsia" w:eastAsiaTheme="minorEastAsia" w:cstheme="minorEastAsia"/>
                <w:snapToGrid w:val="0"/>
                <w:color w:val="auto"/>
                <w:kern w:val="0"/>
                <w:sz w:val="28"/>
                <w:szCs w:val="28"/>
                <w:highlight w:val="none"/>
                <w:lang w:val="en-US" w:eastAsia="zh-CN"/>
              </w:rPr>
              <w:t>（中等）</w:t>
            </w:r>
          </w:p>
        </w:tc>
        <w:tc>
          <w:tcPr>
            <w:tcW w:w="2780" w:type="dxa"/>
            <w:vMerge w:val="restart"/>
            <w:tcBorders>
              <w:top w:val="single" w:color="000000" w:sz="4" w:space="0"/>
              <w:left w:val="single" w:color="000000" w:sz="4" w:space="0"/>
              <w:right w:val="single" w:color="000000" w:sz="4" w:space="0"/>
            </w:tcBorders>
            <w:vAlign w:val="center"/>
          </w:tcPr>
          <w:p w14:paraId="68F2335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适用于小区改造、安置区等地块项目（含新开道路项目）</w:t>
            </w:r>
          </w:p>
        </w:tc>
      </w:tr>
      <w:tr w14:paraId="275FAFD2">
        <w:tblPrEx>
          <w:tblCellMar>
            <w:top w:w="15" w:type="dxa"/>
            <w:left w:w="15" w:type="dxa"/>
            <w:bottom w:w="15" w:type="dxa"/>
            <w:right w:w="15" w:type="dxa"/>
          </w:tblCellMar>
        </w:tblPrEx>
        <w:trPr>
          <w:trHeight w:val="438" w:hRule="atLeast"/>
          <w:jc w:val="center"/>
        </w:trPr>
        <w:tc>
          <w:tcPr>
            <w:tcW w:w="657" w:type="dxa"/>
            <w:vMerge w:val="continue"/>
            <w:tcBorders>
              <w:left w:val="single" w:color="000000" w:sz="4" w:space="0"/>
              <w:bottom w:val="single" w:color="000000" w:sz="4" w:space="0"/>
              <w:right w:val="single" w:color="000000" w:sz="4" w:space="0"/>
            </w:tcBorders>
            <w:vAlign w:val="center"/>
          </w:tcPr>
          <w:p w14:paraId="3CA0D2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764" w:type="dxa"/>
            <w:vMerge w:val="continue"/>
            <w:tcBorders>
              <w:left w:val="single" w:color="000000" w:sz="4" w:space="0"/>
              <w:right w:val="single" w:color="000000" w:sz="4" w:space="0"/>
            </w:tcBorders>
            <w:vAlign w:val="center"/>
          </w:tcPr>
          <w:p w14:paraId="45E01F2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550" w:type="dxa"/>
            <w:vMerge w:val="continue"/>
            <w:tcBorders>
              <w:left w:val="single" w:color="000000" w:sz="4" w:space="0"/>
              <w:bottom w:val="single" w:color="000000" w:sz="4" w:space="0"/>
              <w:right w:val="single" w:color="000000" w:sz="4" w:space="0"/>
            </w:tcBorders>
            <w:vAlign w:val="center"/>
          </w:tcPr>
          <w:p w14:paraId="23BD812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188" w:type="dxa"/>
            <w:vMerge w:val="continue"/>
            <w:tcBorders>
              <w:left w:val="single" w:color="000000" w:sz="4" w:space="0"/>
              <w:bottom w:val="single" w:color="000000" w:sz="4" w:space="0"/>
              <w:right w:val="single" w:color="000000" w:sz="4" w:space="0"/>
            </w:tcBorders>
            <w:vAlign w:val="center"/>
          </w:tcPr>
          <w:p w14:paraId="45497CF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865" w:type="dxa"/>
            <w:tcBorders>
              <w:top w:val="single" w:color="000000" w:sz="4" w:space="0"/>
              <w:left w:val="single" w:color="auto" w:sz="4" w:space="0"/>
              <w:bottom w:val="single" w:color="000000" w:sz="4" w:space="0"/>
              <w:right w:val="single" w:color="000000" w:sz="4" w:space="0"/>
            </w:tcBorders>
            <w:vAlign w:val="center"/>
          </w:tcPr>
          <w:p w14:paraId="5F0F66B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3.0</w:t>
            </w:r>
            <w:r>
              <w:rPr>
                <w:rFonts w:hint="eastAsia" w:asciiTheme="minorEastAsia" w:hAnsiTheme="minorEastAsia" w:eastAsiaTheme="minorEastAsia" w:cstheme="minorEastAsia"/>
                <w:snapToGrid w:val="0"/>
                <w:color w:val="auto"/>
                <w:kern w:val="0"/>
                <w:sz w:val="28"/>
                <w:szCs w:val="28"/>
                <w:highlight w:val="none"/>
                <w:lang w:val="en-US" w:eastAsia="zh-CN"/>
              </w:rPr>
              <w:t>（复杂）</w:t>
            </w:r>
          </w:p>
        </w:tc>
        <w:tc>
          <w:tcPr>
            <w:tcW w:w="2780" w:type="dxa"/>
            <w:vMerge w:val="continue"/>
            <w:tcBorders>
              <w:left w:val="single" w:color="000000" w:sz="4" w:space="0"/>
              <w:bottom w:val="single" w:color="000000" w:sz="4" w:space="0"/>
              <w:right w:val="single" w:color="000000" w:sz="4" w:space="0"/>
            </w:tcBorders>
            <w:vAlign w:val="center"/>
          </w:tcPr>
          <w:p w14:paraId="36BFD0F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p>
        </w:tc>
      </w:tr>
      <w:tr w14:paraId="6F044181">
        <w:tblPrEx>
          <w:tblCellMar>
            <w:top w:w="15" w:type="dxa"/>
            <w:left w:w="15" w:type="dxa"/>
            <w:bottom w:w="15" w:type="dxa"/>
            <w:right w:w="15" w:type="dxa"/>
          </w:tblCellMar>
        </w:tblPrEx>
        <w:trPr>
          <w:trHeight w:val="438" w:hRule="atLeast"/>
          <w:jc w:val="center"/>
        </w:trPr>
        <w:tc>
          <w:tcPr>
            <w:tcW w:w="657" w:type="dxa"/>
            <w:vMerge w:val="restart"/>
            <w:tcBorders>
              <w:left w:val="single" w:color="000000" w:sz="4" w:space="0"/>
              <w:bottom w:val="single" w:color="auto" w:sz="4" w:space="0"/>
              <w:right w:val="single" w:color="000000" w:sz="4" w:space="0"/>
            </w:tcBorders>
            <w:vAlign w:val="center"/>
          </w:tcPr>
          <w:p w14:paraId="40585F2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2</w:t>
            </w:r>
          </w:p>
        </w:tc>
        <w:tc>
          <w:tcPr>
            <w:tcW w:w="764" w:type="dxa"/>
            <w:vMerge w:val="continue"/>
            <w:tcBorders>
              <w:left w:val="single" w:color="000000" w:sz="4" w:space="0"/>
              <w:bottom w:val="single" w:color="auto" w:sz="4" w:space="0"/>
              <w:right w:val="single" w:color="000000" w:sz="4" w:space="0"/>
            </w:tcBorders>
            <w:vAlign w:val="center"/>
          </w:tcPr>
          <w:p w14:paraId="408A702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550" w:type="dxa"/>
            <w:vMerge w:val="restart"/>
            <w:tcBorders>
              <w:left w:val="single" w:color="000000" w:sz="4" w:space="0"/>
              <w:bottom w:val="single" w:color="auto" w:sz="4" w:space="0"/>
              <w:right w:val="single" w:color="000000" w:sz="4" w:space="0"/>
            </w:tcBorders>
            <w:vAlign w:val="center"/>
          </w:tcPr>
          <w:p w14:paraId="45997FA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管线探测</w:t>
            </w:r>
          </w:p>
        </w:tc>
        <w:tc>
          <w:tcPr>
            <w:tcW w:w="1188" w:type="dxa"/>
            <w:vMerge w:val="restart"/>
            <w:tcBorders>
              <w:left w:val="single" w:color="000000" w:sz="4" w:space="0"/>
              <w:bottom w:val="single" w:color="auto" w:sz="4" w:space="0"/>
              <w:right w:val="single" w:color="000000" w:sz="4" w:space="0"/>
            </w:tcBorders>
            <w:vAlign w:val="center"/>
          </w:tcPr>
          <w:p w14:paraId="351E34B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公里</w:t>
            </w:r>
          </w:p>
        </w:tc>
        <w:tc>
          <w:tcPr>
            <w:tcW w:w="1865" w:type="dxa"/>
            <w:tcBorders>
              <w:top w:val="single" w:color="000000" w:sz="4" w:space="0"/>
              <w:left w:val="single" w:color="auto" w:sz="4" w:space="0"/>
              <w:bottom w:val="single" w:color="auto" w:sz="4" w:space="0"/>
              <w:right w:val="single" w:color="000000" w:sz="4" w:space="0"/>
            </w:tcBorders>
            <w:vAlign w:val="center"/>
          </w:tcPr>
          <w:p w14:paraId="78E6BF9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8119.00（II类）</w:t>
            </w:r>
          </w:p>
        </w:tc>
        <w:tc>
          <w:tcPr>
            <w:tcW w:w="2780" w:type="dxa"/>
            <w:vMerge w:val="restart"/>
            <w:tcBorders>
              <w:left w:val="single" w:color="000000" w:sz="4" w:space="0"/>
              <w:bottom w:val="single" w:color="auto" w:sz="4" w:space="0"/>
              <w:right w:val="single" w:color="000000" w:sz="4" w:space="0"/>
            </w:tcBorders>
            <w:vAlign w:val="center"/>
          </w:tcPr>
          <w:p w14:paraId="3D9F7A6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适用于已有市政道路升级改造项目</w:t>
            </w:r>
          </w:p>
        </w:tc>
      </w:tr>
      <w:tr w14:paraId="218B5DF4">
        <w:tblPrEx>
          <w:tblCellMar>
            <w:top w:w="15" w:type="dxa"/>
            <w:left w:w="15" w:type="dxa"/>
            <w:bottom w:w="15" w:type="dxa"/>
            <w:right w:w="15" w:type="dxa"/>
          </w:tblCellMar>
        </w:tblPrEx>
        <w:trPr>
          <w:trHeight w:val="438" w:hRule="atLeast"/>
          <w:jc w:val="center"/>
        </w:trPr>
        <w:tc>
          <w:tcPr>
            <w:tcW w:w="657" w:type="dxa"/>
            <w:vMerge w:val="continue"/>
            <w:tcBorders>
              <w:top w:val="single" w:color="auto" w:sz="4" w:space="0"/>
              <w:left w:val="single" w:color="000000" w:sz="4" w:space="0"/>
              <w:bottom w:val="single" w:color="000000" w:sz="4" w:space="0"/>
              <w:right w:val="single" w:color="000000" w:sz="4" w:space="0"/>
            </w:tcBorders>
            <w:vAlign w:val="center"/>
          </w:tcPr>
          <w:p w14:paraId="58DC042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p>
        </w:tc>
        <w:tc>
          <w:tcPr>
            <w:tcW w:w="764" w:type="dxa"/>
            <w:vMerge w:val="continue"/>
            <w:tcBorders>
              <w:top w:val="single" w:color="auto" w:sz="4" w:space="0"/>
              <w:left w:val="single" w:color="000000" w:sz="4" w:space="0"/>
              <w:bottom w:val="single" w:color="auto" w:sz="4" w:space="0"/>
              <w:right w:val="single" w:color="000000" w:sz="4" w:space="0"/>
            </w:tcBorders>
            <w:vAlign w:val="center"/>
          </w:tcPr>
          <w:p w14:paraId="32FA991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550" w:type="dxa"/>
            <w:vMerge w:val="continue"/>
            <w:tcBorders>
              <w:top w:val="single" w:color="auto" w:sz="4" w:space="0"/>
              <w:left w:val="single" w:color="000000" w:sz="4" w:space="0"/>
              <w:bottom w:val="single" w:color="000000" w:sz="4" w:space="0"/>
              <w:right w:val="single" w:color="000000" w:sz="4" w:space="0"/>
            </w:tcBorders>
            <w:vAlign w:val="center"/>
          </w:tcPr>
          <w:p w14:paraId="63C901B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188" w:type="dxa"/>
            <w:vMerge w:val="continue"/>
            <w:tcBorders>
              <w:top w:val="single" w:color="auto" w:sz="4" w:space="0"/>
              <w:left w:val="single" w:color="000000" w:sz="4" w:space="0"/>
              <w:bottom w:val="single" w:color="000000" w:sz="4" w:space="0"/>
              <w:right w:val="single" w:color="000000" w:sz="4" w:space="0"/>
            </w:tcBorders>
            <w:vAlign w:val="center"/>
          </w:tcPr>
          <w:p w14:paraId="7DD9C06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865" w:type="dxa"/>
            <w:tcBorders>
              <w:top w:val="single" w:color="auto" w:sz="4" w:space="0"/>
              <w:left w:val="single" w:color="auto" w:sz="4" w:space="0"/>
              <w:bottom w:val="single" w:color="000000" w:sz="4" w:space="0"/>
              <w:right w:val="single" w:color="000000" w:sz="4" w:space="0"/>
            </w:tcBorders>
            <w:vAlign w:val="center"/>
          </w:tcPr>
          <w:p w14:paraId="6852F6A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12683.23（III类）</w:t>
            </w:r>
          </w:p>
        </w:tc>
        <w:tc>
          <w:tcPr>
            <w:tcW w:w="2780" w:type="dxa"/>
            <w:vMerge w:val="continue"/>
            <w:tcBorders>
              <w:top w:val="single" w:color="auto" w:sz="4" w:space="0"/>
              <w:left w:val="single" w:color="000000" w:sz="4" w:space="0"/>
              <w:bottom w:val="single" w:color="000000" w:sz="4" w:space="0"/>
              <w:right w:val="single" w:color="000000" w:sz="4" w:space="0"/>
            </w:tcBorders>
            <w:vAlign w:val="center"/>
          </w:tcPr>
          <w:p w14:paraId="76BB726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r>
      <w:tr w14:paraId="430E1142">
        <w:tblPrEx>
          <w:tblCellMar>
            <w:top w:w="15" w:type="dxa"/>
            <w:left w:w="15" w:type="dxa"/>
            <w:bottom w:w="15" w:type="dxa"/>
            <w:right w:w="15" w:type="dxa"/>
          </w:tblCellMar>
        </w:tblPrEx>
        <w:trPr>
          <w:trHeight w:val="6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14:paraId="4CF0243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3</w:t>
            </w:r>
          </w:p>
        </w:tc>
        <w:tc>
          <w:tcPr>
            <w:tcW w:w="764" w:type="dxa"/>
            <w:vMerge w:val="continue"/>
            <w:tcBorders>
              <w:top w:val="single" w:color="auto" w:sz="4" w:space="0"/>
              <w:left w:val="single" w:color="000000" w:sz="4" w:space="0"/>
              <w:bottom w:val="single" w:color="auto" w:sz="4" w:space="0"/>
              <w:right w:val="single" w:color="000000" w:sz="4" w:space="0"/>
            </w:tcBorders>
            <w:vAlign w:val="center"/>
          </w:tcPr>
          <w:p w14:paraId="3389ADB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14:paraId="6EDCF4B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技术工作费收费</w:t>
            </w:r>
          </w:p>
        </w:tc>
        <w:tc>
          <w:tcPr>
            <w:tcW w:w="1188" w:type="dxa"/>
            <w:tcBorders>
              <w:top w:val="single" w:color="000000" w:sz="4" w:space="0"/>
              <w:left w:val="single" w:color="000000" w:sz="4" w:space="0"/>
              <w:bottom w:val="single" w:color="000000" w:sz="4" w:space="0"/>
              <w:right w:val="single" w:color="auto" w:sz="4" w:space="0"/>
            </w:tcBorders>
            <w:vAlign w:val="center"/>
          </w:tcPr>
          <w:p w14:paraId="7AC49EC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项</w:t>
            </w:r>
          </w:p>
        </w:tc>
        <w:tc>
          <w:tcPr>
            <w:tcW w:w="1865" w:type="dxa"/>
            <w:tcBorders>
              <w:top w:val="single" w:color="000000" w:sz="4" w:space="0"/>
              <w:left w:val="single" w:color="auto" w:sz="4" w:space="0"/>
              <w:bottom w:val="single" w:color="000000" w:sz="4" w:space="0"/>
              <w:right w:val="single" w:color="000000" w:sz="4" w:space="0"/>
            </w:tcBorders>
            <w:vAlign w:val="center"/>
          </w:tcPr>
          <w:p w14:paraId="441B56A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22%</w:t>
            </w:r>
          </w:p>
        </w:tc>
        <w:tc>
          <w:tcPr>
            <w:tcW w:w="2780" w:type="dxa"/>
            <w:tcBorders>
              <w:top w:val="single" w:color="000000" w:sz="4" w:space="0"/>
              <w:left w:val="single" w:color="auto" w:sz="4" w:space="0"/>
              <w:bottom w:val="single" w:color="000000" w:sz="4" w:space="0"/>
              <w:right w:val="single" w:color="000000" w:sz="4" w:space="0"/>
            </w:tcBorders>
            <w:vAlign w:val="center"/>
          </w:tcPr>
          <w:p w14:paraId="51BCEC3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子项1或2的22%</w:t>
            </w:r>
          </w:p>
        </w:tc>
      </w:tr>
    </w:tbl>
    <w:p w14:paraId="39E428D0">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六</w:t>
      </w:r>
      <w:r>
        <w:rPr>
          <w:rFonts w:hint="eastAsia" w:asciiTheme="minorEastAsia" w:hAnsiTheme="minorEastAsia" w:eastAsiaTheme="minorEastAsia" w:cstheme="minorEastAsia"/>
          <w:b/>
          <w:bCs/>
          <w:snapToGrid w:val="0"/>
          <w:color w:val="auto"/>
          <w:kern w:val="0"/>
          <w:sz w:val="28"/>
          <w:szCs w:val="28"/>
          <w:highlight w:val="none"/>
        </w:rPr>
        <w:t>）总平面技术审查</w:t>
      </w:r>
    </w:p>
    <w:p w14:paraId="50DD559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参照《城市规划设计计费指导意见》(2004 中规协秘字第 022 号)计费标准或政府投资类项目技术审查政府采购结果</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并结合中标下浮率计取。</w:t>
      </w:r>
    </w:p>
    <w:tbl>
      <w:tblPr>
        <w:tblStyle w:val="30"/>
        <w:tblW w:w="8221" w:type="dxa"/>
        <w:jc w:val="center"/>
        <w:tblLayout w:type="fixed"/>
        <w:tblCellMar>
          <w:top w:w="0" w:type="dxa"/>
          <w:left w:w="108" w:type="dxa"/>
          <w:bottom w:w="0" w:type="dxa"/>
          <w:right w:w="108" w:type="dxa"/>
        </w:tblCellMar>
      </w:tblPr>
      <w:tblGrid>
        <w:gridCol w:w="788"/>
        <w:gridCol w:w="3433"/>
        <w:gridCol w:w="1255"/>
        <w:gridCol w:w="2745"/>
      </w:tblGrid>
      <w:tr w14:paraId="383CF2B9">
        <w:tblPrEx>
          <w:tblCellMar>
            <w:top w:w="0" w:type="dxa"/>
            <w:left w:w="108" w:type="dxa"/>
            <w:bottom w:w="0" w:type="dxa"/>
            <w:right w:w="108" w:type="dxa"/>
          </w:tblCellMar>
        </w:tblPrEx>
        <w:trPr>
          <w:trHeight w:val="206" w:hRule="atLeast"/>
          <w:tblHeader/>
          <w:jc w:val="center"/>
        </w:trPr>
        <w:tc>
          <w:tcPr>
            <w:tcW w:w="657"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123CA0E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2862"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2B82A7D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046"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36E1274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288"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09705AD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13E03282">
        <w:tblPrEx>
          <w:tblCellMar>
            <w:top w:w="15" w:type="dxa"/>
            <w:left w:w="15" w:type="dxa"/>
            <w:bottom w:w="15" w:type="dxa"/>
            <w:right w:w="15" w:type="dxa"/>
          </w:tblCellMar>
        </w:tblPrEx>
        <w:trPr>
          <w:trHeight w:val="17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14:paraId="06B34B1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2862" w:type="dxa"/>
            <w:tcBorders>
              <w:top w:val="single" w:color="000000" w:sz="4" w:space="0"/>
              <w:left w:val="single" w:color="000000" w:sz="4" w:space="0"/>
              <w:bottom w:val="single" w:color="000000" w:sz="4" w:space="0"/>
              <w:right w:val="single" w:color="000000" w:sz="4" w:space="0"/>
            </w:tcBorders>
            <w:vAlign w:val="center"/>
          </w:tcPr>
          <w:p w14:paraId="7E3473F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总平面方案技术审查</w:t>
            </w:r>
          </w:p>
        </w:tc>
        <w:tc>
          <w:tcPr>
            <w:tcW w:w="1046" w:type="dxa"/>
            <w:tcBorders>
              <w:top w:val="single" w:color="000000" w:sz="4" w:space="0"/>
              <w:left w:val="single" w:color="000000" w:sz="4" w:space="0"/>
              <w:bottom w:val="single" w:color="000000" w:sz="4" w:space="0"/>
              <w:right w:val="single" w:color="000000" w:sz="4" w:space="0"/>
            </w:tcBorders>
            <w:vAlign w:val="center"/>
          </w:tcPr>
          <w:p w14:paraId="19FDF33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公顷</w:t>
            </w:r>
          </w:p>
        </w:tc>
        <w:tc>
          <w:tcPr>
            <w:tcW w:w="2288" w:type="dxa"/>
            <w:tcBorders>
              <w:top w:val="single" w:color="000000" w:sz="4" w:space="0"/>
              <w:left w:val="single" w:color="000000" w:sz="4" w:space="0"/>
              <w:bottom w:val="single" w:color="000000" w:sz="4" w:space="0"/>
              <w:right w:val="single" w:color="000000" w:sz="4" w:space="0"/>
            </w:tcBorders>
            <w:vAlign w:val="center"/>
          </w:tcPr>
          <w:p w14:paraId="7282BE0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5400.00</w:t>
            </w:r>
          </w:p>
        </w:tc>
      </w:tr>
    </w:tbl>
    <w:p w14:paraId="23C80142">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七</w:t>
      </w:r>
      <w:r>
        <w:rPr>
          <w:rFonts w:hint="eastAsia" w:asciiTheme="minorEastAsia" w:hAnsiTheme="minorEastAsia" w:eastAsiaTheme="minorEastAsia" w:cstheme="minorEastAsia"/>
          <w:b/>
          <w:bCs/>
          <w:snapToGrid w:val="0"/>
          <w:color w:val="auto"/>
          <w:kern w:val="0"/>
          <w:sz w:val="28"/>
          <w:szCs w:val="28"/>
          <w:highlight w:val="none"/>
        </w:rPr>
        <w:t>）单体报建技术审查</w:t>
      </w:r>
    </w:p>
    <w:p w14:paraId="3D0A154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p>
    <w:tbl>
      <w:tblPr>
        <w:tblStyle w:val="30"/>
        <w:tblW w:w="8221" w:type="dxa"/>
        <w:jc w:val="center"/>
        <w:tblLayout w:type="fixed"/>
        <w:tblCellMar>
          <w:top w:w="0" w:type="dxa"/>
          <w:left w:w="108" w:type="dxa"/>
          <w:bottom w:w="0" w:type="dxa"/>
          <w:right w:w="108" w:type="dxa"/>
        </w:tblCellMar>
      </w:tblPr>
      <w:tblGrid>
        <w:gridCol w:w="788"/>
        <w:gridCol w:w="3433"/>
        <w:gridCol w:w="1255"/>
        <w:gridCol w:w="2745"/>
      </w:tblGrid>
      <w:tr w14:paraId="4B81CBAF">
        <w:tblPrEx>
          <w:tblCellMar>
            <w:top w:w="0" w:type="dxa"/>
            <w:left w:w="108" w:type="dxa"/>
            <w:bottom w:w="0" w:type="dxa"/>
            <w:right w:w="108" w:type="dxa"/>
          </w:tblCellMar>
        </w:tblPrEx>
        <w:trPr>
          <w:trHeight w:val="393" w:hRule="atLeast"/>
          <w:tblHeader/>
          <w:jc w:val="center"/>
        </w:trPr>
        <w:tc>
          <w:tcPr>
            <w:tcW w:w="657"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64F84C8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2862"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3607AFF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046"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5CC879B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288"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12541DD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21C98452">
        <w:tblPrEx>
          <w:tblCellMar>
            <w:top w:w="15" w:type="dxa"/>
            <w:left w:w="15" w:type="dxa"/>
            <w:bottom w:w="15" w:type="dxa"/>
            <w:right w:w="15" w:type="dxa"/>
          </w:tblCellMar>
        </w:tblPrEx>
        <w:trPr>
          <w:trHeight w:val="42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14:paraId="3CBDD05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2862" w:type="dxa"/>
            <w:vMerge w:val="restart"/>
            <w:tcBorders>
              <w:top w:val="single" w:color="000000" w:sz="4" w:space="0"/>
              <w:left w:val="single" w:color="000000" w:sz="4" w:space="0"/>
              <w:right w:val="single" w:color="000000" w:sz="4" w:space="0"/>
            </w:tcBorders>
            <w:vAlign w:val="center"/>
          </w:tcPr>
          <w:p w14:paraId="24B1CD4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单体报建方案技术审查</w:t>
            </w:r>
          </w:p>
        </w:tc>
        <w:tc>
          <w:tcPr>
            <w:tcW w:w="1046" w:type="dxa"/>
            <w:tcBorders>
              <w:top w:val="single" w:color="000000" w:sz="4" w:space="0"/>
              <w:left w:val="single" w:color="000000" w:sz="4" w:space="0"/>
              <w:bottom w:val="single" w:color="000000" w:sz="4" w:space="0"/>
              <w:right w:val="single" w:color="000000" w:sz="4" w:space="0"/>
            </w:tcBorders>
            <w:vAlign w:val="center"/>
          </w:tcPr>
          <w:p w14:paraId="7AC805E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2288" w:type="dxa"/>
            <w:tcBorders>
              <w:top w:val="single" w:color="000000" w:sz="4" w:space="0"/>
              <w:left w:val="single" w:color="000000" w:sz="4" w:space="0"/>
              <w:bottom w:val="single" w:color="000000" w:sz="4" w:space="0"/>
              <w:right w:val="single" w:color="000000" w:sz="4" w:space="0"/>
            </w:tcBorders>
            <w:vAlign w:val="center"/>
          </w:tcPr>
          <w:p w14:paraId="398F370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1.80（Ⅰ）</w:t>
            </w:r>
          </w:p>
        </w:tc>
      </w:tr>
      <w:tr w14:paraId="2A55570E">
        <w:tblPrEx>
          <w:tblCellMar>
            <w:top w:w="15" w:type="dxa"/>
            <w:left w:w="15" w:type="dxa"/>
            <w:bottom w:w="15" w:type="dxa"/>
            <w:right w:w="15" w:type="dxa"/>
          </w:tblCellMar>
        </w:tblPrEx>
        <w:trPr>
          <w:trHeight w:val="275"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14:paraId="19EF9D4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2862" w:type="dxa"/>
            <w:vMerge w:val="continue"/>
            <w:tcBorders>
              <w:left w:val="single" w:color="000000" w:sz="4" w:space="0"/>
              <w:bottom w:val="single" w:color="000000" w:sz="4" w:space="0"/>
              <w:right w:val="single" w:color="000000" w:sz="4" w:space="0"/>
            </w:tcBorders>
            <w:vAlign w:val="center"/>
          </w:tcPr>
          <w:p w14:paraId="0E43E37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4F236AB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2288" w:type="dxa"/>
            <w:tcBorders>
              <w:top w:val="single" w:color="000000" w:sz="4" w:space="0"/>
              <w:left w:val="single" w:color="000000" w:sz="4" w:space="0"/>
              <w:bottom w:val="single" w:color="000000" w:sz="4" w:space="0"/>
              <w:right w:val="single" w:color="000000" w:sz="4" w:space="0"/>
            </w:tcBorders>
            <w:vAlign w:val="center"/>
          </w:tcPr>
          <w:p w14:paraId="5A1999A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2.40（Ⅱ）</w:t>
            </w:r>
          </w:p>
        </w:tc>
      </w:tr>
    </w:tbl>
    <w:p w14:paraId="539ADE73">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八</w:t>
      </w:r>
      <w:r>
        <w:rPr>
          <w:rFonts w:hint="eastAsia" w:asciiTheme="minorEastAsia" w:hAnsiTheme="minorEastAsia" w:eastAsiaTheme="minorEastAsia" w:cstheme="minorEastAsia"/>
          <w:b/>
          <w:bCs/>
          <w:snapToGrid w:val="0"/>
          <w:color w:val="auto"/>
          <w:kern w:val="0"/>
          <w:sz w:val="28"/>
          <w:szCs w:val="28"/>
          <w:highlight w:val="none"/>
        </w:rPr>
        <w:t>）规划条件核实技术审查</w:t>
      </w:r>
    </w:p>
    <w:p w14:paraId="7681C2E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p>
    <w:tbl>
      <w:tblPr>
        <w:tblStyle w:val="30"/>
        <w:tblW w:w="8221" w:type="dxa"/>
        <w:jc w:val="center"/>
        <w:tblLayout w:type="fixed"/>
        <w:tblCellMar>
          <w:top w:w="0" w:type="dxa"/>
          <w:left w:w="108" w:type="dxa"/>
          <w:bottom w:w="0" w:type="dxa"/>
          <w:right w:w="108" w:type="dxa"/>
        </w:tblCellMar>
      </w:tblPr>
      <w:tblGrid>
        <w:gridCol w:w="788"/>
        <w:gridCol w:w="3433"/>
        <w:gridCol w:w="1255"/>
        <w:gridCol w:w="2745"/>
      </w:tblGrid>
      <w:tr w14:paraId="34B43E0B">
        <w:tblPrEx>
          <w:tblCellMar>
            <w:top w:w="0" w:type="dxa"/>
            <w:left w:w="108" w:type="dxa"/>
            <w:bottom w:w="0" w:type="dxa"/>
            <w:right w:w="108" w:type="dxa"/>
          </w:tblCellMar>
        </w:tblPrEx>
        <w:trPr>
          <w:trHeight w:val="869" w:hRule="atLeast"/>
          <w:tblHeader/>
          <w:jc w:val="center"/>
        </w:trPr>
        <w:tc>
          <w:tcPr>
            <w:tcW w:w="657"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19C4362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2862"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5DC1CFE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046"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21D109E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288"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56FCA7C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728C0AD1">
        <w:tblPrEx>
          <w:tblCellMar>
            <w:top w:w="15" w:type="dxa"/>
            <w:left w:w="15" w:type="dxa"/>
            <w:bottom w:w="15" w:type="dxa"/>
            <w:right w:w="15" w:type="dxa"/>
          </w:tblCellMar>
        </w:tblPrEx>
        <w:trPr>
          <w:trHeight w:val="19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14:paraId="3E4DCD3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2862" w:type="dxa"/>
            <w:vMerge w:val="restart"/>
            <w:tcBorders>
              <w:top w:val="single" w:color="000000" w:sz="4" w:space="0"/>
              <w:left w:val="single" w:color="000000" w:sz="4" w:space="0"/>
              <w:right w:val="single" w:color="000000" w:sz="4" w:space="0"/>
            </w:tcBorders>
            <w:vAlign w:val="center"/>
          </w:tcPr>
          <w:p w14:paraId="3B1F2F1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规划条件核实技术审查</w:t>
            </w:r>
          </w:p>
        </w:tc>
        <w:tc>
          <w:tcPr>
            <w:tcW w:w="1046" w:type="dxa"/>
            <w:tcBorders>
              <w:top w:val="single" w:color="000000" w:sz="4" w:space="0"/>
              <w:left w:val="single" w:color="000000" w:sz="4" w:space="0"/>
              <w:bottom w:val="single" w:color="000000" w:sz="4" w:space="0"/>
              <w:right w:val="single" w:color="000000" w:sz="4" w:space="0"/>
            </w:tcBorders>
            <w:vAlign w:val="center"/>
          </w:tcPr>
          <w:p w14:paraId="2FA2164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2288" w:type="dxa"/>
            <w:tcBorders>
              <w:top w:val="single" w:color="000000" w:sz="4" w:space="0"/>
              <w:left w:val="single" w:color="000000" w:sz="4" w:space="0"/>
              <w:bottom w:val="single" w:color="000000" w:sz="4" w:space="0"/>
              <w:right w:val="single" w:color="000000" w:sz="4" w:space="0"/>
            </w:tcBorders>
            <w:vAlign w:val="center"/>
          </w:tcPr>
          <w:p w14:paraId="5C20AB3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1.20（Ⅰ）</w:t>
            </w:r>
          </w:p>
        </w:tc>
      </w:tr>
      <w:tr w14:paraId="2AB5B433">
        <w:tblPrEx>
          <w:tblCellMar>
            <w:top w:w="15" w:type="dxa"/>
            <w:left w:w="15" w:type="dxa"/>
            <w:bottom w:w="15" w:type="dxa"/>
            <w:right w:w="15" w:type="dxa"/>
          </w:tblCellMar>
        </w:tblPrEx>
        <w:trPr>
          <w:trHeight w:val="312"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14:paraId="5EDAA38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2862" w:type="dxa"/>
            <w:vMerge w:val="continue"/>
            <w:tcBorders>
              <w:left w:val="single" w:color="000000" w:sz="4" w:space="0"/>
              <w:bottom w:val="single" w:color="000000" w:sz="4" w:space="0"/>
              <w:right w:val="single" w:color="000000" w:sz="4" w:space="0"/>
            </w:tcBorders>
            <w:vAlign w:val="center"/>
          </w:tcPr>
          <w:p w14:paraId="78CF417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7FE7600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2288" w:type="dxa"/>
            <w:tcBorders>
              <w:top w:val="single" w:color="000000" w:sz="4" w:space="0"/>
              <w:left w:val="single" w:color="000000" w:sz="4" w:space="0"/>
              <w:bottom w:val="single" w:color="000000" w:sz="4" w:space="0"/>
              <w:right w:val="single" w:color="000000" w:sz="4" w:space="0"/>
            </w:tcBorders>
            <w:vAlign w:val="center"/>
          </w:tcPr>
          <w:p w14:paraId="25B15F3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1.60（Ⅱ）</w:t>
            </w:r>
          </w:p>
        </w:tc>
      </w:tr>
    </w:tbl>
    <w:p w14:paraId="5FEDE653">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九</w:t>
      </w:r>
      <w:r>
        <w:rPr>
          <w:rFonts w:hint="eastAsia" w:asciiTheme="minorEastAsia" w:hAnsiTheme="minorEastAsia" w:eastAsiaTheme="minorEastAsia" w:cstheme="minorEastAsia"/>
          <w:b/>
          <w:bCs/>
          <w:snapToGrid w:val="0"/>
          <w:color w:val="auto"/>
          <w:kern w:val="0"/>
          <w:sz w:val="28"/>
          <w:szCs w:val="28"/>
          <w:highlight w:val="none"/>
        </w:rPr>
        <w:t>）人防竣工测量</w:t>
      </w:r>
    </w:p>
    <w:p w14:paraId="4E3D352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tbl>
      <w:tblPr>
        <w:tblStyle w:val="30"/>
        <w:tblW w:w="7998" w:type="dxa"/>
        <w:jc w:val="center"/>
        <w:tblLayout w:type="fixed"/>
        <w:tblCellMar>
          <w:top w:w="0" w:type="dxa"/>
          <w:left w:w="108" w:type="dxa"/>
          <w:bottom w:w="0" w:type="dxa"/>
          <w:right w:w="108" w:type="dxa"/>
        </w:tblCellMar>
      </w:tblPr>
      <w:tblGrid>
        <w:gridCol w:w="766"/>
        <w:gridCol w:w="1658"/>
        <w:gridCol w:w="1683"/>
        <w:gridCol w:w="1220"/>
        <w:gridCol w:w="2671"/>
      </w:tblGrid>
      <w:tr w14:paraId="07FAEFD7">
        <w:tblPrEx>
          <w:tblCellMar>
            <w:top w:w="0" w:type="dxa"/>
            <w:left w:w="108" w:type="dxa"/>
            <w:bottom w:w="0" w:type="dxa"/>
            <w:right w:w="108" w:type="dxa"/>
          </w:tblCellMar>
        </w:tblPrEx>
        <w:trPr>
          <w:trHeight w:val="448" w:hRule="atLeast"/>
          <w:tblHeader/>
          <w:jc w:val="center"/>
        </w:trPr>
        <w:tc>
          <w:tcPr>
            <w:tcW w:w="766"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29EB68B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483393F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220"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423C392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671"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5C6E9ED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416855C6">
        <w:tblPrEx>
          <w:tblCellMar>
            <w:top w:w="0" w:type="dxa"/>
            <w:left w:w="108" w:type="dxa"/>
            <w:bottom w:w="0" w:type="dxa"/>
            <w:right w:w="108" w:type="dxa"/>
          </w:tblCellMar>
        </w:tblPrEx>
        <w:trPr>
          <w:trHeight w:val="367" w:hRule="atLeast"/>
          <w:jc w:val="center"/>
        </w:trPr>
        <w:tc>
          <w:tcPr>
            <w:tcW w:w="76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2E4A292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1658"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65CE890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控制测量</w:t>
            </w:r>
          </w:p>
        </w:tc>
        <w:tc>
          <w:tcPr>
            <w:tcW w:w="1683"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5BB8B87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动态、E级</w:t>
            </w:r>
          </w:p>
        </w:tc>
        <w:tc>
          <w:tcPr>
            <w:tcW w:w="1220"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1AC5349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671"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06E27C7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2553（Ⅱ）</w:t>
            </w:r>
          </w:p>
        </w:tc>
      </w:tr>
      <w:tr w14:paraId="4CD37E35">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1FD5A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1658"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42A85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683"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8CC96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2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B2BC7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67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B8E6B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3512.06（Ⅲ）</w:t>
            </w:r>
          </w:p>
        </w:tc>
      </w:tr>
      <w:tr w14:paraId="0BC24BEB">
        <w:tblPrEx>
          <w:tblCellMar>
            <w:top w:w="0" w:type="dxa"/>
            <w:left w:w="108" w:type="dxa"/>
            <w:bottom w:w="0" w:type="dxa"/>
            <w:right w:w="108" w:type="dxa"/>
          </w:tblCellMar>
        </w:tblPrEx>
        <w:trPr>
          <w:trHeight w:val="515" w:hRule="atLeast"/>
          <w:jc w:val="center"/>
        </w:trPr>
        <w:tc>
          <w:tcPr>
            <w:tcW w:w="7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E67BA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p>
        </w:tc>
        <w:tc>
          <w:tcPr>
            <w:tcW w:w="334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681EF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人防竣工测量（面积测量）</w:t>
            </w:r>
          </w:p>
        </w:tc>
        <w:tc>
          <w:tcPr>
            <w:tcW w:w="12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A968F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267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31A69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2.03</w:t>
            </w:r>
          </w:p>
        </w:tc>
      </w:tr>
    </w:tbl>
    <w:p w14:paraId="7298E517">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（十）不动产权籍调查</w:t>
      </w:r>
    </w:p>
    <w:p w14:paraId="2EFCE57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tbl>
      <w:tblPr>
        <w:tblStyle w:val="30"/>
        <w:tblW w:w="7898" w:type="dxa"/>
        <w:jc w:val="center"/>
        <w:tblLayout w:type="fixed"/>
        <w:tblCellMar>
          <w:top w:w="0" w:type="dxa"/>
          <w:left w:w="108" w:type="dxa"/>
          <w:bottom w:w="0" w:type="dxa"/>
          <w:right w:w="108" w:type="dxa"/>
        </w:tblCellMar>
      </w:tblPr>
      <w:tblGrid>
        <w:gridCol w:w="755"/>
        <w:gridCol w:w="1637"/>
        <w:gridCol w:w="1663"/>
        <w:gridCol w:w="1206"/>
        <w:gridCol w:w="2637"/>
      </w:tblGrid>
      <w:tr w14:paraId="48866F3A">
        <w:tblPrEx>
          <w:tblCellMar>
            <w:top w:w="0" w:type="dxa"/>
            <w:left w:w="108" w:type="dxa"/>
            <w:bottom w:w="0" w:type="dxa"/>
            <w:right w:w="108" w:type="dxa"/>
          </w:tblCellMar>
        </w:tblPrEx>
        <w:trPr>
          <w:trHeight w:val="354" w:hRule="atLeast"/>
          <w:tblHeader/>
          <w:jc w:val="center"/>
        </w:trPr>
        <w:tc>
          <w:tcPr>
            <w:tcW w:w="755"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29F01F5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3CD2296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206"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2F78EAB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637"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3AAB11A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5D1DDADD">
        <w:tblPrEx>
          <w:tblCellMar>
            <w:top w:w="0" w:type="dxa"/>
            <w:left w:w="108" w:type="dxa"/>
            <w:bottom w:w="0" w:type="dxa"/>
            <w:right w:w="108" w:type="dxa"/>
          </w:tblCellMar>
        </w:tblPrEx>
        <w:trPr>
          <w:trHeight w:val="354" w:hRule="atLeast"/>
          <w:jc w:val="center"/>
        </w:trPr>
        <w:tc>
          <w:tcPr>
            <w:tcW w:w="75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0C01ABB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1637"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7F54CC3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控制测量</w:t>
            </w:r>
          </w:p>
        </w:tc>
        <w:tc>
          <w:tcPr>
            <w:tcW w:w="1663"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40CE442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动态、E级</w:t>
            </w:r>
          </w:p>
        </w:tc>
        <w:tc>
          <w:tcPr>
            <w:tcW w:w="1206"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7A6B1B7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63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5D7B9D0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2553（Ⅱ）</w:t>
            </w:r>
          </w:p>
        </w:tc>
      </w:tr>
      <w:tr w14:paraId="373D99CA">
        <w:tblPrEx>
          <w:tblCellMar>
            <w:top w:w="0" w:type="dxa"/>
            <w:left w:w="108" w:type="dxa"/>
            <w:bottom w:w="0" w:type="dxa"/>
            <w:right w:w="108" w:type="dxa"/>
          </w:tblCellMar>
        </w:tblPrEx>
        <w:trPr>
          <w:trHeight w:val="354" w:hRule="atLeast"/>
          <w:jc w:val="center"/>
        </w:trPr>
        <w:tc>
          <w:tcPr>
            <w:tcW w:w="7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69BBD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1637"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10058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663"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15652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0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61EEE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6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C6211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3512.06（Ⅲ）</w:t>
            </w:r>
          </w:p>
        </w:tc>
      </w:tr>
      <w:tr w14:paraId="3DEDBB55">
        <w:tblPrEx>
          <w:tblCellMar>
            <w:top w:w="0" w:type="dxa"/>
            <w:left w:w="108" w:type="dxa"/>
            <w:bottom w:w="0" w:type="dxa"/>
            <w:right w:w="108" w:type="dxa"/>
          </w:tblCellMar>
        </w:tblPrEx>
        <w:trPr>
          <w:trHeight w:val="355" w:hRule="atLeast"/>
          <w:jc w:val="center"/>
        </w:trPr>
        <w:tc>
          <w:tcPr>
            <w:tcW w:w="7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DDD4F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p>
        </w:tc>
        <w:tc>
          <w:tcPr>
            <w:tcW w:w="330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FE4C1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地籍测绘</w:t>
            </w:r>
          </w:p>
        </w:tc>
        <w:tc>
          <w:tcPr>
            <w:tcW w:w="120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8D7DB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26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9E3C5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0.22（Ⅰ）</w:t>
            </w:r>
          </w:p>
        </w:tc>
      </w:tr>
      <w:tr w14:paraId="579C7289">
        <w:tblPrEx>
          <w:tblCellMar>
            <w:top w:w="0" w:type="dxa"/>
            <w:left w:w="108" w:type="dxa"/>
            <w:bottom w:w="0" w:type="dxa"/>
            <w:right w:w="108" w:type="dxa"/>
          </w:tblCellMar>
        </w:tblPrEx>
        <w:trPr>
          <w:trHeight w:val="354" w:hRule="atLeast"/>
          <w:jc w:val="center"/>
        </w:trPr>
        <w:tc>
          <w:tcPr>
            <w:tcW w:w="7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40C4F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w:t>
            </w:r>
          </w:p>
        </w:tc>
        <w:tc>
          <w:tcPr>
            <w:tcW w:w="3300"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E0BDF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0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4F892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6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A9A5E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0.28（Ⅱ）</w:t>
            </w:r>
          </w:p>
        </w:tc>
      </w:tr>
      <w:tr w14:paraId="3ACC0CB9">
        <w:tblPrEx>
          <w:tblCellMar>
            <w:top w:w="0" w:type="dxa"/>
            <w:left w:w="108" w:type="dxa"/>
            <w:bottom w:w="0" w:type="dxa"/>
            <w:right w:w="108" w:type="dxa"/>
          </w:tblCellMar>
        </w:tblPrEx>
        <w:trPr>
          <w:trHeight w:val="354" w:hRule="atLeast"/>
          <w:jc w:val="center"/>
        </w:trPr>
        <w:tc>
          <w:tcPr>
            <w:tcW w:w="7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EEC2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w:t>
            </w:r>
          </w:p>
        </w:tc>
        <w:tc>
          <w:tcPr>
            <w:tcW w:w="3300"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778B0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0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866D8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6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82DBA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0.37（Ⅲ）</w:t>
            </w:r>
          </w:p>
        </w:tc>
      </w:tr>
      <w:tr w14:paraId="43FF7177">
        <w:tblPrEx>
          <w:tblCellMar>
            <w:top w:w="0" w:type="dxa"/>
            <w:left w:w="108" w:type="dxa"/>
            <w:bottom w:w="0" w:type="dxa"/>
            <w:right w:w="108" w:type="dxa"/>
          </w:tblCellMar>
        </w:tblPrEx>
        <w:trPr>
          <w:trHeight w:val="364" w:hRule="atLeast"/>
          <w:jc w:val="center"/>
        </w:trPr>
        <w:tc>
          <w:tcPr>
            <w:tcW w:w="7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D1E9C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w:t>
            </w:r>
          </w:p>
        </w:tc>
        <w:tc>
          <w:tcPr>
            <w:tcW w:w="3300"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B8CB9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界址点调查</w:t>
            </w:r>
          </w:p>
        </w:tc>
        <w:tc>
          <w:tcPr>
            <w:tcW w:w="120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61E6B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6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C79C0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648.58</w:t>
            </w:r>
          </w:p>
        </w:tc>
      </w:tr>
    </w:tbl>
    <w:p w14:paraId="70FA2B86">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（十</w:t>
      </w:r>
      <w:r>
        <w:rPr>
          <w:rFonts w:hint="eastAsia" w:asciiTheme="minorEastAsia" w:hAnsiTheme="minorEastAsia" w:eastAsiaTheme="minorEastAsia" w:cstheme="minorEastAsia"/>
          <w:b/>
          <w:bCs/>
          <w:snapToGrid w:val="0"/>
          <w:color w:val="auto"/>
          <w:kern w:val="0"/>
          <w:sz w:val="28"/>
          <w:szCs w:val="28"/>
          <w:highlight w:val="none"/>
          <w:lang w:eastAsia="zh-CN"/>
        </w:rPr>
        <w:t>一</w:t>
      </w:r>
      <w:r>
        <w:rPr>
          <w:rFonts w:hint="eastAsia" w:asciiTheme="minorEastAsia" w:hAnsiTheme="minorEastAsia" w:eastAsiaTheme="minorEastAsia" w:cstheme="minorEastAsia"/>
          <w:b/>
          <w:bCs/>
          <w:snapToGrid w:val="0"/>
          <w:color w:val="auto"/>
          <w:kern w:val="0"/>
          <w:sz w:val="28"/>
          <w:szCs w:val="28"/>
          <w:highlight w:val="none"/>
        </w:rPr>
        <w:t>）房产测绘</w:t>
      </w:r>
    </w:p>
    <w:p w14:paraId="70E1F212">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p>
    <w:tbl>
      <w:tblPr>
        <w:tblStyle w:val="30"/>
        <w:tblW w:w="7858" w:type="dxa"/>
        <w:jc w:val="center"/>
        <w:tblLayout w:type="fixed"/>
        <w:tblCellMar>
          <w:top w:w="0" w:type="dxa"/>
          <w:left w:w="108" w:type="dxa"/>
          <w:bottom w:w="0" w:type="dxa"/>
          <w:right w:w="108" w:type="dxa"/>
        </w:tblCellMar>
      </w:tblPr>
      <w:tblGrid>
        <w:gridCol w:w="753"/>
        <w:gridCol w:w="1305"/>
        <w:gridCol w:w="2278"/>
        <w:gridCol w:w="1281"/>
        <w:gridCol w:w="2241"/>
      </w:tblGrid>
      <w:tr w14:paraId="1F847B13">
        <w:tblPrEx>
          <w:tblCellMar>
            <w:top w:w="0" w:type="dxa"/>
            <w:left w:w="108" w:type="dxa"/>
            <w:bottom w:w="0" w:type="dxa"/>
            <w:right w:w="108" w:type="dxa"/>
          </w:tblCellMar>
        </w:tblPrEx>
        <w:trPr>
          <w:trHeight w:val="440" w:hRule="atLeast"/>
          <w:tblHeader/>
          <w:jc w:val="center"/>
        </w:trPr>
        <w:tc>
          <w:tcPr>
            <w:tcW w:w="753"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03601B0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3583" w:type="dxa"/>
            <w:gridSpan w:val="2"/>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5C6E72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281"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0C5DAD8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241"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571124D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637473E1">
        <w:tblPrEx>
          <w:tblCellMar>
            <w:top w:w="0" w:type="dxa"/>
            <w:left w:w="108" w:type="dxa"/>
            <w:bottom w:w="0" w:type="dxa"/>
            <w:right w:w="108" w:type="dxa"/>
          </w:tblCellMar>
        </w:tblPrEx>
        <w:trPr>
          <w:trHeight w:val="348" w:hRule="atLeast"/>
          <w:jc w:val="center"/>
        </w:trPr>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674F9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1305"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1043979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控制测量</w:t>
            </w:r>
          </w:p>
        </w:tc>
        <w:tc>
          <w:tcPr>
            <w:tcW w:w="227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256C751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动态、E级</w:t>
            </w:r>
          </w:p>
        </w:tc>
        <w:tc>
          <w:tcPr>
            <w:tcW w:w="1281"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7F6EFF0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A357F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2553（Ⅱ）</w:t>
            </w:r>
          </w:p>
        </w:tc>
      </w:tr>
      <w:tr w14:paraId="27D0FA95">
        <w:tblPrEx>
          <w:tblCellMar>
            <w:top w:w="0" w:type="dxa"/>
            <w:left w:w="108" w:type="dxa"/>
            <w:bottom w:w="0" w:type="dxa"/>
            <w:right w:w="108" w:type="dxa"/>
          </w:tblCellMar>
        </w:tblPrEx>
        <w:trPr>
          <w:trHeight w:val="348" w:hRule="atLeast"/>
          <w:jc w:val="center"/>
        </w:trPr>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0B913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1305"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109208C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278"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71A44F9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81"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4952182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F8C24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3512.06（Ⅲ）</w:t>
            </w:r>
          </w:p>
        </w:tc>
      </w:tr>
      <w:tr w14:paraId="101685A6">
        <w:tblPrEx>
          <w:tblCellMar>
            <w:top w:w="0" w:type="dxa"/>
            <w:left w:w="108" w:type="dxa"/>
            <w:bottom w:w="0" w:type="dxa"/>
            <w:right w:w="108" w:type="dxa"/>
          </w:tblCellMar>
        </w:tblPrEx>
        <w:trPr>
          <w:trHeight w:val="351" w:hRule="atLeast"/>
          <w:jc w:val="center"/>
        </w:trPr>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FBEC19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p>
        </w:tc>
        <w:tc>
          <w:tcPr>
            <w:tcW w:w="3583" w:type="dxa"/>
            <w:gridSpan w:val="2"/>
            <w:vMerge w:val="restart"/>
            <w:tcBorders>
              <w:left w:val="single" w:color="000000" w:sz="4" w:space="0"/>
              <w:right w:val="single" w:color="000000" w:sz="4" w:space="0"/>
            </w:tcBorders>
            <w:tcMar>
              <w:top w:w="15" w:type="dxa"/>
              <w:left w:w="15" w:type="dxa"/>
              <w:bottom w:w="15" w:type="dxa"/>
              <w:right w:w="15" w:type="dxa"/>
            </w:tcMar>
            <w:vAlign w:val="center"/>
          </w:tcPr>
          <w:p w14:paraId="65BD691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地籍测绘（宗地图）</w:t>
            </w:r>
          </w:p>
        </w:tc>
        <w:tc>
          <w:tcPr>
            <w:tcW w:w="1281" w:type="dxa"/>
            <w:vMerge w:val="restart"/>
            <w:tcBorders>
              <w:left w:val="single" w:color="000000" w:sz="4" w:space="0"/>
              <w:right w:val="single" w:color="000000" w:sz="4" w:space="0"/>
            </w:tcBorders>
            <w:tcMar>
              <w:top w:w="15" w:type="dxa"/>
              <w:left w:w="15" w:type="dxa"/>
              <w:bottom w:w="15" w:type="dxa"/>
              <w:right w:w="15" w:type="dxa"/>
            </w:tcMar>
            <w:vAlign w:val="center"/>
          </w:tcPr>
          <w:p w14:paraId="6D0B6B8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13DB5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0.22（Ⅰ）</w:t>
            </w:r>
          </w:p>
        </w:tc>
      </w:tr>
      <w:tr w14:paraId="2D0B8E62">
        <w:tblPrEx>
          <w:tblCellMar>
            <w:top w:w="0" w:type="dxa"/>
            <w:left w:w="108" w:type="dxa"/>
            <w:bottom w:w="0" w:type="dxa"/>
            <w:right w:w="108" w:type="dxa"/>
          </w:tblCellMar>
        </w:tblPrEx>
        <w:trPr>
          <w:trHeight w:val="348" w:hRule="atLeast"/>
          <w:jc w:val="center"/>
        </w:trPr>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A5E86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w:t>
            </w:r>
          </w:p>
        </w:tc>
        <w:tc>
          <w:tcPr>
            <w:tcW w:w="3583" w:type="dxa"/>
            <w:gridSpan w:val="2"/>
            <w:vMerge w:val="continue"/>
            <w:tcBorders>
              <w:left w:val="single" w:color="000000" w:sz="4" w:space="0"/>
              <w:right w:val="single" w:color="000000" w:sz="4" w:space="0"/>
            </w:tcBorders>
            <w:tcMar>
              <w:top w:w="15" w:type="dxa"/>
              <w:left w:w="15" w:type="dxa"/>
              <w:bottom w:w="15" w:type="dxa"/>
              <w:right w:w="15" w:type="dxa"/>
            </w:tcMar>
            <w:vAlign w:val="center"/>
          </w:tcPr>
          <w:p w14:paraId="2BC5B48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81" w:type="dxa"/>
            <w:vMerge w:val="continue"/>
            <w:tcBorders>
              <w:left w:val="single" w:color="000000" w:sz="4" w:space="0"/>
              <w:right w:val="single" w:color="000000" w:sz="4" w:space="0"/>
            </w:tcBorders>
            <w:tcMar>
              <w:top w:w="15" w:type="dxa"/>
              <w:left w:w="15" w:type="dxa"/>
              <w:bottom w:w="15" w:type="dxa"/>
              <w:right w:w="15" w:type="dxa"/>
            </w:tcMar>
            <w:vAlign w:val="center"/>
          </w:tcPr>
          <w:p w14:paraId="24ACC48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9AE8A0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0.28（Ⅱ）</w:t>
            </w:r>
          </w:p>
        </w:tc>
      </w:tr>
      <w:tr w14:paraId="3F2BA4E0">
        <w:tblPrEx>
          <w:tblCellMar>
            <w:top w:w="0" w:type="dxa"/>
            <w:left w:w="108" w:type="dxa"/>
            <w:bottom w:w="0" w:type="dxa"/>
            <w:right w:w="108" w:type="dxa"/>
          </w:tblCellMar>
        </w:tblPrEx>
        <w:trPr>
          <w:trHeight w:val="90" w:hRule="atLeast"/>
          <w:jc w:val="center"/>
        </w:trPr>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2E0A6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w:t>
            </w:r>
          </w:p>
        </w:tc>
        <w:tc>
          <w:tcPr>
            <w:tcW w:w="3583" w:type="dxa"/>
            <w:gridSpan w:val="2"/>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6C78A72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81"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032C0B8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BB0DB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0.37（Ⅲ）</w:t>
            </w:r>
          </w:p>
        </w:tc>
      </w:tr>
      <w:tr w14:paraId="0E380DB1">
        <w:tblPrEx>
          <w:tblCellMar>
            <w:top w:w="0" w:type="dxa"/>
            <w:left w:w="108" w:type="dxa"/>
            <w:bottom w:w="0" w:type="dxa"/>
            <w:right w:w="108" w:type="dxa"/>
          </w:tblCellMar>
        </w:tblPrEx>
        <w:trPr>
          <w:trHeight w:val="428" w:hRule="atLeast"/>
          <w:jc w:val="center"/>
        </w:trPr>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DD0D4B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w:t>
            </w:r>
          </w:p>
        </w:tc>
        <w:tc>
          <w:tcPr>
            <w:tcW w:w="1305" w:type="dxa"/>
            <w:vMerge w:val="restart"/>
            <w:tcBorders>
              <w:left w:val="single" w:color="000000" w:sz="4" w:space="0"/>
              <w:right w:val="single" w:color="000000" w:sz="4" w:space="0"/>
            </w:tcBorders>
            <w:tcMar>
              <w:top w:w="15" w:type="dxa"/>
              <w:left w:w="15" w:type="dxa"/>
              <w:bottom w:w="15" w:type="dxa"/>
              <w:right w:w="15" w:type="dxa"/>
            </w:tcMar>
            <w:vAlign w:val="center"/>
          </w:tcPr>
          <w:p w14:paraId="51A665F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房产测绘</w:t>
            </w:r>
          </w:p>
          <w:p w14:paraId="6BD9B73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（分户图）</w:t>
            </w:r>
          </w:p>
        </w:tc>
        <w:tc>
          <w:tcPr>
            <w:tcW w:w="2278" w:type="dxa"/>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4BD95EE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住宅用房、厂房</w:t>
            </w:r>
          </w:p>
        </w:tc>
        <w:tc>
          <w:tcPr>
            <w:tcW w:w="1281" w:type="dxa"/>
            <w:vMerge w:val="restart"/>
            <w:tcBorders>
              <w:left w:val="single" w:color="000000" w:sz="4" w:space="0"/>
              <w:right w:val="single" w:color="000000" w:sz="4" w:space="0"/>
            </w:tcBorders>
            <w:tcMar>
              <w:top w:w="15" w:type="dxa"/>
              <w:left w:w="15" w:type="dxa"/>
              <w:bottom w:w="15" w:type="dxa"/>
              <w:right w:w="15" w:type="dxa"/>
            </w:tcMar>
            <w:vAlign w:val="center"/>
          </w:tcPr>
          <w:p w14:paraId="6EC6EC8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3B686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1.36（Ⅰ）</w:t>
            </w:r>
          </w:p>
        </w:tc>
      </w:tr>
      <w:tr w14:paraId="63E66179">
        <w:tblPrEx>
          <w:tblCellMar>
            <w:top w:w="0" w:type="dxa"/>
            <w:left w:w="108" w:type="dxa"/>
            <w:bottom w:w="0" w:type="dxa"/>
            <w:right w:w="108" w:type="dxa"/>
          </w:tblCellMar>
        </w:tblPrEx>
        <w:trPr>
          <w:trHeight w:val="429" w:hRule="atLeast"/>
          <w:jc w:val="center"/>
        </w:trPr>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7E0A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7</w:t>
            </w:r>
          </w:p>
        </w:tc>
        <w:tc>
          <w:tcPr>
            <w:tcW w:w="1305" w:type="dxa"/>
            <w:vMerge w:val="continue"/>
            <w:tcBorders>
              <w:left w:val="single" w:color="000000" w:sz="4" w:space="0"/>
              <w:right w:val="single" w:color="000000" w:sz="4" w:space="0"/>
            </w:tcBorders>
            <w:tcMar>
              <w:top w:w="15" w:type="dxa"/>
              <w:left w:w="15" w:type="dxa"/>
              <w:bottom w:w="15" w:type="dxa"/>
              <w:right w:w="15" w:type="dxa"/>
            </w:tcMar>
            <w:vAlign w:val="center"/>
          </w:tcPr>
          <w:p w14:paraId="061046E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278" w:type="dxa"/>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3C14BA1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公建配套、商住用房等</w:t>
            </w:r>
          </w:p>
        </w:tc>
        <w:tc>
          <w:tcPr>
            <w:tcW w:w="1281" w:type="dxa"/>
            <w:vMerge w:val="continue"/>
            <w:tcBorders>
              <w:left w:val="single" w:color="000000" w:sz="4" w:space="0"/>
              <w:right w:val="single" w:color="000000" w:sz="4" w:space="0"/>
            </w:tcBorders>
            <w:tcMar>
              <w:top w:w="15" w:type="dxa"/>
              <w:left w:w="15" w:type="dxa"/>
              <w:bottom w:w="15" w:type="dxa"/>
              <w:right w:w="15" w:type="dxa"/>
            </w:tcMar>
            <w:vAlign w:val="center"/>
          </w:tcPr>
          <w:p w14:paraId="715709D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077268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2.04（Ⅱ）</w:t>
            </w:r>
          </w:p>
        </w:tc>
      </w:tr>
      <w:tr w14:paraId="18F4B210">
        <w:tblPrEx>
          <w:tblCellMar>
            <w:top w:w="0" w:type="dxa"/>
            <w:left w:w="108" w:type="dxa"/>
            <w:bottom w:w="0" w:type="dxa"/>
            <w:right w:w="108" w:type="dxa"/>
          </w:tblCellMar>
        </w:tblPrEx>
        <w:trPr>
          <w:trHeight w:val="358" w:hRule="atLeast"/>
          <w:jc w:val="center"/>
        </w:trPr>
        <w:tc>
          <w:tcPr>
            <w:tcW w:w="7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CD94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8</w:t>
            </w:r>
          </w:p>
        </w:tc>
        <w:tc>
          <w:tcPr>
            <w:tcW w:w="1305"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1E2DE43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278" w:type="dxa"/>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26C4BC5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多功能综合楼用房</w:t>
            </w:r>
          </w:p>
        </w:tc>
        <w:tc>
          <w:tcPr>
            <w:tcW w:w="1281"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66F82D9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2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324BF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2.72（Ⅲ）</w:t>
            </w:r>
          </w:p>
        </w:tc>
      </w:tr>
    </w:tbl>
    <w:p w14:paraId="5B531A7B">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（十</w:t>
      </w:r>
      <w:r>
        <w:rPr>
          <w:rFonts w:hint="eastAsia" w:asciiTheme="minorEastAsia" w:hAnsiTheme="minorEastAsia" w:eastAsiaTheme="minorEastAsia" w:cstheme="minorEastAsia"/>
          <w:b/>
          <w:bCs/>
          <w:snapToGrid w:val="0"/>
          <w:color w:val="auto"/>
          <w:kern w:val="0"/>
          <w:sz w:val="28"/>
          <w:szCs w:val="28"/>
          <w:highlight w:val="none"/>
          <w:lang w:eastAsia="zh-CN"/>
        </w:rPr>
        <w:t>二</w:t>
      </w:r>
      <w:r>
        <w:rPr>
          <w:rFonts w:hint="eastAsia" w:asciiTheme="minorEastAsia" w:hAnsiTheme="minorEastAsia" w:eastAsiaTheme="minorEastAsia" w:cstheme="minorEastAsia"/>
          <w:b/>
          <w:bCs/>
          <w:snapToGrid w:val="0"/>
          <w:color w:val="auto"/>
          <w:kern w:val="0"/>
          <w:sz w:val="28"/>
          <w:szCs w:val="28"/>
          <w:highlight w:val="none"/>
        </w:rPr>
        <w:t>）零星工程测量</w:t>
      </w:r>
    </w:p>
    <w:p w14:paraId="6E3DB1F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tbl>
      <w:tblPr>
        <w:tblStyle w:val="30"/>
        <w:tblW w:w="7878" w:type="dxa"/>
        <w:jc w:val="center"/>
        <w:tblLayout w:type="fixed"/>
        <w:tblCellMar>
          <w:top w:w="15" w:type="dxa"/>
          <w:left w:w="15" w:type="dxa"/>
          <w:bottom w:w="15" w:type="dxa"/>
          <w:right w:w="15" w:type="dxa"/>
        </w:tblCellMar>
      </w:tblPr>
      <w:tblGrid>
        <w:gridCol w:w="684"/>
        <w:gridCol w:w="1464"/>
        <w:gridCol w:w="2835"/>
        <w:gridCol w:w="847"/>
        <w:gridCol w:w="2048"/>
      </w:tblGrid>
      <w:tr w14:paraId="7A300C44">
        <w:tblPrEx>
          <w:tblCellMar>
            <w:top w:w="15" w:type="dxa"/>
            <w:left w:w="15" w:type="dxa"/>
            <w:bottom w:w="15" w:type="dxa"/>
            <w:right w:w="15" w:type="dxa"/>
          </w:tblCellMar>
        </w:tblPrEx>
        <w:trPr>
          <w:trHeight w:val="671" w:hRule="atLeast"/>
          <w:tblHeader/>
          <w:jc w:val="center"/>
        </w:trPr>
        <w:tc>
          <w:tcPr>
            <w:tcW w:w="684" w:type="dxa"/>
            <w:tcBorders>
              <w:top w:val="single" w:color="000000" w:sz="4" w:space="0"/>
              <w:left w:val="single" w:color="000000" w:sz="4" w:space="0"/>
              <w:bottom w:val="single" w:color="auto" w:sz="4" w:space="0"/>
              <w:right w:val="single" w:color="000000" w:sz="4" w:space="0"/>
            </w:tcBorders>
            <w:shd w:val="clear" w:color="auto" w:fill="BEBEBE" w:themeFill="background1" w:themeFillShade="BF"/>
            <w:vAlign w:val="center"/>
          </w:tcPr>
          <w:p w14:paraId="68D7B2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4299" w:type="dxa"/>
            <w:gridSpan w:val="2"/>
            <w:tcBorders>
              <w:top w:val="single" w:color="000000" w:sz="4" w:space="0"/>
              <w:left w:val="single" w:color="000000" w:sz="4" w:space="0"/>
              <w:bottom w:val="single" w:color="auto" w:sz="4" w:space="0"/>
              <w:right w:val="single" w:color="000000" w:sz="4" w:space="0"/>
            </w:tcBorders>
            <w:shd w:val="clear" w:color="auto" w:fill="BEBEBE" w:themeFill="background1" w:themeFillShade="BF"/>
            <w:vAlign w:val="center"/>
          </w:tcPr>
          <w:p w14:paraId="366C57F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847" w:type="dxa"/>
            <w:tcBorders>
              <w:top w:val="single" w:color="000000" w:sz="4" w:space="0"/>
              <w:left w:val="single" w:color="000000" w:sz="4" w:space="0"/>
              <w:bottom w:val="single" w:color="auto" w:sz="4" w:space="0"/>
              <w:right w:val="single" w:color="000000" w:sz="4" w:space="0"/>
            </w:tcBorders>
            <w:shd w:val="clear" w:color="auto" w:fill="BEBEBE" w:themeFill="background1" w:themeFillShade="BF"/>
            <w:vAlign w:val="center"/>
          </w:tcPr>
          <w:p w14:paraId="1846B4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048" w:type="dxa"/>
            <w:tcBorders>
              <w:top w:val="single" w:color="000000" w:sz="4" w:space="0"/>
              <w:left w:val="single" w:color="000000" w:sz="4" w:space="0"/>
              <w:bottom w:val="single" w:color="auto" w:sz="4" w:space="0"/>
              <w:right w:val="single" w:color="000000" w:sz="4" w:space="0"/>
            </w:tcBorders>
            <w:shd w:val="clear" w:color="auto" w:fill="BEBEBE" w:themeFill="background1" w:themeFillShade="BF"/>
            <w:vAlign w:val="center"/>
          </w:tcPr>
          <w:p w14:paraId="5FF98F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0057B21B">
        <w:tblPrEx>
          <w:tblCellMar>
            <w:top w:w="15" w:type="dxa"/>
            <w:left w:w="15" w:type="dxa"/>
            <w:bottom w:w="15" w:type="dxa"/>
            <w:right w:w="15" w:type="dxa"/>
          </w:tblCellMar>
        </w:tblPrEx>
        <w:trPr>
          <w:trHeight w:val="360" w:hRule="atLeast"/>
          <w:jc w:val="center"/>
        </w:trPr>
        <w:tc>
          <w:tcPr>
            <w:tcW w:w="684" w:type="dxa"/>
            <w:vMerge w:val="restart"/>
            <w:tcBorders>
              <w:top w:val="single" w:color="auto" w:sz="4" w:space="0"/>
              <w:left w:val="single" w:color="auto" w:sz="4" w:space="0"/>
              <w:bottom w:val="single" w:color="auto" w:sz="4" w:space="0"/>
              <w:right w:val="single" w:color="auto" w:sz="4" w:space="0"/>
            </w:tcBorders>
            <w:vAlign w:val="center"/>
          </w:tcPr>
          <w:p w14:paraId="345E29F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2E59076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控制测量</w:t>
            </w:r>
          </w:p>
        </w:tc>
        <w:tc>
          <w:tcPr>
            <w:tcW w:w="2835" w:type="dxa"/>
            <w:tcBorders>
              <w:top w:val="single" w:color="auto" w:sz="4" w:space="0"/>
              <w:left w:val="single" w:color="auto" w:sz="4" w:space="0"/>
              <w:bottom w:val="single" w:color="auto" w:sz="4" w:space="0"/>
              <w:right w:val="single" w:color="auto" w:sz="4" w:space="0"/>
            </w:tcBorders>
            <w:vAlign w:val="center"/>
          </w:tcPr>
          <w:p w14:paraId="30029D0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GPS测量（静态）</w:t>
            </w:r>
          </w:p>
        </w:tc>
        <w:tc>
          <w:tcPr>
            <w:tcW w:w="847" w:type="dxa"/>
            <w:tcBorders>
              <w:top w:val="single" w:color="auto" w:sz="4" w:space="0"/>
              <w:left w:val="single" w:color="auto" w:sz="4" w:space="0"/>
              <w:bottom w:val="single" w:color="auto" w:sz="4" w:space="0"/>
              <w:right w:val="single" w:color="auto" w:sz="4" w:space="0"/>
            </w:tcBorders>
            <w:vAlign w:val="center"/>
          </w:tcPr>
          <w:p w14:paraId="1D5FEF5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048" w:type="dxa"/>
            <w:tcBorders>
              <w:top w:val="single" w:color="auto" w:sz="4" w:space="0"/>
              <w:left w:val="single" w:color="auto" w:sz="4" w:space="0"/>
              <w:bottom w:val="single" w:color="auto" w:sz="4" w:space="0"/>
              <w:right w:val="single" w:color="auto" w:sz="4" w:space="0"/>
            </w:tcBorders>
            <w:vAlign w:val="center"/>
          </w:tcPr>
          <w:p w14:paraId="61A29DC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6360.78</w:t>
            </w:r>
          </w:p>
        </w:tc>
      </w:tr>
      <w:tr w14:paraId="33CC4E4F">
        <w:tblPrEx>
          <w:tblCellMar>
            <w:top w:w="15" w:type="dxa"/>
            <w:left w:w="15" w:type="dxa"/>
            <w:bottom w:w="15" w:type="dxa"/>
            <w:right w:w="15" w:type="dxa"/>
          </w:tblCellMar>
        </w:tblPrEx>
        <w:trPr>
          <w:trHeight w:val="355"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14:paraId="791767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29305E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725F7AB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GPS测量（动态）</w:t>
            </w:r>
          </w:p>
        </w:tc>
        <w:tc>
          <w:tcPr>
            <w:tcW w:w="847" w:type="dxa"/>
            <w:tcBorders>
              <w:top w:val="single" w:color="auto" w:sz="4" w:space="0"/>
              <w:left w:val="single" w:color="auto" w:sz="4" w:space="0"/>
              <w:bottom w:val="single" w:color="auto" w:sz="4" w:space="0"/>
              <w:right w:val="single" w:color="auto" w:sz="4" w:space="0"/>
            </w:tcBorders>
            <w:vAlign w:val="center"/>
          </w:tcPr>
          <w:p w14:paraId="79B6EBB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048" w:type="dxa"/>
            <w:tcBorders>
              <w:top w:val="single" w:color="auto" w:sz="4" w:space="0"/>
              <w:left w:val="single" w:color="auto" w:sz="4" w:space="0"/>
              <w:bottom w:val="single" w:color="auto" w:sz="4" w:space="0"/>
              <w:right w:val="single" w:color="auto" w:sz="4" w:space="0"/>
            </w:tcBorders>
            <w:vAlign w:val="center"/>
          </w:tcPr>
          <w:p w14:paraId="5922E69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2553.00</w:t>
            </w:r>
          </w:p>
        </w:tc>
      </w:tr>
      <w:tr w14:paraId="4C308549">
        <w:tblPrEx>
          <w:tblCellMar>
            <w:top w:w="15" w:type="dxa"/>
            <w:left w:w="15" w:type="dxa"/>
            <w:bottom w:w="15" w:type="dxa"/>
            <w:right w:w="15" w:type="dxa"/>
          </w:tblCellMar>
        </w:tblPrEx>
        <w:trPr>
          <w:trHeight w:val="355"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F6F75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4299" w:type="dxa"/>
            <w:gridSpan w:val="2"/>
            <w:tcBorders>
              <w:top w:val="single" w:color="auto" w:sz="4" w:space="0"/>
              <w:left w:val="single" w:color="auto" w:sz="4" w:space="0"/>
              <w:bottom w:val="single" w:color="auto" w:sz="4" w:space="0"/>
              <w:right w:val="single" w:color="auto" w:sz="4" w:space="0"/>
            </w:tcBorders>
            <w:vAlign w:val="center"/>
          </w:tcPr>
          <w:p w14:paraId="7B4716B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放界桩</w:t>
            </w:r>
          </w:p>
        </w:tc>
        <w:tc>
          <w:tcPr>
            <w:tcW w:w="847" w:type="dxa"/>
            <w:tcBorders>
              <w:top w:val="single" w:color="auto" w:sz="4" w:space="0"/>
              <w:left w:val="single" w:color="auto" w:sz="4" w:space="0"/>
              <w:bottom w:val="single" w:color="auto" w:sz="4" w:space="0"/>
              <w:right w:val="single" w:color="auto" w:sz="4" w:space="0"/>
            </w:tcBorders>
            <w:vAlign w:val="center"/>
          </w:tcPr>
          <w:p w14:paraId="0A61974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048" w:type="dxa"/>
            <w:tcBorders>
              <w:top w:val="single" w:color="auto" w:sz="4" w:space="0"/>
              <w:left w:val="single" w:color="auto" w:sz="4" w:space="0"/>
              <w:bottom w:val="single" w:color="auto" w:sz="4" w:space="0"/>
              <w:right w:val="single" w:color="auto" w:sz="4" w:space="0"/>
            </w:tcBorders>
            <w:vAlign w:val="center"/>
          </w:tcPr>
          <w:p w14:paraId="44C592B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648.58</w:t>
            </w:r>
          </w:p>
        </w:tc>
      </w:tr>
      <w:tr w14:paraId="29B617FE">
        <w:tblPrEx>
          <w:tblCellMar>
            <w:top w:w="15" w:type="dxa"/>
            <w:left w:w="15" w:type="dxa"/>
            <w:bottom w:w="15" w:type="dxa"/>
            <w:right w:w="15" w:type="dxa"/>
          </w:tblCellMar>
        </w:tblPrEx>
        <w:trPr>
          <w:trHeight w:val="365"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E4779E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3</w:t>
            </w:r>
          </w:p>
        </w:tc>
        <w:tc>
          <w:tcPr>
            <w:tcW w:w="4299" w:type="dxa"/>
            <w:gridSpan w:val="2"/>
            <w:tcBorders>
              <w:top w:val="single" w:color="auto" w:sz="4" w:space="0"/>
              <w:left w:val="single" w:color="auto" w:sz="4" w:space="0"/>
              <w:bottom w:val="single" w:color="auto" w:sz="4" w:space="0"/>
              <w:right w:val="single" w:color="auto" w:sz="4" w:space="0"/>
            </w:tcBorders>
            <w:vAlign w:val="center"/>
          </w:tcPr>
          <w:p w14:paraId="7BBBBF1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地物细部点、特征点、地上附着物清点测量</w:t>
            </w:r>
          </w:p>
        </w:tc>
        <w:tc>
          <w:tcPr>
            <w:tcW w:w="847" w:type="dxa"/>
            <w:tcBorders>
              <w:top w:val="single" w:color="auto" w:sz="4" w:space="0"/>
              <w:left w:val="single" w:color="auto" w:sz="4" w:space="0"/>
              <w:bottom w:val="single" w:color="auto" w:sz="4" w:space="0"/>
              <w:right w:val="single" w:color="auto" w:sz="4" w:space="0"/>
            </w:tcBorders>
            <w:vAlign w:val="center"/>
          </w:tcPr>
          <w:p w14:paraId="40B8E86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048" w:type="dxa"/>
            <w:tcBorders>
              <w:top w:val="single" w:color="auto" w:sz="4" w:space="0"/>
              <w:left w:val="single" w:color="auto" w:sz="4" w:space="0"/>
              <w:bottom w:val="single" w:color="auto" w:sz="4" w:space="0"/>
              <w:right w:val="single" w:color="auto" w:sz="4" w:space="0"/>
            </w:tcBorders>
            <w:vAlign w:val="center"/>
          </w:tcPr>
          <w:p w14:paraId="23CABAA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60</w:t>
            </w:r>
          </w:p>
        </w:tc>
      </w:tr>
    </w:tbl>
    <w:p w14:paraId="20C6F432">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（十</w:t>
      </w:r>
      <w:r>
        <w:rPr>
          <w:rFonts w:hint="eastAsia" w:asciiTheme="minorEastAsia" w:hAnsiTheme="minorEastAsia" w:eastAsiaTheme="minorEastAsia" w:cstheme="minorEastAsia"/>
          <w:b/>
          <w:bCs/>
          <w:snapToGrid w:val="0"/>
          <w:color w:val="auto"/>
          <w:kern w:val="0"/>
          <w:sz w:val="28"/>
          <w:szCs w:val="28"/>
          <w:highlight w:val="none"/>
          <w:lang w:eastAsia="zh-CN"/>
        </w:rPr>
        <w:t>三</w:t>
      </w:r>
      <w:r>
        <w:rPr>
          <w:rFonts w:hint="eastAsia" w:asciiTheme="minorEastAsia" w:hAnsiTheme="minorEastAsia" w:eastAsiaTheme="minorEastAsia" w:cstheme="minorEastAsia"/>
          <w:b/>
          <w:bCs/>
          <w:snapToGrid w:val="0"/>
          <w:color w:val="auto"/>
          <w:kern w:val="0"/>
          <w:sz w:val="28"/>
          <w:szCs w:val="28"/>
          <w:highlight w:val="none"/>
        </w:rPr>
        <w:t>）建筑年份核查</w:t>
      </w:r>
    </w:p>
    <w:p w14:paraId="3FC85ED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tbl>
      <w:tblPr>
        <w:tblStyle w:val="30"/>
        <w:tblW w:w="7797" w:type="dxa"/>
        <w:jc w:val="center"/>
        <w:tblLayout w:type="fixed"/>
        <w:tblCellMar>
          <w:top w:w="0" w:type="dxa"/>
          <w:left w:w="108" w:type="dxa"/>
          <w:bottom w:w="0" w:type="dxa"/>
          <w:right w:w="108" w:type="dxa"/>
        </w:tblCellMar>
      </w:tblPr>
      <w:tblGrid>
        <w:gridCol w:w="747"/>
        <w:gridCol w:w="747"/>
        <w:gridCol w:w="3050"/>
        <w:gridCol w:w="1187"/>
        <w:gridCol w:w="2066"/>
      </w:tblGrid>
      <w:tr w14:paraId="096457D4">
        <w:tblPrEx>
          <w:tblCellMar>
            <w:top w:w="0" w:type="dxa"/>
            <w:left w:w="108" w:type="dxa"/>
            <w:bottom w:w="0" w:type="dxa"/>
            <w:right w:w="108" w:type="dxa"/>
          </w:tblCellMar>
        </w:tblPrEx>
        <w:trPr>
          <w:trHeight w:val="446" w:hRule="atLeast"/>
          <w:tblHeader/>
          <w:jc w:val="center"/>
        </w:trPr>
        <w:tc>
          <w:tcPr>
            <w:tcW w:w="747"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4E5513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3E60FC4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187"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7EE4A14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066"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7D9F99B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7F299AA5">
        <w:tblPrEx>
          <w:tblCellMar>
            <w:top w:w="0" w:type="dxa"/>
            <w:left w:w="108" w:type="dxa"/>
            <w:bottom w:w="0" w:type="dxa"/>
            <w:right w:w="108" w:type="dxa"/>
          </w:tblCellMar>
        </w:tblPrEx>
        <w:trPr>
          <w:trHeight w:val="422"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82EA4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74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EFCF8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无人机摄影测量</w:t>
            </w:r>
          </w:p>
        </w:tc>
        <w:tc>
          <w:tcPr>
            <w:tcW w:w="3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30F35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数字正射影像图拍摄与制作</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1E2CC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幅</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1ED20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2729.67</w:t>
            </w:r>
          </w:p>
        </w:tc>
      </w:tr>
      <w:tr w14:paraId="4D99A8B1">
        <w:tblPrEx>
          <w:tblCellMar>
            <w:top w:w="0" w:type="dxa"/>
            <w:left w:w="108" w:type="dxa"/>
            <w:bottom w:w="0" w:type="dxa"/>
            <w:right w:w="108" w:type="dxa"/>
          </w:tblCellMar>
        </w:tblPrEx>
        <w:trPr>
          <w:trHeight w:val="337"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E9B94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14:paraId="5E4D158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3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5A139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倾斜摄影：像片连测</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B7650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平方公里</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2A872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45657.40</w:t>
            </w:r>
          </w:p>
        </w:tc>
      </w:tr>
      <w:tr w14:paraId="14054FC9">
        <w:tblPrEx>
          <w:tblCellMar>
            <w:top w:w="0" w:type="dxa"/>
            <w:left w:w="108" w:type="dxa"/>
            <w:bottom w:w="0" w:type="dxa"/>
            <w:right w:w="108" w:type="dxa"/>
          </w:tblCellMar>
        </w:tblPrEx>
        <w:trPr>
          <w:trHeight w:val="237"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9E57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14:paraId="017ED5D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3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E78ECE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倾斜摄影：三维模型制作</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474737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平方公里</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E2ABA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75465.80</w:t>
            </w:r>
          </w:p>
        </w:tc>
      </w:tr>
      <w:tr w14:paraId="5A82EEE2">
        <w:tblPrEx>
          <w:tblCellMar>
            <w:top w:w="0" w:type="dxa"/>
            <w:left w:w="108" w:type="dxa"/>
            <w:bottom w:w="0" w:type="dxa"/>
            <w:right w:w="108" w:type="dxa"/>
          </w:tblCellMar>
        </w:tblPrEx>
        <w:trPr>
          <w:trHeight w:val="341" w:hRule="atLeast"/>
          <w:jc w:val="center"/>
        </w:trPr>
        <w:tc>
          <w:tcPr>
            <w:tcW w:w="74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3A6BA9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w:t>
            </w: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14:paraId="2DC4F08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3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49EA0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建筑矢量化及面积统计（对三维模型进行矢量化，计算建筑面积（包括统计建筑物栋数、层数、建基、总建</w:t>
            </w:r>
            <w:r>
              <w:rPr>
                <w:rFonts w:hint="eastAsia" w:asciiTheme="minorEastAsia" w:hAnsiTheme="minorEastAsia" w:eastAsiaTheme="minorEastAsia" w:cstheme="minorEastAsia"/>
                <w:snapToGrid w:val="0"/>
                <w:color w:val="auto"/>
                <w:kern w:val="0"/>
                <w:sz w:val="28"/>
                <w:szCs w:val="28"/>
                <w:highlight w:val="none"/>
                <w:lang w:eastAsia="zh-CN"/>
              </w:rPr>
              <w:t>筑</w:t>
            </w:r>
            <w:r>
              <w:rPr>
                <w:rFonts w:hint="eastAsia" w:asciiTheme="minorEastAsia" w:hAnsiTheme="minorEastAsia" w:eastAsiaTheme="minorEastAsia" w:cstheme="minorEastAsia"/>
                <w:snapToGrid w:val="0"/>
                <w:color w:val="auto"/>
                <w:kern w:val="0"/>
                <w:sz w:val="28"/>
                <w:szCs w:val="28"/>
                <w:highlight w:val="none"/>
              </w:rPr>
              <w:t>面积等）</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753FD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62320A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0.58</w:t>
            </w:r>
          </w:p>
        </w:tc>
      </w:tr>
    </w:tbl>
    <w:p w14:paraId="3FC5BE0D">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十四</w:t>
      </w:r>
      <w:r>
        <w:rPr>
          <w:rFonts w:hint="eastAsia" w:asciiTheme="minorEastAsia" w:hAnsiTheme="minorEastAsia" w:eastAsiaTheme="minorEastAsia" w:cstheme="minorEastAsia"/>
          <w:b/>
          <w:bCs/>
          <w:snapToGrid w:val="0"/>
          <w:color w:val="auto"/>
          <w:kern w:val="0"/>
          <w:sz w:val="28"/>
          <w:szCs w:val="28"/>
          <w:highlight w:val="none"/>
        </w:rPr>
        <w:t>）土地套图及附图</w:t>
      </w:r>
    </w:p>
    <w:p w14:paraId="3D7536A2">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tbl>
      <w:tblPr>
        <w:tblStyle w:val="30"/>
        <w:tblW w:w="8098" w:type="dxa"/>
        <w:jc w:val="center"/>
        <w:tblLayout w:type="fixed"/>
        <w:tblCellMar>
          <w:top w:w="0" w:type="dxa"/>
          <w:left w:w="108" w:type="dxa"/>
          <w:bottom w:w="0" w:type="dxa"/>
          <w:right w:w="108" w:type="dxa"/>
        </w:tblCellMar>
      </w:tblPr>
      <w:tblGrid>
        <w:gridCol w:w="775"/>
        <w:gridCol w:w="3383"/>
        <w:gridCol w:w="1235"/>
        <w:gridCol w:w="2705"/>
      </w:tblGrid>
      <w:tr w14:paraId="315E84B3">
        <w:tblPrEx>
          <w:tblCellMar>
            <w:top w:w="0" w:type="dxa"/>
            <w:left w:w="108" w:type="dxa"/>
            <w:bottom w:w="0" w:type="dxa"/>
            <w:right w:w="108" w:type="dxa"/>
          </w:tblCellMar>
        </w:tblPrEx>
        <w:trPr>
          <w:trHeight w:val="410" w:hRule="atLeast"/>
          <w:tblHeader/>
          <w:jc w:val="center"/>
        </w:trPr>
        <w:tc>
          <w:tcPr>
            <w:tcW w:w="775"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0B977C6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3383"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24F43A1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235"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7AB88DD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705"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49F8B90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7284D952">
        <w:tblPrEx>
          <w:tblCellMar>
            <w:top w:w="0" w:type="dxa"/>
            <w:left w:w="108" w:type="dxa"/>
            <w:bottom w:w="0" w:type="dxa"/>
            <w:right w:w="108" w:type="dxa"/>
          </w:tblCellMar>
        </w:tblPrEx>
        <w:trPr>
          <w:trHeight w:val="356" w:hRule="atLeast"/>
          <w:jc w:val="center"/>
        </w:trPr>
        <w:tc>
          <w:tcPr>
            <w:tcW w:w="77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1D706D9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3383"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75DD2F7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套图</w:t>
            </w:r>
          </w:p>
        </w:tc>
        <w:tc>
          <w:tcPr>
            <w:tcW w:w="123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7D9D6A8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幅</w:t>
            </w:r>
          </w:p>
        </w:tc>
        <w:tc>
          <w:tcPr>
            <w:tcW w:w="270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55D3B9D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2774.21</w:t>
            </w:r>
          </w:p>
        </w:tc>
      </w:tr>
    </w:tbl>
    <w:p w14:paraId="3DBC0D45">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十五</w:t>
      </w:r>
      <w:r>
        <w:rPr>
          <w:rFonts w:hint="eastAsia" w:asciiTheme="minorEastAsia" w:hAnsiTheme="minorEastAsia" w:eastAsiaTheme="minorEastAsia" w:cstheme="minorEastAsia"/>
          <w:b/>
          <w:bCs/>
          <w:snapToGrid w:val="0"/>
          <w:color w:val="auto"/>
          <w:kern w:val="0"/>
          <w:sz w:val="28"/>
          <w:szCs w:val="28"/>
          <w:highlight w:val="none"/>
        </w:rPr>
        <w:t>）土地勘测定界</w:t>
      </w:r>
    </w:p>
    <w:p w14:paraId="0C5DF537">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参照《测绘生产成本定额》（财建〔2009〕17号）、《测绘工程产品价格》（国测财字〔2002〕3号）、《工程勘察设计收费标准（2002年修订本）》计费标准，并结合中标下浮率计取</w:t>
      </w:r>
      <w:r>
        <w:rPr>
          <w:rFonts w:hint="eastAsia" w:asciiTheme="minorEastAsia" w:hAnsiTheme="minorEastAsia" w:eastAsiaTheme="minorEastAsia" w:cstheme="minorEastAsia"/>
          <w:snapToGrid w:val="0"/>
          <w:color w:val="auto"/>
          <w:kern w:val="0"/>
          <w:sz w:val="28"/>
          <w:szCs w:val="28"/>
          <w:highlight w:val="none"/>
        </w:rPr>
        <w:t>。</w:t>
      </w:r>
    </w:p>
    <w:tbl>
      <w:tblPr>
        <w:tblStyle w:val="30"/>
        <w:tblW w:w="8078" w:type="dxa"/>
        <w:jc w:val="center"/>
        <w:tblLayout w:type="fixed"/>
        <w:tblCellMar>
          <w:top w:w="0" w:type="dxa"/>
          <w:left w:w="108" w:type="dxa"/>
          <w:bottom w:w="0" w:type="dxa"/>
          <w:right w:w="108" w:type="dxa"/>
        </w:tblCellMar>
      </w:tblPr>
      <w:tblGrid>
        <w:gridCol w:w="773"/>
        <w:gridCol w:w="1674"/>
        <w:gridCol w:w="1701"/>
        <w:gridCol w:w="1233"/>
        <w:gridCol w:w="2697"/>
      </w:tblGrid>
      <w:tr w14:paraId="50F005EC">
        <w:tblPrEx>
          <w:tblCellMar>
            <w:top w:w="0" w:type="dxa"/>
            <w:left w:w="108" w:type="dxa"/>
            <w:bottom w:w="0" w:type="dxa"/>
            <w:right w:w="108" w:type="dxa"/>
          </w:tblCellMar>
        </w:tblPrEx>
        <w:trPr>
          <w:trHeight w:val="512" w:hRule="atLeast"/>
          <w:tblHeader/>
          <w:jc w:val="center"/>
        </w:trPr>
        <w:tc>
          <w:tcPr>
            <w:tcW w:w="773"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0D9E366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5040C47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计价内容</w:t>
            </w:r>
          </w:p>
        </w:tc>
        <w:tc>
          <w:tcPr>
            <w:tcW w:w="1233"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1CC7136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计价单位</w:t>
            </w:r>
          </w:p>
        </w:tc>
        <w:tc>
          <w:tcPr>
            <w:tcW w:w="2697"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bottom w:w="15" w:type="dxa"/>
              <w:right w:w="15" w:type="dxa"/>
            </w:tcMar>
            <w:vAlign w:val="center"/>
          </w:tcPr>
          <w:p w14:paraId="7F2F9C0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标准单价（元）</w:t>
            </w:r>
          </w:p>
        </w:tc>
      </w:tr>
      <w:tr w14:paraId="74F695F9">
        <w:tblPrEx>
          <w:tblCellMar>
            <w:top w:w="0" w:type="dxa"/>
            <w:left w:w="108" w:type="dxa"/>
            <w:bottom w:w="0" w:type="dxa"/>
            <w:right w:w="108" w:type="dxa"/>
          </w:tblCellMar>
        </w:tblPrEx>
        <w:trPr>
          <w:trHeight w:val="389" w:hRule="atLeast"/>
          <w:jc w:val="center"/>
        </w:trPr>
        <w:tc>
          <w:tcPr>
            <w:tcW w:w="773"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7833473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1674"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33AE5A5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控制测量</w:t>
            </w:r>
          </w:p>
        </w:tc>
        <w:tc>
          <w:tcPr>
            <w:tcW w:w="1701"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625745A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动态、E级</w:t>
            </w:r>
          </w:p>
        </w:tc>
        <w:tc>
          <w:tcPr>
            <w:tcW w:w="1233"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769CDC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69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5DEE85B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2553（Ⅱ）</w:t>
            </w:r>
          </w:p>
        </w:tc>
      </w:tr>
      <w:tr w14:paraId="6FE4E285">
        <w:tblPrEx>
          <w:tblCellMar>
            <w:top w:w="0" w:type="dxa"/>
            <w:left w:w="108" w:type="dxa"/>
            <w:bottom w:w="0" w:type="dxa"/>
            <w:right w:w="108" w:type="dxa"/>
          </w:tblCellMar>
        </w:tblPrEx>
        <w:trPr>
          <w:trHeight w:val="389" w:hRule="atLeast"/>
          <w:jc w:val="center"/>
        </w:trPr>
        <w:tc>
          <w:tcPr>
            <w:tcW w:w="7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9A65B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1674"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E2A7C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70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2624F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33"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15CD0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269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894E3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3512.06（Ⅲ）</w:t>
            </w:r>
          </w:p>
        </w:tc>
      </w:tr>
      <w:tr w14:paraId="4E756776">
        <w:tblPrEx>
          <w:tblCellMar>
            <w:top w:w="0" w:type="dxa"/>
            <w:left w:w="108" w:type="dxa"/>
            <w:bottom w:w="0" w:type="dxa"/>
            <w:right w:w="108" w:type="dxa"/>
          </w:tblCellMar>
        </w:tblPrEx>
        <w:trPr>
          <w:trHeight w:val="389" w:hRule="atLeast"/>
          <w:jc w:val="center"/>
        </w:trPr>
        <w:tc>
          <w:tcPr>
            <w:tcW w:w="7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51A2F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p>
        </w:tc>
        <w:tc>
          <w:tcPr>
            <w:tcW w:w="337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970B5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地籍测绘、历年地类倒推调查、历年耕地剥离数据</w:t>
            </w:r>
          </w:p>
        </w:tc>
        <w:tc>
          <w:tcPr>
            <w:tcW w:w="1233"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B9B10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平方米</w:t>
            </w:r>
          </w:p>
        </w:tc>
        <w:tc>
          <w:tcPr>
            <w:tcW w:w="269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EE30E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0.22（Ⅰ）</w:t>
            </w:r>
          </w:p>
        </w:tc>
      </w:tr>
      <w:tr w14:paraId="53C7498B">
        <w:tblPrEx>
          <w:tblCellMar>
            <w:top w:w="0" w:type="dxa"/>
            <w:left w:w="108" w:type="dxa"/>
            <w:bottom w:w="0" w:type="dxa"/>
            <w:right w:w="108" w:type="dxa"/>
          </w:tblCellMar>
        </w:tblPrEx>
        <w:trPr>
          <w:trHeight w:val="389" w:hRule="atLeast"/>
          <w:jc w:val="center"/>
        </w:trPr>
        <w:tc>
          <w:tcPr>
            <w:tcW w:w="7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A6C8A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w:t>
            </w:r>
          </w:p>
        </w:tc>
        <w:tc>
          <w:tcPr>
            <w:tcW w:w="337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562D1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33"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28633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269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FDFC0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0.28（Ⅱ）</w:t>
            </w:r>
          </w:p>
        </w:tc>
      </w:tr>
      <w:tr w14:paraId="57D17BC4">
        <w:tblPrEx>
          <w:tblCellMar>
            <w:top w:w="0" w:type="dxa"/>
            <w:left w:w="108" w:type="dxa"/>
            <w:bottom w:w="0" w:type="dxa"/>
            <w:right w:w="108" w:type="dxa"/>
          </w:tblCellMar>
        </w:tblPrEx>
        <w:trPr>
          <w:trHeight w:val="389" w:hRule="atLeast"/>
          <w:jc w:val="center"/>
        </w:trPr>
        <w:tc>
          <w:tcPr>
            <w:tcW w:w="7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84C73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w:t>
            </w:r>
          </w:p>
        </w:tc>
        <w:tc>
          <w:tcPr>
            <w:tcW w:w="337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2B377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233"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B5C66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p>
        </w:tc>
        <w:tc>
          <w:tcPr>
            <w:tcW w:w="269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6968A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0.37（Ⅲ）</w:t>
            </w:r>
          </w:p>
        </w:tc>
      </w:tr>
      <w:tr w14:paraId="273446FD">
        <w:tblPrEx>
          <w:tblCellMar>
            <w:top w:w="0" w:type="dxa"/>
            <w:left w:w="108" w:type="dxa"/>
            <w:bottom w:w="0" w:type="dxa"/>
            <w:right w:w="108" w:type="dxa"/>
          </w:tblCellMar>
        </w:tblPrEx>
        <w:trPr>
          <w:trHeight w:val="409" w:hRule="atLeast"/>
          <w:jc w:val="center"/>
        </w:trPr>
        <w:tc>
          <w:tcPr>
            <w:tcW w:w="7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2F087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w:t>
            </w:r>
          </w:p>
        </w:tc>
        <w:tc>
          <w:tcPr>
            <w:tcW w:w="3375"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CD1C4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界址点调查</w:t>
            </w:r>
          </w:p>
        </w:tc>
        <w:tc>
          <w:tcPr>
            <w:tcW w:w="12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B9BD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点</w:t>
            </w:r>
          </w:p>
        </w:tc>
        <w:tc>
          <w:tcPr>
            <w:tcW w:w="269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AF2BC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648.58</w:t>
            </w:r>
          </w:p>
        </w:tc>
      </w:tr>
    </w:tbl>
    <w:p w14:paraId="7E8F7361">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十六</w:t>
      </w:r>
      <w:r>
        <w:rPr>
          <w:rFonts w:hint="eastAsia" w:asciiTheme="minorEastAsia" w:hAnsiTheme="minorEastAsia" w:eastAsiaTheme="minorEastAsia" w:cstheme="minorEastAsia"/>
          <w:b/>
          <w:bCs/>
          <w:snapToGrid w:val="0"/>
          <w:color w:val="auto"/>
          <w:kern w:val="0"/>
          <w:sz w:val="28"/>
          <w:szCs w:val="28"/>
          <w:highlight w:val="none"/>
        </w:rPr>
        <w:t>）用地报批</w:t>
      </w:r>
    </w:p>
    <w:p w14:paraId="366FE7C3">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按16万/批次计算</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并结合中标下浮率计取。</w:t>
      </w:r>
    </w:p>
    <w:p w14:paraId="3D27EFE3">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说明：参考《国家计委关于印发建设项目前期工作咨询收费暂行规定的通知》（计价格〔</w:t>
      </w:r>
      <w:r>
        <w:rPr>
          <w:rFonts w:hint="eastAsia" w:asciiTheme="minorEastAsia" w:hAnsiTheme="minorEastAsia" w:eastAsiaTheme="minorEastAsia" w:cstheme="minorEastAsia"/>
          <w:snapToGrid w:val="0"/>
          <w:color w:val="auto"/>
          <w:kern w:val="0"/>
          <w:sz w:val="28"/>
          <w:szCs w:val="28"/>
          <w:highlight w:val="none"/>
          <w:lang w:val="en-US" w:eastAsia="zh-CN"/>
        </w:rPr>
        <w:t>1999</w:t>
      </w:r>
      <w:r>
        <w:rPr>
          <w:rFonts w:hint="eastAsia" w:asciiTheme="minorEastAsia" w:hAnsiTheme="minorEastAsia" w:eastAsiaTheme="minorEastAsia" w:cstheme="minorEastAsia"/>
          <w:snapToGrid w:val="0"/>
          <w:color w:val="auto"/>
          <w:kern w:val="0"/>
          <w:sz w:val="28"/>
          <w:szCs w:val="28"/>
          <w:highlight w:val="none"/>
        </w:rPr>
        <w:t>〕283号）咨询人员工日费用标准：高级工程师1000元/人工日计算；中级工程师800元/人工日计算，具体服务费用如下：</w:t>
      </w:r>
    </w:p>
    <w:tbl>
      <w:tblPr>
        <w:tblStyle w:val="30"/>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47"/>
        <w:gridCol w:w="3334"/>
        <w:gridCol w:w="1583"/>
        <w:gridCol w:w="1527"/>
        <w:gridCol w:w="1374"/>
      </w:tblGrid>
      <w:tr w14:paraId="3D62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542" w:type="dxa"/>
            <w:vAlign w:val="center"/>
          </w:tcPr>
          <w:p w14:paraId="55BD61F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序号</w:t>
            </w:r>
          </w:p>
        </w:tc>
        <w:tc>
          <w:tcPr>
            <w:tcW w:w="947" w:type="dxa"/>
            <w:vAlign w:val="center"/>
          </w:tcPr>
          <w:p w14:paraId="0359309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工作</w:t>
            </w:r>
          </w:p>
          <w:p w14:paraId="53C5267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项目</w:t>
            </w:r>
          </w:p>
        </w:tc>
        <w:tc>
          <w:tcPr>
            <w:tcW w:w="3334" w:type="dxa"/>
            <w:vAlign w:val="center"/>
          </w:tcPr>
          <w:p w14:paraId="2F7F50B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工作内容</w:t>
            </w:r>
          </w:p>
        </w:tc>
        <w:tc>
          <w:tcPr>
            <w:tcW w:w="1583" w:type="dxa"/>
            <w:vAlign w:val="center"/>
          </w:tcPr>
          <w:p w14:paraId="0E057F7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工作量</w:t>
            </w:r>
          </w:p>
        </w:tc>
        <w:tc>
          <w:tcPr>
            <w:tcW w:w="1527" w:type="dxa"/>
            <w:vAlign w:val="center"/>
          </w:tcPr>
          <w:p w14:paraId="23D7EDE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费用标准</w:t>
            </w:r>
          </w:p>
        </w:tc>
        <w:tc>
          <w:tcPr>
            <w:tcW w:w="1374" w:type="dxa"/>
            <w:vAlign w:val="center"/>
          </w:tcPr>
          <w:p w14:paraId="3F5D71B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金额</w:t>
            </w:r>
          </w:p>
          <w:p w14:paraId="382CDD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（万元）</w:t>
            </w:r>
          </w:p>
        </w:tc>
      </w:tr>
      <w:tr w14:paraId="40D2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42" w:type="dxa"/>
            <w:vAlign w:val="center"/>
          </w:tcPr>
          <w:p w14:paraId="69B3ACD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w:t>
            </w:r>
          </w:p>
        </w:tc>
        <w:tc>
          <w:tcPr>
            <w:tcW w:w="947" w:type="dxa"/>
            <w:vAlign w:val="center"/>
          </w:tcPr>
          <w:p w14:paraId="312E04B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数据收集、整理</w:t>
            </w:r>
          </w:p>
        </w:tc>
        <w:tc>
          <w:tcPr>
            <w:tcW w:w="3334" w:type="dxa"/>
            <w:vAlign w:val="center"/>
          </w:tcPr>
          <w:p w14:paraId="6E93B32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安排有关人员到项目涉及的地区进行资料收集、整理</w:t>
            </w:r>
          </w:p>
        </w:tc>
        <w:tc>
          <w:tcPr>
            <w:tcW w:w="1583" w:type="dxa"/>
            <w:vAlign w:val="center"/>
          </w:tcPr>
          <w:p w14:paraId="13489F1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投入3人，包含高级人员1人、中级人员2人，历时8天</w:t>
            </w:r>
          </w:p>
        </w:tc>
        <w:tc>
          <w:tcPr>
            <w:tcW w:w="1527" w:type="dxa"/>
            <w:vAlign w:val="center"/>
          </w:tcPr>
          <w:p w14:paraId="65AFD54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按高级人员1000元/天、中级人员800元/天计算</w:t>
            </w:r>
          </w:p>
        </w:tc>
        <w:tc>
          <w:tcPr>
            <w:tcW w:w="1374" w:type="dxa"/>
            <w:vAlign w:val="center"/>
          </w:tcPr>
          <w:p w14:paraId="5345026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2.08</w:t>
            </w:r>
          </w:p>
        </w:tc>
      </w:tr>
      <w:tr w14:paraId="208A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42" w:type="dxa"/>
            <w:vAlign w:val="center"/>
          </w:tcPr>
          <w:p w14:paraId="7DF4C0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p>
        </w:tc>
        <w:tc>
          <w:tcPr>
            <w:tcW w:w="947" w:type="dxa"/>
            <w:vAlign w:val="center"/>
          </w:tcPr>
          <w:p w14:paraId="2021AA9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办理征地前期工作</w:t>
            </w:r>
          </w:p>
        </w:tc>
        <w:tc>
          <w:tcPr>
            <w:tcW w:w="3334" w:type="dxa"/>
            <w:vAlign w:val="center"/>
          </w:tcPr>
          <w:p w14:paraId="0D06C03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协助编制、代拟征地预公告、土地现状调查、土地补偿登记、征地补偿安置公告、征地协议等</w:t>
            </w:r>
          </w:p>
        </w:tc>
        <w:tc>
          <w:tcPr>
            <w:tcW w:w="1583" w:type="dxa"/>
            <w:vAlign w:val="center"/>
          </w:tcPr>
          <w:p w14:paraId="59683C9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投入3人，包含高级人员1人、中级人员2人，历时10天</w:t>
            </w:r>
          </w:p>
        </w:tc>
        <w:tc>
          <w:tcPr>
            <w:tcW w:w="1527" w:type="dxa"/>
            <w:vAlign w:val="center"/>
          </w:tcPr>
          <w:p w14:paraId="3BB0CBB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按高级人员1000元/天、中级人员800元/天计算</w:t>
            </w:r>
          </w:p>
        </w:tc>
        <w:tc>
          <w:tcPr>
            <w:tcW w:w="1374" w:type="dxa"/>
            <w:vAlign w:val="center"/>
          </w:tcPr>
          <w:p w14:paraId="04EBC25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2.60</w:t>
            </w:r>
          </w:p>
        </w:tc>
      </w:tr>
      <w:tr w14:paraId="296A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542" w:type="dxa"/>
            <w:vAlign w:val="center"/>
          </w:tcPr>
          <w:p w14:paraId="77CD398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p>
        </w:tc>
        <w:tc>
          <w:tcPr>
            <w:tcW w:w="947" w:type="dxa"/>
            <w:vAlign w:val="center"/>
          </w:tcPr>
          <w:p w14:paraId="03F8A7D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用地报批材料组卷工作</w:t>
            </w:r>
          </w:p>
        </w:tc>
        <w:tc>
          <w:tcPr>
            <w:tcW w:w="3334" w:type="dxa"/>
            <w:vAlign w:val="center"/>
          </w:tcPr>
          <w:p w14:paraId="0CF39AD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协助地方规自部门组卷用地报批材料，包括拟定权属审查材料、规划审查材料、地类审查材料以及县级审查意见、《农用地转用方案》、留用地安置方案等相关材料，代拟相关用地报批申请文件。</w:t>
            </w:r>
          </w:p>
        </w:tc>
        <w:tc>
          <w:tcPr>
            <w:tcW w:w="1583" w:type="dxa"/>
            <w:vAlign w:val="center"/>
          </w:tcPr>
          <w:p w14:paraId="5FB38B7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投入3人，包含高级人员1人20天、中级人员2人，历时27天</w:t>
            </w:r>
          </w:p>
          <w:p w14:paraId="7997DBD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1527" w:type="dxa"/>
            <w:vAlign w:val="center"/>
          </w:tcPr>
          <w:p w14:paraId="4EA7221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按高级人员1000元/天、中级人员800元/天计算</w:t>
            </w:r>
          </w:p>
        </w:tc>
        <w:tc>
          <w:tcPr>
            <w:tcW w:w="1374" w:type="dxa"/>
            <w:vAlign w:val="center"/>
          </w:tcPr>
          <w:p w14:paraId="0C718DD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6.32</w:t>
            </w:r>
          </w:p>
        </w:tc>
      </w:tr>
      <w:tr w14:paraId="3F2F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42" w:type="dxa"/>
            <w:vAlign w:val="center"/>
          </w:tcPr>
          <w:p w14:paraId="11616FA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w:t>
            </w:r>
          </w:p>
        </w:tc>
        <w:tc>
          <w:tcPr>
            <w:tcW w:w="947" w:type="dxa"/>
            <w:vAlign w:val="center"/>
          </w:tcPr>
          <w:p w14:paraId="10B2CFA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上报跟踪服务</w:t>
            </w:r>
          </w:p>
        </w:tc>
        <w:tc>
          <w:tcPr>
            <w:tcW w:w="3334" w:type="dxa"/>
            <w:vAlign w:val="center"/>
          </w:tcPr>
          <w:p w14:paraId="5FDC509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组织各项材料，协调报送区政府和自然资源部门，并对所组织的材料进行审查和质量把关、跟踪材料审核进度，协调材料补正、并跟进省厅的备案工作</w:t>
            </w:r>
          </w:p>
        </w:tc>
        <w:tc>
          <w:tcPr>
            <w:tcW w:w="1583" w:type="dxa"/>
            <w:vAlign w:val="center"/>
          </w:tcPr>
          <w:p w14:paraId="71069A9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涉及1个区、市、省</w:t>
            </w:r>
          </w:p>
        </w:tc>
        <w:tc>
          <w:tcPr>
            <w:tcW w:w="1527" w:type="dxa"/>
            <w:vAlign w:val="center"/>
          </w:tcPr>
          <w:p w14:paraId="16F79C5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5万元</w:t>
            </w:r>
          </w:p>
        </w:tc>
        <w:tc>
          <w:tcPr>
            <w:tcW w:w="1374" w:type="dxa"/>
            <w:vAlign w:val="center"/>
          </w:tcPr>
          <w:p w14:paraId="6437EB4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5.00</w:t>
            </w:r>
          </w:p>
        </w:tc>
      </w:tr>
      <w:tr w14:paraId="1D27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33" w:type="dxa"/>
            <w:gridSpan w:val="5"/>
            <w:vAlign w:val="center"/>
          </w:tcPr>
          <w:p w14:paraId="7A8ACD7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合计</w:t>
            </w:r>
          </w:p>
        </w:tc>
        <w:tc>
          <w:tcPr>
            <w:tcW w:w="1374" w:type="dxa"/>
            <w:vAlign w:val="center"/>
          </w:tcPr>
          <w:p w14:paraId="2355384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16.00</w:t>
            </w:r>
          </w:p>
        </w:tc>
      </w:tr>
    </w:tbl>
    <w:p w14:paraId="168B518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1D636BA0">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十七</w:t>
      </w:r>
      <w:r>
        <w:rPr>
          <w:rFonts w:hint="eastAsia" w:asciiTheme="minorEastAsia" w:hAnsiTheme="minorEastAsia" w:eastAsiaTheme="minorEastAsia" w:cstheme="minorEastAsia"/>
          <w:b/>
          <w:bCs/>
          <w:snapToGrid w:val="0"/>
          <w:color w:val="auto"/>
          <w:kern w:val="0"/>
          <w:sz w:val="28"/>
          <w:szCs w:val="28"/>
          <w:highlight w:val="none"/>
        </w:rPr>
        <w:t>）林地报批</w:t>
      </w:r>
    </w:p>
    <w:p w14:paraId="236B573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参考中国林业工程建设协会《关于印发&lt;林业行业调查规划项目收费指导意见&gt;（试行）的通知》（林建协〔</w:t>
      </w:r>
      <w:r>
        <w:rPr>
          <w:rFonts w:hint="eastAsia" w:asciiTheme="minorEastAsia" w:hAnsiTheme="minorEastAsia" w:eastAsiaTheme="minorEastAsia" w:cstheme="minorEastAsia"/>
          <w:snapToGrid w:val="0"/>
          <w:color w:val="auto"/>
          <w:kern w:val="0"/>
          <w:sz w:val="28"/>
          <w:szCs w:val="28"/>
          <w:highlight w:val="none"/>
          <w:lang w:val="en-US" w:eastAsia="zh-CN"/>
        </w:rPr>
        <w:t>2018</w:t>
      </w:r>
      <w:r>
        <w:rPr>
          <w:rFonts w:hint="eastAsia" w:asciiTheme="minorEastAsia" w:hAnsiTheme="minorEastAsia" w:eastAsiaTheme="minorEastAsia" w:cstheme="minorEastAsia"/>
          <w:snapToGrid w:val="0"/>
          <w:color w:val="auto"/>
          <w:kern w:val="0"/>
          <w:sz w:val="28"/>
          <w:szCs w:val="28"/>
          <w:highlight w:val="none"/>
        </w:rPr>
        <w:t>〕15号）计费标准</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并结合中标下浮率计取。</w:t>
      </w:r>
    </w:p>
    <w:tbl>
      <w:tblPr>
        <w:tblStyle w:val="30"/>
        <w:tblW w:w="0" w:type="auto"/>
        <w:tblInd w:w="93" w:type="dxa"/>
        <w:tblLayout w:type="autofit"/>
        <w:tblCellMar>
          <w:top w:w="0" w:type="dxa"/>
          <w:left w:w="108" w:type="dxa"/>
          <w:bottom w:w="0" w:type="dxa"/>
          <w:right w:w="108" w:type="dxa"/>
        </w:tblCellMar>
      </w:tblPr>
      <w:tblGrid>
        <w:gridCol w:w="1341"/>
        <w:gridCol w:w="2942"/>
        <w:gridCol w:w="2188"/>
        <w:gridCol w:w="1564"/>
        <w:gridCol w:w="987"/>
      </w:tblGrid>
      <w:tr w14:paraId="4059FB0D">
        <w:tblPrEx>
          <w:tblCellMar>
            <w:top w:w="0" w:type="dxa"/>
            <w:left w:w="108" w:type="dxa"/>
            <w:bottom w:w="0" w:type="dxa"/>
            <w:right w:w="108" w:type="dxa"/>
          </w:tblCellMar>
        </w:tblPrEx>
        <w:trPr>
          <w:trHeight w:val="25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510F2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项目名称</w:t>
            </w:r>
          </w:p>
        </w:tc>
        <w:tc>
          <w:tcPr>
            <w:tcW w:w="2942" w:type="dxa"/>
            <w:tcBorders>
              <w:top w:val="single" w:color="auto" w:sz="4" w:space="0"/>
              <w:left w:val="nil"/>
              <w:bottom w:val="single" w:color="auto" w:sz="4" w:space="0"/>
              <w:right w:val="single" w:color="auto" w:sz="4" w:space="0"/>
            </w:tcBorders>
            <w:shd w:val="clear" w:color="auto" w:fill="auto"/>
            <w:noWrap/>
            <w:vAlign w:val="center"/>
          </w:tcPr>
          <w:p w14:paraId="7D02A15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计费项目</w:t>
            </w:r>
          </w:p>
        </w:tc>
        <w:tc>
          <w:tcPr>
            <w:tcW w:w="2188" w:type="dxa"/>
            <w:tcBorders>
              <w:top w:val="single" w:color="auto" w:sz="4" w:space="0"/>
              <w:left w:val="nil"/>
              <w:bottom w:val="single" w:color="auto" w:sz="4" w:space="0"/>
              <w:right w:val="single" w:color="auto" w:sz="4" w:space="0"/>
            </w:tcBorders>
            <w:shd w:val="clear" w:color="auto" w:fill="auto"/>
            <w:vAlign w:val="center"/>
          </w:tcPr>
          <w:p w14:paraId="70BB5F2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计价单位</w:t>
            </w:r>
          </w:p>
        </w:tc>
        <w:tc>
          <w:tcPr>
            <w:tcW w:w="1564" w:type="dxa"/>
            <w:tcBorders>
              <w:top w:val="single" w:color="auto" w:sz="4" w:space="0"/>
              <w:left w:val="nil"/>
              <w:bottom w:val="single" w:color="auto" w:sz="4" w:space="0"/>
              <w:right w:val="single" w:color="auto" w:sz="4" w:space="0"/>
            </w:tcBorders>
            <w:shd w:val="clear" w:color="auto" w:fill="auto"/>
            <w:noWrap/>
            <w:vAlign w:val="center"/>
          </w:tcPr>
          <w:p w14:paraId="0DB9372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单价（元）</w:t>
            </w:r>
          </w:p>
        </w:tc>
        <w:tc>
          <w:tcPr>
            <w:tcW w:w="987" w:type="dxa"/>
            <w:tcBorders>
              <w:top w:val="single" w:color="auto" w:sz="4" w:space="0"/>
              <w:left w:val="nil"/>
              <w:bottom w:val="single" w:color="auto" w:sz="4" w:space="0"/>
              <w:right w:val="single" w:color="auto" w:sz="4" w:space="0"/>
            </w:tcBorders>
            <w:shd w:val="clear" w:color="auto" w:fill="auto"/>
            <w:noWrap/>
            <w:vAlign w:val="center"/>
          </w:tcPr>
          <w:p w14:paraId="3BE1EBA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备注</w:t>
            </w:r>
          </w:p>
        </w:tc>
      </w:tr>
      <w:tr w14:paraId="03B9BBCB">
        <w:tblPrEx>
          <w:tblCellMar>
            <w:top w:w="0" w:type="dxa"/>
            <w:left w:w="108" w:type="dxa"/>
            <w:bottom w:w="0" w:type="dxa"/>
            <w:right w:w="108" w:type="dxa"/>
          </w:tblCellMar>
        </w:tblPrEx>
        <w:trPr>
          <w:trHeight w:val="9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13575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林地报批</w:t>
            </w:r>
          </w:p>
        </w:tc>
        <w:tc>
          <w:tcPr>
            <w:tcW w:w="2942" w:type="dxa"/>
            <w:vMerge w:val="restart"/>
            <w:tcBorders>
              <w:top w:val="nil"/>
              <w:left w:val="single" w:color="auto" w:sz="4" w:space="0"/>
              <w:bottom w:val="single" w:color="auto" w:sz="4" w:space="0"/>
              <w:right w:val="single" w:color="auto" w:sz="4" w:space="0"/>
            </w:tcBorders>
            <w:shd w:val="clear" w:color="auto" w:fill="auto"/>
            <w:vAlign w:val="center"/>
          </w:tcPr>
          <w:p w14:paraId="6175A00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使用林地可行性报告</w:t>
            </w:r>
          </w:p>
        </w:tc>
        <w:tc>
          <w:tcPr>
            <w:tcW w:w="2188" w:type="dxa"/>
            <w:tcBorders>
              <w:top w:val="nil"/>
              <w:left w:val="nil"/>
              <w:bottom w:val="single" w:color="auto" w:sz="4" w:space="0"/>
              <w:right w:val="single" w:color="auto" w:sz="4" w:space="0"/>
            </w:tcBorders>
            <w:shd w:val="clear" w:color="auto" w:fill="auto"/>
            <w:vAlign w:val="center"/>
          </w:tcPr>
          <w:p w14:paraId="38BC368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批次</w:t>
            </w:r>
          </w:p>
        </w:tc>
        <w:tc>
          <w:tcPr>
            <w:tcW w:w="1564" w:type="dxa"/>
            <w:tcBorders>
              <w:top w:val="nil"/>
              <w:left w:val="nil"/>
              <w:bottom w:val="single" w:color="auto" w:sz="4" w:space="0"/>
              <w:right w:val="single" w:color="auto" w:sz="4" w:space="0"/>
            </w:tcBorders>
            <w:shd w:val="clear" w:color="auto" w:fill="auto"/>
            <w:vAlign w:val="center"/>
          </w:tcPr>
          <w:p w14:paraId="7C340D4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50000</w:t>
            </w:r>
          </w:p>
        </w:tc>
        <w:tc>
          <w:tcPr>
            <w:tcW w:w="987" w:type="dxa"/>
            <w:tcBorders>
              <w:top w:val="nil"/>
              <w:left w:val="nil"/>
              <w:bottom w:val="single" w:color="auto" w:sz="4" w:space="0"/>
              <w:right w:val="single" w:color="auto" w:sz="4" w:space="0"/>
            </w:tcBorders>
            <w:shd w:val="clear" w:color="auto" w:fill="auto"/>
            <w:vAlign w:val="center"/>
          </w:tcPr>
          <w:p w14:paraId="3C5BDE7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w:t>
            </w:r>
          </w:p>
        </w:tc>
      </w:tr>
      <w:tr w14:paraId="3ADA7874">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3C4549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942" w:type="dxa"/>
            <w:vMerge w:val="continue"/>
            <w:tcBorders>
              <w:top w:val="nil"/>
              <w:left w:val="single" w:color="auto" w:sz="4" w:space="0"/>
              <w:bottom w:val="single" w:color="auto" w:sz="4" w:space="0"/>
              <w:right w:val="single" w:color="auto" w:sz="4" w:space="0"/>
            </w:tcBorders>
            <w:vAlign w:val="center"/>
          </w:tcPr>
          <w:p w14:paraId="6091CE3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188" w:type="dxa"/>
            <w:tcBorders>
              <w:top w:val="nil"/>
              <w:left w:val="nil"/>
              <w:bottom w:val="single" w:color="auto" w:sz="4" w:space="0"/>
              <w:right w:val="single" w:color="auto" w:sz="4" w:space="0"/>
            </w:tcBorders>
            <w:shd w:val="clear" w:color="auto" w:fill="auto"/>
            <w:vAlign w:val="center"/>
          </w:tcPr>
          <w:p w14:paraId="20E96F9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公顷</w:t>
            </w:r>
          </w:p>
        </w:tc>
        <w:tc>
          <w:tcPr>
            <w:tcW w:w="1564" w:type="dxa"/>
            <w:tcBorders>
              <w:top w:val="nil"/>
              <w:left w:val="nil"/>
              <w:bottom w:val="single" w:color="auto" w:sz="4" w:space="0"/>
              <w:right w:val="single" w:color="auto" w:sz="4" w:space="0"/>
            </w:tcBorders>
            <w:shd w:val="clear" w:color="auto" w:fill="auto"/>
            <w:vAlign w:val="center"/>
          </w:tcPr>
          <w:p w14:paraId="7B80F96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24750</w:t>
            </w:r>
          </w:p>
        </w:tc>
        <w:tc>
          <w:tcPr>
            <w:tcW w:w="987" w:type="dxa"/>
            <w:tcBorders>
              <w:top w:val="nil"/>
              <w:left w:val="nil"/>
              <w:bottom w:val="single" w:color="auto" w:sz="4" w:space="0"/>
              <w:right w:val="single" w:color="auto" w:sz="4" w:space="0"/>
            </w:tcBorders>
            <w:shd w:val="clear" w:color="auto" w:fill="auto"/>
            <w:vAlign w:val="center"/>
          </w:tcPr>
          <w:p w14:paraId="54F6B28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w:t>
            </w:r>
          </w:p>
        </w:tc>
      </w:tr>
      <w:tr w14:paraId="043012D6">
        <w:tblPrEx>
          <w:tblCellMar>
            <w:top w:w="0" w:type="dxa"/>
            <w:left w:w="108" w:type="dxa"/>
            <w:bottom w:w="0" w:type="dxa"/>
            <w:right w:w="108" w:type="dxa"/>
          </w:tblCellMar>
        </w:tblPrEx>
        <w:trPr>
          <w:trHeight w:val="22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6039F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942" w:type="dxa"/>
            <w:vMerge w:val="restart"/>
            <w:tcBorders>
              <w:top w:val="nil"/>
              <w:left w:val="single" w:color="auto" w:sz="4" w:space="0"/>
              <w:bottom w:val="single" w:color="auto" w:sz="4" w:space="0"/>
              <w:right w:val="single" w:color="auto" w:sz="4" w:space="0"/>
            </w:tcBorders>
            <w:shd w:val="clear" w:color="auto" w:fill="auto"/>
            <w:vAlign w:val="center"/>
          </w:tcPr>
          <w:p w14:paraId="683761E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编制林木采伐伐区调查设计书</w:t>
            </w:r>
          </w:p>
        </w:tc>
        <w:tc>
          <w:tcPr>
            <w:tcW w:w="2188" w:type="dxa"/>
            <w:tcBorders>
              <w:top w:val="nil"/>
              <w:left w:val="nil"/>
              <w:bottom w:val="single" w:color="auto" w:sz="4" w:space="0"/>
              <w:right w:val="single" w:color="auto" w:sz="4" w:space="0"/>
            </w:tcBorders>
            <w:shd w:val="clear" w:color="auto" w:fill="auto"/>
            <w:vAlign w:val="center"/>
          </w:tcPr>
          <w:p w14:paraId="2E3D56A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批次</w:t>
            </w:r>
          </w:p>
        </w:tc>
        <w:tc>
          <w:tcPr>
            <w:tcW w:w="1564" w:type="dxa"/>
            <w:vMerge w:val="restart"/>
            <w:tcBorders>
              <w:top w:val="nil"/>
              <w:left w:val="single" w:color="auto" w:sz="4" w:space="0"/>
              <w:bottom w:val="single" w:color="auto" w:sz="4" w:space="0"/>
              <w:right w:val="single" w:color="auto" w:sz="4" w:space="0"/>
            </w:tcBorders>
            <w:shd w:val="clear" w:color="auto" w:fill="auto"/>
            <w:vAlign w:val="center"/>
          </w:tcPr>
          <w:p w14:paraId="2C56E48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100000</w:t>
            </w:r>
          </w:p>
        </w:tc>
        <w:tc>
          <w:tcPr>
            <w:tcW w:w="987" w:type="dxa"/>
            <w:vMerge w:val="restart"/>
            <w:tcBorders>
              <w:top w:val="nil"/>
              <w:left w:val="single" w:color="auto" w:sz="4" w:space="0"/>
              <w:bottom w:val="single" w:color="auto" w:sz="4" w:space="0"/>
              <w:right w:val="single" w:color="auto" w:sz="4" w:space="0"/>
            </w:tcBorders>
            <w:shd w:val="clear" w:color="auto" w:fill="auto"/>
            <w:vAlign w:val="center"/>
          </w:tcPr>
          <w:p w14:paraId="276901A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w:t>
            </w:r>
          </w:p>
        </w:tc>
      </w:tr>
      <w:tr w14:paraId="0B1816C7">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A384A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942" w:type="dxa"/>
            <w:vMerge w:val="continue"/>
            <w:tcBorders>
              <w:top w:val="nil"/>
              <w:left w:val="single" w:color="auto" w:sz="4" w:space="0"/>
              <w:bottom w:val="single" w:color="auto" w:sz="4" w:space="0"/>
              <w:right w:val="single" w:color="auto" w:sz="4" w:space="0"/>
            </w:tcBorders>
            <w:vAlign w:val="center"/>
          </w:tcPr>
          <w:p w14:paraId="7825593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188" w:type="dxa"/>
            <w:tcBorders>
              <w:top w:val="nil"/>
              <w:left w:val="nil"/>
              <w:bottom w:val="single" w:color="auto" w:sz="4" w:space="0"/>
              <w:right w:val="single" w:color="auto" w:sz="4" w:space="0"/>
            </w:tcBorders>
            <w:shd w:val="clear" w:color="auto" w:fill="auto"/>
            <w:vAlign w:val="center"/>
          </w:tcPr>
          <w:p w14:paraId="06D31DB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（＜75公顷）</w:t>
            </w:r>
          </w:p>
        </w:tc>
        <w:tc>
          <w:tcPr>
            <w:tcW w:w="1564" w:type="dxa"/>
            <w:vMerge w:val="continue"/>
            <w:tcBorders>
              <w:top w:val="nil"/>
              <w:left w:val="single" w:color="auto" w:sz="4" w:space="0"/>
              <w:bottom w:val="single" w:color="auto" w:sz="4" w:space="0"/>
              <w:right w:val="single" w:color="auto" w:sz="4" w:space="0"/>
            </w:tcBorders>
            <w:vAlign w:val="center"/>
          </w:tcPr>
          <w:p w14:paraId="1C1A36B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987" w:type="dxa"/>
            <w:vMerge w:val="continue"/>
            <w:tcBorders>
              <w:top w:val="nil"/>
              <w:left w:val="single" w:color="auto" w:sz="4" w:space="0"/>
              <w:bottom w:val="single" w:color="auto" w:sz="4" w:space="0"/>
              <w:right w:val="single" w:color="auto" w:sz="4" w:space="0"/>
            </w:tcBorders>
            <w:vAlign w:val="center"/>
          </w:tcPr>
          <w:p w14:paraId="19025F6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r>
      <w:tr w14:paraId="15034871">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F25ED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942" w:type="dxa"/>
            <w:vMerge w:val="continue"/>
            <w:tcBorders>
              <w:top w:val="nil"/>
              <w:left w:val="single" w:color="auto" w:sz="4" w:space="0"/>
              <w:bottom w:val="single" w:color="auto" w:sz="4" w:space="0"/>
              <w:right w:val="single" w:color="auto" w:sz="4" w:space="0"/>
            </w:tcBorders>
            <w:vAlign w:val="center"/>
          </w:tcPr>
          <w:p w14:paraId="140FA3C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188" w:type="dxa"/>
            <w:tcBorders>
              <w:top w:val="nil"/>
              <w:left w:val="nil"/>
              <w:bottom w:val="single" w:color="auto" w:sz="4" w:space="0"/>
              <w:right w:val="single" w:color="auto" w:sz="4" w:space="0"/>
            </w:tcBorders>
            <w:shd w:val="clear" w:color="auto" w:fill="auto"/>
            <w:vAlign w:val="center"/>
          </w:tcPr>
          <w:p w14:paraId="2DC10AB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公顷</w:t>
            </w:r>
          </w:p>
        </w:tc>
        <w:tc>
          <w:tcPr>
            <w:tcW w:w="1564" w:type="dxa"/>
            <w:vMerge w:val="restart"/>
            <w:tcBorders>
              <w:top w:val="nil"/>
              <w:left w:val="single" w:color="auto" w:sz="4" w:space="0"/>
              <w:bottom w:val="single" w:color="auto" w:sz="4" w:space="0"/>
              <w:right w:val="single" w:color="auto" w:sz="4" w:space="0"/>
            </w:tcBorders>
            <w:shd w:val="clear" w:color="auto" w:fill="auto"/>
            <w:vAlign w:val="center"/>
          </w:tcPr>
          <w:p w14:paraId="1D1CCD2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1320</w:t>
            </w:r>
          </w:p>
        </w:tc>
        <w:tc>
          <w:tcPr>
            <w:tcW w:w="987" w:type="dxa"/>
            <w:vMerge w:val="restart"/>
            <w:tcBorders>
              <w:top w:val="nil"/>
              <w:left w:val="single" w:color="auto" w:sz="4" w:space="0"/>
              <w:bottom w:val="single" w:color="auto" w:sz="4" w:space="0"/>
              <w:right w:val="single" w:color="auto" w:sz="4" w:space="0"/>
            </w:tcBorders>
            <w:shd w:val="clear" w:color="auto" w:fill="auto"/>
            <w:vAlign w:val="center"/>
          </w:tcPr>
          <w:p w14:paraId="62A4B73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r>
      <w:tr w14:paraId="6686E816">
        <w:tblPrEx>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625AE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942" w:type="dxa"/>
            <w:vMerge w:val="continue"/>
            <w:tcBorders>
              <w:top w:val="nil"/>
              <w:left w:val="single" w:color="auto" w:sz="4" w:space="0"/>
              <w:bottom w:val="single" w:color="auto" w:sz="4" w:space="0"/>
              <w:right w:val="single" w:color="auto" w:sz="4" w:space="0"/>
            </w:tcBorders>
            <w:vAlign w:val="center"/>
          </w:tcPr>
          <w:p w14:paraId="4AF2D53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2188" w:type="dxa"/>
            <w:tcBorders>
              <w:top w:val="nil"/>
              <w:left w:val="nil"/>
              <w:bottom w:val="single" w:color="auto" w:sz="4" w:space="0"/>
              <w:right w:val="single" w:color="auto" w:sz="4" w:space="0"/>
            </w:tcBorders>
            <w:shd w:val="clear" w:color="auto" w:fill="auto"/>
            <w:vAlign w:val="center"/>
          </w:tcPr>
          <w:p w14:paraId="64642D8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（≥75公顷）</w:t>
            </w:r>
          </w:p>
        </w:tc>
        <w:tc>
          <w:tcPr>
            <w:tcW w:w="1564" w:type="dxa"/>
            <w:vMerge w:val="continue"/>
            <w:tcBorders>
              <w:top w:val="nil"/>
              <w:left w:val="single" w:color="auto" w:sz="4" w:space="0"/>
              <w:bottom w:val="single" w:color="auto" w:sz="4" w:space="0"/>
              <w:right w:val="single" w:color="auto" w:sz="4" w:space="0"/>
            </w:tcBorders>
            <w:vAlign w:val="center"/>
          </w:tcPr>
          <w:p w14:paraId="37156E5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c>
          <w:tcPr>
            <w:tcW w:w="987" w:type="dxa"/>
            <w:vMerge w:val="continue"/>
            <w:tcBorders>
              <w:top w:val="nil"/>
              <w:left w:val="single" w:color="auto" w:sz="4" w:space="0"/>
              <w:bottom w:val="single" w:color="auto" w:sz="4" w:space="0"/>
              <w:right w:val="single" w:color="auto" w:sz="4" w:space="0"/>
            </w:tcBorders>
            <w:vAlign w:val="center"/>
          </w:tcPr>
          <w:p w14:paraId="4B01904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tc>
      </w:tr>
    </w:tbl>
    <w:p w14:paraId="5A977BC3">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7D3463C6">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w:t>
      </w:r>
      <w:r>
        <w:rPr>
          <w:rFonts w:hint="eastAsia" w:asciiTheme="minorEastAsia" w:hAnsiTheme="minorEastAsia" w:eastAsiaTheme="minorEastAsia" w:cstheme="minorEastAsia"/>
          <w:b/>
          <w:bCs/>
          <w:snapToGrid w:val="0"/>
          <w:color w:val="auto"/>
          <w:kern w:val="0"/>
          <w:sz w:val="28"/>
          <w:szCs w:val="28"/>
          <w:highlight w:val="none"/>
          <w:lang w:eastAsia="zh-CN"/>
        </w:rPr>
        <w:t>十八</w:t>
      </w:r>
      <w:r>
        <w:rPr>
          <w:rFonts w:hint="eastAsia" w:asciiTheme="minorEastAsia" w:hAnsiTheme="minorEastAsia" w:eastAsiaTheme="minorEastAsia" w:cstheme="minorEastAsia"/>
          <w:b/>
          <w:bCs/>
          <w:snapToGrid w:val="0"/>
          <w:color w:val="auto"/>
          <w:kern w:val="0"/>
          <w:sz w:val="28"/>
          <w:szCs w:val="28"/>
          <w:highlight w:val="none"/>
        </w:rPr>
        <w:t>）耕作层剥离方案编制</w:t>
      </w:r>
    </w:p>
    <w:p w14:paraId="64E80C3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参考《国家计委关于印发建设项目前期工作咨询收费暂行规定的通知》(计价格〔</w:t>
      </w:r>
      <w:r>
        <w:rPr>
          <w:rFonts w:hint="eastAsia" w:asciiTheme="minorEastAsia" w:hAnsiTheme="minorEastAsia" w:eastAsiaTheme="minorEastAsia" w:cstheme="minorEastAsia"/>
          <w:snapToGrid w:val="0"/>
          <w:color w:val="auto"/>
          <w:kern w:val="0"/>
          <w:sz w:val="28"/>
          <w:szCs w:val="28"/>
          <w:highlight w:val="none"/>
          <w:lang w:val="en-US" w:eastAsia="zh-CN"/>
        </w:rPr>
        <w:t>1999</w:t>
      </w:r>
      <w:r>
        <w:rPr>
          <w:rFonts w:hint="eastAsia" w:asciiTheme="minorEastAsia" w:hAnsiTheme="minorEastAsia" w:eastAsiaTheme="minorEastAsia" w:cstheme="minorEastAsia"/>
          <w:snapToGrid w:val="0"/>
          <w:color w:val="auto"/>
          <w:kern w:val="0"/>
          <w:sz w:val="28"/>
          <w:szCs w:val="28"/>
          <w:highlight w:val="none"/>
        </w:rPr>
        <w:t>〕1283号)计费标准，耕作层剥离方案编制按每批次12万计费</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并结合中标下浮率计取。</w:t>
      </w:r>
    </w:p>
    <w:p w14:paraId="651807B5">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0B405074">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lang w:eastAsia="zh-CN"/>
        </w:rPr>
        <w:t>（十九）</w:t>
      </w:r>
      <w:r>
        <w:rPr>
          <w:rFonts w:hint="eastAsia" w:asciiTheme="minorEastAsia" w:hAnsiTheme="minorEastAsia" w:eastAsiaTheme="minorEastAsia" w:cstheme="minorEastAsia"/>
          <w:b/>
          <w:bCs/>
          <w:snapToGrid w:val="0"/>
          <w:color w:val="auto"/>
          <w:kern w:val="0"/>
          <w:sz w:val="28"/>
          <w:szCs w:val="28"/>
          <w:highlight w:val="none"/>
          <w:u w:val="none"/>
          <w:lang w:eastAsia="zh-CN"/>
        </w:rPr>
        <w:t>征地拆迁和管线迁改前期摸查报告编制</w:t>
      </w:r>
    </w:p>
    <w:p w14:paraId="1E6E457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rPr>
        <w:t>参考</w:t>
      </w:r>
      <w:r>
        <w:rPr>
          <w:rFonts w:hint="eastAsia" w:asciiTheme="minorEastAsia" w:hAnsiTheme="minorEastAsia" w:eastAsiaTheme="minorEastAsia" w:cstheme="minorEastAsia"/>
          <w:b w:val="0"/>
          <w:bCs w:val="0"/>
          <w:snapToGrid w:val="0"/>
          <w:color w:val="auto"/>
          <w:kern w:val="0"/>
          <w:sz w:val="28"/>
          <w:szCs w:val="28"/>
          <w:highlight w:val="none"/>
          <w:lang w:eastAsia="zh-CN"/>
        </w:rPr>
        <w:t>《广州市住房和城乡建设委员会关于印发城建项目征收前期摸排工作实施方案的通知》(编号穗建前期</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lang w:val="en-US" w:eastAsia="zh-CN"/>
        </w:rPr>
        <w:t>2017</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b w:val="0"/>
          <w:bCs w:val="0"/>
          <w:snapToGrid w:val="0"/>
          <w:color w:val="auto"/>
          <w:kern w:val="0"/>
          <w:sz w:val="28"/>
          <w:szCs w:val="28"/>
          <w:highlight w:val="none"/>
          <w:lang w:eastAsia="zh-CN"/>
        </w:rPr>
        <w:t>1608号）计费标准，</w:t>
      </w:r>
      <w:r>
        <w:rPr>
          <w:rFonts w:hint="eastAsia" w:asciiTheme="minorEastAsia" w:hAnsiTheme="minorEastAsia" w:eastAsiaTheme="minorEastAsia" w:cstheme="minorEastAsia"/>
          <w:snapToGrid w:val="0"/>
          <w:color w:val="auto"/>
          <w:kern w:val="0"/>
          <w:sz w:val="28"/>
          <w:szCs w:val="28"/>
          <w:highlight w:val="none"/>
        </w:rPr>
        <w:t>并结合中标下浮率计取</w:t>
      </w:r>
      <w:r>
        <w:rPr>
          <w:rFonts w:hint="eastAsia" w:asciiTheme="minorEastAsia" w:hAnsiTheme="minorEastAsia" w:eastAsiaTheme="minorEastAsia" w:cstheme="minorEastAsia"/>
          <w:snapToGrid w:val="0"/>
          <w:color w:val="auto"/>
          <w:kern w:val="0"/>
          <w:sz w:val="28"/>
          <w:szCs w:val="28"/>
          <w:highlight w:val="none"/>
          <w:lang w:eastAsia="zh-CN"/>
        </w:rPr>
        <w:t>。</w:t>
      </w:r>
    </w:p>
    <w:p w14:paraId="7E2D050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5F65D44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22FFD33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0004AC3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1AAA701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498CF4B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p>
    <w:p w14:paraId="0450474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附件</w:t>
      </w:r>
      <w:r>
        <w:rPr>
          <w:rFonts w:hint="eastAsia" w:asciiTheme="minorEastAsia" w:hAnsiTheme="minorEastAsia" w:eastAsiaTheme="minorEastAsia" w:cstheme="minorEastAsia"/>
          <w:b/>
          <w:bCs/>
          <w:snapToGrid w:val="0"/>
          <w:color w:val="auto"/>
          <w:kern w:val="0"/>
          <w:sz w:val="28"/>
          <w:szCs w:val="28"/>
          <w:highlight w:val="none"/>
          <w:lang w:val="en-US" w:eastAsia="zh-CN"/>
        </w:rPr>
        <w:t>7</w:t>
      </w:r>
      <w:r>
        <w:rPr>
          <w:rFonts w:hint="eastAsia" w:asciiTheme="minorEastAsia" w:hAnsiTheme="minorEastAsia" w:eastAsiaTheme="minorEastAsia" w:cstheme="minorEastAsia"/>
          <w:b/>
          <w:bCs/>
          <w:snapToGrid w:val="0"/>
          <w:color w:val="auto"/>
          <w:kern w:val="0"/>
          <w:sz w:val="28"/>
          <w:szCs w:val="28"/>
          <w:highlight w:val="none"/>
        </w:rPr>
        <w:t>.工作任务单（格式）</w:t>
      </w:r>
    </w:p>
    <w:p w14:paraId="269D23E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工作任务单</w:t>
      </w:r>
    </w:p>
    <w:p w14:paraId="70CFA95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(编号：</w:t>
      </w:r>
      <w:r>
        <w:rPr>
          <w:rFonts w:hint="eastAsia" w:asciiTheme="minorEastAsia" w:hAnsiTheme="minorEastAsia" w:eastAsiaTheme="minorEastAsia" w:cstheme="minorEastAsia"/>
          <w:b/>
          <w:bCs/>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b/>
          <w:bCs/>
          <w:snapToGrid w:val="0"/>
          <w:color w:val="auto"/>
          <w:kern w:val="0"/>
          <w:sz w:val="28"/>
          <w:szCs w:val="28"/>
          <w:highlight w:val="none"/>
        </w:rPr>
        <w:t>-RWD-XX)</w:t>
      </w:r>
    </w:p>
    <w:p w14:paraId="569CF21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07D8784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eastAsia="zh-CN"/>
        </w:rPr>
        <w:t>XXX</w:t>
      </w:r>
      <w:r>
        <w:rPr>
          <w:rFonts w:hint="eastAsia" w:asciiTheme="minorEastAsia" w:hAnsiTheme="minorEastAsia" w:eastAsiaTheme="minorEastAsia" w:cstheme="minorEastAsia"/>
          <w:snapToGrid w:val="0"/>
          <w:color w:val="auto"/>
          <w:kern w:val="0"/>
          <w:sz w:val="28"/>
          <w:szCs w:val="28"/>
          <w:highlight w:val="none"/>
        </w:rPr>
        <w:t>：</w:t>
      </w:r>
    </w:p>
    <w:p w14:paraId="34616971">
      <w:pPr>
        <w:adjustRightInd w:val="0"/>
        <w:snapToGrid w:val="0"/>
        <w:spacing w:line="360" w:lineRule="auto"/>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为</w:t>
      </w:r>
      <w:r>
        <w:rPr>
          <w:rFonts w:hint="eastAsia" w:asciiTheme="minorEastAsia" w:hAnsiTheme="minorEastAsia" w:eastAsiaTheme="minorEastAsia" w:cstheme="minorEastAsia"/>
          <w:snapToGrid w:val="0"/>
          <w:color w:val="auto"/>
          <w:kern w:val="0"/>
          <w:sz w:val="28"/>
          <w:szCs w:val="28"/>
          <w:highlight w:val="none"/>
          <w:u w:val="single"/>
        </w:rPr>
        <w:t xml:space="preserve">        （填写工作用途）</w:t>
      </w:r>
      <w:r>
        <w:rPr>
          <w:rFonts w:hint="eastAsia" w:asciiTheme="minorEastAsia" w:hAnsiTheme="minorEastAsia" w:eastAsiaTheme="minorEastAsia" w:cstheme="minorEastAsia"/>
          <w:snapToGrid w:val="0"/>
          <w:color w:val="auto"/>
          <w:kern w:val="0"/>
          <w:sz w:val="28"/>
          <w:szCs w:val="28"/>
          <w:highlight w:val="none"/>
        </w:rPr>
        <w:t>，需完成</w:t>
      </w:r>
      <w:r>
        <w:rPr>
          <w:rFonts w:hint="eastAsia" w:asciiTheme="minorEastAsia" w:hAnsiTheme="minorEastAsia" w:eastAsiaTheme="minorEastAsia" w:cstheme="minorEastAsia"/>
          <w:snapToGrid w:val="0"/>
          <w:color w:val="auto"/>
          <w:kern w:val="0"/>
          <w:sz w:val="28"/>
          <w:szCs w:val="28"/>
          <w:highlight w:val="none"/>
          <w:u w:val="single"/>
        </w:rPr>
        <w:t xml:space="preserve">    （工程名称）</w:t>
      </w:r>
      <w:r>
        <w:rPr>
          <w:rFonts w:hint="eastAsia" w:asciiTheme="minorEastAsia" w:hAnsiTheme="minorEastAsia" w:eastAsiaTheme="minorEastAsia" w:cstheme="minorEastAsia"/>
          <w:snapToGrid w:val="0"/>
          <w:color w:val="auto"/>
          <w:kern w:val="0"/>
          <w:sz w:val="28"/>
          <w:szCs w:val="28"/>
          <w:highlight w:val="none"/>
        </w:rPr>
        <w:t>的</w:t>
      </w:r>
      <w:r>
        <w:rPr>
          <w:rFonts w:hint="eastAsia" w:asciiTheme="minorEastAsia" w:hAnsiTheme="minorEastAsia" w:eastAsiaTheme="minorEastAsia" w:cstheme="minorEastAsia"/>
          <w:snapToGrid w:val="0"/>
          <w:color w:val="auto"/>
          <w:kern w:val="0"/>
          <w:sz w:val="28"/>
          <w:szCs w:val="28"/>
          <w:highlight w:val="none"/>
          <w:u w:val="single"/>
        </w:rPr>
        <w:t xml:space="preserve">       </w:t>
      </w:r>
      <w:r>
        <w:rPr>
          <w:rFonts w:hint="eastAsia" w:asciiTheme="minorEastAsia" w:hAnsiTheme="minorEastAsia" w:eastAsiaTheme="minorEastAsia" w:cstheme="minorEastAsia"/>
          <w:snapToGrid w:val="0"/>
          <w:color w:val="auto"/>
          <w:kern w:val="0"/>
          <w:sz w:val="28"/>
          <w:szCs w:val="28"/>
          <w:highlight w:val="none"/>
        </w:rPr>
        <w:t>工作。根据《xxx项目框架合同》（合同编号：xxx），该子项工作由</w:t>
      </w:r>
      <w:r>
        <w:rPr>
          <w:rFonts w:hint="eastAsia" w:asciiTheme="minorEastAsia" w:hAnsiTheme="minorEastAsia" w:eastAsiaTheme="minorEastAsia" w:cstheme="minorEastAsia"/>
          <w:snapToGrid w:val="0"/>
          <w:color w:val="auto"/>
          <w:kern w:val="0"/>
          <w:sz w:val="28"/>
          <w:szCs w:val="28"/>
          <w:highlight w:val="none"/>
          <w:u w:val="single"/>
        </w:rPr>
        <w:t xml:space="preserve">  （单位名称）   </w:t>
      </w:r>
      <w:r>
        <w:rPr>
          <w:rFonts w:hint="eastAsia" w:asciiTheme="minorEastAsia" w:hAnsiTheme="minorEastAsia" w:eastAsiaTheme="minorEastAsia" w:cstheme="minorEastAsia"/>
          <w:snapToGrid w:val="0"/>
          <w:color w:val="auto"/>
          <w:kern w:val="0"/>
          <w:sz w:val="28"/>
          <w:szCs w:val="28"/>
          <w:highlight w:val="none"/>
        </w:rPr>
        <w:t xml:space="preserve">  承担，</w:t>
      </w:r>
      <w:r>
        <w:rPr>
          <w:rFonts w:hint="eastAsia" w:asciiTheme="minorEastAsia" w:hAnsiTheme="minorEastAsia" w:eastAsiaTheme="minorEastAsia" w:cstheme="minorEastAsia"/>
          <w:snapToGrid w:val="0"/>
          <w:color w:val="auto"/>
          <w:kern w:val="0"/>
          <w:sz w:val="28"/>
          <w:szCs w:val="28"/>
          <w:highlight w:val="none"/>
        </w:rPr>
        <w:t>项目完成后</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按照该子合同</w:t>
      </w:r>
      <w:r>
        <w:rPr>
          <w:rFonts w:hint="eastAsia" w:asciiTheme="minorEastAsia" w:hAnsiTheme="minorEastAsia" w:eastAsiaTheme="minorEastAsia" w:cstheme="minorEastAsia"/>
          <w:snapToGrid w:val="0"/>
          <w:color w:val="auto"/>
          <w:kern w:val="0"/>
          <w:sz w:val="28"/>
          <w:szCs w:val="28"/>
          <w:highlight w:val="none"/>
          <w:lang w:eastAsia="zh-CN"/>
        </w:rPr>
        <w:t>暂定</w:t>
      </w:r>
      <w:r>
        <w:rPr>
          <w:rFonts w:hint="eastAsia" w:asciiTheme="minorEastAsia" w:hAnsiTheme="minorEastAsia" w:eastAsiaTheme="minorEastAsia" w:cstheme="minorEastAsia"/>
          <w:snapToGrid w:val="0"/>
          <w:color w:val="auto"/>
          <w:kern w:val="0"/>
          <w:sz w:val="28"/>
          <w:szCs w:val="28"/>
          <w:highlight w:val="none"/>
        </w:rPr>
        <w:t>金额</w:t>
      </w:r>
      <w:r>
        <w:rPr>
          <w:rFonts w:hint="eastAsia" w:asciiTheme="minorEastAsia" w:hAnsiTheme="minorEastAsia" w:eastAsiaTheme="minorEastAsia" w:cstheme="minorEastAsia"/>
          <w:snapToGrid w:val="0"/>
          <w:color w:val="auto"/>
          <w:kern w:val="0"/>
          <w:sz w:val="28"/>
          <w:szCs w:val="28"/>
          <w:highlight w:val="none"/>
          <w:u w:val="single"/>
          <w:lang w:eastAsia="zh-CN"/>
        </w:rPr>
        <w:t>与</w:t>
      </w:r>
      <w:r>
        <w:rPr>
          <w:rFonts w:hint="eastAsia" w:asciiTheme="minorEastAsia" w:hAnsiTheme="minorEastAsia" w:eastAsiaTheme="minorEastAsia" w:cstheme="minorEastAsia"/>
          <w:snapToGrid w:val="0"/>
          <w:color w:val="auto"/>
          <w:kern w:val="0"/>
          <w:sz w:val="28"/>
          <w:szCs w:val="28"/>
          <w:highlight w:val="none"/>
          <w:u w:val="single"/>
        </w:rPr>
        <w:t>该项任务实际完成金额</w:t>
      </w:r>
      <w:r>
        <w:rPr>
          <w:rFonts w:hint="eastAsia" w:asciiTheme="minorEastAsia" w:hAnsiTheme="minorEastAsia" w:eastAsiaTheme="minorEastAsia" w:cstheme="minorEastAsia"/>
          <w:snapToGrid w:val="0"/>
          <w:color w:val="auto"/>
          <w:kern w:val="0"/>
          <w:sz w:val="28"/>
          <w:szCs w:val="28"/>
          <w:highlight w:val="none"/>
          <w:u w:val="single"/>
          <w:lang w:eastAsia="zh-CN"/>
        </w:rPr>
        <w:t>（或与</w:t>
      </w:r>
      <w:r>
        <w:rPr>
          <w:rFonts w:hint="eastAsia" w:asciiTheme="minorEastAsia" w:hAnsiTheme="minorEastAsia" w:eastAsiaTheme="minorEastAsia" w:cstheme="minorEastAsia"/>
          <w:snapToGrid w:val="0"/>
          <w:color w:val="auto"/>
          <w:kern w:val="0"/>
          <w:sz w:val="28"/>
          <w:szCs w:val="28"/>
          <w:highlight w:val="none"/>
          <w:u w:val="single"/>
        </w:rPr>
        <w:t>概（结）算评审金额</w:t>
      </w:r>
      <w:r>
        <w:rPr>
          <w:rFonts w:hint="eastAsia" w:asciiTheme="minorEastAsia" w:hAnsiTheme="minorEastAsia" w:eastAsiaTheme="minorEastAsia" w:cstheme="minorEastAsia"/>
          <w:snapToGrid w:val="0"/>
          <w:color w:val="auto"/>
          <w:kern w:val="0"/>
          <w:sz w:val="28"/>
          <w:szCs w:val="28"/>
          <w:highlight w:val="none"/>
          <w:u w:val="single"/>
          <w:lang w:eastAsia="zh-CN"/>
        </w:rPr>
        <w:t>）</w:t>
      </w:r>
      <w:r>
        <w:rPr>
          <w:rFonts w:hint="eastAsia" w:asciiTheme="minorEastAsia" w:hAnsiTheme="minorEastAsia" w:eastAsiaTheme="minorEastAsia" w:cstheme="minorEastAsia"/>
          <w:snapToGrid w:val="0"/>
          <w:color w:val="auto"/>
          <w:kern w:val="0"/>
          <w:sz w:val="28"/>
          <w:szCs w:val="28"/>
          <w:highlight w:val="none"/>
        </w:rPr>
        <w:t>低者进行支付（附报价单、费用计算明细等）</w:t>
      </w:r>
      <w:r>
        <w:rPr>
          <w:rFonts w:hint="eastAsia" w:asciiTheme="minorEastAsia" w:hAnsiTheme="minorEastAsia" w:eastAsiaTheme="minorEastAsia" w:cstheme="minorEastAsia"/>
          <w:snapToGrid w:val="0"/>
          <w:color w:val="auto"/>
          <w:kern w:val="0"/>
          <w:sz w:val="28"/>
          <w:szCs w:val="28"/>
          <w:highlight w:val="none"/>
        </w:rPr>
        <w:t>。</w:t>
      </w:r>
    </w:p>
    <w:p w14:paraId="73234D3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1.合同服务内容：    。</w:t>
      </w:r>
    </w:p>
    <w:p w14:paraId="181D534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2.工期要求：     。</w:t>
      </w:r>
    </w:p>
    <w:p w14:paraId="406C4A0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lang w:val="en-US" w:eastAsia="zh-CN"/>
        </w:rPr>
        <w:t>3.</w:t>
      </w:r>
      <w:r>
        <w:rPr>
          <w:rFonts w:hint="eastAsia" w:asciiTheme="minorEastAsia" w:hAnsiTheme="minorEastAsia" w:eastAsiaTheme="minorEastAsia" w:cstheme="minorEastAsia"/>
          <w:snapToGrid w:val="0"/>
          <w:color w:val="auto"/>
          <w:kern w:val="0"/>
          <w:sz w:val="28"/>
          <w:szCs w:val="28"/>
          <w:highlight w:val="none"/>
          <w:lang w:val="zh-CN" w:eastAsia="zh-CN"/>
        </w:rPr>
        <w:t>技术要求：</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  </w:t>
      </w:r>
    </w:p>
    <w:p w14:paraId="223EE33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p>
    <w:p w14:paraId="4BB6D25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p>
    <w:p w14:paraId="65CAB26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经办部门经办人：    ，联系电话：    </w:t>
      </w:r>
    </w:p>
    <w:p w14:paraId="4BA7372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经办部门负责人：   </w:t>
      </w:r>
    </w:p>
    <w:p w14:paraId="44A1120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0B6ECF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广州市花都区交通运输局</w:t>
      </w:r>
    </w:p>
    <w:p w14:paraId="6703CEB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    年    月    日</w:t>
      </w:r>
    </w:p>
    <w:p w14:paraId="181463A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78BE114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6275A21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62A0E74B">
      <w:pPr>
        <w:pStyle w:val="2"/>
        <w:rPr>
          <w:rFonts w:hint="eastAsia"/>
          <w:color w:val="auto"/>
          <w:highlight w:val="none"/>
        </w:rPr>
      </w:pPr>
    </w:p>
    <w:p w14:paraId="0FED23C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附件</w:t>
      </w:r>
      <w:r>
        <w:rPr>
          <w:rFonts w:hint="eastAsia" w:asciiTheme="minorEastAsia" w:hAnsiTheme="minorEastAsia" w:eastAsiaTheme="minorEastAsia" w:cstheme="minorEastAsia"/>
          <w:b/>
          <w:bCs/>
          <w:snapToGrid w:val="0"/>
          <w:color w:val="auto"/>
          <w:kern w:val="0"/>
          <w:sz w:val="28"/>
          <w:szCs w:val="28"/>
          <w:highlight w:val="none"/>
          <w:lang w:val="en-US" w:eastAsia="zh-CN"/>
        </w:rPr>
        <w:t>8</w:t>
      </w:r>
      <w:r>
        <w:rPr>
          <w:rFonts w:hint="eastAsia" w:asciiTheme="minorEastAsia" w:hAnsiTheme="minorEastAsia" w:eastAsiaTheme="minorEastAsia" w:cstheme="minorEastAsia"/>
          <w:b/>
          <w:bCs/>
          <w:snapToGrid w:val="0"/>
          <w:color w:val="auto"/>
          <w:kern w:val="0"/>
          <w:sz w:val="28"/>
          <w:szCs w:val="28"/>
          <w:highlight w:val="none"/>
        </w:rPr>
        <w:t>.子合同范本（格式）</w:t>
      </w:r>
    </w:p>
    <w:p w14:paraId="7691977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2364ECF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71CAB2F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xxx</w:t>
      </w:r>
      <w:r>
        <w:rPr>
          <w:rFonts w:hint="eastAsia" w:asciiTheme="minorEastAsia" w:hAnsiTheme="minorEastAsia" w:eastAsiaTheme="minorEastAsia" w:cstheme="minorEastAsia"/>
          <w:snapToGrid w:val="0"/>
          <w:color w:val="auto"/>
          <w:kern w:val="0"/>
          <w:sz w:val="28"/>
          <w:szCs w:val="28"/>
          <w:highlight w:val="none"/>
        </w:rPr>
        <w:t>项目子合同</w:t>
      </w:r>
    </w:p>
    <w:p w14:paraId="2BA999C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DD7B32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09B3B1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2ABD531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601AE1E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2B1205A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42438A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368B830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30CDB2C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合同编号：</w:t>
      </w:r>
      <w:r>
        <w:rPr>
          <w:rFonts w:hint="eastAsia" w:asciiTheme="minorEastAsia" w:hAnsiTheme="minorEastAsia" w:eastAsiaTheme="minorEastAsia" w:cstheme="minorEastAsia"/>
          <w:snapToGrid w:val="0"/>
          <w:color w:val="auto"/>
          <w:kern w:val="0"/>
          <w:sz w:val="28"/>
          <w:szCs w:val="28"/>
          <w:highlight w:val="none"/>
          <w:lang w:val="en-US" w:eastAsia="zh-CN"/>
        </w:rPr>
        <w:t>xxx</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lang w:val="en-US" w:eastAsia="zh-CN"/>
        </w:rPr>
        <w:t>xx</w:t>
      </w:r>
    </w:p>
    <w:p w14:paraId="23228E8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发包人：广州市花都区交通运输局</w:t>
      </w:r>
    </w:p>
    <w:p w14:paraId="18106F1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承包人：                    </w:t>
      </w:r>
    </w:p>
    <w:p w14:paraId="16F4E39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合同签订地点：广州市花都区</w:t>
      </w:r>
    </w:p>
    <w:p w14:paraId="235B16B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合同签订时间：   年  月  日</w:t>
      </w:r>
    </w:p>
    <w:p w14:paraId="7AE275F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br w:type="page"/>
      </w:r>
    </w:p>
    <w:p w14:paraId="128B0A7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lang w:val="en-US" w:eastAsia="zh-CN"/>
        </w:rPr>
        <w:t>xxx</w:t>
      </w:r>
      <w:r>
        <w:rPr>
          <w:rFonts w:hint="eastAsia" w:asciiTheme="minorEastAsia" w:hAnsiTheme="minorEastAsia" w:eastAsiaTheme="minorEastAsia" w:cstheme="minorEastAsia"/>
          <w:b/>
          <w:bCs/>
          <w:snapToGrid w:val="0"/>
          <w:color w:val="auto"/>
          <w:kern w:val="0"/>
          <w:sz w:val="28"/>
          <w:szCs w:val="28"/>
          <w:highlight w:val="none"/>
        </w:rPr>
        <w:t>项目子合同</w:t>
      </w:r>
    </w:p>
    <w:p w14:paraId="5FC6CEA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6917590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发包人：广州市花都区交通运输局</w:t>
      </w:r>
    </w:p>
    <w:p w14:paraId="49620CB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承包人：                       </w:t>
      </w:r>
    </w:p>
    <w:p w14:paraId="33F6D6A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7EAC85FB">
      <w:pPr>
        <w:keepNext w:val="0"/>
        <w:keepLines w:val="0"/>
        <w:pageBreakBefore w:val="0"/>
        <w:widowControl w:val="0"/>
        <w:kinsoku/>
        <w:wordWrap/>
        <w:overflowPunct/>
        <w:topLinePunct w:val="0"/>
        <w:autoSpaceDE/>
        <w:autoSpaceDN/>
        <w:bidi w:val="0"/>
        <w:adjustRightInd/>
        <w:snapToGrid/>
        <w:ind w:firstLine="840" w:firstLineChars="3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在已签订的《</w:t>
      </w:r>
      <w:r>
        <w:rPr>
          <w:rFonts w:hint="eastAsia" w:asciiTheme="minorEastAsia" w:hAnsiTheme="minorEastAsia" w:eastAsiaTheme="minorEastAsia" w:cstheme="minorEastAsia"/>
          <w:snapToGrid w:val="0"/>
          <w:color w:val="auto"/>
          <w:kern w:val="0"/>
          <w:sz w:val="28"/>
          <w:szCs w:val="28"/>
          <w:highlight w:val="none"/>
          <w:lang w:val="en-US" w:eastAsia="zh-CN"/>
        </w:rPr>
        <w:t>xxx</w:t>
      </w:r>
      <w:r>
        <w:rPr>
          <w:rFonts w:hint="eastAsia" w:asciiTheme="minorEastAsia" w:hAnsiTheme="minorEastAsia" w:eastAsiaTheme="minorEastAsia" w:cstheme="minorEastAsia"/>
          <w:snapToGrid w:val="0"/>
          <w:color w:val="auto"/>
          <w:kern w:val="0"/>
          <w:sz w:val="28"/>
          <w:szCs w:val="28"/>
          <w:highlight w:val="none"/>
        </w:rPr>
        <w:t>项目框架合同》（合同编号：</w:t>
      </w:r>
      <w:r>
        <w:rPr>
          <w:rFonts w:hint="eastAsia" w:asciiTheme="minorEastAsia" w:hAnsiTheme="minorEastAsia" w:eastAsiaTheme="minorEastAsia" w:cstheme="minorEastAsia"/>
          <w:snapToGrid w:val="0"/>
          <w:color w:val="auto"/>
          <w:kern w:val="0"/>
          <w:sz w:val="28"/>
          <w:szCs w:val="28"/>
          <w:highlight w:val="none"/>
          <w:lang w:val="en-US" w:eastAsia="zh-CN"/>
        </w:rPr>
        <w:t>xxx</w:t>
      </w:r>
      <w:r>
        <w:rPr>
          <w:rFonts w:hint="eastAsia" w:asciiTheme="minorEastAsia" w:hAnsiTheme="minorEastAsia" w:eastAsiaTheme="minorEastAsia" w:cstheme="minorEastAsia"/>
          <w:snapToGrid w:val="0"/>
          <w:color w:val="auto"/>
          <w:kern w:val="0"/>
          <w:sz w:val="28"/>
          <w:szCs w:val="28"/>
          <w:highlight w:val="none"/>
        </w:rPr>
        <w:t>，详见附件，以下称“框架合同”），以及发包人发出的本子项目工作任务单的基础上，发包人、承包人根据《中华人民共和国民法典》等相关法律法规规定，遵循平等、自愿、公平和诚实信用的原则订立本子合同。</w:t>
      </w:r>
    </w:p>
    <w:p w14:paraId="3EB892C2">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lang w:eastAsia="zh-CN"/>
        </w:rPr>
      </w:pPr>
      <w:r>
        <w:rPr>
          <w:rFonts w:hint="eastAsia" w:asciiTheme="minorEastAsia" w:hAnsiTheme="minorEastAsia" w:eastAsiaTheme="minorEastAsia" w:cstheme="minorEastAsia"/>
          <w:b/>
          <w:bCs/>
          <w:snapToGrid w:val="0"/>
          <w:color w:val="auto"/>
          <w:kern w:val="0"/>
          <w:sz w:val="28"/>
          <w:szCs w:val="28"/>
          <w:highlight w:val="none"/>
          <w:lang w:eastAsia="zh-CN"/>
        </w:rPr>
        <w:t>第一条 工程概况</w:t>
      </w:r>
    </w:p>
    <w:p w14:paraId="186A3F1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lang w:val="zh-CN"/>
        </w:rPr>
        <w:t>工程名称：            （以下简称“本工程”）</w:t>
      </w:r>
    </w:p>
    <w:p w14:paraId="43D1D19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lang w:val="zh-CN"/>
        </w:rPr>
        <w:t>工程地点：广州市花都区</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p>
    <w:p w14:paraId="77C64C5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lang w:val="zh-CN"/>
        </w:rPr>
        <w:t xml:space="preserve">工程规模：           </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（具体项目以可行性研究报告批复文件、初步设计审查和相关政府部门审查确定的建设项目、建设规模、建设标准等为准）。</w:t>
      </w:r>
    </w:p>
    <w:p w14:paraId="7849CCA1">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lang w:eastAsia="zh-CN"/>
        </w:rPr>
      </w:pPr>
      <w:r>
        <w:rPr>
          <w:rFonts w:hint="eastAsia" w:asciiTheme="minorEastAsia" w:hAnsiTheme="minorEastAsia" w:eastAsiaTheme="minorEastAsia" w:cstheme="minorEastAsia"/>
          <w:b/>
          <w:bCs/>
          <w:snapToGrid w:val="0"/>
          <w:color w:val="auto"/>
          <w:kern w:val="0"/>
          <w:sz w:val="28"/>
          <w:szCs w:val="28"/>
          <w:highlight w:val="none"/>
        </w:rPr>
        <w:t xml:space="preserve">第二条 </w:t>
      </w:r>
      <w:r>
        <w:rPr>
          <w:rFonts w:hint="eastAsia" w:asciiTheme="minorEastAsia" w:hAnsiTheme="minorEastAsia" w:eastAsiaTheme="minorEastAsia" w:cstheme="minorEastAsia"/>
          <w:b/>
          <w:bCs/>
          <w:snapToGrid w:val="0"/>
          <w:color w:val="auto"/>
          <w:kern w:val="0"/>
          <w:sz w:val="28"/>
          <w:szCs w:val="28"/>
          <w:highlight w:val="none"/>
          <w:lang w:eastAsia="zh-CN"/>
        </w:rPr>
        <w:t>合同</w:t>
      </w:r>
      <w:r>
        <w:rPr>
          <w:rFonts w:hint="eastAsia" w:asciiTheme="minorEastAsia" w:hAnsiTheme="minorEastAsia" w:eastAsiaTheme="minorEastAsia" w:cstheme="minorEastAsia"/>
          <w:b/>
          <w:bCs/>
          <w:snapToGrid w:val="0"/>
          <w:color w:val="auto"/>
          <w:kern w:val="0"/>
          <w:sz w:val="28"/>
          <w:szCs w:val="28"/>
          <w:highlight w:val="none"/>
        </w:rPr>
        <w:t>服务</w:t>
      </w:r>
      <w:r>
        <w:rPr>
          <w:rFonts w:hint="eastAsia" w:asciiTheme="minorEastAsia" w:hAnsiTheme="minorEastAsia" w:eastAsiaTheme="minorEastAsia" w:cstheme="minorEastAsia"/>
          <w:b/>
          <w:bCs/>
          <w:snapToGrid w:val="0"/>
          <w:color w:val="auto"/>
          <w:kern w:val="0"/>
          <w:sz w:val="28"/>
          <w:szCs w:val="28"/>
          <w:highlight w:val="none"/>
          <w:lang w:eastAsia="zh-CN"/>
        </w:rPr>
        <w:t>内容</w:t>
      </w:r>
    </w:p>
    <w:p w14:paraId="38B0BF3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本合同服务</w:t>
      </w:r>
      <w:r>
        <w:rPr>
          <w:rFonts w:hint="eastAsia" w:asciiTheme="minorEastAsia" w:hAnsiTheme="minorEastAsia" w:eastAsiaTheme="minorEastAsia" w:cstheme="minorEastAsia"/>
          <w:snapToGrid w:val="0"/>
          <w:color w:val="auto"/>
          <w:kern w:val="0"/>
          <w:sz w:val="28"/>
          <w:szCs w:val="28"/>
          <w:highlight w:val="none"/>
          <w:lang w:eastAsia="zh-CN"/>
        </w:rPr>
        <w:t>内容</w:t>
      </w:r>
      <w:r>
        <w:rPr>
          <w:rFonts w:hint="eastAsia" w:asciiTheme="minorEastAsia" w:hAnsiTheme="minorEastAsia" w:eastAsiaTheme="minorEastAsia" w:cstheme="minorEastAsia"/>
          <w:snapToGrid w:val="0"/>
          <w:color w:val="auto"/>
          <w:kern w:val="0"/>
          <w:sz w:val="28"/>
          <w:szCs w:val="28"/>
          <w:highlight w:val="none"/>
        </w:rPr>
        <w:t>为</w:t>
      </w:r>
      <w:r>
        <w:rPr>
          <w:rFonts w:hint="eastAsia" w:asciiTheme="minorEastAsia" w:hAnsiTheme="minorEastAsia" w:eastAsiaTheme="minorEastAsia" w:cstheme="minorEastAsia"/>
          <w:snapToGrid w:val="0"/>
          <w:color w:val="auto"/>
          <w:kern w:val="0"/>
          <w:sz w:val="28"/>
          <w:szCs w:val="28"/>
          <w:highlight w:val="none"/>
          <w:lang w:eastAsia="zh-CN"/>
        </w:rPr>
        <w:t>本工程</w:t>
      </w:r>
      <w:r>
        <w:rPr>
          <w:rFonts w:hint="eastAsia" w:asciiTheme="minorEastAsia" w:hAnsiTheme="minorEastAsia" w:eastAsiaTheme="minorEastAsia" w:cstheme="minorEastAsia"/>
          <w:snapToGrid w:val="0"/>
          <w:color w:val="auto"/>
          <w:kern w:val="0"/>
          <w:sz w:val="28"/>
          <w:szCs w:val="28"/>
          <w:highlight w:val="none"/>
          <w:lang w:val="en-US" w:eastAsia="zh-CN"/>
        </w:rPr>
        <w:t>xxx</w:t>
      </w:r>
      <w:r>
        <w:rPr>
          <w:rFonts w:hint="eastAsia" w:asciiTheme="minorEastAsia" w:hAnsiTheme="minorEastAsia" w:eastAsiaTheme="minorEastAsia" w:cstheme="minorEastAsia"/>
          <w:snapToGrid w:val="0"/>
          <w:color w:val="auto"/>
          <w:kern w:val="0"/>
          <w:sz w:val="28"/>
          <w:szCs w:val="28"/>
          <w:highlight w:val="none"/>
        </w:rPr>
        <w:t xml:space="preserve"> </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，工作内容以发包人发出的本</w:t>
      </w:r>
      <w:r>
        <w:rPr>
          <w:rFonts w:hint="eastAsia" w:asciiTheme="minorEastAsia" w:hAnsiTheme="minorEastAsia" w:eastAsiaTheme="minorEastAsia" w:cstheme="minorEastAsia"/>
          <w:snapToGrid w:val="0"/>
          <w:color w:val="auto"/>
          <w:kern w:val="0"/>
          <w:sz w:val="28"/>
          <w:szCs w:val="28"/>
          <w:highlight w:val="none"/>
          <w:lang w:eastAsia="zh-CN"/>
        </w:rPr>
        <w:t>工程</w:t>
      </w:r>
      <w:r>
        <w:rPr>
          <w:rFonts w:hint="eastAsia" w:asciiTheme="minorEastAsia" w:hAnsiTheme="minorEastAsia" w:eastAsiaTheme="minorEastAsia" w:cstheme="minorEastAsia"/>
          <w:snapToGrid w:val="0"/>
          <w:color w:val="auto"/>
          <w:kern w:val="0"/>
          <w:sz w:val="28"/>
          <w:szCs w:val="28"/>
          <w:highlight w:val="none"/>
        </w:rPr>
        <w:t>工作任务单为准，具体要求按照框架合同约定。</w:t>
      </w:r>
    </w:p>
    <w:p w14:paraId="7445EE2E">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lang w:eastAsia="zh-CN"/>
        </w:rPr>
        <w:t>第三</w:t>
      </w:r>
      <w:r>
        <w:rPr>
          <w:rFonts w:hint="eastAsia" w:asciiTheme="minorEastAsia" w:hAnsiTheme="minorEastAsia" w:eastAsiaTheme="minorEastAsia" w:cstheme="minorEastAsia"/>
          <w:b/>
          <w:bCs/>
          <w:snapToGrid w:val="0"/>
          <w:color w:val="auto"/>
          <w:kern w:val="0"/>
          <w:sz w:val="28"/>
          <w:szCs w:val="28"/>
          <w:highlight w:val="none"/>
        </w:rPr>
        <w:t>条 合同价款</w:t>
      </w:r>
    </w:p>
    <w:p w14:paraId="45B70CD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本</w:t>
      </w:r>
      <w:r>
        <w:rPr>
          <w:rFonts w:hint="eastAsia" w:asciiTheme="minorEastAsia" w:hAnsiTheme="minorEastAsia" w:eastAsiaTheme="minorEastAsia" w:cstheme="minorEastAsia"/>
          <w:snapToGrid w:val="0"/>
          <w:color w:val="auto"/>
          <w:kern w:val="0"/>
          <w:sz w:val="28"/>
          <w:szCs w:val="28"/>
          <w:highlight w:val="none"/>
          <w:lang w:eastAsia="zh-CN"/>
        </w:rPr>
        <w:t>工程</w:t>
      </w:r>
      <w:r>
        <w:rPr>
          <w:rFonts w:hint="eastAsia" w:asciiTheme="minorEastAsia" w:hAnsiTheme="minorEastAsia" w:eastAsiaTheme="minorEastAsia" w:cstheme="minorEastAsia"/>
          <w:snapToGrid w:val="0"/>
          <w:color w:val="auto"/>
          <w:kern w:val="0"/>
          <w:sz w:val="28"/>
          <w:szCs w:val="28"/>
          <w:highlight w:val="none"/>
          <w:lang w:val="en-US" w:eastAsia="zh-CN"/>
        </w:rPr>
        <w:t>xxx</w:t>
      </w:r>
      <w:r>
        <w:rPr>
          <w:rFonts w:hint="eastAsia" w:asciiTheme="minorEastAsia" w:hAnsiTheme="minorEastAsia" w:eastAsiaTheme="minorEastAsia" w:cstheme="minorEastAsia"/>
          <w:snapToGrid w:val="0"/>
          <w:color w:val="auto"/>
          <w:kern w:val="0"/>
          <w:sz w:val="28"/>
          <w:szCs w:val="28"/>
          <w:highlight w:val="none"/>
        </w:rPr>
        <w:t xml:space="preserve"> 服务子合同</w:t>
      </w:r>
      <w:r>
        <w:rPr>
          <w:rFonts w:hint="eastAsia" w:asciiTheme="minorEastAsia" w:hAnsiTheme="minorEastAsia" w:eastAsiaTheme="minorEastAsia" w:cstheme="minorEastAsia"/>
          <w:snapToGrid w:val="0"/>
          <w:color w:val="auto"/>
          <w:kern w:val="0"/>
          <w:sz w:val="28"/>
          <w:szCs w:val="28"/>
          <w:highlight w:val="none"/>
          <w:lang w:eastAsia="zh-CN"/>
        </w:rPr>
        <w:t>（含税）</w:t>
      </w:r>
      <w:r>
        <w:rPr>
          <w:rFonts w:hint="eastAsia" w:asciiTheme="minorEastAsia" w:hAnsiTheme="minorEastAsia" w:eastAsiaTheme="minorEastAsia" w:cstheme="minorEastAsia"/>
          <w:snapToGrid w:val="0"/>
          <w:color w:val="auto"/>
          <w:kern w:val="0"/>
          <w:sz w:val="28"/>
          <w:szCs w:val="28"/>
          <w:highlight w:val="none"/>
        </w:rPr>
        <w:t>暂定</w:t>
      </w:r>
      <w:r>
        <w:rPr>
          <w:rFonts w:hint="eastAsia" w:asciiTheme="minorEastAsia" w:hAnsiTheme="minorEastAsia" w:eastAsiaTheme="minorEastAsia" w:cstheme="minorEastAsia"/>
          <w:snapToGrid w:val="0"/>
          <w:color w:val="auto"/>
          <w:kern w:val="0"/>
          <w:sz w:val="28"/>
          <w:szCs w:val="28"/>
          <w:highlight w:val="none"/>
          <w:lang w:eastAsia="zh-CN"/>
        </w:rPr>
        <w:t>价</w:t>
      </w:r>
      <w:r>
        <w:rPr>
          <w:rFonts w:hint="eastAsia" w:asciiTheme="minorEastAsia" w:hAnsiTheme="minorEastAsia" w:eastAsiaTheme="minorEastAsia" w:cstheme="minorEastAsia"/>
          <w:snapToGrid w:val="0"/>
          <w:color w:val="auto"/>
          <w:kern w:val="0"/>
          <w:sz w:val="28"/>
          <w:szCs w:val="28"/>
          <w:highlight w:val="none"/>
        </w:rPr>
        <w:t xml:space="preserve">为大写：人民币  </w:t>
      </w:r>
      <w:r>
        <w:rPr>
          <w:rFonts w:hint="eastAsia" w:asciiTheme="minorEastAsia" w:hAnsiTheme="minorEastAsia" w:eastAsiaTheme="minorEastAsia" w:cstheme="minorEastAsia"/>
          <w:snapToGrid w:val="0"/>
          <w:color w:val="auto"/>
          <w:kern w:val="0"/>
          <w:sz w:val="28"/>
          <w:szCs w:val="28"/>
          <w:highlight w:val="none"/>
          <w:lang w:eastAsia="zh-CN"/>
        </w:rPr>
        <w:t>，小写：</w:t>
      </w:r>
      <w:r>
        <w:rPr>
          <w:rFonts w:hint="eastAsia" w:asciiTheme="minorEastAsia" w:hAnsiTheme="minorEastAsia" w:eastAsiaTheme="minorEastAsia" w:cstheme="minorEastAsia"/>
          <w:snapToGrid w:val="0"/>
          <w:color w:val="auto"/>
          <w:kern w:val="0"/>
          <w:sz w:val="28"/>
          <w:szCs w:val="28"/>
          <w:highlight w:val="none"/>
        </w:rPr>
        <w:t xml:space="preserve">  </w:t>
      </w:r>
      <w:r>
        <w:rPr>
          <w:rFonts w:hint="eastAsia" w:asciiTheme="minorEastAsia" w:hAnsiTheme="minorEastAsia" w:eastAsiaTheme="minorEastAsia" w:cstheme="minorEastAsia"/>
          <w:snapToGrid w:val="0"/>
          <w:color w:val="auto"/>
          <w:kern w:val="0"/>
          <w:sz w:val="28"/>
          <w:szCs w:val="28"/>
          <w:highlight w:val="none"/>
          <w:lang w:eastAsia="zh-CN"/>
        </w:rPr>
        <w:t>元</w:t>
      </w:r>
      <w:r>
        <w:rPr>
          <w:rFonts w:hint="eastAsia" w:asciiTheme="minorEastAsia" w:hAnsiTheme="minorEastAsia" w:eastAsiaTheme="minorEastAsia" w:cstheme="minorEastAsia"/>
          <w:snapToGrid w:val="0"/>
          <w:color w:val="auto"/>
          <w:kern w:val="0"/>
          <w:sz w:val="28"/>
          <w:szCs w:val="28"/>
          <w:highlight w:val="none"/>
        </w:rPr>
        <w:t xml:space="preserve">，累计已签订子合同金额（含本合同金额）合计 </w:t>
      </w:r>
      <w:r>
        <w:rPr>
          <w:rFonts w:hint="eastAsia" w:asciiTheme="minorEastAsia" w:hAnsiTheme="minorEastAsia" w:eastAsiaTheme="minorEastAsia" w:cstheme="minorEastAsia"/>
          <w:snapToGrid w:val="0"/>
          <w:color w:val="auto"/>
          <w:kern w:val="0"/>
          <w:sz w:val="28"/>
          <w:szCs w:val="28"/>
          <w:highlight w:val="none"/>
          <w:lang w:val="en-US" w:eastAsia="zh-CN"/>
        </w:rPr>
        <w:t xml:space="preserve"> </w:t>
      </w:r>
      <w:r>
        <w:rPr>
          <w:rFonts w:hint="eastAsia" w:asciiTheme="minorEastAsia" w:hAnsiTheme="minorEastAsia" w:eastAsiaTheme="minorEastAsia" w:cstheme="minorEastAsia"/>
          <w:snapToGrid w:val="0"/>
          <w:color w:val="auto"/>
          <w:kern w:val="0"/>
          <w:sz w:val="28"/>
          <w:szCs w:val="28"/>
          <w:highlight w:val="none"/>
        </w:rPr>
        <w:t xml:space="preserve"> 元。</w:t>
      </w:r>
      <w:r>
        <w:rPr>
          <w:rFonts w:hint="eastAsia" w:asciiTheme="minorEastAsia" w:hAnsiTheme="minorEastAsia" w:eastAsiaTheme="minorEastAsia" w:cstheme="minorEastAsia"/>
          <w:snapToGrid w:val="0"/>
          <w:color w:val="auto"/>
          <w:kern w:val="0"/>
          <w:sz w:val="28"/>
          <w:szCs w:val="28"/>
          <w:highlight w:val="none"/>
          <w:lang w:eastAsia="zh-CN"/>
        </w:rPr>
        <w:t>费用明细见附件。</w:t>
      </w:r>
    </w:p>
    <w:p w14:paraId="33FF6FF0">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lang w:eastAsia="zh-CN"/>
        </w:rPr>
      </w:pPr>
      <w:r>
        <w:rPr>
          <w:rFonts w:hint="eastAsia" w:asciiTheme="minorEastAsia" w:hAnsiTheme="minorEastAsia" w:eastAsiaTheme="minorEastAsia" w:cstheme="minorEastAsia"/>
          <w:b/>
          <w:bCs/>
          <w:snapToGrid w:val="0"/>
          <w:color w:val="auto"/>
          <w:kern w:val="0"/>
          <w:sz w:val="28"/>
          <w:szCs w:val="28"/>
          <w:highlight w:val="none"/>
          <w:lang w:val="en-US" w:eastAsia="zh-CN"/>
        </w:rPr>
        <w:t>第四条  合同价款支付</w:t>
      </w:r>
    </w:p>
    <w:p w14:paraId="6C7587CF">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1.本合同签订后，甲方向乙方支付</w:t>
      </w:r>
      <w:bookmarkStart w:id="63" w:name="_Hlk76735474"/>
      <w:r>
        <w:rPr>
          <w:rFonts w:hint="eastAsia" w:asciiTheme="minorEastAsia" w:hAnsiTheme="minorEastAsia" w:eastAsiaTheme="minorEastAsia" w:cstheme="minorEastAsia"/>
          <w:snapToGrid w:val="0"/>
          <w:color w:val="auto"/>
          <w:kern w:val="0"/>
          <w:sz w:val="28"/>
          <w:szCs w:val="28"/>
          <w:highlight w:val="none"/>
        </w:rPr>
        <w:t>本</w:t>
      </w:r>
      <w:bookmarkEnd w:id="63"/>
      <w:r>
        <w:rPr>
          <w:rFonts w:hint="eastAsia" w:asciiTheme="minorEastAsia" w:hAnsiTheme="minorEastAsia" w:eastAsiaTheme="minorEastAsia" w:cstheme="minorEastAsia"/>
          <w:snapToGrid w:val="0"/>
          <w:color w:val="auto"/>
          <w:kern w:val="0"/>
          <w:sz w:val="28"/>
          <w:szCs w:val="28"/>
          <w:highlight w:val="none"/>
        </w:rPr>
        <w:t>合同暂定金额（含税）的20%作为预付款。</w:t>
      </w:r>
    </w:p>
    <w:p w14:paraId="74DFB5B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2.乙方向甲方提交经相关部门审批（审查）或甲方确认的成果文件，甲方向乙方支付至本合同暂定金额</w:t>
      </w:r>
      <w:r>
        <w:rPr>
          <w:rFonts w:hint="eastAsia" w:asciiTheme="minorEastAsia" w:hAnsiTheme="minorEastAsia" w:eastAsiaTheme="minorEastAsia" w:cstheme="minorEastAsia"/>
          <w:snapToGrid w:val="0"/>
          <w:color w:val="auto"/>
          <w:kern w:val="0"/>
          <w:sz w:val="28"/>
          <w:szCs w:val="28"/>
          <w:highlight w:val="none"/>
          <w:lang w:eastAsia="zh-CN"/>
        </w:rPr>
        <w:t>和概审价低者</w:t>
      </w:r>
      <w:r>
        <w:rPr>
          <w:rFonts w:hint="eastAsia" w:asciiTheme="minorEastAsia" w:hAnsiTheme="minorEastAsia" w:eastAsiaTheme="minorEastAsia" w:cstheme="minorEastAsia"/>
          <w:snapToGrid w:val="0"/>
          <w:color w:val="auto"/>
          <w:kern w:val="0"/>
          <w:sz w:val="28"/>
          <w:szCs w:val="28"/>
          <w:highlight w:val="none"/>
        </w:rPr>
        <w:t>的70%</w:t>
      </w:r>
      <w:r>
        <w:rPr>
          <w:rFonts w:hint="eastAsia" w:asciiTheme="minorEastAsia" w:hAnsiTheme="minorEastAsia" w:eastAsiaTheme="minorEastAsia" w:cstheme="minorEastAsia"/>
          <w:snapToGrid w:val="0"/>
          <w:color w:val="auto"/>
          <w:kern w:val="0"/>
          <w:sz w:val="28"/>
          <w:szCs w:val="28"/>
          <w:highlight w:val="none"/>
          <w:lang w:eastAsia="zh-CN"/>
        </w:rPr>
        <w:t>（或</w:t>
      </w:r>
      <w:r>
        <w:rPr>
          <w:rFonts w:hint="eastAsia" w:asciiTheme="minorEastAsia" w:hAnsiTheme="minorEastAsia" w:eastAsiaTheme="minorEastAsia" w:cstheme="minorEastAsia"/>
          <w:snapToGrid w:val="0"/>
          <w:color w:val="auto"/>
          <w:kern w:val="0"/>
          <w:sz w:val="28"/>
          <w:szCs w:val="28"/>
          <w:highlight w:val="none"/>
        </w:rPr>
        <w:t>合同暂定金额的70%</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w:t>
      </w:r>
    </w:p>
    <w:p w14:paraId="2853FAB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3.本合同费用通过</w:t>
      </w:r>
      <w:r>
        <w:rPr>
          <w:rFonts w:hint="eastAsia" w:asciiTheme="minorEastAsia" w:hAnsiTheme="minorEastAsia" w:eastAsiaTheme="minorEastAsia" w:cstheme="minorEastAsia"/>
          <w:snapToGrid w:val="0"/>
          <w:color w:val="auto"/>
          <w:kern w:val="0"/>
          <w:sz w:val="28"/>
          <w:szCs w:val="28"/>
          <w:highlight w:val="none"/>
          <w:lang w:eastAsia="zh-CN"/>
        </w:rPr>
        <w:t>概（或</w:t>
      </w:r>
      <w:r>
        <w:rPr>
          <w:rFonts w:hint="eastAsia" w:asciiTheme="minorEastAsia" w:hAnsiTheme="minorEastAsia" w:eastAsiaTheme="minorEastAsia" w:cstheme="minorEastAsia"/>
          <w:snapToGrid w:val="0"/>
          <w:color w:val="auto"/>
          <w:kern w:val="0"/>
          <w:sz w:val="28"/>
          <w:szCs w:val="28"/>
          <w:highlight w:val="none"/>
        </w:rPr>
        <w:t>结</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算评审后，甲方累计支付至本合同最终</w:t>
      </w:r>
      <w:r>
        <w:rPr>
          <w:rFonts w:hint="eastAsia" w:asciiTheme="minorEastAsia" w:hAnsiTheme="minorEastAsia" w:eastAsiaTheme="minorEastAsia" w:cstheme="minorEastAsia"/>
          <w:snapToGrid w:val="0"/>
          <w:color w:val="auto"/>
          <w:kern w:val="0"/>
          <w:sz w:val="28"/>
          <w:szCs w:val="28"/>
          <w:highlight w:val="none"/>
          <w:lang w:eastAsia="zh-CN"/>
        </w:rPr>
        <w:t>概（或</w:t>
      </w:r>
      <w:r>
        <w:rPr>
          <w:rFonts w:hint="eastAsia" w:asciiTheme="minorEastAsia" w:hAnsiTheme="minorEastAsia" w:eastAsiaTheme="minorEastAsia" w:cstheme="minorEastAsia"/>
          <w:snapToGrid w:val="0"/>
          <w:color w:val="auto"/>
          <w:kern w:val="0"/>
          <w:sz w:val="28"/>
          <w:szCs w:val="28"/>
          <w:highlight w:val="none"/>
        </w:rPr>
        <w:t>结</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算价</w:t>
      </w:r>
      <w:r>
        <w:rPr>
          <w:rFonts w:hint="eastAsia" w:asciiTheme="minorEastAsia" w:hAnsiTheme="minorEastAsia" w:eastAsiaTheme="minorEastAsia" w:cstheme="minorEastAsia"/>
          <w:snapToGrid w:val="0"/>
          <w:color w:val="auto"/>
          <w:kern w:val="0"/>
          <w:sz w:val="28"/>
          <w:szCs w:val="28"/>
          <w:highlight w:val="none"/>
          <w:lang w:eastAsia="zh-CN"/>
        </w:rPr>
        <w:t>和合同暂定价低者</w:t>
      </w:r>
      <w:r>
        <w:rPr>
          <w:rFonts w:hint="eastAsia" w:asciiTheme="minorEastAsia" w:hAnsiTheme="minorEastAsia" w:eastAsiaTheme="minorEastAsia" w:cstheme="minorEastAsia"/>
          <w:snapToGrid w:val="0"/>
          <w:color w:val="auto"/>
          <w:kern w:val="0"/>
          <w:sz w:val="28"/>
          <w:szCs w:val="28"/>
          <w:highlight w:val="none"/>
        </w:rPr>
        <w:t>的100%给乙方。</w:t>
      </w:r>
    </w:p>
    <w:p w14:paraId="1B4459A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4.每期请款时，乙方须按甲方要求提交请款资料及等额</w:t>
      </w:r>
      <w:r>
        <w:rPr>
          <w:rFonts w:hint="eastAsia" w:asciiTheme="minorEastAsia" w:hAnsiTheme="minorEastAsia" w:eastAsiaTheme="minorEastAsia" w:cstheme="minorEastAsia"/>
          <w:snapToGrid w:val="0"/>
          <w:color w:val="auto"/>
          <w:kern w:val="0"/>
          <w:sz w:val="28"/>
          <w:szCs w:val="28"/>
          <w:highlight w:val="none"/>
          <w:lang w:eastAsia="zh-CN"/>
        </w:rPr>
        <w:t>增值税专用</w:t>
      </w:r>
      <w:r>
        <w:rPr>
          <w:rFonts w:hint="eastAsia" w:asciiTheme="minorEastAsia" w:hAnsiTheme="minorEastAsia" w:eastAsiaTheme="minorEastAsia" w:cstheme="minorEastAsia"/>
          <w:snapToGrid w:val="0"/>
          <w:color w:val="auto"/>
          <w:kern w:val="0"/>
          <w:sz w:val="28"/>
          <w:szCs w:val="28"/>
          <w:highlight w:val="none"/>
        </w:rPr>
        <w:t>发票方可请款。</w:t>
      </w:r>
    </w:p>
    <w:p w14:paraId="16AD4FA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5.财政投资项目支付需满足财政部门国库支付相关规定，实际付款时间以财政部门批准支付时间为准。</w:t>
      </w:r>
    </w:p>
    <w:p w14:paraId="247E8A74">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napToGrid w:val="0"/>
          <w:color w:val="auto"/>
          <w:kern w:val="0"/>
          <w:sz w:val="28"/>
          <w:szCs w:val="28"/>
          <w:highlight w:val="none"/>
          <w:lang w:eastAsia="zh-CN"/>
        </w:rPr>
      </w:pPr>
      <w:r>
        <w:rPr>
          <w:rFonts w:hint="eastAsia" w:asciiTheme="minorEastAsia" w:hAnsiTheme="minorEastAsia" w:eastAsiaTheme="minorEastAsia" w:cstheme="minorEastAsia"/>
          <w:b/>
          <w:bCs/>
          <w:snapToGrid w:val="0"/>
          <w:color w:val="auto"/>
          <w:kern w:val="0"/>
          <w:sz w:val="28"/>
          <w:szCs w:val="28"/>
          <w:highlight w:val="none"/>
          <w:lang w:eastAsia="zh-CN"/>
        </w:rPr>
        <w:t>第五条 其他</w:t>
      </w:r>
    </w:p>
    <w:p w14:paraId="3EACCC8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1.本合同未列明条款，均按框架合同执行。</w:t>
      </w:r>
    </w:p>
    <w:p w14:paraId="18850AF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本合同经合同签署各方法定代表人或委托代理人签字或盖章并加盖单位公章（或合同章）后生效。合同生效之后，双方一致同意就工作任务单发出之日起至合同生效之日期间按合同约定的履约行为予以追认。合同各方履行完成本合同规定的义务后，本合同自行终止。</w:t>
      </w:r>
    </w:p>
    <w:p w14:paraId="757674A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3.本合同一式八份，各方各执四份，均具</w:t>
      </w:r>
      <w:r>
        <w:rPr>
          <w:rFonts w:hint="eastAsia" w:asciiTheme="minorEastAsia" w:hAnsiTheme="minorEastAsia" w:eastAsiaTheme="minorEastAsia" w:cstheme="minorEastAsia"/>
          <w:snapToGrid w:val="0"/>
          <w:color w:val="auto"/>
          <w:kern w:val="0"/>
          <w:sz w:val="28"/>
          <w:szCs w:val="28"/>
          <w:highlight w:val="none"/>
          <w:lang w:eastAsia="zh-CN"/>
        </w:rPr>
        <w:t>有</w:t>
      </w:r>
      <w:r>
        <w:rPr>
          <w:rFonts w:hint="eastAsia" w:asciiTheme="minorEastAsia" w:hAnsiTheme="minorEastAsia" w:eastAsiaTheme="minorEastAsia" w:cstheme="minorEastAsia"/>
          <w:snapToGrid w:val="0"/>
          <w:color w:val="auto"/>
          <w:kern w:val="0"/>
          <w:sz w:val="28"/>
          <w:szCs w:val="28"/>
          <w:highlight w:val="none"/>
        </w:rPr>
        <w:t>同等法律效力。</w:t>
      </w:r>
    </w:p>
    <w:p w14:paraId="12EA128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（以下无正文）</w:t>
      </w:r>
    </w:p>
    <w:p w14:paraId="46120D4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3A378AA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附件：1.工作任务单</w:t>
      </w:r>
    </w:p>
    <w:p w14:paraId="181E8E30">
      <w:pPr>
        <w:keepNext w:val="0"/>
        <w:keepLines w:val="0"/>
        <w:pageBreakBefore w:val="0"/>
        <w:widowControl w:val="0"/>
        <w:kinsoku/>
        <w:wordWrap/>
        <w:overflowPunct/>
        <w:topLinePunct w:val="0"/>
        <w:autoSpaceDE/>
        <w:autoSpaceDN/>
        <w:bidi w:val="0"/>
        <w:adjustRightInd/>
        <w:snapToGrid/>
        <w:ind w:firstLine="1120" w:firstLineChars="400"/>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lang w:val="en-US" w:eastAsia="zh-CN"/>
        </w:rPr>
        <w:t>2</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lang w:eastAsia="zh-CN"/>
        </w:rPr>
        <w:t>费用明细</w:t>
      </w:r>
    </w:p>
    <w:p w14:paraId="09459C5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3BC899C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7FFFB6E4">
      <w:pPr>
        <w:pStyle w:val="2"/>
        <w:rPr>
          <w:rFonts w:hint="eastAsia"/>
          <w:color w:val="auto"/>
          <w:highlight w:val="none"/>
        </w:rPr>
      </w:pPr>
    </w:p>
    <w:p w14:paraId="299C6C6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此页为    服务子合同的签署页</w:t>
      </w:r>
    </w:p>
    <w:p w14:paraId="5854824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7D5028A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发包人：广州市花都区交通运输局（盖章）</w:t>
      </w:r>
    </w:p>
    <w:p w14:paraId="20979478">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法定代表人或委托代理人：</w:t>
      </w:r>
    </w:p>
    <w:p w14:paraId="6F1E758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联系电话：</w:t>
      </w:r>
    </w:p>
    <w:p w14:paraId="072FB08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521434D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承包人：               （盖章）</w:t>
      </w:r>
    </w:p>
    <w:p w14:paraId="0DD63D6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法定代表人或委托代理人：</w:t>
      </w:r>
    </w:p>
    <w:p w14:paraId="2142122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联系电话：</w:t>
      </w:r>
    </w:p>
    <w:p w14:paraId="68D46C33">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p w14:paraId="0224E3A6">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签订日期：详见子合同封面</w:t>
      </w:r>
    </w:p>
    <w:p w14:paraId="5A54C1F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napToGrid w:val="0"/>
          <w:color w:val="auto"/>
          <w:kern w:val="0"/>
          <w:sz w:val="28"/>
          <w:szCs w:val="28"/>
          <w:highlight w:val="none"/>
        </w:rPr>
      </w:pPr>
    </w:p>
    <w:bookmarkEnd w:id="64"/>
    <w:sectPr>
      <w:headerReference r:id="rId3" w:type="default"/>
      <w:footerReference r:id="rId4" w:type="default"/>
      <w:pgSz w:w="11906" w:h="16838"/>
      <w:pgMar w:top="1417" w:right="1029" w:bottom="1417" w:left="141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5D19">
    <w:pPr>
      <w:pStyle w:val="19"/>
      <w:jc w:val="center"/>
    </w:pPr>
    <w:r>
      <w:fldChar w:fldCharType="begin"/>
    </w:r>
    <w:r>
      <w:instrText xml:space="preserve"> PAGE  \* MERGEFORMAT </w:instrText>
    </w:r>
    <w:r>
      <w:fldChar w:fldCharType="separate"/>
    </w:r>
    <w:r>
      <w:t>49</w:t>
    </w:r>
    <w:r>
      <w:fldChar w:fldCharType="end"/>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0505" cy="131445"/>
              <wp:effectExtent l="0" t="0" r="17145" b="1905"/>
              <wp:wrapNone/>
              <wp:docPr id="26" name="文本框 1"/>
              <wp:cNvGraphicFramePr/>
              <a:graphic xmlns:a="http://schemas.openxmlformats.org/drawingml/2006/main">
                <a:graphicData uri="http://schemas.microsoft.com/office/word/2010/wordprocessingShape">
                  <wps:wsp>
                    <wps:cNvSpPr txBox="1"/>
                    <wps:spPr>
                      <a:xfrm>
                        <a:off x="0" y="0"/>
                        <a:ext cx="230505" cy="131445"/>
                      </a:xfrm>
                      <a:prstGeom prst="rect">
                        <a:avLst/>
                      </a:prstGeom>
                      <a:noFill/>
                      <a:ln>
                        <a:noFill/>
                      </a:ln>
                      <a:effectLst/>
                    </wps:spPr>
                    <wps:txbx>
                      <w:txbxContent>
                        <w:p w14:paraId="6D95E5B2">
                          <w:pPr>
                            <w:pStyle w:val="19"/>
                          </w:pPr>
                        </w:p>
                      </w:txbxContent>
                    </wps:txbx>
                    <wps:bodyPr wrap="square" lIns="0" tIns="0" rIns="0" bIns="0" anchor="t" upright="1">
                      <a:spAutoFit/>
                    </wps:bodyPr>
                  </wps:wsp>
                </a:graphicData>
              </a:graphic>
            </wp:anchor>
          </w:drawing>
        </mc:Choice>
        <mc:Fallback>
          <w:pict>
            <v:shape id="文本框 1" o:spid="_x0000_s1026" o:spt="202" type="#_x0000_t202" style="position:absolute;left:0pt;margin-top:0pt;height:10.35pt;width:18.15pt;mso-position-horizontal:center;mso-position-horizontal-relative:margin;z-index:251659264;mso-width-relative:page;mso-height-relative:page;" filled="f" stroked="f" coordsize="21600,21600" o:gfxdata="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EAMFtEAAAADAQAADwAAAAAAAAAB&#10;ACAAAAAiAAAAZHJzL2Rvd25yZXYueG1sUEsBAhQAFAAAAAgAh07iQGs+sgjeAQAAswMAAA4AAAAA&#10;AAAAAQAgAAAAIAEAAGRycy9lMm9Eb2MueG1sUEsFBgAAAAAGAAYAWQEAAHAFAAAAAA==&#10;">
              <v:fill on="f" focussize="0,0"/>
              <v:stroke on="f"/>
              <v:imagedata o:title=""/>
              <o:lock v:ext="edit" aspectratio="f"/>
              <v:textbox inset="0mm,0mm,0mm,0mm" style="mso-fit-shape-to-text:t;">
                <w:txbxContent>
                  <w:p w14:paraId="6D95E5B2">
                    <w:pPr>
                      <w:pStyle w:val="1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0C478">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2F8AD"/>
    <w:multiLevelType w:val="singleLevel"/>
    <w:tmpl w:val="0332F8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comment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ZjBmODBmMDBmNDM1MTM3MjA2ZWQ4ZjY1YjlhMDQifQ=="/>
  </w:docVars>
  <w:rsids>
    <w:rsidRoot w:val="00172A27"/>
    <w:rsid w:val="0000066E"/>
    <w:rsid w:val="00000DCD"/>
    <w:rsid w:val="0000124D"/>
    <w:rsid w:val="000013DC"/>
    <w:rsid w:val="00004E1F"/>
    <w:rsid w:val="00005D37"/>
    <w:rsid w:val="00005E54"/>
    <w:rsid w:val="00006464"/>
    <w:rsid w:val="000068F5"/>
    <w:rsid w:val="00006C40"/>
    <w:rsid w:val="000075E8"/>
    <w:rsid w:val="00007686"/>
    <w:rsid w:val="00007F9C"/>
    <w:rsid w:val="000102AE"/>
    <w:rsid w:val="00010645"/>
    <w:rsid w:val="000109E2"/>
    <w:rsid w:val="00010B5C"/>
    <w:rsid w:val="00011979"/>
    <w:rsid w:val="00011C39"/>
    <w:rsid w:val="00011D2D"/>
    <w:rsid w:val="00011D58"/>
    <w:rsid w:val="00012179"/>
    <w:rsid w:val="000126F1"/>
    <w:rsid w:val="00012C9D"/>
    <w:rsid w:val="0001359C"/>
    <w:rsid w:val="0001372D"/>
    <w:rsid w:val="00013771"/>
    <w:rsid w:val="00014D98"/>
    <w:rsid w:val="000151A2"/>
    <w:rsid w:val="000162AB"/>
    <w:rsid w:val="00016502"/>
    <w:rsid w:val="00017252"/>
    <w:rsid w:val="000179F5"/>
    <w:rsid w:val="0002005D"/>
    <w:rsid w:val="0002015A"/>
    <w:rsid w:val="00020460"/>
    <w:rsid w:val="00020A2E"/>
    <w:rsid w:val="00020CE8"/>
    <w:rsid w:val="00020E3B"/>
    <w:rsid w:val="000215BD"/>
    <w:rsid w:val="00022712"/>
    <w:rsid w:val="00022DC9"/>
    <w:rsid w:val="00024606"/>
    <w:rsid w:val="0002564B"/>
    <w:rsid w:val="00025795"/>
    <w:rsid w:val="00025AA8"/>
    <w:rsid w:val="00026058"/>
    <w:rsid w:val="0002606D"/>
    <w:rsid w:val="000260DC"/>
    <w:rsid w:val="00026211"/>
    <w:rsid w:val="00026BB2"/>
    <w:rsid w:val="00027888"/>
    <w:rsid w:val="00027A3C"/>
    <w:rsid w:val="00027FD5"/>
    <w:rsid w:val="0003051E"/>
    <w:rsid w:val="00031102"/>
    <w:rsid w:val="00031527"/>
    <w:rsid w:val="00031D0A"/>
    <w:rsid w:val="00031DEF"/>
    <w:rsid w:val="00031E29"/>
    <w:rsid w:val="00032301"/>
    <w:rsid w:val="000324B3"/>
    <w:rsid w:val="000324CA"/>
    <w:rsid w:val="00032507"/>
    <w:rsid w:val="000330A0"/>
    <w:rsid w:val="000337D5"/>
    <w:rsid w:val="0003385F"/>
    <w:rsid w:val="00033CBF"/>
    <w:rsid w:val="00034854"/>
    <w:rsid w:val="00034DAA"/>
    <w:rsid w:val="00034F57"/>
    <w:rsid w:val="00035EEA"/>
    <w:rsid w:val="00037358"/>
    <w:rsid w:val="000375AE"/>
    <w:rsid w:val="00037C42"/>
    <w:rsid w:val="00037C82"/>
    <w:rsid w:val="00037CCC"/>
    <w:rsid w:val="0004033B"/>
    <w:rsid w:val="00040855"/>
    <w:rsid w:val="00040DB0"/>
    <w:rsid w:val="00041005"/>
    <w:rsid w:val="00042378"/>
    <w:rsid w:val="00042A87"/>
    <w:rsid w:val="00043417"/>
    <w:rsid w:val="00044868"/>
    <w:rsid w:val="00044E5B"/>
    <w:rsid w:val="000450EE"/>
    <w:rsid w:val="000456E4"/>
    <w:rsid w:val="00045E9D"/>
    <w:rsid w:val="00046143"/>
    <w:rsid w:val="0004621D"/>
    <w:rsid w:val="00046689"/>
    <w:rsid w:val="000475F9"/>
    <w:rsid w:val="00050C81"/>
    <w:rsid w:val="0005111F"/>
    <w:rsid w:val="000518A9"/>
    <w:rsid w:val="00051D65"/>
    <w:rsid w:val="0005249C"/>
    <w:rsid w:val="00052586"/>
    <w:rsid w:val="0005287E"/>
    <w:rsid w:val="000537EA"/>
    <w:rsid w:val="000539B7"/>
    <w:rsid w:val="00054168"/>
    <w:rsid w:val="00054765"/>
    <w:rsid w:val="000550F6"/>
    <w:rsid w:val="000554F7"/>
    <w:rsid w:val="00055875"/>
    <w:rsid w:val="000559D8"/>
    <w:rsid w:val="00055B7D"/>
    <w:rsid w:val="0005733A"/>
    <w:rsid w:val="000577D9"/>
    <w:rsid w:val="00057A7C"/>
    <w:rsid w:val="00057BE3"/>
    <w:rsid w:val="00057F1D"/>
    <w:rsid w:val="00060897"/>
    <w:rsid w:val="00060FCA"/>
    <w:rsid w:val="000611F7"/>
    <w:rsid w:val="000617A4"/>
    <w:rsid w:val="0006190F"/>
    <w:rsid w:val="00062202"/>
    <w:rsid w:val="00062279"/>
    <w:rsid w:val="00062749"/>
    <w:rsid w:val="000627FB"/>
    <w:rsid w:val="00063091"/>
    <w:rsid w:val="0006316A"/>
    <w:rsid w:val="00063628"/>
    <w:rsid w:val="00063C44"/>
    <w:rsid w:val="00063F84"/>
    <w:rsid w:val="00064090"/>
    <w:rsid w:val="00064462"/>
    <w:rsid w:val="00064D86"/>
    <w:rsid w:val="00064E74"/>
    <w:rsid w:val="00065099"/>
    <w:rsid w:val="0006583B"/>
    <w:rsid w:val="00065B3E"/>
    <w:rsid w:val="00066254"/>
    <w:rsid w:val="00066988"/>
    <w:rsid w:val="000669FB"/>
    <w:rsid w:val="0006745F"/>
    <w:rsid w:val="00070039"/>
    <w:rsid w:val="000702A3"/>
    <w:rsid w:val="0007096C"/>
    <w:rsid w:val="00070B85"/>
    <w:rsid w:val="000714BB"/>
    <w:rsid w:val="000717D4"/>
    <w:rsid w:val="00071B50"/>
    <w:rsid w:val="00071F9E"/>
    <w:rsid w:val="00072B02"/>
    <w:rsid w:val="000736DF"/>
    <w:rsid w:val="00073716"/>
    <w:rsid w:val="0007451C"/>
    <w:rsid w:val="00074A75"/>
    <w:rsid w:val="00074B4F"/>
    <w:rsid w:val="000752B9"/>
    <w:rsid w:val="000753EB"/>
    <w:rsid w:val="00075C2D"/>
    <w:rsid w:val="00075D8C"/>
    <w:rsid w:val="000763A8"/>
    <w:rsid w:val="000764E9"/>
    <w:rsid w:val="00076637"/>
    <w:rsid w:val="000771CC"/>
    <w:rsid w:val="0007726E"/>
    <w:rsid w:val="00077715"/>
    <w:rsid w:val="00077F4B"/>
    <w:rsid w:val="00080B55"/>
    <w:rsid w:val="00080D9D"/>
    <w:rsid w:val="00082566"/>
    <w:rsid w:val="000825FE"/>
    <w:rsid w:val="000836CF"/>
    <w:rsid w:val="00083F5F"/>
    <w:rsid w:val="00083FFF"/>
    <w:rsid w:val="00084218"/>
    <w:rsid w:val="00084D56"/>
    <w:rsid w:val="00084E84"/>
    <w:rsid w:val="000856C9"/>
    <w:rsid w:val="0008596F"/>
    <w:rsid w:val="00085CAF"/>
    <w:rsid w:val="00086AA7"/>
    <w:rsid w:val="00086D2A"/>
    <w:rsid w:val="00087082"/>
    <w:rsid w:val="00087173"/>
    <w:rsid w:val="00090097"/>
    <w:rsid w:val="000901E0"/>
    <w:rsid w:val="00090509"/>
    <w:rsid w:val="00090B00"/>
    <w:rsid w:val="0009116A"/>
    <w:rsid w:val="0009162B"/>
    <w:rsid w:val="0009168D"/>
    <w:rsid w:val="000918E1"/>
    <w:rsid w:val="00091BB6"/>
    <w:rsid w:val="000924D4"/>
    <w:rsid w:val="00092A00"/>
    <w:rsid w:val="00092E25"/>
    <w:rsid w:val="0009304C"/>
    <w:rsid w:val="00093632"/>
    <w:rsid w:val="00093A61"/>
    <w:rsid w:val="000943AD"/>
    <w:rsid w:val="00094D90"/>
    <w:rsid w:val="000950D2"/>
    <w:rsid w:val="000950E2"/>
    <w:rsid w:val="000959B1"/>
    <w:rsid w:val="00096F29"/>
    <w:rsid w:val="00097D33"/>
    <w:rsid w:val="000A0DEE"/>
    <w:rsid w:val="000A124A"/>
    <w:rsid w:val="000A1286"/>
    <w:rsid w:val="000A1A1E"/>
    <w:rsid w:val="000A2238"/>
    <w:rsid w:val="000A3257"/>
    <w:rsid w:val="000A375F"/>
    <w:rsid w:val="000A3C93"/>
    <w:rsid w:val="000A47A9"/>
    <w:rsid w:val="000A5424"/>
    <w:rsid w:val="000A5BCD"/>
    <w:rsid w:val="000A5DAB"/>
    <w:rsid w:val="000A5E1C"/>
    <w:rsid w:val="000A61F5"/>
    <w:rsid w:val="000A64A9"/>
    <w:rsid w:val="000A7188"/>
    <w:rsid w:val="000A7491"/>
    <w:rsid w:val="000A75A9"/>
    <w:rsid w:val="000A7F19"/>
    <w:rsid w:val="000B0030"/>
    <w:rsid w:val="000B0335"/>
    <w:rsid w:val="000B0C70"/>
    <w:rsid w:val="000B172C"/>
    <w:rsid w:val="000B1928"/>
    <w:rsid w:val="000B1DC0"/>
    <w:rsid w:val="000B1DDE"/>
    <w:rsid w:val="000B25E3"/>
    <w:rsid w:val="000B2D76"/>
    <w:rsid w:val="000B2E84"/>
    <w:rsid w:val="000B34B6"/>
    <w:rsid w:val="000B41FF"/>
    <w:rsid w:val="000B4FCF"/>
    <w:rsid w:val="000B5802"/>
    <w:rsid w:val="000B6E57"/>
    <w:rsid w:val="000B6EEC"/>
    <w:rsid w:val="000B7727"/>
    <w:rsid w:val="000B7995"/>
    <w:rsid w:val="000B7A32"/>
    <w:rsid w:val="000B7A85"/>
    <w:rsid w:val="000B7FBD"/>
    <w:rsid w:val="000C06B2"/>
    <w:rsid w:val="000C0C99"/>
    <w:rsid w:val="000C1693"/>
    <w:rsid w:val="000C1ABC"/>
    <w:rsid w:val="000C273E"/>
    <w:rsid w:val="000C2B84"/>
    <w:rsid w:val="000C32FD"/>
    <w:rsid w:val="000C4350"/>
    <w:rsid w:val="000C453A"/>
    <w:rsid w:val="000C4C6A"/>
    <w:rsid w:val="000C4DCB"/>
    <w:rsid w:val="000C4F00"/>
    <w:rsid w:val="000C5C80"/>
    <w:rsid w:val="000C6098"/>
    <w:rsid w:val="000C612F"/>
    <w:rsid w:val="000C713D"/>
    <w:rsid w:val="000C725C"/>
    <w:rsid w:val="000C7293"/>
    <w:rsid w:val="000C751E"/>
    <w:rsid w:val="000C7605"/>
    <w:rsid w:val="000C7C28"/>
    <w:rsid w:val="000D0650"/>
    <w:rsid w:val="000D0C0C"/>
    <w:rsid w:val="000D0D4A"/>
    <w:rsid w:val="000D121F"/>
    <w:rsid w:val="000D15C9"/>
    <w:rsid w:val="000D3308"/>
    <w:rsid w:val="000D34F9"/>
    <w:rsid w:val="000D36E5"/>
    <w:rsid w:val="000D45B5"/>
    <w:rsid w:val="000D4A57"/>
    <w:rsid w:val="000D5325"/>
    <w:rsid w:val="000D592C"/>
    <w:rsid w:val="000D5B30"/>
    <w:rsid w:val="000D6419"/>
    <w:rsid w:val="000D6933"/>
    <w:rsid w:val="000D74E8"/>
    <w:rsid w:val="000D7C2D"/>
    <w:rsid w:val="000D7DD7"/>
    <w:rsid w:val="000D7F6B"/>
    <w:rsid w:val="000E0DED"/>
    <w:rsid w:val="000E0E76"/>
    <w:rsid w:val="000E1174"/>
    <w:rsid w:val="000E15F4"/>
    <w:rsid w:val="000E1B3C"/>
    <w:rsid w:val="000E1C03"/>
    <w:rsid w:val="000E1C8E"/>
    <w:rsid w:val="000E1CF6"/>
    <w:rsid w:val="000E21F5"/>
    <w:rsid w:val="000E27F8"/>
    <w:rsid w:val="000E2A18"/>
    <w:rsid w:val="000E37FC"/>
    <w:rsid w:val="000E394E"/>
    <w:rsid w:val="000E432A"/>
    <w:rsid w:val="000E4344"/>
    <w:rsid w:val="000E462D"/>
    <w:rsid w:val="000E4B0D"/>
    <w:rsid w:val="000E5A95"/>
    <w:rsid w:val="000E5BF1"/>
    <w:rsid w:val="000E6804"/>
    <w:rsid w:val="000E70CA"/>
    <w:rsid w:val="000F01D3"/>
    <w:rsid w:val="000F0426"/>
    <w:rsid w:val="000F15A1"/>
    <w:rsid w:val="000F15B9"/>
    <w:rsid w:val="000F1710"/>
    <w:rsid w:val="000F34FB"/>
    <w:rsid w:val="000F3E1D"/>
    <w:rsid w:val="000F3F81"/>
    <w:rsid w:val="000F4DF8"/>
    <w:rsid w:val="000F6F1C"/>
    <w:rsid w:val="000F7369"/>
    <w:rsid w:val="000F75C8"/>
    <w:rsid w:val="000F7674"/>
    <w:rsid w:val="000F7842"/>
    <w:rsid w:val="000F7950"/>
    <w:rsid w:val="001003C1"/>
    <w:rsid w:val="00100BF5"/>
    <w:rsid w:val="00101130"/>
    <w:rsid w:val="001020BA"/>
    <w:rsid w:val="00103123"/>
    <w:rsid w:val="001038D4"/>
    <w:rsid w:val="00105D4A"/>
    <w:rsid w:val="00105D51"/>
    <w:rsid w:val="001069AA"/>
    <w:rsid w:val="00106FA9"/>
    <w:rsid w:val="001073CD"/>
    <w:rsid w:val="00107A40"/>
    <w:rsid w:val="00107CB6"/>
    <w:rsid w:val="00107EE0"/>
    <w:rsid w:val="00110300"/>
    <w:rsid w:val="0011061D"/>
    <w:rsid w:val="00110C95"/>
    <w:rsid w:val="001112A6"/>
    <w:rsid w:val="00111450"/>
    <w:rsid w:val="00111B53"/>
    <w:rsid w:val="00111CD3"/>
    <w:rsid w:val="00111DF7"/>
    <w:rsid w:val="001122E0"/>
    <w:rsid w:val="0011255A"/>
    <w:rsid w:val="001135C8"/>
    <w:rsid w:val="00114109"/>
    <w:rsid w:val="00114F72"/>
    <w:rsid w:val="001154FE"/>
    <w:rsid w:val="001162C7"/>
    <w:rsid w:val="0011716C"/>
    <w:rsid w:val="00117A88"/>
    <w:rsid w:val="00117D91"/>
    <w:rsid w:val="00120BD8"/>
    <w:rsid w:val="001213C5"/>
    <w:rsid w:val="001214BC"/>
    <w:rsid w:val="0012160A"/>
    <w:rsid w:val="00122194"/>
    <w:rsid w:val="00122310"/>
    <w:rsid w:val="0012259D"/>
    <w:rsid w:val="00122686"/>
    <w:rsid w:val="0012278B"/>
    <w:rsid w:val="0012297E"/>
    <w:rsid w:val="00123161"/>
    <w:rsid w:val="00123A21"/>
    <w:rsid w:val="00124937"/>
    <w:rsid w:val="00124BD9"/>
    <w:rsid w:val="00124C10"/>
    <w:rsid w:val="00125F34"/>
    <w:rsid w:val="001266D4"/>
    <w:rsid w:val="001267C9"/>
    <w:rsid w:val="00126800"/>
    <w:rsid w:val="00126B7D"/>
    <w:rsid w:val="00127A01"/>
    <w:rsid w:val="001307FB"/>
    <w:rsid w:val="00131769"/>
    <w:rsid w:val="00131D0E"/>
    <w:rsid w:val="00131D12"/>
    <w:rsid w:val="001321B4"/>
    <w:rsid w:val="00132281"/>
    <w:rsid w:val="001323A7"/>
    <w:rsid w:val="001329E0"/>
    <w:rsid w:val="00132FFB"/>
    <w:rsid w:val="0013320B"/>
    <w:rsid w:val="0013440A"/>
    <w:rsid w:val="00134BAF"/>
    <w:rsid w:val="00134C74"/>
    <w:rsid w:val="0013539D"/>
    <w:rsid w:val="001354B4"/>
    <w:rsid w:val="00135973"/>
    <w:rsid w:val="00135B37"/>
    <w:rsid w:val="001360B2"/>
    <w:rsid w:val="001363E9"/>
    <w:rsid w:val="001368B8"/>
    <w:rsid w:val="00136FB6"/>
    <w:rsid w:val="00137151"/>
    <w:rsid w:val="001371D7"/>
    <w:rsid w:val="001378C8"/>
    <w:rsid w:val="00137B6C"/>
    <w:rsid w:val="00137BE1"/>
    <w:rsid w:val="00137FEF"/>
    <w:rsid w:val="00140407"/>
    <w:rsid w:val="00140959"/>
    <w:rsid w:val="001410A3"/>
    <w:rsid w:val="001418DD"/>
    <w:rsid w:val="001423CE"/>
    <w:rsid w:val="00142F11"/>
    <w:rsid w:val="0014404B"/>
    <w:rsid w:val="001448E8"/>
    <w:rsid w:val="00144C33"/>
    <w:rsid w:val="00144DE6"/>
    <w:rsid w:val="00144F1F"/>
    <w:rsid w:val="001459A0"/>
    <w:rsid w:val="00145E49"/>
    <w:rsid w:val="00145F0A"/>
    <w:rsid w:val="0014640F"/>
    <w:rsid w:val="0014698C"/>
    <w:rsid w:val="00147009"/>
    <w:rsid w:val="00147366"/>
    <w:rsid w:val="0014767D"/>
    <w:rsid w:val="00147843"/>
    <w:rsid w:val="00147DBD"/>
    <w:rsid w:val="001506F8"/>
    <w:rsid w:val="001509E9"/>
    <w:rsid w:val="00151165"/>
    <w:rsid w:val="001518A3"/>
    <w:rsid w:val="00151A67"/>
    <w:rsid w:val="00151B53"/>
    <w:rsid w:val="0015211F"/>
    <w:rsid w:val="00152BFF"/>
    <w:rsid w:val="0015436C"/>
    <w:rsid w:val="00154422"/>
    <w:rsid w:val="00154ECE"/>
    <w:rsid w:val="00155025"/>
    <w:rsid w:val="001550D9"/>
    <w:rsid w:val="00155614"/>
    <w:rsid w:val="00155D14"/>
    <w:rsid w:val="00156A45"/>
    <w:rsid w:val="00157255"/>
    <w:rsid w:val="001576A0"/>
    <w:rsid w:val="00157997"/>
    <w:rsid w:val="00157C32"/>
    <w:rsid w:val="00160A38"/>
    <w:rsid w:val="00160B79"/>
    <w:rsid w:val="00161277"/>
    <w:rsid w:val="0016168E"/>
    <w:rsid w:val="00162407"/>
    <w:rsid w:val="00162C3E"/>
    <w:rsid w:val="00162E08"/>
    <w:rsid w:val="00163F88"/>
    <w:rsid w:val="001641AE"/>
    <w:rsid w:val="0016447E"/>
    <w:rsid w:val="00164D31"/>
    <w:rsid w:val="00165214"/>
    <w:rsid w:val="001653A7"/>
    <w:rsid w:val="00165553"/>
    <w:rsid w:val="001656FB"/>
    <w:rsid w:val="00165729"/>
    <w:rsid w:val="00165777"/>
    <w:rsid w:val="00166086"/>
    <w:rsid w:val="00166DCD"/>
    <w:rsid w:val="001673CD"/>
    <w:rsid w:val="001701B8"/>
    <w:rsid w:val="00170C82"/>
    <w:rsid w:val="00170F55"/>
    <w:rsid w:val="00171039"/>
    <w:rsid w:val="00171DB8"/>
    <w:rsid w:val="001722D2"/>
    <w:rsid w:val="0017273B"/>
    <w:rsid w:val="00172A27"/>
    <w:rsid w:val="00172A6C"/>
    <w:rsid w:val="001736CA"/>
    <w:rsid w:val="0017387F"/>
    <w:rsid w:val="00173A48"/>
    <w:rsid w:val="00173AE0"/>
    <w:rsid w:val="001744F4"/>
    <w:rsid w:val="00177DA9"/>
    <w:rsid w:val="00181087"/>
    <w:rsid w:val="001815FC"/>
    <w:rsid w:val="00182C3A"/>
    <w:rsid w:val="00182C7E"/>
    <w:rsid w:val="00182ECC"/>
    <w:rsid w:val="00182ED0"/>
    <w:rsid w:val="001830CD"/>
    <w:rsid w:val="00183508"/>
    <w:rsid w:val="0018372B"/>
    <w:rsid w:val="00183CB0"/>
    <w:rsid w:val="00185228"/>
    <w:rsid w:val="001867BE"/>
    <w:rsid w:val="00187D30"/>
    <w:rsid w:val="00187E09"/>
    <w:rsid w:val="00187F84"/>
    <w:rsid w:val="0019088F"/>
    <w:rsid w:val="001915DE"/>
    <w:rsid w:val="00191E34"/>
    <w:rsid w:val="001922B0"/>
    <w:rsid w:val="001926F0"/>
    <w:rsid w:val="00192754"/>
    <w:rsid w:val="001929A0"/>
    <w:rsid w:val="0019348C"/>
    <w:rsid w:val="00193B32"/>
    <w:rsid w:val="001944B2"/>
    <w:rsid w:val="001949E0"/>
    <w:rsid w:val="001950DD"/>
    <w:rsid w:val="001952CD"/>
    <w:rsid w:val="00195946"/>
    <w:rsid w:val="00195BB4"/>
    <w:rsid w:val="00196116"/>
    <w:rsid w:val="0019621C"/>
    <w:rsid w:val="001968FA"/>
    <w:rsid w:val="00196C0E"/>
    <w:rsid w:val="00197948"/>
    <w:rsid w:val="00197D2B"/>
    <w:rsid w:val="00197E5A"/>
    <w:rsid w:val="001A041A"/>
    <w:rsid w:val="001A0448"/>
    <w:rsid w:val="001A0932"/>
    <w:rsid w:val="001A0A92"/>
    <w:rsid w:val="001A0F95"/>
    <w:rsid w:val="001A1CC6"/>
    <w:rsid w:val="001A1E46"/>
    <w:rsid w:val="001A1F90"/>
    <w:rsid w:val="001A2154"/>
    <w:rsid w:val="001A2303"/>
    <w:rsid w:val="001A27CB"/>
    <w:rsid w:val="001A35B1"/>
    <w:rsid w:val="001A3BD1"/>
    <w:rsid w:val="001A3C64"/>
    <w:rsid w:val="001A42C3"/>
    <w:rsid w:val="001A48CF"/>
    <w:rsid w:val="001A4D2F"/>
    <w:rsid w:val="001A5843"/>
    <w:rsid w:val="001A5A5E"/>
    <w:rsid w:val="001A5EF0"/>
    <w:rsid w:val="001A601E"/>
    <w:rsid w:val="001A6208"/>
    <w:rsid w:val="001A64F8"/>
    <w:rsid w:val="001A6F4E"/>
    <w:rsid w:val="001A7958"/>
    <w:rsid w:val="001A79FB"/>
    <w:rsid w:val="001B02C5"/>
    <w:rsid w:val="001B0CA5"/>
    <w:rsid w:val="001B0EA7"/>
    <w:rsid w:val="001B1480"/>
    <w:rsid w:val="001B1AFB"/>
    <w:rsid w:val="001B23CD"/>
    <w:rsid w:val="001B2D6D"/>
    <w:rsid w:val="001B384C"/>
    <w:rsid w:val="001B4131"/>
    <w:rsid w:val="001B4739"/>
    <w:rsid w:val="001B4DF1"/>
    <w:rsid w:val="001B4F2C"/>
    <w:rsid w:val="001B62E4"/>
    <w:rsid w:val="001B66B4"/>
    <w:rsid w:val="001B7433"/>
    <w:rsid w:val="001B7ECF"/>
    <w:rsid w:val="001C0176"/>
    <w:rsid w:val="001C0EF1"/>
    <w:rsid w:val="001C1952"/>
    <w:rsid w:val="001C1F3C"/>
    <w:rsid w:val="001C3271"/>
    <w:rsid w:val="001C344D"/>
    <w:rsid w:val="001C3950"/>
    <w:rsid w:val="001C3A56"/>
    <w:rsid w:val="001C3DD1"/>
    <w:rsid w:val="001C3F67"/>
    <w:rsid w:val="001C487C"/>
    <w:rsid w:val="001C5320"/>
    <w:rsid w:val="001C558D"/>
    <w:rsid w:val="001C57F9"/>
    <w:rsid w:val="001C5ED2"/>
    <w:rsid w:val="001C6757"/>
    <w:rsid w:val="001C716E"/>
    <w:rsid w:val="001C779A"/>
    <w:rsid w:val="001D03A8"/>
    <w:rsid w:val="001D05F0"/>
    <w:rsid w:val="001D0E7A"/>
    <w:rsid w:val="001D1103"/>
    <w:rsid w:val="001D163C"/>
    <w:rsid w:val="001D1ACB"/>
    <w:rsid w:val="001D2C9B"/>
    <w:rsid w:val="001D2D48"/>
    <w:rsid w:val="001D32D1"/>
    <w:rsid w:val="001D3455"/>
    <w:rsid w:val="001D37E1"/>
    <w:rsid w:val="001D3B03"/>
    <w:rsid w:val="001D3C4B"/>
    <w:rsid w:val="001D3C9E"/>
    <w:rsid w:val="001D4616"/>
    <w:rsid w:val="001D472C"/>
    <w:rsid w:val="001D4D83"/>
    <w:rsid w:val="001D5251"/>
    <w:rsid w:val="001D528D"/>
    <w:rsid w:val="001D56B5"/>
    <w:rsid w:val="001D5A0F"/>
    <w:rsid w:val="001D60C5"/>
    <w:rsid w:val="001D6B25"/>
    <w:rsid w:val="001D7C8E"/>
    <w:rsid w:val="001E02F7"/>
    <w:rsid w:val="001E0502"/>
    <w:rsid w:val="001E104E"/>
    <w:rsid w:val="001E1423"/>
    <w:rsid w:val="001E15CC"/>
    <w:rsid w:val="001E1B15"/>
    <w:rsid w:val="001E24AE"/>
    <w:rsid w:val="001E29B9"/>
    <w:rsid w:val="001E3BBB"/>
    <w:rsid w:val="001E3BF2"/>
    <w:rsid w:val="001E4195"/>
    <w:rsid w:val="001E4196"/>
    <w:rsid w:val="001E46BF"/>
    <w:rsid w:val="001E4EE9"/>
    <w:rsid w:val="001E5404"/>
    <w:rsid w:val="001E58EF"/>
    <w:rsid w:val="001E5D1C"/>
    <w:rsid w:val="001E5E04"/>
    <w:rsid w:val="001E6588"/>
    <w:rsid w:val="001E6BF5"/>
    <w:rsid w:val="001F035E"/>
    <w:rsid w:val="001F073C"/>
    <w:rsid w:val="001F07C9"/>
    <w:rsid w:val="001F0AE2"/>
    <w:rsid w:val="001F1A44"/>
    <w:rsid w:val="001F23CC"/>
    <w:rsid w:val="001F2DBA"/>
    <w:rsid w:val="001F3367"/>
    <w:rsid w:val="001F4217"/>
    <w:rsid w:val="001F4A6B"/>
    <w:rsid w:val="001F5558"/>
    <w:rsid w:val="001F5DC2"/>
    <w:rsid w:val="001F6942"/>
    <w:rsid w:val="001F7127"/>
    <w:rsid w:val="001F79AE"/>
    <w:rsid w:val="001F7B19"/>
    <w:rsid w:val="001F7C24"/>
    <w:rsid w:val="00200456"/>
    <w:rsid w:val="0020079D"/>
    <w:rsid w:val="0020080B"/>
    <w:rsid w:val="00201A14"/>
    <w:rsid w:val="00202104"/>
    <w:rsid w:val="0020210F"/>
    <w:rsid w:val="00202A58"/>
    <w:rsid w:val="0020315A"/>
    <w:rsid w:val="0020324A"/>
    <w:rsid w:val="0020376C"/>
    <w:rsid w:val="0020382C"/>
    <w:rsid w:val="00203AEE"/>
    <w:rsid w:val="00203BFC"/>
    <w:rsid w:val="00204192"/>
    <w:rsid w:val="002056AB"/>
    <w:rsid w:val="00206444"/>
    <w:rsid w:val="0020661A"/>
    <w:rsid w:val="002068BE"/>
    <w:rsid w:val="00207313"/>
    <w:rsid w:val="00207BEB"/>
    <w:rsid w:val="002102F0"/>
    <w:rsid w:val="002104C9"/>
    <w:rsid w:val="00211553"/>
    <w:rsid w:val="002115CB"/>
    <w:rsid w:val="002118E9"/>
    <w:rsid w:val="00212E53"/>
    <w:rsid w:val="00213F7C"/>
    <w:rsid w:val="00214713"/>
    <w:rsid w:val="00214B02"/>
    <w:rsid w:val="00214F07"/>
    <w:rsid w:val="002152E0"/>
    <w:rsid w:val="00215441"/>
    <w:rsid w:val="00215A78"/>
    <w:rsid w:val="00215EEA"/>
    <w:rsid w:val="002160BF"/>
    <w:rsid w:val="00216147"/>
    <w:rsid w:val="00216EF6"/>
    <w:rsid w:val="0022019F"/>
    <w:rsid w:val="002201E3"/>
    <w:rsid w:val="00220627"/>
    <w:rsid w:val="00221318"/>
    <w:rsid w:val="00221BCD"/>
    <w:rsid w:val="00221E6E"/>
    <w:rsid w:val="00222606"/>
    <w:rsid w:val="00222B1F"/>
    <w:rsid w:val="00222DE8"/>
    <w:rsid w:val="00223084"/>
    <w:rsid w:val="002237C1"/>
    <w:rsid w:val="00223AD0"/>
    <w:rsid w:val="00223E70"/>
    <w:rsid w:val="00224175"/>
    <w:rsid w:val="002243B7"/>
    <w:rsid w:val="0022490A"/>
    <w:rsid w:val="00225119"/>
    <w:rsid w:val="002257C8"/>
    <w:rsid w:val="00225AF8"/>
    <w:rsid w:val="00226199"/>
    <w:rsid w:val="00227048"/>
    <w:rsid w:val="00227854"/>
    <w:rsid w:val="00227E5B"/>
    <w:rsid w:val="0023056D"/>
    <w:rsid w:val="00230A66"/>
    <w:rsid w:val="00231218"/>
    <w:rsid w:val="00232004"/>
    <w:rsid w:val="00233C63"/>
    <w:rsid w:val="00233C64"/>
    <w:rsid w:val="00233E2D"/>
    <w:rsid w:val="00234FBF"/>
    <w:rsid w:val="00235241"/>
    <w:rsid w:val="00235891"/>
    <w:rsid w:val="00236544"/>
    <w:rsid w:val="002370A6"/>
    <w:rsid w:val="0023796A"/>
    <w:rsid w:val="00237F46"/>
    <w:rsid w:val="002401CD"/>
    <w:rsid w:val="00240A65"/>
    <w:rsid w:val="00240EB5"/>
    <w:rsid w:val="002410F8"/>
    <w:rsid w:val="0024112A"/>
    <w:rsid w:val="0024171A"/>
    <w:rsid w:val="002419BC"/>
    <w:rsid w:val="00241C9A"/>
    <w:rsid w:val="00242827"/>
    <w:rsid w:val="00243ED6"/>
    <w:rsid w:val="002447C1"/>
    <w:rsid w:val="00244A44"/>
    <w:rsid w:val="00244DA0"/>
    <w:rsid w:val="002453C3"/>
    <w:rsid w:val="00245B81"/>
    <w:rsid w:val="00246D93"/>
    <w:rsid w:val="00246F35"/>
    <w:rsid w:val="00247090"/>
    <w:rsid w:val="002472A7"/>
    <w:rsid w:val="00247C3C"/>
    <w:rsid w:val="00250174"/>
    <w:rsid w:val="00250AFD"/>
    <w:rsid w:val="00250E4C"/>
    <w:rsid w:val="0025186E"/>
    <w:rsid w:val="00251DC5"/>
    <w:rsid w:val="002528DD"/>
    <w:rsid w:val="00253256"/>
    <w:rsid w:val="002537FB"/>
    <w:rsid w:val="0025427A"/>
    <w:rsid w:val="00254962"/>
    <w:rsid w:val="00254ADA"/>
    <w:rsid w:val="00254B4C"/>
    <w:rsid w:val="00254E23"/>
    <w:rsid w:val="0025662E"/>
    <w:rsid w:val="00256773"/>
    <w:rsid w:val="002569C2"/>
    <w:rsid w:val="00256C14"/>
    <w:rsid w:val="00257968"/>
    <w:rsid w:val="002608F8"/>
    <w:rsid w:val="00260928"/>
    <w:rsid w:val="002618C1"/>
    <w:rsid w:val="00261A28"/>
    <w:rsid w:val="00262B74"/>
    <w:rsid w:val="0026338E"/>
    <w:rsid w:val="00263672"/>
    <w:rsid w:val="00263B7C"/>
    <w:rsid w:val="00264D6D"/>
    <w:rsid w:val="00265083"/>
    <w:rsid w:val="002651CB"/>
    <w:rsid w:val="002651E7"/>
    <w:rsid w:val="002663D4"/>
    <w:rsid w:val="00266E50"/>
    <w:rsid w:val="00266F6B"/>
    <w:rsid w:val="002671C4"/>
    <w:rsid w:val="00267C84"/>
    <w:rsid w:val="00270100"/>
    <w:rsid w:val="00270555"/>
    <w:rsid w:val="0027154C"/>
    <w:rsid w:val="00271CAE"/>
    <w:rsid w:val="00273488"/>
    <w:rsid w:val="00273ADD"/>
    <w:rsid w:val="00274098"/>
    <w:rsid w:val="00274E6B"/>
    <w:rsid w:val="0027501C"/>
    <w:rsid w:val="002760AB"/>
    <w:rsid w:val="002774BC"/>
    <w:rsid w:val="00277E4D"/>
    <w:rsid w:val="0028007B"/>
    <w:rsid w:val="00281271"/>
    <w:rsid w:val="00281580"/>
    <w:rsid w:val="00281916"/>
    <w:rsid w:val="00282903"/>
    <w:rsid w:val="00282B50"/>
    <w:rsid w:val="00282BAD"/>
    <w:rsid w:val="00282EB1"/>
    <w:rsid w:val="00282F58"/>
    <w:rsid w:val="0028332D"/>
    <w:rsid w:val="00283485"/>
    <w:rsid w:val="002834EF"/>
    <w:rsid w:val="002836C6"/>
    <w:rsid w:val="00283F42"/>
    <w:rsid w:val="002845C3"/>
    <w:rsid w:val="002857D9"/>
    <w:rsid w:val="00285AFF"/>
    <w:rsid w:val="00285EDD"/>
    <w:rsid w:val="00286065"/>
    <w:rsid w:val="002863EA"/>
    <w:rsid w:val="00286797"/>
    <w:rsid w:val="0028768A"/>
    <w:rsid w:val="002900FC"/>
    <w:rsid w:val="00290100"/>
    <w:rsid w:val="00290EE7"/>
    <w:rsid w:val="00291B07"/>
    <w:rsid w:val="00291EFD"/>
    <w:rsid w:val="002920D7"/>
    <w:rsid w:val="002926B2"/>
    <w:rsid w:val="00292AE0"/>
    <w:rsid w:val="00292C44"/>
    <w:rsid w:val="002930E1"/>
    <w:rsid w:val="00293288"/>
    <w:rsid w:val="002935BA"/>
    <w:rsid w:val="002936C4"/>
    <w:rsid w:val="00293B07"/>
    <w:rsid w:val="002950BB"/>
    <w:rsid w:val="0029510B"/>
    <w:rsid w:val="00295814"/>
    <w:rsid w:val="00295E85"/>
    <w:rsid w:val="00295F00"/>
    <w:rsid w:val="00296006"/>
    <w:rsid w:val="002967EB"/>
    <w:rsid w:val="002969AD"/>
    <w:rsid w:val="00296C1A"/>
    <w:rsid w:val="002970EE"/>
    <w:rsid w:val="002971CD"/>
    <w:rsid w:val="00297670"/>
    <w:rsid w:val="00297726"/>
    <w:rsid w:val="00297A4E"/>
    <w:rsid w:val="00297B47"/>
    <w:rsid w:val="00297E9F"/>
    <w:rsid w:val="002A0ADF"/>
    <w:rsid w:val="002A1032"/>
    <w:rsid w:val="002A254F"/>
    <w:rsid w:val="002A2B18"/>
    <w:rsid w:val="002A3236"/>
    <w:rsid w:val="002A3481"/>
    <w:rsid w:val="002A3807"/>
    <w:rsid w:val="002A3F6A"/>
    <w:rsid w:val="002A48F4"/>
    <w:rsid w:val="002A49AE"/>
    <w:rsid w:val="002A4A19"/>
    <w:rsid w:val="002A5456"/>
    <w:rsid w:val="002A5F2C"/>
    <w:rsid w:val="002A6C3B"/>
    <w:rsid w:val="002A71CE"/>
    <w:rsid w:val="002A7671"/>
    <w:rsid w:val="002B03F4"/>
    <w:rsid w:val="002B0555"/>
    <w:rsid w:val="002B0B34"/>
    <w:rsid w:val="002B11E6"/>
    <w:rsid w:val="002B1626"/>
    <w:rsid w:val="002B1ACA"/>
    <w:rsid w:val="002B24A7"/>
    <w:rsid w:val="002B3710"/>
    <w:rsid w:val="002B41E8"/>
    <w:rsid w:val="002B5527"/>
    <w:rsid w:val="002B5D0B"/>
    <w:rsid w:val="002B646F"/>
    <w:rsid w:val="002B6BF2"/>
    <w:rsid w:val="002B6F41"/>
    <w:rsid w:val="002B7845"/>
    <w:rsid w:val="002B7C77"/>
    <w:rsid w:val="002C047C"/>
    <w:rsid w:val="002C120A"/>
    <w:rsid w:val="002C1467"/>
    <w:rsid w:val="002C1C1E"/>
    <w:rsid w:val="002C2BC1"/>
    <w:rsid w:val="002C2BE2"/>
    <w:rsid w:val="002C30F4"/>
    <w:rsid w:val="002C32EC"/>
    <w:rsid w:val="002C3466"/>
    <w:rsid w:val="002C34B7"/>
    <w:rsid w:val="002C35A8"/>
    <w:rsid w:val="002C372D"/>
    <w:rsid w:val="002C3AAB"/>
    <w:rsid w:val="002C4206"/>
    <w:rsid w:val="002C4830"/>
    <w:rsid w:val="002C5310"/>
    <w:rsid w:val="002C53A5"/>
    <w:rsid w:val="002C54B6"/>
    <w:rsid w:val="002C5544"/>
    <w:rsid w:val="002C5800"/>
    <w:rsid w:val="002C59BD"/>
    <w:rsid w:val="002C6AFE"/>
    <w:rsid w:val="002C7170"/>
    <w:rsid w:val="002C7462"/>
    <w:rsid w:val="002C7B7F"/>
    <w:rsid w:val="002D10A1"/>
    <w:rsid w:val="002D1822"/>
    <w:rsid w:val="002D18BF"/>
    <w:rsid w:val="002D21C4"/>
    <w:rsid w:val="002D30FC"/>
    <w:rsid w:val="002D38F8"/>
    <w:rsid w:val="002D4102"/>
    <w:rsid w:val="002D492B"/>
    <w:rsid w:val="002D4A16"/>
    <w:rsid w:val="002D4E61"/>
    <w:rsid w:val="002D5728"/>
    <w:rsid w:val="002D58AC"/>
    <w:rsid w:val="002D59DE"/>
    <w:rsid w:val="002D5C28"/>
    <w:rsid w:val="002D5CE0"/>
    <w:rsid w:val="002D681A"/>
    <w:rsid w:val="002D6843"/>
    <w:rsid w:val="002D6921"/>
    <w:rsid w:val="002D7950"/>
    <w:rsid w:val="002E06F0"/>
    <w:rsid w:val="002E071B"/>
    <w:rsid w:val="002E0D55"/>
    <w:rsid w:val="002E0DA6"/>
    <w:rsid w:val="002E102F"/>
    <w:rsid w:val="002E19CF"/>
    <w:rsid w:val="002E1AA7"/>
    <w:rsid w:val="002E20E4"/>
    <w:rsid w:val="002E21A5"/>
    <w:rsid w:val="002E21F0"/>
    <w:rsid w:val="002E2BCE"/>
    <w:rsid w:val="002E32F7"/>
    <w:rsid w:val="002E3594"/>
    <w:rsid w:val="002E376C"/>
    <w:rsid w:val="002E3D08"/>
    <w:rsid w:val="002E49CA"/>
    <w:rsid w:val="002E5231"/>
    <w:rsid w:val="002E5399"/>
    <w:rsid w:val="002E55D4"/>
    <w:rsid w:val="002E632B"/>
    <w:rsid w:val="002E6333"/>
    <w:rsid w:val="002E67CB"/>
    <w:rsid w:val="002E6C8A"/>
    <w:rsid w:val="002E71E1"/>
    <w:rsid w:val="002E7565"/>
    <w:rsid w:val="002E7F84"/>
    <w:rsid w:val="002F0F45"/>
    <w:rsid w:val="002F1304"/>
    <w:rsid w:val="002F16FA"/>
    <w:rsid w:val="002F1D10"/>
    <w:rsid w:val="002F239B"/>
    <w:rsid w:val="002F2929"/>
    <w:rsid w:val="002F295D"/>
    <w:rsid w:val="002F2EE4"/>
    <w:rsid w:val="002F3089"/>
    <w:rsid w:val="002F34EC"/>
    <w:rsid w:val="002F38F8"/>
    <w:rsid w:val="002F40FE"/>
    <w:rsid w:val="002F4E6C"/>
    <w:rsid w:val="002F5496"/>
    <w:rsid w:val="002F66A8"/>
    <w:rsid w:val="002F69BB"/>
    <w:rsid w:val="002F6A6B"/>
    <w:rsid w:val="002F6BF5"/>
    <w:rsid w:val="002F6E93"/>
    <w:rsid w:val="002F7578"/>
    <w:rsid w:val="002F75C7"/>
    <w:rsid w:val="002F760B"/>
    <w:rsid w:val="002F7DEF"/>
    <w:rsid w:val="00300062"/>
    <w:rsid w:val="00300134"/>
    <w:rsid w:val="00301FC5"/>
    <w:rsid w:val="00302E80"/>
    <w:rsid w:val="00303C93"/>
    <w:rsid w:val="00303FDE"/>
    <w:rsid w:val="00304093"/>
    <w:rsid w:val="003045D2"/>
    <w:rsid w:val="003047FA"/>
    <w:rsid w:val="003056AC"/>
    <w:rsid w:val="00305B1E"/>
    <w:rsid w:val="00305EE4"/>
    <w:rsid w:val="00306962"/>
    <w:rsid w:val="00310402"/>
    <w:rsid w:val="00310D6C"/>
    <w:rsid w:val="00310E39"/>
    <w:rsid w:val="003111C8"/>
    <w:rsid w:val="00311E28"/>
    <w:rsid w:val="00312E13"/>
    <w:rsid w:val="003131A1"/>
    <w:rsid w:val="003131F9"/>
    <w:rsid w:val="00313C23"/>
    <w:rsid w:val="003146F5"/>
    <w:rsid w:val="00314D4F"/>
    <w:rsid w:val="00315BAF"/>
    <w:rsid w:val="00315EDF"/>
    <w:rsid w:val="00316A5D"/>
    <w:rsid w:val="00316DF5"/>
    <w:rsid w:val="00316F56"/>
    <w:rsid w:val="003171A4"/>
    <w:rsid w:val="00320513"/>
    <w:rsid w:val="003205FE"/>
    <w:rsid w:val="00320FD3"/>
    <w:rsid w:val="00321644"/>
    <w:rsid w:val="00321CB7"/>
    <w:rsid w:val="00323C18"/>
    <w:rsid w:val="00323CF3"/>
    <w:rsid w:val="00323E6E"/>
    <w:rsid w:val="00324158"/>
    <w:rsid w:val="00324171"/>
    <w:rsid w:val="0032443C"/>
    <w:rsid w:val="00324D1A"/>
    <w:rsid w:val="00325F22"/>
    <w:rsid w:val="00326FBB"/>
    <w:rsid w:val="003300FC"/>
    <w:rsid w:val="00330875"/>
    <w:rsid w:val="00330C66"/>
    <w:rsid w:val="00330F15"/>
    <w:rsid w:val="00331113"/>
    <w:rsid w:val="0033127C"/>
    <w:rsid w:val="003315B2"/>
    <w:rsid w:val="00332416"/>
    <w:rsid w:val="00332456"/>
    <w:rsid w:val="0033286F"/>
    <w:rsid w:val="00332E89"/>
    <w:rsid w:val="00332FF1"/>
    <w:rsid w:val="00333690"/>
    <w:rsid w:val="00333A4E"/>
    <w:rsid w:val="00333C57"/>
    <w:rsid w:val="00334167"/>
    <w:rsid w:val="0033493E"/>
    <w:rsid w:val="00334B56"/>
    <w:rsid w:val="00334F16"/>
    <w:rsid w:val="003353EB"/>
    <w:rsid w:val="003354E6"/>
    <w:rsid w:val="00335A60"/>
    <w:rsid w:val="0033705D"/>
    <w:rsid w:val="003371E8"/>
    <w:rsid w:val="00337660"/>
    <w:rsid w:val="00340DE6"/>
    <w:rsid w:val="00341171"/>
    <w:rsid w:val="003411C9"/>
    <w:rsid w:val="003414DC"/>
    <w:rsid w:val="0034244F"/>
    <w:rsid w:val="00343568"/>
    <w:rsid w:val="0034364E"/>
    <w:rsid w:val="00343707"/>
    <w:rsid w:val="003439F9"/>
    <w:rsid w:val="00345165"/>
    <w:rsid w:val="0034517A"/>
    <w:rsid w:val="00345880"/>
    <w:rsid w:val="00345D8F"/>
    <w:rsid w:val="00345DE9"/>
    <w:rsid w:val="00346202"/>
    <w:rsid w:val="003463FD"/>
    <w:rsid w:val="00346E0C"/>
    <w:rsid w:val="00347027"/>
    <w:rsid w:val="00347180"/>
    <w:rsid w:val="003476FA"/>
    <w:rsid w:val="00347F0B"/>
    <w:rsid w:val="00347F7D"/>
    <w:rsid w:val="00350866"/>
    <w:rsid w:val="00350B0C"/>
    <w:rsid w:val="0035162E"/>
    <w:rsid w:val="00351A61"/>
    <w:rsid w:val="00351EE3"/>
    <w:rsid w:val="00352652"/>
    <w:rsid w:val="00352BF6"/>
    <w:rsid w:val="00353448"/>
    <w:rsid w:val="00353BBE"/>
    <w:rsid w:val="003543BA"/>
    <w:rsid w:val="00354A29"/>
    <w:rsid w:val="00354F19"/>
    <w:rsid w:val="0035503A"/>
    <w:rsid w:val="00355317"/>
    <w:rsid w:val="003559AE"/>
    <w:rsid w:val="00355E8F"/>
    <w:rsid w:val="00356256"/>
    <w:rsid w:val="00356514"/>
    <w:rsid w:val="00356D2F"/>
    <w:rsid w:val="0035729C"/>
    <w:rsid w:val="00357365"/>
    <w:rsid w:val="00357AF4"/>
    <w:rsid w:val="00357F8C"/>
    <w:rsid w:val="00360027"/>
    <w:rsid w:val="00360448"/>
    <w:rsid w:val="0036115B"/>
    <w:rsid w:val="003611FA"/>
    <w:rsid w:val="003615C8"/>
    <w:rsid w:val="00361A64"/>
    <w:rsid w:val="003623F9"/>
    <w:rsid w:val="003625F5"/>
    <w:rsid w:val="00362632"/>
    <w:rsid w:val="00362D2A"/>
    <w:rsid w:val="00362E8E"/>
    <w:rsid w:val="003633E0"/>
    <w:rsid w:val="00363E78"/>
    <w:rsid w:val="00363E7D"/>
    <w:rsid w:val="00364136"/>
    <w:rsid w:val="003648F0"/>
    <w:rsid w:val="00365678"/>
    <w:rsid w:val="00365E47"/>
    <w:rsid w:val="00366209"/>
    <w:rsid w:val="003662D9"/>
    <w:rsid w:val="003667B4"/>
    <w:rsid w:val="00366CE0"/>
    <w:rsid w:val="00367345"/>
    <w:rsid w:val="00367572"/>
    <w:rsid w:val="0036767E"/>
    <w:rsid w:val="00370634"/>
    <w:rsid w:val="00370B15"/>
    <w:rsid w:val="00371610"/>
    <w:rsid w:val="00371C81"/>
    <w:rsid w:val="0037209C"/>
    <w:rsid w:val="00372128"/>
    <w:rsid w:val="003722C6"/>
    <w:rsid w:val="0037230C"/>
    <w:rsid w:val="00372A0B"/>
    <w:rsid w:val="0037423D"/>
    <w:rsid w:val="0037427E"/>
    <w:rsid w:val="00374C19"/>
    <w:rsid w:val="00375224"/>
    <w:rsid w:val="00375822"/>
    <w:rsid w:val="00376718"/>
    <w:rsid w:val="00377120"/>
    <w:rsid w:val="00377658"/>
    <w:rsid w:val="0037771E"/>
    <w:rsid w:val="00377BDA"/>
    <w:rsid w:val="00377F38"/>
    <w:rsid w:val="00377F8F"/>
    <w:rsid w:val="00380144"/>
    <w:rsid w:val="0038069B"/>
    <w:rsid w:val="00380CEA"/>
    <w:rsid w:val="00380E06"/>
    <w:rsid w:val="00381D39"/>
    <w:rsid w:val="003828C3"/>
    <w:rsid w:val="00382E4B"/>
    <w:rsid w:val="00383E80"/>
    <w:rsid w:val="0038489B"/>
    <w:rsid w:val="00384D9B"/>
    <w:rsid w:val="00385006"/>
    <w:rsid w:val="00385DA3"/>
    <w:rsid w:val="003863BC"/>
    <w:rsid w:val="003902FC"/>
    <w:rsid w:val="00390495"/>
    <w:rsid w:val="00390743"/>
    <w:rsid w:val="0039128D"/>
    <w:rsid w:val="0039181F"/>
    <w:rsid w:val="003919A9"/>
    <w:rsid w:val="00391C3E"/>
    <w:rsid w:val="00391D34"/>
    <w:rsid w:val="00393512"/>
    <w:rsid w:val="003936C1"/>
    <w:rsid w:val="00393FAA"/>
    <w:rsid w:val="00394055"/>
    <w:rsid w:val="00394157"/>
    <w:rsid w:val="00394CB0"/>
    <w:rsid w:val="003955EF"/>
    <w:rsid w:val="00395989"/>
    <w:rsid w:val="003960E6"/>
    <w:rsid w:val="0039752B"/>
    <w:rsid w:val="00397D35"/>
    <w:rsid w:val="003A056A"/>
    <w:rsid w:val="003A087B"/>
    <w:rsid w:val="003A1D4C"/>
    <w:rsid w:val="003A2547"/>
    <w:rsid w:val="003A30B2"/>
    <w:rsid w:val="003A37B8"/>
    <w:rsid w:val="003A3C31"/>
    <w:rsid w:val="003A3C4E"/>
    <w:rsid w:val="003A3F88"/>
    <w:rsid w:val="003A4237"/>
    <w:rsid w:val="003A49C9"/>
    <w:rsid w:val="003A79E0"/>
    <w:rsid w:val="003B000B"/>
    <w:rsid w:val="003B00E1"/>
    <w:rsid w:val="003B098C"/>
    <w:rsid w:val="003B0FF0"/>
    <w:rsid w:val="003B1CE1"/>
    <w:rsid w:val="003B1E95"/>
    <w:rsid w:val="003B23FC"/>
    <w:rsid w:val="003B25C7"/>
    <w:rsid w:val="003B405C"/>
    <w:rsid w:val="003B42C8"/>
    <w:rsid w:val="003B4641"/>
    <w:rsid w:val="003B4673"/>
    <w:rsid w:val="003B4C8C"/>
    <w:rsid w:val="003B4FD1"/>
    <w:rsid w:val="003B5571"/>
    <w:rsid w:val="003B560F"/>
    <w:rsid w:val="003B5613"/>
    <w:rsid w:val="003B664E"/>
    <w:rsid w:val="003B7564"/>
    <w:rsid w:val="003B761A"/>
    <w:rsid w:val="003B779D"/>
    <w:rsid w:val="003B7CCF"/>
    <w:rsid w:val="003B7E40"/>
    <w:rsid w:val="003C046B"/>
    <w:rsid w:val="003C0E63"/>
    <w:rsid w:val="003C15CD"/>
    <w:rsid w:val="003C1633"/>
    <w:rsid w:val="003C187B"/>
    <w:rsid w:val="003C1AEA"/>
    <w:rsid w:val="003C2223"/>
    <w:rsid w:val="003C22A6"/>
    <w:rsid w:val="003C2BEA"/>
    <w:rsid w:val="003C3046"/>
    <w:rsid w:val="003C45AA"/>
    <w:rsid w:val="003C53A2"/>
    <w:rsid w:val="003C5713"/>
    <w:rsid w:val="003C5CC1"/>
    <w:rsid w:val="003C6EAD"/>
    <w:rsid w:val="003C7177"/>
    <w:rsid w:val="003C73D0"/>
    <w:rsid w:val="003C7AC3"/>
    <w:rsid w:val="003C7FF4"/>
    <w:rsid w:val="003D08EF"/>
    <w:rsid w:val="003D09C7"/>
    <w:rsid w:val="003D0A26"/>
    <w:rsid w:val="003D0DDC"/>
    <w:rsid w:val="003D15FD"/>
    <w:rsid w:val="003D24AB"/>
    <w:rsid w:val="003D2E20"/>
    <w:rsid w:val="003D2E79"/>
    <w:rsid w:val="003D3918"/>
    <w:rsid w:val="003D404A"/>
    <w:rsid w:val="003D46A0"/>
    <w:rsid w:val="003D4954"/>
    <w:rsid w:val="003D49EC"/>
    <w:rsid w:val="003D5420"/>
    <w:rsid w:val="003D66BA"/>
    <w:rsid w:val="003D7CBE"/>
    <w:rsid w:val="003D7CD5"/>
    <w:rsid w:val="003D7F2B"/>
    <w:rsid w:val="003E14E7"/>
    <w:rsid w:val="003E1A82"/>
    <w:rsid w:val="003E260E"/>
    <w:rsid w:val="003E2B30"/>
    <w:rsid w:val="003E2D06"/>
    <w:rsid w:val="003E2E95"/>
    <w:rsid w:val="003E36A8"/>
    <w:rsid w:val="003E3AFC"/>
    <w:rsid w:val="003E47A8"/>
    <w:rsid w:val="003E4A94"/>
    <w:rsid w:val="003E5432"/>
    <w:rsid w:val="003E54BD"/>
    <w:rsid w:val="003E58D1"/>
    <w:rsid w:val="003E5C2C"/>
    <w:rsid w:val="003E5EF2"/>
    <w:rsid w:val="003E6E2C"/>
    <w:rsid w:val="003E7003"/>
    <w:rsid w:val="003E7C9B"/>
    <w:rsid w:val="003E7E47"/>
    <w:rsid w:val="003E7F34"/>
    <w:rsid w:val="003F08B1"/>
    <w:rsid w:val="003F0DC1"/>
    <w:rsid w:val="003F12A4"/>
    <w:rsid w:val="003F1C35"/>
    <w:rsid w:val="003F251C"/>
    <w:rsid w:val="003F270D"/>
    <w:rsid w:val="003F2AAA"/>
    <w:rsid w:val="003F2FC2"/>
    <w:rsid w:val="003F2FF7"/>
    <w:rsid w:val="003F3405"/>
    <w:rsid w:val="003F5588"/>
    <w:rsid w:val="003F5948"/>
    <w:rsid w:val="003F5BD2"/>
    <w:rsid w:val="003F5F10"/>
    <w:rsid w:val="003F676D"/>
    <w:rsid w:val="003F6CEB"/>
    <w:rsid w:val="003F76EB"/>
    <w:rsid w:val="003F7E58"/>
    <w:rsid w:val="003F7EB1"/>
    <w:rsid w:val="0040043A"/>
    <w:rsid w:val="00400F43"/>
    <w:rsid w:val="00401120"/>
    <w:rsid w:val="004017B6"/>
    <w:rsid w:val="004017D5"/>
    <w:rsid w:val="00401C03"/>
    <w:rsid w:val="00401C18"/>
    <w:rsid w:val="00402892"/>
    <w:rsid w:val="004045BA"/>
    <w:rsid w:val="004052AC"/>
    <w:rsid w:val="0040569E"/>
    <w:rsid w:val="00405AB8"/>
    <w:rsid w:val="00406186"/>
    <w:rsid w:val="004063D2"/>
    <w:rsid w:val="00407F75"/>
    <w:rsid w:val="004111F0"/>
    <w:rsid w:val="004113AE"/>
    <w:rsid w:val="00412C77"/>
    <w:rsid w:val="00412FF8"/>
    <w:rsid w:val="0041358B"/>
    <w:rsid w:val="004135E2"/>
    <w:rsid w:val="004142B9"/>
    <w:rsid w:val="00414339"/>
    <w:rsid w:val="00414A04"/>
    <w:rsid w:val="00414D73"/>
    <w:rsid w:val="00414FCE"/>
    <w:rsid w:val="004155E3"/>
    <w:rsid w:val="004156CE"/>
    <w:rsid w:val="00415CF0"/>
    <w:rsid w:val="00415F6D"/>
    <w:rsid w:val="004160C9"/>
    <w:rsid w:val="004160F2"/>
    <w:rsid w:val="004163E7"/>
    <w:rsid w:val="0041678D"/>
    <w:rsid w:val="0041682D"/>
    <w:rsid w:val="0041696C"/>
    <w:rsid w:val="004175C4"/>
    <w:rsid w:val="00417898"/>
    <w:rsid w:val="00417947"/>
    <w:rsid w:val="00420030"/>
    <w:rsid w:val="00420251"/>
    <w:rsid w:val="004212D8"/>
    <w:rsid w:val="00421DD9"/>
    <w:rsid w:val="00422189"/>
    <w:rsid w:val="0042255B"/>
    <w:rsid w:val="0042267F"/>
    <w:rsid w:val="00422BE2"/>
    <w:rsid w:val="004235C0"/>
    <w:rsid w:val="00424326"/>
    <w:rsid w:val="00424FCB"/>
    <w:rsid w:val="004259C0"/>
    <w:rsid w:val="00425B56"/>
    <w:rsid w:val="00425C5D"/>
    <w:rsid w:val="00425DDE"/>
    <w:rsid w:val="004263B7"/>
    <w:rsid w:val="00426E79"/>
    <w:rsid w:val="00426EE3"/>
    <w:rsid w:val="00426FFE"/>
    <w:rsid w:val="0042708C"/>
    <w:rsid w:val="004273D3"/>
    <w:rsid w:val="00427499"/>
    <w:rsid w:val="004274AA"/>
    <w:rsid w:val="0042768D"/>
    <w:rsid w:val="00430448"/>
    <w:rsid w:val="004306E1"/>
    <w:rsid w:val="0043104B"/>
    <w:rsid w:val="004315E3"/>
    <w:rsid w:val="004317A6"/>
    <w:rsid w:val="00431E24"/>
    <w:rsid w:val="00431FEA"/>
    <w:rsid w:val="00432573"/>
    <w:rsid w:val="004337F3"/>
    <w:rsid w:val="004340A6"/>
    <w:rsid w:val="004341F2"/>
    <w:rsid w:val="00434F2E"/>
    <w:rsid w:val="00434FF2"/>
    <w:rsid w:val="004350B5"/>
    <w:rsid w:val="00435468"/>
    <w:rsid w:val="0043546F"/>
    <w:rsid w:val="00435707"/>
    <w:rsid w:val="00435AD3"/>
    <w:rsid w:val="00435FB6"/>
    <w:rsid w:val="00436199"/>
    <w:rsid w:val="004361E3"/>
    <w:rsid w:val="004366DE"/>
    <w:rsid w:val="00437123"/>
    <w:rsid w:val="0043759D"/>
    <w:rsid w:val="00437841"/>
    <w:rsid w:val="004378B2"/>
    <w:rsid w:val="00440E03"/>
    <w:rsid w:val="00440F20"/>
    <w:rsid w:val="00441772"/>
    <w:rsid w:val="00441930"/>
    <w:rsid w:val="00442F9A"/>
    <w:rsid w:val="00442FD3"/>
    <w:rsid w:val="00443941"/>
    <w:rsid w:val="00443BDF"/>
    <w:rsid w:val="0044490B"/>
    <w:rsid w:val="00444BFA"/>
    <w:rsid w:val="00446391"/>
    <w:rsid w:val="00446B54"/>
    <w:rsid w:val="004476F7"/>
    <w:rsid w:val="00447C08"/>
    <w:rsid w:val="00450108"/>
    <w:rsid w:val="00450BDC"/>
    <w:rsid w:val="00451634"/>
    <w:rsid w:val="00451BBA"/>
    <w:rsid w:val="00451D66"/>
    <w:rsid w:val="004524AC"/>
    <w:rsid w:val="00452E33"/>
    <w:rsid w:val="004533B3"/>
    <w:rsid w:val="00453719"/>
    <w:rsid w:val="00453811"/>
    <w:rsid w:val="004557A5"/>
    <w:rsid w:val="0045704D"/>
    <w:rsid w:val="0045750E"/>
    <w:rsid w:val="0045772C"/>
    <w:rsid w:val="0046044A"/>
    <w:rsid w:val="004623E0"/>
    <w:rsid w:val="00462895"/>
    <w:rsid w:val="00463E71"/>
    <w:rsid w:val="004640AF"/>
    <w:rsid w:val="0046414C"/>
    <w:rsid w:val="004645D7"/>
    <w:rsid w:val="00464BCD"/>
    <w:rsid w:val="0046506D"/>
    <w:rsid w:val="00465217"/>
    <w:rsid w:val="00465463"/>
    <w:rsid w:val="00465CC9"/>
    <w:rsid w:val="00465D16"/>
    <w:rsid w:val="004666C8"/>
    <w:rsid w:val="0046686B"/>
    <w:rsid w:val="00466E38"/>
    <w:rsid w:val="00467528"/>
    <w:rsid w:val="004702CE"/>
    <w:rsid w:val="00470ABB"/>
    <w:rsid w:val="00470F16"/>
    <w:rsid w:val="00470F2D"/>
    <w:rsid w:val="0047160B"/>
    <w:rsid w:val="00471CC6"/>
    <w:rsid w:val="00472142"/>
    <w:rsid w:val="00472768"/>
    <w:rsid w:val="00472B09"/>
    <w:rsid w:val="00472B14"/>
    <w:rsid w:val="0047439D"/>
    <w:rsid w:val="00474A66"/>
    <w:rsid w:val="00474C1B"/>
    <w:rsid w:val="00474E45"/>
    <w:rsid w:val="00475176"/>
    <w:rsid w:val="00475A7A"/>
    <w:rsid w:val="00475E56"/>
    <w:rsid w:val="00476289"/>
    <w:rsid w:val="00476583"/>
    <w:rsid w:val="004765D5"/>
    <w:rsid w:val="00476A44"/>
    <w:rsid w:val="00476F3D"/>
    <w:rsid w:val="00477A2F"/>
    <w:rsid w:val="00477AD4"/>
    <w:rsid w:val="00477B20"/>
    <w:rsid w:val="00480519"/>
    <w:rsid w:val="00480AB0"/>
    <w:rsid w:val="00480DAB"/>
    <w:rsid w:val="00481007"/>
    <w:rsid w:val="00481254"/>
    <w:rsid w:val="0048178E"/>
    <w:rsid w:val="00481C2A"/>
    <w:rsid w:val="00481C87"/>
    <w:rsid w:val="004831BA"/>
    <w:rsid w:val="0048325D"/>
    <w:rsid w:val="00483CCA"/>
    <w:rsid w:val="00483E39"/>
    <w:rsid w:val="00484461"/>
    <w:rsid w:val="00484538"/>
    <w:rsid w:val="00485A5A"/>
    <w:rsid w:val="00486435"/>
    <w:rsid w:val="00486D5A"/>
    <w:rsid w:val="0048752A"/>
    <w:rsid w:val="004879B1"/>
    <w:rsid w:val="00487A76"/>
    <w:rsid w:val="00487B26"/>
    <w:rsid w:val="0049061E"/>
    <w:rsid w:val="00490676"/>
    <w:rsid w:val="00490AD2"/>
    <w:rsid w:val="00490CFB"/>
    <w:rsid w:val="00491D4D"/>
    <w:rsid w:val="00491EBD"/>
    <w:rsid w:val="00491FF1"/>
    <w:rsid w:val="0049203E"/>
    <w:rsid w:val="004924D6"/>
    <w:rsid w:val="00492981"/>
    <w:rsid w:val="00492CC5"/>
    <w:rsid w:val="004944FD"/>
    <w:rsid w:val="00495A75"/>
    <w:rsid w:val="00495D18"/>
    <w:rsid w:val="00496063"/>
    <w:rsid w:val="00496EA2"/>
    <w:rsid w:val="00497030"/>
    <w:rsid w:val="00497186"/>
    <w:rsid w:val="004A1042"/>
    <w:rsid w:val="004A1163"/>
    <w:rsid w:val="004A1236"/>
    <w:rsid w:val="004A13F5"/>
    <w:rsid w:val="004A18F4"/>
    <w:rsid w:val="004A1EA8"/>
    <w:rsid w:val="004A2755"/>
    <w:rsid w:val="004A27AA"/>
    <w:rsid w:val="004A3DA8"/>
    <w:rsid w:val="004A3E02"/>
    <w:rsid w:val="004A3FF3"/>
    <w:rsid w:val="004A434D"/>
    <w:rsid w:val="004A43BB"/>
    <w:rsid w:val="004A5C05"/>
    <w:rsid w:val="004A6721"/>
    <w:rsid w:val="004A6AD6"/>
    <w:rsid w:val="004A6C71"/>
    <w:rsid w:val="004A76D3"/>
    <w:rsid w:val="004A79CB"/>
    <w:rsid w:val="004A7B35"/>
    <w:rsid w:val="004B0669"/>
    <w:rsid w:val="004B072B"/>
    <w:rsid w:val="004B13C5"/>
    <w:rsid w:val="004B1B29"/>
    <w:rsid w:val="004B274A"/>
    <w:rsid w:val="004B2C7F"/>
    <w:rsid w:val="004B2DDE"/>
    <w:rsid w:val="004B333D"/>
    <w:rsid w:val="004B3817"/>
    <w:rsid w:val="004B3B40"/>
    <w:rsid w:val="004B42F8"/>
    <w:rsid w:val="004B5B19"/>
    <w:rsid w:val="004B65C0"/>
    <w:rsid w:val="004B66FE"/>
    <w:rsid w:val="004B7F43"/>
    <w:rsid w:val="004B7FF8"/>
    <w:rsid w:val="004C000F"/>
    <w:rsid w:val="004C10CE"/>
    <w:rsid w:val="004C2607"/>
    <w:rsid w:val="004C2F24"/>
    <w:rsid w:val="004C3440"/>
    <w:rsid w:val="004C3A63"/>
    <w:rsid w:val="004C5EF9"/>
    <w:rsid w:val="004C6173"/>
    <w:rsid w:val="004C6DE1"/>
    <w:rsid w:val="004C6E2E"/>
    <w:rsid w:val="004C6F1F"/>
    <w:rsid w:val="004C7125"/>
    <w:rsid w:val="004C7B3E"/>
    <w:rsid w:val="004D0023"/>
    <w:rsid w:val="004D0367"/>
    <w:rsid w:val="004D0447"/>
    <w:rsid w:val="004D0981"/>
    <w:rsid w:val="004D1529"/>
    <w:rsid w:val="004D16F4"/>
    <w:rsid w:val="004D17F2"/>
    <w:rsid w:val="004D1AB3"/>
    <w:rsid w:val="004D21DD"/>
    <w:rsid w:val="004D2351"/>
    <w:rsid w:val="004D242E"/>
    <w:rsid w:val="004D2738"/>
    <w:rsid w:val="004D2873"/>
    <w:rsid w:val="004D2D16"/>
    <w:rsid w:val="004D2E12"/>
    <w:rsid w:val="004D372E"/>
    <w:rsid w:val="004D38B2"/>
    <w:rsid w:val="004D3C83"/>
    <w:rsid w:val="004D51C4"/>
    <w:rsid w:val="004D5458"/>
    <w:rsid w:val="004D59B9"/>
    <w:rsid w:val="004D601F"/>
    <w:rsid w:val="004D6081"/>
    <w:rsid w:val="004D6B4E"/>
    <w:rsid w:val="004D7792"/>
    <w:rsid w:val="004D7A53"/>
    <w:rsid w:val="004D7DD7"/>
    <w:rsid w:val="004D7E4F"/>
    <w:rsid w:val="004E034A"/>
    <w:rsid w:val="004E0373"/>
    <w:rsid w:val="004E0923"/>
    <w:rsid w:val="004E0E9C"/>
    <w:rsid w:val="004E0F28"/>
    <w:rsid w:val="004E1062"/>
    <w:rsid w:val="004E14E5"/>
    <w:rsid w:val="004E1997"/>
    <w:rsid w:val="004E2055"/>
    <w:rsid w:val="004E296D"/>
    <w:rsid w:val="004E314D"/>
    <w:rsid w:val="004E33E5"/>
    <w:rsid w:val="004E36A3"/>
    <w:rsid w:val="004E419F"/>
    <w:rsid w:val="004E46ED"/>
    <w:rsid w:val="004E47C9"/>
    <w:rsid w:val="004E4A90"/>
    <w:rsid w:val="004E4CD3"/>
    <w:rsid w:val="004E4D6E"/>
    <w:rsid w:val="004E50BC"/>
    <w:rsid w:val="004E50E2"/>
    <w:rsid w:val="004E5454"/>
    <w:rsid w:val="004E5749"/>
    <w:rsid w:val="004E5B2B"/>
    <w:rsid w:val="004E6219"/>
    <w:rsid w:val="004E63D5"/>
    <w:rsid w:val="004E6566"/>
    <w:rsid w:val="004E67D6"/>
    <w:rsid w:val="004E6AA4"/>
    <w:rsid w:val="004E7179"/>
    <w:rsid w:val="004E78F0"/>
    <w:rsid w:val="004E7D62"/>
    <w:rsid w:val="004F0006"/>
    <w:rsid w:val="004F0F0F"/>
    <w:rsid w:val="004F2019"/>
    <w:rsid w:val="004F237C"/>
    <w:rsid w:val="004F2406"/>
    <w:rsid w:val="004F3A29"/>
    <w:rsid w:val="004F3AEB"/>
    <w:rsid w:val="004F3C09"/>
    <w:rsid w:val="004F474F"/>
    <w:rsid w:val="004F729A"/>
    <w:rsid w:val="005002CD"/>
    <w:rsid w:val="005007A4"/>
    <w:rsid w:val="00500A12"/>
    <w:rsid w:val="00500C66"/>
    <w:rsid w:val="005017CF"/>
    <w:rsid w:val="00501E20"/>
    <w:rsid w:val="00502002"/>
    <w:rsid w:val="0050227D"/>
    <w:rsid w:val="00503176"/>
    <w:rsid w:val="005034E8"/>
    <w:rsid w:val="005037AA"/>
    <w:rsid w:val="00503DFF"/>
    <w:rsid w:val="00504B4F"/>
    <w:rsid w:val="00505544"/>
    <w:rsid w:val="00505ADA"/>
    <w:rsid w:val="00505D94"/>
    <w:rsid w:val="00505DBC"/>
    <w:rsid w:val="00506510"/>
    <w:rsid w:val="005066DD"/>
    <w:rsid w:val="0050699F"/>
    <w:rsid w:val="005069D7"/>
    <w:rsid w:val="0050763E"/>
    <w:rsid w:val="0051010C"/>
    <w:rsid w:val="0051025A"/>
    <w:rsid w:val="005111C3"/>
    <w:rsid w:val="00511211"/>
    <w:rsid w:val="00511544"/>
    <w:rsid w:val="005127AD"/>
    <w:rsid w:val="00513537"/>
    <w:rsid w:val="0051371D"/>
    <w:rsid w:val="00514659"/>
    <w:rsid w:val="00514A18"/>
    <w:rsid w:val="00515948"/>
    <w:rsid w:val="00515ACC"/>
    <w:rsid w:val="00515E07"/>
    <w:rsid w:val="00515FBE"/>
    <w:rsid w:val="005168B0"/>
    <w:rsid w:val="005176E4"/>
    <w:rsid w:val="0052057E"/>
    <w:rsid w:val="00520A6F"/>
    <w:rsid w:val="00521ECE"/>
    <w:rsid w:val="005221DE"/>
    <w:rsid w:val="005230D6"/>
    <w:rsid w:val="005233F3"/>
    <w:rsid w:val="00523BB1"/>
    <w:rsid w:val="00523F57"/>
    <w:rsid w:val="00524194"/>
    <w:rsid w:val="005241D6"/>
    <w:rsid w:val="0052455A"/>
    <w:rsid w:val="0052456A"/>
    <w:rsid w:val="0052489E"/>
    <w:rsid w:val="00524B9B"/>
    <w:rsid w:val="00524C90"/>
    <w:rsid w:val="00524F94"/>
    <w:rsid w:val="005251F8"/>
    <w:rsid w:val="005252C1"/>
    <w:rsid w:val="0052556F"/>
    <w:rsid w:val="0052639B"/>
    <w:rsid w:val="00526A76"/>
    <w:rsid w:val="00526B81"/>
    <w:rsid w:val="00527543"/>
    <w:rsid w:val="0053009E"/>
    <w:rsid w:val="00530737"/>
    <w:rsid w:val="00530861"/>
    <w:rsid w:val="00530E36"/>
    <w:rsid w:val="005316C6"/>
    <w:rsid w:val="00531775"/>
    <w:rsid w:val="00531B20"/>
    <w:rsid w:val="00531C5C"/>
    <w:rsid w:val="00532229"/>
    <w:rsid w:val="005329FF"/>
    <w:rsid w:val="0053317D"/>
    <w:rsid w:val="005336D6"/>
    <w:rsid w:val="005337AE"/>
    <w:rsid w:val="005337DD"/>
    <w:rsid w:val="00534700"/>
    <w:rsid w:val="00534DCA"/>
    <w:rsid w:val="00535134"/>
    <w:rsid w:val="005363F6"/>
    <w:rsid w:val="00537794"/>
    <w:rsid w:val="00537AB1"/>
    <w:rsid w:val="00540585"/>
    <w:rsid w:val="005405E9"/>
    <w:rsid w:val="005406A2"/>
    <w:rsid w:val="00540E37"/>
    <w:rsid w:val="00541AF0"/>
    <w:rsid w:val="005423DF"/>
    <w:rsid w:val="00542473"/>
    <w:rsid w:val="00542B71"/>
    <w:rsid w:val="00542DDD"/>
    <w:rsid w:val="00542DE4"/>
    <w:rsid w:val="00543776"/>
    <w:rsid w:val="00544AE6"/>
    <w:rsid w:val="00544E7F"/>
    <w:rsid w:val="00544F86"/>
    <w:rsid w:val="005450B0"/>
    <w:rsid w:val="005464A4"/>
    <w:rsid w:val="00547090"/>
    <w:rsid w:val="00547294"/>
    <w:rsid w:val="0054751A"/>
    <w:rsid w:val="00547784"/>
    <w:rsid w:val="00547A0E"/>
    <w:rsid w:val="005520DF"/>
    <w:rsid w:val="005523DC"/>
    <w:rsid w:val="005525D8"/>
    <w:rsid w:val="00552979"/>
    <w:rsid w:val="0055306F"/>
    <w:rsid w:val="00553424"/>
    <w:rsid w:val="00554B01"/>
    <w:rsid w:val="0055570E"/>
    <w:rsid w:val="005557CD"/>
    <w:rsid w:val="00555C7F"/>
    <w:rsid w:val="00555F3B"/>
    <w:rsid w:val="00555F8A"/>
    <w:rsid w:val="00557B09"/>
    <w:rsid w:val="00560309"/>
    <w:rsid w:val="00560E17"/>
    <w:rsid w:val="00560EE5"/>
    <w:rsid w:val="005613D3"/>
    <w:rsid w:val="00561C00"/>
    <w:rsid w:val="0056238C"/>
    <w:rsid w:val="00562425"/>
    <w:rsid w:val="00562924"/>
    <w:rsid w:val="00562962"/>
    <w:rsid w:val="00563205"/>
    <w:rsid w:val="00563F97"/>
    <w:rsid w:val="00564212"/>
    <w:rsid w:val="00564293"/>
    <w:rsid w:val="00564AC7"/>
    <w:rsid w:val="00564B88"/>
    <w:rsid w:val="00564C71"/>
    <w:rsid w:val="00565C26"/>
    <w:rsid w:val="00565E02"/>
    <w:rsid w:val="005660CB"/>
    <w:rsid w:val="0056632C"/>
    <w:rsid w:val="005665F5"/>
    <w:rsid w:val="005666DA"/>
    <w:rsid w:val="00566D10"/>
    <w:rsid w:val="00566EC5"/>
    <w:rsid w:val="00567921"/>
    <w:rsid w:val="00567979"/>
    <w:rsid w:val="00570064"/>
    <w:rsid w:val="005705D0"/>
    <w:rsid w:val="00570744"/>
    <w:rsid w:val="005716D7"/>
    <w:rsid w:val="005718AC"/>
    <w:rsid w:val="00571A73"/>
    <w:rsid w:val="00571F8E"/>
    <w:rsid w:val="005721DD"/>
    <w:rsid w:val="00572844"/>
    <w:rsid w:val="005732FC"/>
    <w:rsid w:val="0057353F"/>
    <w:rsid w:val="00573791"/>
    <w:rsid w:val="005739AD"/>
    <w:rsid w:val="00573B9C"/>
    <w:rsid w:val="005745C2"/>
    <w:rsid w:val="00574B41"/>
    <w:rsid w:val="00575766"/>
    <w:rsid w:val="00575826"/>
    <w:rsid w:val="00576AC8"/>
    <w:rsid w:val="005773C6"/>
    <w:rsid w:val="005774EF"/>
    <w:rsid w:val="0057762D"/>
    <w:rsid w:val="00577771"/>
    <w:rsid w:val="005778A2"/>
    <w:rsid w:val="00577954"/>
    <w:rsid w:val="00577C69"/>
    <w:rsid w:val="00577E43"/>
    <w:rsid w:val="005806AE"/>
    <w:rsid w:val="0058159D"/>
    <w:rsid w:val="005831B1"/>
    <w:rsid w:val="005831B5"/>
    <w:rsid w:val="00584A96"/>
    <w:rsid w:val="00584FB9"/>
    <w:rsid w:val="00585330"/>
    <w:rsid w:val="0058535B"/>
    <w:rsid w:val="005856A4"/>
    <w:rsid w:val="0058591C"/>
    <w:rsid w:val="00585D69"/>
    <w:rsid w:val="005864F9"/>
    <w:rsid w:val="00586551"/>
    <w:rsid w:val="00586B0A"/>
    <w:rsid w:val="00586DEF"/>
    <w:rsid w:val="00587044"/>
    <w:rsid w:val="00587C07"/>
    <w:rsid w:val="00587DCD"/>
    <w:rsid w:val="005905D0"/>
    <w:rsid w:val="00591440"/>
    <w:rsid w:val="0059197E"/>
    <w:rsid w:val="005919E6"/>
    <w:rsid w:val="00591B70"/>
    <w:rsid w:val="00592679"/>
    <w:rsid w:val="00593F11"/>
    <w:rsid w:val="005947E0"/>
    <w:rsid w:val="00595744"/>
    <w:rsid w:val="00595A8C"/>
    <w:rsid w:val="00595F2B"/>
    <w:rsid w:val="005A07C6"/>
    <w:rsid w:val="005A0C03"/>
    <w:rsid w:val="005A1403"/>
    <w:rsid w:val="005A172A"/>
    <w:rsid w:val="005A2482"/>
    <w:rsid w:val="005A2849"/>
    <w:rsid w:val="005A2899"/>
    <w:rsid w:val="005A29E0"/>
    <w:rsid w:val="005A45E6"/>
    <w:rsid w:val="005A46D9"/>
    <w:rsid w:val="005A4BC4"/>
    <w:rsid w:val="005A5056"/>
    <w:rsid w:val="005A53FD"/>
    <w:rsid w:val="005A5462"/>
    <w:rsid w:val="005A5CF4"/>
    <w:rsid w:val="005A7030"/>
    <w:rsid w:val="005A711A"/>
    <w:rsid w:val="005A7DF6"/>
    <w:rsid w:val="005A7E9C"/>
    <w:rsid w:val="005B0D5C"/>
    <w:rsid w:val="005B0F2A"/>
    <w:rsid w:val="005B184B"/>
    <w:rsid w:val="005B1B99"/>
    <w:rsid w:val="005B24B0"/>
    <w:rsid w:val="005B2A01"/>
    <w:rsid w:val="005B3160"/>
    <w:rsid w:val="005B33C6"/>
    <w:rsid w:val="005B345A"/>
    <w:rsid w:val="005B39AA"/>
    <w:rsid w:val="005B3C65"/>
    <w:rsid w:val="005B4BAA"/>
    <w:rsid w:val="005B5DCA"/>
    <w:rsid w:val="005B607E"/>
    <w:rsid w:val="005B744D"/>
    <w:rsid w:val="005B7773"/>
    <w:rsid w:val="005B7C58"/>
    <w:rsid w:val="005C007A"/>
    <w:rsid w:val="005C0597"/>
    <w:rsid w:val="005C0AE2"/>
    <w:rsid w:val="005C12D2"/>
    <w:rsid w:val="005C12E6"/>
    <w:rsid w:val="005C1663"/>
    <w:rsid w:val="005C1740"/>
    <w:rsid w:val="005C1962"/>
    <w:rsid w:val="005C1FE5"/>
    <w:rsid w:val="005C2AF9"/>
    <w:rsid w:val="005C2C13"/>
    <w:rsid w:val="005C2C97"/>
    <w:rsid w:val="005C2EF1"/>
    <w:rsid w:val="005C379C"/>
    <w:rsid w:val="005C3CE7"/>
    <w:rsid w:val="005C3E56"/>
    <w:rsid w:val="005C4F0E"/>
    <w:rsid w:val="005C54B8"/>
    <w:rsid w:val="005C572C"/>
    <w:rsid w:val="005C5D75"/>
    <w:rsid w:val="005C5FDD"/>
    <w:rsid w:val="005C796C"/>
    <w:rsid w:val="005C7ACE"/>
    <w:rsid w:val="005D12A1"/>
    <w:rsid w:val="005D180A"/>
    <w:rsid w:val="005D228F"/>
    <w:rsid w:val="005D241F"/>
    <w:rsid w:val="005D2445"/>
    <w:rsid w:val="005D2651"/>
    <w:rsid w:val="005D2F0A"/>
    <w:rsid w:val="005D3F96"/>
    <w:rsid w:val="005D43EF"/>
    <w:rsid w:val="005D4BAC"/>
    <w:rsid w:val="005D5AE1"/>
    <w:rsid w:val="005D5D20"/>
    <w:rsid w:val="005D5FB8"/>
    <w:rsid w:val="005D6878"/>
    <w:rsid w:val="005D6FB2"/>
    <w:rsid w:val="005D764F"/>
    <w:rsid w:val="005D79F2"/>
    <w:rsid w:val="005D7EEA"/>
    <w:rsid w:val="005E0192"/>
    <w:rsid w:val="005E05BB"/>
    <w:rsid w:val="005E0DF1"/>
    <w:rsid w:val="005E0E0E"/>
    <w:rsid w:val="005E0F9A"/>
    <w:rsid w:val="005E1239"/>
    <w:rsid w:val="005E145D"/>
    <w:rsid w:val="005E1983"/>
    <w:rsid w:val="005E20C2"/>
    <w:rsid w:val="005E271E"/>
    <w:rsid w:val="005E285F"/>
    <w:rsid w:val="005E2AC2"/>
    <w:rsid w:val="005E2EEA"/>
    <w:rsid w:val="005E34B0"/>
    <w:rsid w:val="005E448D"/>
    <w:rsid w:val="005E46AD"/>
    <w:rsid w:val="005E4936"/>
    <w:rsid w:val="005E4AB6"/>
    <w:rsid w:val="005E4FBC"/>
    <w:rsid w:val="005E5236"/>
    <w:rsid w:val="005E534F"/>
    <w:rsid w:val="005E6379"/>
    <w:rsid w:val="005E669D"/>
    <w:rsid w:val="005E75EE"/>
    <w:rsid w:val="005E7A27"/>
    <w:rsid w:val="005E7A4E"/>
    <w:rsid w:val="005F04E4"/>
    <w:rsid w:val="005F0F28"/>
    <w:rsid w:val="005F163B"/>
    <w:rsid w:val="005F1819"/>
    <w:rsid w:val="005F2124"/>
    <w:rsid w:val="005F242A"/>
    <w:rsid w:val="005F2E2A"/>
    <w:rsid w:val="005F36D3"/>
    <w:rsid w:val="005F3E36"/>
    <w:rsid w:val="005F43B7"/>
    <w:rsid w:val="005F455C"/>
    <w:rsid w:val="005F4926"/>
    <w:rsid w:val="005F4B40"/>
    <w:rsid w:val="005F4BED"/>
    <w:rsid w:val="005F5639"/>
    <w:rsid w:val="005F5D52"/>
    <w:rsid w:val="005F6020"/>
    <w:rsid w:val="005F6328"/>
    <w:rsid w:val="005F643E"/>
    <w:rsid w:val="005F717A"/>
    <w:rsid w:val="005F7AFB"/>
    <w:rsid w:val="006005DD"/>
    <w:rsid w:val="00600AD5"/>
    <w:rsid w:val="0060131D"/>
    <w:rsid w:val="006013FF"/>
    <w:rsid w:val="00601A2E"/>
    <w:rsid w:val="00602149"/>
    <w:rsid w:val="006021AC"/>
    <w:rsid w:val="00602B2B"/>
    <w:rsid w:val="00602F9F"/>
    <w:rsid w:val="0060360F"/>
    <w:rsid w:val="006039B4"/>
    <w:rsid w:val="00603F69"/>
    <w:rsid w:val="00604130"/>
    <w:rsid w:val="00604F02"/>
    <w:rsid w:val="006051BA"/>
    <w:rsid w:val="006054DE"/>
    <w:rsid w:val="006059C8"/>
    <w:rsid w:val="006062E7"/>
    <w:rsid w:val="0060657B"/>
    <w:rsid w:val="006067A6"/>
    <w:rsid w:val="006068AB"/>
    <w:rsid w:val="00606E21"/>
    <w:rsid w:val="006073E8"/>
    <w:rsid w:val="00607423"/>
    <w:rsid w:val="006075D1"/>
    <w:rsid w:val="0061135E"/>
    <w:rsid w:val="00611F60"/>
    <w:rsid w:val="0061213C"/>
    <w:rsid w:val="006122CB"/>
    <w:rsid w:val="00612345"/>
    <w:rsid w:val="006123C0"/>
    <w:rsid w:val="00612FB5"/>
    <w:rsid w:val="006139DD"/>
    <w:rsid w:val="00613BC3"/>
    <w:rsid w:val="00614155"/>
    <w:rsid w:val="006148EE"/>
    <w:rsid w:val="0061557A"/>
    <w:rsid w:val="0061598A"/>
    <w:rsid w:val="006159AB"/>
    <w:rsid w:val="00615CBC"/>
    <w:rsid w:val="00615D1C"/>
    <w:rsid w:val="0061620B"/>
    <w:rsid w:val="00616AAE"/>
    <w:rsid w:val="00616AE0"/>
    <w:rsid w:val="00617C9F"/>
    <w:rsid w:val="0062017C"/>
    <w:rsid w:val="00620654"/>
    <w:rsid w:val="0062076A"/>
    <w:rsid w:val="0062077F"/>
    <w:rsid w:val="0062139D"/>
    <w:rsid w:val="00621BBF"/>
    <w:rsid w:val="00621E5B"/>
    <w:rsid w:val="00623479"/>
    <w:rsid w:val="00623740"/>
    <w:rsid w:val="00623ED4"/>
    <w:rsid w:val="006241D7"/>
    <w:rsid w:val="00624C5B"/>
    <w:rsid w:val="0062517B"/>
    <w:rsid w:val="006253AA"/>
    <w:rsid w:val="00625413"/>
    <w:rsid w:val="00625519"/>
    <w:rsid w:val="00626BF2"/>
    <w:rsid w:val="00626D87"/>
    <w:rsid w:val="00627EA0"/>
    <w:rsid w:val="00630171"/>
    <w:rsid w:val="006301C0"/>
    <w:rsid w:val="00631667"/>
    <w:rsid w:val="00631E74"/>
    <w:rsid w:val="0063216F"/>
    <w:rsid w:val="00633CF9"/>
    <w:rsid w:val="00633DAE"/>
    <w:rsid w:val="006341AA"/>
    <w:rsid w:val="0063443B"/>
    <w:rsid w:val="00634633"/>
    <w:rsid w:val="00634697"/>
    <w:rsid w:val="0063479F"/>
    <w:rsid w:val="006353FD"/>
    <w:rsid w:val="00635765"/>
    <w:rsid w:val="0063584C"/>
    <w:rsid w:val="00635CBA"/>
    <w:rsid w:val="00636D5A"/>
    <w:rsid w:val="006370FF"/>
    <w:rsid w:val="006374C8"/>
    <w:rsid w:val="00637887"/>
    <w:rsid w:val="00637C86"/>
    <w:rsid w:val="00640388"/>
    <w:rsid w:val="006407F7"/>
    <w:rsid w:val="00640AD7"/>
    <w:rsid w:val="00641B37"/>
    <w:rsid w:val="00641B49"/>
    <w:rsid w:val="00641B8D"/>
    <w:rsid w:val="006423BB"/>
    <w:rsid w:val="0064240C"/>
    <w:rsid w:val="00642576"/>
    <w:rsid w:val="006429E9"/>
    <w:rsid w:val="00642FE5"/>
    <w:rsid w:val="00643C04"/>
    <w:rsid w:val="00644CEF"/>
    <w:rsid w:val="0064544C"/>
    <w:rsid w:val="006461A9"/>
    <w:rsid w:val="006464DF"/>
    <w:rsid w:val="006468CE"/>
    <w:rsid w:val="0064722A"/>
    <w:rsid w:val="0064749D"/>
    <w:rsid w:val="006476EB"/>
    <w:rsid w:val="00647878"/>
    <w:rsid w:val="00647912"/>
    <w:rsid w:val="00647FD7"/>
    <w:rsid w:val="006501E7"/>
    <w:rsid w:val="006505F6"/>
    <w:rsid w:val="00650C10"/>
    <w:rsid w:val="00651226"/>
    <w:rsid w:val="0065145C"/>
    <w:rsid w:val="00651AF6"/>
    <w:rsid w:val="00651E86"/>
    <w:rsid w:val="00652263"/>
    <w:rsid w:val="0065272F"/>
    <w:rsid w:val="0065283F"/>
    <w:rsid w:val="00653DDA"/>
    <w:rsid w:val="0065493A"/>
    <w:rsid w:val="006553EC"/>
    <w:rsid w:val="006558C1"/>
    <w:rsid w:val="006559A3"/>
    <w:rsid w:val="00655AD5"/>
    <w:rsid w:val="00656827"/>
    <w:rsid w:val="00656B65"/>
    <w:rsid w:val="00656F92"/>
    <w:rsid w:val="00657513"/>
    <w:rsid w:val="0065791A"/>
    <w:rsid w:val="006618D8"/>
    <w:rsid w:val="006618FB"/>
    <w:rsid w:val="00661998"/>
    <w:rsid w:val="0066273D"/>
    <w:rsid w:val="00662FDD"/>
    <w:rsid w:val="006660CA"/>
    <w:rsid w:val="006663B6"/>
    <w:rsid w:val="00666845"/>
    <w:rsid w:val="006671E4"/>
    <w:rsid w:val="006677F7"/>
    <w:rsid w:val="00667D9F"/>
    <w:rsid w:val="00670194"/>
    <w:rsid w:val="0067077A"/>
    <w:rsid w:val="00670888"/>
    <w:rsid w:val="0067178F"/>
    <w:rsid w:val="00671B6A"/>
    <w:rsid w:val="00671BD1"/>
    <w:rsid w:val="00672106"/>
    <w:rsid w:val="006721C9"/>
    <w:rsid w:val="00672400"/>
    <w:rsid w:val="006724BB"/>
    <w:rsid w:val="0067261C"/>
    <w:rsid w:val="00672818"/>
    <w:rsid w:val="00672CD9"/>
    <w:rsid w:val="00673A17"/>
    <w:rsid w:val="00673FE3"/>
    <w:rsid w:val="00674F10"/>
    <w:rsid w:val="00675173"/>
    <w:rsid w:val="0067529F"/>
    <w:rsid w:val="006754C2"/>
    <w:rsid w:val="006756CC"/>
    <w:rsid w:val="00675D93"/>
    <w:rsid w:val="00676161"/>
    <w:rsid w:val="0067645B"/>
    <w:rsid w:val="006769D3"/>
    <w:rsid w:val="00676B58"/>
    <w:rsid w:val="00676C25"/>
    <w:rsid w:val="00677540"/>
    <w:rsid w:val="00677F6E"/>
    <w:rsid w:val="00680AFB"/>
    <w:rsid w:val="006821C6"/>
    <w:rsid w:val="0068304F"/>
    <w:rsid w:val="00683534"/>
    <w:rsid w:val="0068370F"/>
    <w:rsid w:val="0068389D"/>
    <w:rsid w:val="006840B1"/>
    <w:rsid w:val="00684397"/>
    <w:rsid w:val="0068486D"/>
    <w:rsid w:val="00684D6C"/>
    <w:rsid w:val="00684E4B"/>
    <w:rsid w:val="00685182"/>
    <w:rsid w:val="00685B96"/>
    <w:rsid w:val="006865CD"/>
    <w:rsid w:val="00686E3A"/>
    <w:rsid w:val="00687079"/>
    <w:rsid w:val="00687DD9"/>
    <w:rsid w:val="00690143"/>
    <w:rsid w:val="00690A2E"/>
    <w:rsid w:val="0069160F"/>
    <w:rsid w:val="00691749"/>
    <w:rsid w:val="00691D4A"/>
    <w:rsid w:val="0069291E"/>
    <w:rsid w:val="00692F58"/>
    <w:rsid w:val="00693212"/>
    <w:rsid w:val="0069325B"/>
    <w:rsid w:val="006933F8"/>
    <w:rsid w:val="00693A14"/>
    <w:rsid w:val="00693E47"/>
    <w:rsid w:val="00693EAB"/>
    <w:rsid w:val="00694776"/>
    <w:rsid w:val="006947AC"/>
    <w:rsid w:val="00694B6B"/>
    <w:rsid w:val="00694DDA"/>
    <w:rsid w:val="00694F59"/>
    <w:rsid w:val="006952D0"/>
    <w:rsid w:val="0069539F"/>
    <w:rsid w:val="0069587E"/>
    <w:rsid w:val="006966B1"/>
    <w:rsid w:val="00696B36"/>
    <w:rsid w:val="00696CAA"/>
    <w:rsid w:val="00696CF1"/>
    <w:rsid w:val="00697E00"/>
    <w:rsid w:val="006A066D"/>
    <w:rsid w:val="006A19C2"/>
    <w:rsid w:val="006A2923"/>
    <w:rsid w:val="006A2F93"/>
    <w:rsid w:val="006A3AFB"/>
    <w:rsid w:val="006A41B0"/>
    <w:rsid w:val="006A49F0"/>
    <w:rsid w:val="006A5ED6"/>
    <w:rsid w:val="006A6B21"/>
    <w:rsid w:val="006A6C98"/>
    <w:rsid w:val="006A6D6E"/>
    <w:rsid w:val="006A7096"/>
    <w:rsid w:val="006A78E3"/>
    <w:rsid w:val="006A7A3D"/>
    <w:rsid w:val="006A7AC0"/>
    <w:rsid w:val="006A7AD6"/>
    <w:rsid w:val="006A7EF5"/>
    <w:rsid w:val="006B0ABC"/>
    <w:rsid w:val="006B0BD1"/>
    <w:rsid w:val="006B0FA3"/>
    <w:rsid w:val="006B10BE"/>
    <w:rsid w:val="006B10F2"/>
    <w:rsid w:val="006B1BC6"/>
    <w:rsid w:val="006B22BF"/>
    <w:rsid w:val="006B22CC"/>
    <w:rsid w:val="006B2932"/>
    <w:rsid w:val="006B2BB1"/>
    <w:rsid w:val="006B390E"/>
    <w:rsid w:val="006B4064"/>
    <w:rsid w:val="006B4CCC"/>
    <w:rsid w:val="006B515A"/>
    <w:rsid w:val="006B52F7"/>
    <w:rsid w:val="006B5E2D"/>
    <w:rsid w:val="006B5F49"/>
    <w:rsid w:val="006B6D66"/>
    <w:rsid w:val="006B7E1C"/>
    <w:rsid w:val="006C06DC"/>
    <w:rsid w:val="006C1262"/>
    <w:rsid w:val="006C1C3B"/>
    <w:rsid w:val="006C1C49"/>
    <w:rsid w:val="006C2166"/>
    <w:rsid w:val="006C2504"/>
    <w:rsid w:val="006C2D03"/>
    <w:rsid w:val="006C3CB9"/>
    <w:rsid w:val="006C4376"/>
    <w:rsid w:val="006C48D8"/>
    <w:rsid w:val="006C4CA5"/>
    <w:rsid w:val="006C5BDA"/>
    <w:rsid w:val="006C6807"/>
    <w:rsid w:val="006C6AE7"/>
    <w:rsid w:val="006C7527"/>
    <w:rsid w:val="006D1659"/>
    <w:rsid w:val="006D18E2"/>
    <w:rsid w:val="006D1B4C"/>
    <w:rsid w:val="006D21D6"/>
    <w:rsid w:val="006D2388"/>
    <w:rsid w:val="006D24F6"/>
    <w:rsid w:val="006D2A0C"/>
    <w:rsid w:val="006D2B79"/>
    <w:rsid w:val="006D2B9A"/>
    <w:rsid w:val="006D2C9D"/>
    <w:rsid w:val="006D2D8C"/>
    <w:rsid w:val="006D37A2"/>
    <w:rsid w:val="006D4105"/>
    <w:rsid w:val="006D4704"/>
    <w:rsid w:val="006D4739"/>
    <w:rsid w:val="006D4945"/>
    <w:rsid w:val="006D4E55"/>
    <w:rsid w:val="006D5101"/>
    <w:rsid w:val="006D5F3A"/>
    <w:rsid w:val="006D64F9"/>
    <w:rsid w:val="006D6AD8"/>
    <w:rsid w:val="006D75A9"/>
    <w:rsid w:val="006E009B"/>
    <w:rsid w:val="006E1203"/>
    <w:rsid w:val="006E143A"/>
    <w:rsid w:val="006E1503"/>
    <w:rsid w:val="006E1F5B"/>
    <w:rsid w:val="006E2D78"/>
    <w:rsid w:val="006E3632"/>
    <w:rsid w:val="006E401D"/>
    <w:rsid w:val="006E4434"/>
    <w:rsid w:val="006E4769"/>
    <w:rsid w:val="006E48F6"/>
    <w:rsid w:val="006E51B6"/>
    <w:rsid w:val="006E55B2"/>
    <w:rsid w:val="006E5E13"/>
    <w:rsid w:val="006E6B64"/>
    <w:rsid w:val="006E6E87"/>
    <w:rsid w:val="006E7D66"/>
    <w:rsid w:val="006E7F7D"/>
    <w:rsid w:val="006F02FE"/>
    <w:rsid w:val="006F038C"/>
    <w:rsid w:val="006F13CC"/>
    <w:rsid w:val="006F2072"/>
    <w:rsid w:val="006F2345"/>
    <w:rsid w:val="006F2AAD"/>
    <w:rsid w:val="006F2FC4"/>
    <w:rsid w:val="006F36E8"/>
    <w:rsid w:val="006F39E1"/>
    <w:rsid w:val="006F3A12"/>
    <w:rsid w:val="006F4846"/>
    <w:rsid w:val="006F4F81"/>
    <w:rsid w:val="006F5104"/>
    <w:rsid w:val="006F59B4"/>
    <w:rsid w:val="006F5A81"/>
    <w:rsid w:val="006F690C"/>
    <w:rsid w:val="006F692E"/>
    <w:rsid w:val="006F7620"/>
    <w:rsid w:val="006F789A"/>
    <w:rsid w:val="00700F06"/>
    <w:rsid w:val="00702308"/>
    <w:rsid w:val="007027BC"/>
    <w:rsid w:val="00702C55"/>
    <w:rsid w:val="0070364D"/>
    <w:rsid w:val="007038C9"/>
    <w:rsid w:val="00703B1D"/>
    <w:rsid w:val="00703DE1"/>
    <w:rsid w:val="00704300"/>
    <w:rsid w:val="00704C5E"/>
    <w:rsid w:val="00704ED7"/>
    <w:rsid w:val="00704EE8"/>
    <w:rsid w:val="00705509"/>
    <w:rsid w:val="00705D47"/>
    <w:rsid w:val="00706728"/>
    <w:rsid w:val="00706F49"/>
    <w:rsid w:val="00710264"/>
    <w:rsid w:val="0071082C"/>
    <w:rsid w:val="00711FF2"/>
    <w:rsid w:val="007121C8"/>
    <w:rsid w:val="007128B8"/>
    <w:rsid w:val="00712F1A"/>
    <w:rsid w:val="007130F4"/>
    <w:rsid w:val="007131BB"/>
    <w:rsid w:val="00713B16"/>
    <w:rsid w:val="007141C6"/>
    <w:rsid w:val="007148C6"/>
    <w:rsid w:val="00714AF2"/>
    <w:rsid w:val="00714B5A"/>
    <w:rsid w:val="00714C31"/>
    <w:rsid w:val="00714D3A"/>
    <w:rsid w:val="007154FA"/>
    <w:rsid w:val="00717785"/>
    <w:rsid w:val="00717802"/>
    <w:rsid w:val="00717A50"/>
    <w:rsid w:val="00720349"/>
    <w:rsid w:val="0072048E"/>
    <w:rsid w:val="00720EDC"/>
    <w:rsid w:val="007211EB"/>
    <w:rsid w:val="007213AC"/>
    <w:rsid w:val="007214D7"/>
    <w:rsid w:val="00721926"/>
    <w:rsid w:val="007222A3"/>
    <w:rsid w:val="007228D4"/>
    <w:rsid w:val="00722DB8"/>
    <w:rsid w:val="00722DFD"/>
    <w:rsid w:val="00723076"/>
    <w:rsid w:val="00723249"/>
    <w:rsid w:val="0072423E"/>
    <w:rsid w:val="007246DB"/>
    <w:rsid w:val="00724887"/>
    <w:rsid w:val="00724A6A"/>
    <w:rsid w:val="00724EF9"/>
    <w:rsid w:val="007252CA"/>
    <w:rsid w:val="007261C4"/>
    <w:rsid w:val="00726236"/>
    <w:rsid w:val="00726274"/>
    <w:rsid w:val="007266B5"/>
    <w:rsid w:val="007267CC"/>
    <w:rsid w:val="00726A71"/>
    <w:rsid w:val="007276B1"/>
    <w:rsid w:val="0072775A"/>
    <w:rsid w:val="007277ED"/>
    <w:rsid w:val="00727F6E"/>
    <w:rsid w:val="00730028"/>
    <w:rsid w:val="0073006C"/>
    <w:rsid w:val="0073047F"/>
    <w:rsid w:val="00730714"/>
    <w:rsid w:val="0073149B"/>
    <w:rsid w:val="00731993"/>
    <w:rsid w:val="00731F19"/>
    <w:rsid w:val="0073208A"/>
    <w:rsid w:val="007332CE"/>
    <w:rsid w:val="00733934"/>
    <w:rsid w:val="00733B55"/>
    <w:rsid w:val="00734718"/>
    <w:rsid w:val="007348B5"/>
    <w:rsid w:val="007349C9"/>
    <w:rsid w:val="00734A72"/>
    <w:rsid w:val="00734EFD"/>
    <w:rsid w:val="00735AE2"/>
    <w:rsid w:val="00735EBC"/>
    <w:rsid w:val="00736ED6"/>
    <w:rsid w:val="00736FB7"/>
    <w:rsid w:val="007374A9"/>
    <w:rsid w:val="00737B9B"/>
    <w:rsid w:val="00737D58"/>
    <w:rsid w:val="00737E79"/>
    <w:rsid w:val="00737EAB"/>
    <w:rsid w:val="007405A1"/>
    <w:rsid w:val="00740698"/>
    <w:rsid w:val="007407A5"/>
    <w:rsid w:val="0074115D"/>
    <w:rsid w:val="007415FE"/>
    <w:rsid w:val="007421A2"/>
    <w:rsid w:val="007421AE"/>
    <w:rsid w:val="007427FF"/>
    <w:rsid w:val="0074287B"/>
    <w:rsid w:val="0074377A"/>
    <w:rsid w:val="0074438B"/>
    <w:rsid w:val="007444F1"/>
    <w:rsid w:val="0074459F"/>
    <w:rsid w:val="00744C2A"/>
    <w:rsid w:val="0074528C"/>
    <w:rsid w:val="0074569A"/>
    <w:rsid w:val="00746EC4"/>
    <w:rsid w:val="00747004"/>
    <w:rsid w:val="00747D28"/>
    <w:rsid w:val="00747FCA"/>
    <w:rsid w:val="007508DA"/>
    <w:rsid w:val="00751306"/>
    <w:rsid w:val="0075152A"/>
    <w:rsid w:val="00751821"/>
    <w:rsid w:val="00751D10"/>
    <w:rsid w:val="00751FE3"/>
    <w:rsid w:val="0075265E"/>
    <w:rsid w:val="00752969"/>
    <w:rsid w:val="00752CD1"/>
    <w:rsid w:val="007530F5"/>
    <w:rsid w:val="007531C7"/>
    <w:rsid w:val="007537E8"/>
    <w:rsid w:val="00753B1C"/>
    <w:rsid w:val="00753F39"/>
    <w:rsid w:val="00754097"/>
    <w:rsid w:val="00754ACC"/>
    <w:rsid w:val="00754EF4"/>
    <w:rsid w:val="00755D09"/>
    <w:rsid w:val="00756005"/>
    <w:rsid w:val="0075652B"/>
    <w:rsid w:val="00756BEA"/>
    <w:rsid w:val="00756D4F"/>
    <w:rsid w:val="00756E91"/>
    <w:rsid w:val="007573FA"/>
    <w:rsid w:val="00757B19"/>
    <w:rsid w:val="00760103"/>
    <w:rsid w:val="0076060A"/>
    <w:rsid w:val="0076156D"/>
    <w:rsid w:val="00761CE3"/>
    <w:rsid w:val="00761EF9"/>
    <w:rsid w:val="00762057"/>
    <w:rsid w:val="0076220A"/>
    <w:rsid w:val="00762295"/>
    <w:rsid w:val="00762815"/>
    <w:rsid w:val="00762FD0"/>
    <w:rsid w:val="007630CE"/>
    <w:rsid w:val="00763507"/>
    <w:rsid w:val="0076374A"/>
    <w:rsid w:val="00763FCC"/>
    <w:rsid w:val="00764048"/>
    <w:rsid w:val="007644EC"/>
    <w:rsid w:val="007645B9"/>
    <w:rsid w:val="0076491D"/>
    <w:rsid w:val="00764A74"/>
    <w:rsid w:val="00765074"/>
    <w:rsid w:val="00765261"/>
    <w:rsid w:val="007656F2"/>
    <w:rsid w:val="00765B46"/>
    <w:rsid w:val="00766809"/>
    <w:rsid w:val="00766877"/>
    <w:rsid w:val="00766C70"/>
    <w:rsid w:val="007670C0"/>
    <w:rsid w:val="00767863"/>
    <w:rsid w:val="00767B6A"/>
    <w:rsid w:val="00767BA7"/>
    <w:rsid w:val="00771EED"/>
    <w:rsid w:val="007723E4"/>
    <w:rsid w:val="00772B58"/>
    <w:rsid w:val="00772BD7"/>
    <w:rsid w:val="00772EFB"/>
    <w:rsid w:val="00773AE1"/>
    <w:rsid w:val="00774B6C"/>
    <w:rsid w:val="00775150"/>
    <w:rsid w:val="00775D02"/>
    <w:rsid w:val="00777236"/>
    <w:rsid w:val="007773CA"/>
    <w:rsid w:val="00777628"/>
    <w:rsid w:val="00777694"/>
    <w:rsid w:val="00777D41"/>
    <w:rsid w:val="00781080"/>
    <w:rsid w:val="00781304"/>
    <w:rsid w:val="007813A5"/>
    <w:rsid w:val="0078186D"/>
    <w:rsid w:val="007819BE"/>
    <w:rsid w:val="00781BB3"/>
    <w:rsid w:val="00782188"/>
    <w:rsid w:val="007826BB"/>
    <w:rsid w:val="00782A55"/>
    <w:rsid w:val="00783CC2"/>
    <w:rsid w:val="00785337"/>
    <w:rsid w:val="0078561F"/>
    <w:rsid w:val="0078598D"/>
    <w:rsid w:val="00785E72"/>
    <w:rsid w:val="007861CB"/>
    <w:rsid w:val="0079057C"/>
    <w:rsid w:val="0079071A"/>
    <w:rsid w:val="0079085B"/>
    <w:rsid w:val="00791A2B"/>
    <w:rsid w:val="00791DF7"/>
    <w:rsid w:val="007923A6"/>
    <w:rsid w:val="007929BA"/>
    <w:rsid w:val="00793024"/>
    <w:rsid w:val="00793173"/>
    <w:rsid w:val="0079393B"/>
    <w:rsid w:val="00793A8D"/>
    <w:rsid w:val="007947ED"/>
    <w:rsid w:val="0079758E"/>
    <w:rsid w:val="007A1E45"/>
    <w:rsid w:val="007A1F7B"/>
    <w:rsid w:val="007A2015"/>
    <w:rsid w:val="007A217A"/>
    <w:rsid w:val="007A266F"/>
    <w:rsid w:val="007A2B47"/>
    <w:rsid w:val="007A3446"/>
    <w:rsid w:val="007A392C"/>
    <w:rsid w:val="007A393A"/>
    <w:rsid w:val="007A3CDA"/>
    <w:rsid w:val="007A48E2"/>
    <w:rsid w:val="007A4C43"/>
    <w:rsid w:val="007A5740"/>
    <w:rsid w:val="007A5C30"/>
    <w:rsid w:val="007A5EE0"/>
    <w:rsid w:val="007A6145"/>
    <w:rsid w:val="007A6298"/>
    <w:rsid w:val="007A66A0"/>
    <w:rsid w:val="007A67D6"/>
    <w:rsid w:val="007A69C6"/>
    <w:rsid w:val="007A71B9"/>
    <w:rsid w:val="007A72B3"/>
    <w:rsid w:val="007A75DE"/>
    <w:rsid w:val="007A786C"/>
    <w:rsid w:val="007A7A48"/>
    <w:rsid w:val="007A7C28"/>
    <w:rsid w:val="007B042C"/>
    <w:rsid w:val="007B16FF"/>
    <w:rsid w:val="007B191F"/>
    <w:rsid w:val="007B1B89"/>
    <w:rsid w:val="007B1D23"/>
    <w:rsid w:val="007B21A4"/>
    <w:rsid w:val="007B26AD"/>
    <w:rsid w:val="007B277B"/>
    <w:rsid w:val="007B2910"/>
    <w:rsid w:val="007B34A5"/>
    <w:rsid w:val="007B34EA"/>
    <w:rsid w:val="007B3FD6"/>
    <w:rsid w:val="007B4967"/>
    <w:rsid w:val="007B57E8"/>
    <w:rsid w:val="007B5A28"/>
    <w:rsid w:val="007B61DE"/>
    <w:rsid w:val="007B635C"/>
    <w:rsid w:val="007B642E"/>
    <w:rsid w:val="007B6441"/>
    <w:rsid w:val="007B66D3"/>
    <w:rsid w:val="007B7759"/>
    <w:rsid w:val="007B7CAA"/>
    <w:rsid w:val="007C099D"/>
    <w:rsid w:val="007C0E23"/>
    <w:rsid w:val="007C176F"/>
    <w:rsid w:val="007C1990"/>
    <w:rsid w:val="007C19BF"/>
    <w:rsid w:val="007C19E2"/>
    <w:rsid w:val="007C2427"/>
    <w:rsid w:val="007C3081"/>
    <w:rsid w:val="007C3FEA"/>
    <w:rsid w:val="007C40AB"/>
    <w:rsid w:val="007C4678"/>
    <w:rsid w:val="007C4B3B"/>
    <w:rsid w:val="007C53A7"/>
    <w:rsid w:val="007C54CF"/>
    <w:rsid w:val="007C56CD"/>
    <w:rsid w:val="007C5766"/>
    <w:rsid w:val="007C5FDA"/>
    <w:rsid w:val="007C7273"/>
    <w:rsid w:val="007C7C54"/>
    <w:rsid w:val="007D008C"/>
    <w:rsid w:val="007D0117"/>
    <w:rsid w:val="007D05D3"/>
    <w:rsid w:val="007D0EC6"/>
    <w:rsid w:val="007D1604"/>
    <w:rsid w:val="007D2722"/>
    <w:rsid w:val="007D2B8B"/>
    <w:rsid w:val="007D386D"/>
    <w:rsid w:val="007D38B1"/>
    <w:rsid w:val="007D3D86"/>
    <w:rsid w:val="007D412F"/>
    <w:rsid w:val="007D41FE"/>
    <w:rsid w:val="007D4382"/>
    <w:rsid w:val="007D49FF"/>
    <w:rsid w:val="007D54F8"/>
    <w:rsid w:val="007D5F42"/>
    <w:rsid w:val="007D7855"/>
    <w:rsid w:val="007D7CC7"/>
    <w:rsid w:val="007E07B5"/>
    <w:rsid w:val="007E0C2C"/>
    <w:rsid w:val="007E2258"/>
    <w:rsid w:val="007E28FF"/>
    <w:rsid w:val="007E2F1F"/>
    <w:rsid w:val="007E32C1"/>
    <w:rsid w:val="007E34D3"/>
    <w:rsid w:val="007E3BE7"/>
    <w:rsid w:val="007E4714"/>
    <w:rsid w:val="007E4DB0"/>
    <w:rsid w:val="007E52A3"/>
    <w:rsid w:val="007E52CF"/>
    <w:rsid w:val="007E55F4"/>
    <w:rsid w:val="007E569B"/>
    <w:rsid w:val="007E5EE7"/>
    <w:rsid w:val="007E6917"/>
    <w:rsid w:val="007E6B8C"/>
    <w:rsid w:val="007E7F79"/>
    <w:rsid w:val="007F086F"/>
    <w:rsid w:val="007F0B75"/>
    <w:rsid w:val="007F0EDF"/>
    <w:rsid w:val="007F1645"/>
    <w:rsid w:val="007F16F7"/>
    <w:rsid w:val="007F1927"/>
    <w:rsid w:val="007F1F78"/>
    <w:rsid w:val="007F3587"/>
    <w:rsid w:val="007F3680"/>
    <w:rsid w:val="007F3965"/>
    <w:rsid w:val="007F3984"/>
    <w:rsid w:val="007F39BA"/>
    <w:rsid w:val="007F39EE"/>
    <w:rsid w:val="007F4748"/>
    <w:rsid w:val="007F4D6D"/>
    <w:rsid w:val="007F5C8B"/>
    <w:rsid w:val="007F5D74"/>
    <w:rsid w:val="007F67C0"/>
    <w:rsid w:val="007F68D5"/>
    <w:rsid w:val="007F79D0"/>
    <w:rsid w:val="007F7DF0"/>
    <w:rsid w:val="008000A6"/>
    <w:rsid w:val="0080163F"/>
    <w:rsid w:val="0080262D"/>
    <w:rsid w:val="0080301A"/>
    <w:rsid w:val="008042E2"/>
    <w:rsid w:val="008045A1"/>
    <w:rsid w:val="008052A9"/>
    <w:rsid w:val="008056F5"/>
    <w:rsid w:val="00805B09"/>
    <w:rsid w:val="00805EBD"/>
    <w:rsid w:val="008067C6"/>
    <w:rsid w:val="00806C8C"/>
    <w:rsid w:val="008104F7"/>
    <w:rsid w:val="008115F0"/>
    <w:rsid w:val="008118FF"/>
    <w:rsid w:val="00811BE0"/>
    <w:rsid w:val="00811C19"/>
    <w:rsid w:val="00811FF2"/>
    <w:rsid w:val="008123FB"/>
    <w:rsid w:val="00812AD2"/>
    <w:rsid w:val="00812AED"/>
    <w:rsid w:val="00813045"/>
    <w:rsid w:val="008135B0"/>
    <w:rsid w:val="00814601"/>
    <w:rsid w:val="00814A7C"/>
    <w:rsid w:val="0081526E"/>
    <w:rsid w:val="00815B44"/>
    <w:rsid w:val="008162FC"/>
    <w:rsid w:val="008169EE"/>
    <w:rsid w:val="00817341"/>
    <w:rsid w:val="00820059"/>
    <w:rsid w:val="00820B6C"/>
    <w:rsid w:val="00820EC1"/>
    <w:rsid w:val="0082123D"/>
    <w:rsid w:val="00821286"/>
    <w:rsid w:val="00821BE9"/>
    <w:rsid w:val="008220CC"/>
    <w:rsid w:val="0082213B"/>
    <w:rsid w:val="00822B39"/>
    <w:rsid w:val="00822EB5"/>
    <w:rsid w:val="00823180"/>
    <w:rsid w:val="008238D7"/>
    <w:rsid w:val="00823AA5"/>
    <w:rsid w:val="008240A6"/>
    <w:rsid w:val="00824224"/>
    <w:rsid w:val="008263E8"/>
    <w:rsid w:val="008264E3"/>
    <w:rsid w:val="00827E8C"/>
    <w:rsid w:val="00830457"/>
    <w:rsid w:val="0083062A"/>
    <w:rsid w:val="00830EB8"/>
    <w:rsid w:val="00830FE0"/>
    <w:rsid w:val="008314E2"/>
    <w:rsid w:val="0083198C"/>
    <w:rsid w:val="0083332A"/>
    <w:rsid w:val="00833463"/>
    <w:rsid w:val="00833547"/>
    <w:rsid w:val="00835953"/>
    <w:rsid w:val="00835E1C"/>
    <w:rsid w:val="0083662A"/>
    <w:rsid w:val="008367B0"/>
    <w:rsid w:val="00836D7D"/>
    <w:rsid w:val="00837024"/>
    <w:rsid w:val="00837247"/>
    <w:rsid w:val="00837353"/>
    <w:rsid w:val="00837E12"/>
    <w:rsid w:val="0084055B"/>
    <w:rsid w:val="008408D0"/>
    <w:rsid w:val="00840A40"/>
    <w:rsid w:val="00840CA3"/>
    <w:rsid w:val="0084183F"/>
    <w:rsid w:val="00842679"/>
    <w:rsid w:val="00842B1E"/>
    <w:rsid w:val="00842D72"/>
    <w:rsid w:val="00843668"/>
    <w:rsid w:val="00843E20"/>
    <w:rsid w:val="00843EA4"/>
    <w:rsid w:val="00844748"/>
    <w:rsid w:val="00844E2F"/>
    <w:rsid w:val="00845341"/>
    <w:rsid w:val="00845785"/>
    <w:rsid w:val="0084623B"/>
    <w:rsid w:val="008464D3"/>
    <w:rsid w:val="008474DA"/>
    <w:rsid w:val="0084782E"/>
    <w:rsid w:val="0085006D"/>
    <w:rsid w:val="00850465"/>
    <w:rsid w:val="00850711"/>
    <w:rsid w:val="00850976"/>
    <w:rsid w:val="0085156E"/>
    <w:rsid w:val="00851A8C"/>
    <w:rsid w:val="00852340"/>
    <w:rsid w:val="00853BDF"/>
    <w:rsid w:val="00854134"/>
    <w:rsid w:val="008552D8"/>
    <w:rsid w:val="00855B1E"/>
    <w:rsid w:val="00855C5E"/>
    <w:rsid w:val="0085635D"/>
    <w:rsid w:val="00856661"/>
    <w:rsid w:val="008567C8"/>
    <w:rsid w:val="00856D0C"/>
    <w:rsid w:val="008570C4"/>
    <w:rsid w:val="0085725D"/>
    <w:rsid w:val="008575FF"/>
    <w:rsid w:val="0086022A"/>
    <w:rsid w:val="00860560"/>
    <w:rsid w:val="008607A5"/>
    <w:rsid w:val="00861E40"/>
    <w:rsid w:val="008625F2"/>
    <w:rsid w:val="00862672"/>
    <w:rsid w:val="00862FB7"/>
    <w:rsid w:val="00863110"/>
    <w:rsid w:val="00863851"/>
    <w:rsid w:val="00863A65"/>
    <w:rsid w:val="00863BD9"/>
    <w:rsid w:val="00863CA1"/>
    <w:rsid w:val="00863E29"/>
    <w:rsid w:val="00865300"/>
    <w:rsid w:val="00865E49"/>
    <w:rsid w:val="00866CC6"/>
    <w:rsid w:val="00866F8E"/>
    <w:rsid w:val="00866F9A"/>
    <w:rsid w:val="008677A5"/>
    <w:rsid w:val="0086789C"/>
    <w:rsid w:val="00867E30"/>
    <w:rsid w:val="00870542"/>
    <w:rsid w:val="008706C4"/>
    <w:rsid w:val="008713B0"/>
    <w:rsid w:val="00871D07"/>
    <w:rsid w:val="00871D1A"/>
    <w:rsid w:val="00871DDC"/>
    <w:rsid w:val="008729BE"/>
    <w:rsid w:val="00872DA2"/>
    <w:rsid w:val="00872F8D"/>
    <w:rsid w:val="008735F4"/>
    <w:rsid w:val="008739E2"/>
    <w:rsid w:val="00873DE4"/>
    <w:rsid w:val="008742D2"/>
    <w:rsid w:val="0087457E"/>
    <w:rsid w:val="00874977"/>
    <w:rsid w:val="00876027"/>
    <w:rsid w:val="00876244"/>
    <w:rsid w:val="00876BEE"/>
    <w:rsid w:val="008771BB"/>
    <w:rsid w:val="00877564"/>
    <w:rsid w:val="00877623"/>
    <w:rsid w:val="00877DA2"/>
    <w:rsid w:val="00880182"/>
    <w:rsid w:val="0088066B"/>
    <w:rsid w:val="00880A37"/>
    <w:rsid w:val="00880A46"/>
    <w:rsid w:val="00880C3B"/>
    <w:rsid w:val="00880CC0"/>
    <w:rsid w:val="008822D0"/>
    <w:rsid w:val="0088252F"/>
    <w:rsid w:val="008826D1"/>
    <w:rsid w:val="00882F6D"/>
    <w:rsid w:val="008833A5"/>
    <w:rsid w:val="008840CC"/>
    <w:rsid w:val="00884AEB"/>
    <w:rsid w:val="00885EA6"/>
    <w:rsid w:val="00886C1F"/>
    <w:rsid w:val="008874C9"/>
    <w:rsid w:val="00887D69"/>
    <w:rsid w:val="00887DDA"/>
    <w:rsid w:val="0089054A"/>
    <w:rsid w:val="0089119F"/>
    <w:rsid w:val="00891D3A"/>
    <w:rsid w:val="008927F2"/>
    <w:rsid w:val="00892D68"/>
    <w:rsid w:val="008930C8"/>
    <w:rsid w:val="00893105"/>
    <w:rsid w:val="00894BC1"/>
    <w:rsid w:val="00895354"/>
    <w:rsid w:val="00896741"/>
    <w:rsid w:val="0089691D"/>
    <w:rsid w:val="00896B42"/>
    <w:rsid w:val="00896BBC"/>
    <w:rsid w:val="00896D29"/>
    <w:rsid w:val="00896DD4"/>
    <w:rsid w:val="008972D8"/>
    <w:rsid w:val="00897671"/>
    <w:rsid w:val="008A03F8"/>
    <w:rsid w:val="008A0460"/>
    <w:rsid w:val="008A0A3F"/>
    <w:rsid w:val="008A188A"/>
    <w:rsid w:val="008A2849"/>
    <w:rsid w:val="008A292C"/>
    <w:rsid w:val="008A2EE4"/>
    <w:rsid w:val="008A2FA6"/>
    <w:rsid w:val="008A3499"/>
    <w:rsid w:val="008A39F3"/>
    <w:rsid w:val="008A3B63"/>
    <w:rsid w:val="008A412B"/>
    <w:rsid w:val="008A44BF"/>
    <w:rsid w:val="008A456C"/>
    <w:rsid w:val="008A4878"/>
    <w:rsid w:val="008A4FB1"/>
    <w:rsid w:val="008A595B"/>
    <w:rsid w:val="008A5DAB"/>
    <w:rsid w:val="008A709C"/>
    <w:rsid w:val="008A750F"/>
    <w:rsid w:val="008A75D9"/>
    <w:rsid w:val="008A7982"/>
    <w:rsid w:val="008B089F"/>
    <w:rsid w:val="008B08BB"/>
    <w:rsid w:val="008B0E5A"/>
    <w:rsid w:val="008B150E"/>
    <w:rsid w:val="008B16B9"/>
    <w:rsid w:val="008B2349"/>
    <w:rsid w:val="008B2D77"/>
    <w:rsid w:val="008B31E7"/>
    <w:rsid w:val="008B35AE"/>
    <w:rsid w:val="008B3A54"/>
    <w:rsid w:val="008B43B5"/>
    <w:rsid w:val="008B45C8"/>
    <w:rsid w:val="008B6327"/>
    <w:rsid w:val="008B74A0"/>
    <w:rsid w:val="008B74FC"/>
    <w:rsid w:val="008B7E93"/>
    <w:rsid w:val="008C113A"/>
    <w:rsid w:val="008C1159"/>
    <w:rsid w:val="008C11F4"/>
    <w:rsid w:val="008C1211"/>
    <w:rsid w:val="008C12B8"/>
    <w:rsid w:val="008C1505"/>
    <w:rsid w:val="008C2686"/>
    <w:rsid w:val="008C283C"/>
    <w:rsid w:val="008C2FBC"/>
    <w:rsid w:val="008C319C"/>
    <w:rsid w:val="008C3AD2"/>
    <w:rsid w:val="008C4A64"/>
    <w:rsid w:val="008C4C7A"/>
    <w:rsid w:val="008C4E31"/>
    <w:rsid w:val="008C5266"/>
    <w:rsid w:val="008C5587"/>
    <w:rsid w:val="008C5692"/>
    <w:rsid w:val="008C56B0"/>
    <w:rsid w:val="008C5A2D"/>
    <w:rsid w:val="008C619A"/>
    <w:rsid w:val="008C6415"/>
    <w:rsid w:val="008C75F8"/>
    <w:rsid w:val="008C79BB"/>
    <w:rsid w:val="008C7BF7"/>
    <w:rsid w:val="008D055F"/>
    <w:rsid w:val="008D05A4"/>
    <w:rsid w:val="008D061F"/>
    <w:rsid w:val="008D0ABF"/>
    <w:rsid w:val="008D0AD4"/>
    <w:rsid w:val="008D0EA5"/>
    <w:rsid w:val="008D12A1"/>
    <w:rsid w:val="008D156D"/>
    <w:rsid w:val="008D1851"/>
    <w:rsid w:val="008D1896"/>
    <w:rsid w:val="008D2047"/>
    <w:rsid w:val="008D23E9"/>
    <w:rsid w:val="008D3335"/>
    <w:rsid w:val="008D392D"/>
    <w:rsid w:val="008D396D"/>
    <w:rsid w:val="008D3B5B"/>
    <w:rsid w:val="008D4566"/>
    <w:rsid w:val="008D4A91"/>
    <w:rsid w:val="008D5234"/>
    <w:rsid w:val="008D590D"/>
    <w:rsid w:val="008D5ACE"/>
    <w:rsid w:val="008D5BD5"/>
    <w:rsid w:val="008D5D34"/>
    <w:rsid w:val="008D5EEC"/>
    <w:rsid w:val="008D6139"/>
    <w:rsid w:val="008D642B"/>
    <w:rsid w:val="008D66AC"/>
    <w:rsid w:val="008E0423"/>
    <w:rsid w:val="008E09FB"/>
    <w:rsid w:val="008E0CD9"/>
    <w:rsid w:val="008E0EF5"/>
    <w:rsid w:val="008E10E6"/>
    <w:rsid w:val="008E1BB9"/>
    <w:rsid w:val="008E2593"/>
    <w:rsid w:val="008E2A5A"/>
    <w:rsid w:val="008E3584"/>
    <w:rsid w:val="008E4ABD"/>
    <w:rsid w:val="008E53E8"/>
    <w:rsid w:val="008E56AC"/>
    <w:rsid w:val="008E5B9F"/>
    <w:rsid w:val="008E5C63"/>
    <w:rsid w:val="008E613C"/>
    <w:rsid w:val="008E6519"/>
    <w:rsid w:val="008E7C15"/>
    <w:rsid w:val="008E7E05"/>
    <w:rsid w:val="008F0E99"/>
    <w:rsid w:val="008F1495"/>
    <w:rsid w:val="008F18E6"/>
    <w:rsid w:val="008F3BBA"/>
    <w:rsid w:val="008F4728"/>
    <w:rsid w:val="008F4D04"/>
    <w:rsid w:val="008F501C"/>
    <w:rsid w:val="008F5A50"/>
    <w:rsid w:val="008F7639"/>
    <w:rsid w:val="008F7D66"/>
    <w:rsid w:val="009000AD"/>
    <w:rsid w:val="009000B5"/>
    <w:rsid w:val="009002D1"/>
    <w:rsid w:val="00900388"/>
    <w:rsid w:val="0090060A"/>
    <w:rsid w:val="0090107C"/>
    <w:rsid w:val="00902237"/>
    <w:rsid w:val="0090259C"/>
    <w:rsid w:val="00902D63"/>
    <w:rsid w:val="00902E21"/>
    <w:rsid w:val="0090311C"/>
    <w:rsid w:val="00903742"/>
    <w:rsid w:val="00904D30"/>
    <w:rsid w:val="00904DDC"/>
    <w:rsid w:val="00905036"/>
    <w:rsid w:val="00905043"/>
    <w:rsid w:val="0090528E"/>
    <w:rsid w:val="009053F9"/>
    <w:rsid w:val="009063AC"/>
    <w:rsid w:val="00906B80"/>
    <w:rsid w:val="00906EAC"/>
    <w:rsid w:val="00906F80"/>
    <w:rsid w:val="0090794E"/>
    <w:rsid w:val="009100FC"/>
    <w:rsid w:val="0091017A"/>
    <w:rsid w:val="00910841"/>
    <w:rsid w:val="00912CFB"/>
    <w:rsid w:val="00912D62"/>
    <w:rsid w:val="009130F6"/>
    <w:rsid w:val="00913E69"/>
    <w:rsid w:val="009144FC"/>
    <w:rsid w:val="00914D44"/>
    <w:rsid w:val="00914D4E"/>
    <w:rsid w:val="0091590B"/>
    <w:rsid w:val="00915961"/>
    <w:rsid w:val="0091796F"/>
    <w:rsid w:val="00917A86"/>
    <w:rsid w:val="00917B4B"/>
    <w:rsid w:val="00920767"/>
    <w:rsid w:val="0092099E"/>
    <w:rsid w:val="00921024"/>
    <w:rsid w:val="0092106C"/>
    <w:rsid w:val="00921CBB"/>
    <w:rsid w:val="00922314"/>
    <w:rsid w:val="009226FD"/>
    <w:rsid w:val="00923021"/>
    <w:rsid w:val="0092393F"/>
    <w:rsid w:val="00923B75"/>
    <w:rsid w:val="00923D88"/>
    <w:rsid w:val="009246D6"/>
    <w:rsid w:val="00924FBC"/>
    <w:rsid w:val="009259EF"/>
    <w:rsid w:val="00925AE1"/>
    <w:rsid w:val="0092612D"/>
    <w:rsid w:val="0092661F"/>
    <w:rsid w:val="00926BB9"/>
    <w:rsid w:val="00927733"/>
    <w:rsid w:val="0093008C"/>
    <w:rsid w:val="00930B5B"/>
    <w:rsid w:val="009313BE"/>
    <w:rsid w:val="00931A0A"/>
    <w:rsid w:val="00932075"/>
    <w:rsid w:val="0093240C"/>
    <w:rsid w:val="00932734"/>
    <w:rsid w:val="009327E6"/>
    <w:rsid w:val="00933345"/>
    <w:rsid w:val="009336A4"/>
    <w:rsid w:val="00934BA0"/>
    <w:rsid w:val="00935ADF"/>
    <w:rsid w:val="00936049"/>
    <w:rsid w:val="00936B07"/>
    <w:rsid w:val="00936F80"/>
    <w:rsid w:val="009403F0"/>
    <w:rsid w:val="00940694"/>
    <w:rsid w:val="00940F7A"/>
    <w:rsid w:val="00940F8A"/>
    <w:rsid w:val="009423C5"/>
    <w:rsid w:val="009428AC"/>
    <w:rsid w:val="009431DF"/>
    <w:rsid w:val="009432EB"/>
    <w:rsid w:val="00943885"/>
    <w:rsid w:val="00943AFC"/>
    <w:rsid w:val="00943D67"/>
    <w:rsid w:val="00943E03"/>
    <w:rsid w:val="00944716"/>
    <w:rsid w:val="0094485A"/>
    <w:rsid w:val="00944E20"/>
    <w:rsid w:val="0094542D"/>
    <w:rsid w:val="00947827"/>
    <w:rsid w:val="009502B6"/>
    <w:rsid w:val="00950802"/>
    <w:rsid w:val="00951681"/>
    <w:rsid w:val="00952233"/>
    <w:rsid w:val="00952A11"/>
    <w:rsid w:val="00952EAD"/>
    <w:rsid w:val="00953058"/>
    <w:rsid w:val="00953712"/>
    <w:rsid w:val="0095392C"/>
    <w:rsid w:val="00953D9C"/>
    <w:rsid w:val="00954ADB"/>
    <w:rsid w:val="00954AEF"/>
    <w:rsid w:val="00954E3B"/>
    <w:rsid w:val="00954F98"/>
    <w:rsid w:val="0095645D"/>
    <w:rsid w:val="00956AA9"/>
    <w:rsid w:val="00957A74"/>
    <w:rsid w:val="00957E52"/>
    <w:rsid w:val="00960243"/>
    <w:rsid w:val="009604E8"/>
    <w:rsid w:val="00960BEE"/>
    <w:rsid w:val="00960D25"/>
    <w:rsid w:val="00960E7F"/>
    <w:rsid w:val="009618B0"/>
    <w:rsid w:val="00961B7A"/>
    <w:rsid w:val="0096246D"/>
    <w:rsid w:val="009624D5"/>
    <w:rsid w:val="00963226"/>
    <w:rsid w:val="00963800"/>
    <w:rsid w:val="00963F5B"/>
    <w:rsid w:val="00964809"/>
    <w:rsid w:val="009652A1"/>
    <w:rsid w:val="009656AE"/>
    <w:rsid w:val="00965790"/>
    <w:rsid w:val="009672A5"/>
    <w:rsid w:val="0096741F"/>
    <w:rsid w:val="0096745C"/>
    <w:rsid w:val="00970001"/>
    <w:rsid w:val="009702B6"/>
    <w:rsid w:val="00971499"/>
    <w:rsid w:val="009716BF"/>
    <w:rsid w:val="00972688"/>
    <w:rsid w:val="0097364D"/>
    <w:rsid w:val="00973AFD"/>
    <w:rsid w:val="00973D61"/>
    <w:rsid w:val="00974E2E"/>
    <w:rsid w:val="00974F0F"/>
    <w:rsid w:val="009753A4"/>
    <w:rsid w:val="00975488"/>
    <w:rsid w:val="009755BC"/>
    <w:rsid w:val="00975960"/>
    <w:rsid w:val="00975E55"/>
    <w:rsid w:val="0097608A"/>
    <w:rsid w:val="0097610E"/>
    <w:rsid w:val="0097647A"/>
    <w:rsid w:val="00977AFB"/>
    <w:rsid w:val="00977B52"/>
    <w:rsid w:val="0098060A"/>
    <w:rsid w:val="00980DEE"/>
    <w:rsid w:val="00981BAB"/>
    <w:rsid w:val="00982633"/>
    <w:rsid w:val="009827A5"/>
    <w:rsid w:val="0098284E"/>
    <w:rsid w:val="009836D3"/>
    <w:rsid w:val="00983894"/>
    <w:rsid w:val="00983AE4"/>
    <w:rsid w:val="00983C7C"/>
    <w:rsid w:val="00984410"/>
    <w:rsid w:val="00984D91"/>
    <w:rsid w:val="009851B5"/>
    <w:rsid w:val="00985538"/>
    <w:rsid w:val="0098557E"/>
    <w:rsid w:val="0098578C"/>
    <w:rsid w:val="009862EB"/>
    <w:rsid w:val="00986591"/>
    <w:rsid w:val="00986B2A"/>
    <w:rsid w:val="00987254"/>
    <w:rsid w:val="009872EE"/>
    <w:rsid w:val="009874D4"/>
    <w:rsid w:val="00987523"/>
    <w:rsid w:val="00987CEB"/>
    <w:rsid w:val="00993294"/>
    <w:rsid w:val="00993E36"/>
    <w:rsid w:val="00994A8D"/>
    <w:rsid w:val="00994DF5"/>
    <w:rsid w:val="00995136"/>
    <w:rsid w:val="009968EF"/>
    <w:rsid w:val="00996A4D"/>
    <w:rsid w:val="009971D8"/>
    <w:rsid w:val="009A14A7"/>
    <w:rsid w:val="009A1599"/>
    <w:rsid w:val="009A19F7"/>
    <w:rsid w:val="009A1E2C"/>
    <w:rsid w:val="009A200C"/>
    <w:rsid w:val="009A28E1"/>
    <w:rsid w:val="009A295A"/>
    <w:rsid w:val="009A40DE"/>
    <w:rsid w:val="009A4306"/>
    <w:rsid w:val="009A4A17"/>
    <w:rsid w:val="009A4AB1"/>
    <w:rsid w:val="009A4FA3"/>
    <w:rsid w:val="009A51EA"/>
    <w:rsid w:val="009A5CB6"/>
    <w:rsid w:val="009A69DA"/>
    <w:rsid w:val="009A6C01"/>
    <w:rsid w:val="009A728E"/>
    <w:rsid w:val="009A7995"/>
    <w:rsid w:val="009B01B5"/>
    <w:rsid w:val="009B0DB6"/>
    <w:rsid w:val="009B1424"/>
    <w:rsid w:val="009B1AC7"/>
    <w:rsid w:val="009B231B"/>
    <w:rsid w:val="009B2839"/>
    <w:rsid w:val="009B3065"/>
    <w:rsid w:val="009B36CA"/>
    <w:rsid w:val="009B3F11"/>
    <w:rsid w:val="009B40A2"/>
    <w:rsid w:val="009B44E8"/>
    <w:rsid w:val="009B478C"/>
    <w:rsid w:val="009B4B49"/>
    <w:rsid w:val="009B5973"/>
    <w:rsid w:val="009B71EB"/>
    <w:rsid w:val="009B75A6"/>
    <w:rsid w:val="009C078D"/>
    <w:rsid w:val="009C1198"/>
    <w:rsid w:val="009C1477"/>
    <w:rsid w:val="009C1688"/>
    <w:rsid w:val="009C1906"/>
    <w:rsid w:val="009C1EE4"/>
    <w:rsid w:val="009C2248"/>
    <w:rsid w:val="009C274C"/>
    <w:rsid w:val="009C2CC2"/>
    <w:rsid w:val="009C3EB2"/>
    <w:rsid w:val="009C3FB0"/>
    <w:rsid w:val="009C4084"/>
    <w:rsid w:val="009C43A7"/>
    <w:rsid w:val="009C55C7"/>
    <w:rsid w:val="009C5627"/>
    <w:rsid w:val="009C6518"/>
    <w:rsid w:val="009C65B6"/>
    <w:rsid w:val="009C78F2"/>
    <w:rsid w:val="009C7EED"/>
    <w:rsid w:val="009D029B"/>
    <w:rsid w:val="009D0B15"/>
    <w:rsid w:val="009D1074"/>
    <w:rsid w:val="009D151C"/>
    <w:rsid w:val="009D181A"/>
    <w:rsid w:val="009D216A"/>
    <w:rsid w:val="009D2225"/>
    <w:rsid w:val="009D3509"/>
    <w:rsid w:val="009D3826"/>
    <w:rsid w:val="009D3D9D"/>
    <w:rsid w:val="009D4077"/>
    <w:rsid w:val="009D40B8"/>
    <w:rsid w:val="009D455E"/>
    <w:rsid w:val="009D49D8"/>
    <w:rsid w:val="009D500D"/>
    <w:rsid w:val="009D5C9B"/>
    <w:rsid w:val="009D61F6"/>
    <w:rsid w:val="009D6330"/>
    <w:rsid w:val="009D67A5"/>
    <w:rsid w:val="009D6BC5"/>
    <w:rsid w:val="009D6D55"/>
    <w:rsid w:val="009D712F"/>
    <w:rsid w:val="009E0B58"/>
    <w:rsid w:val="009E10BC"/>
    <w:rsid w:val="009E2445"/>
    <w:rsid w:val="009E3929"/>
    <w:rsid w:val="009E45B5"/>
    <w:rsid w:val="009E4745"/>
    <w:rsid w:val="009E4919"/>
    <w:rsid w:val="009E4CBF"/>
    <w:rsid w:val="009E4CCC"/>
    <w:rsid w:val="009E4F1C"/>
    <w:rsid w:val="009E6EAF"/>
    <w:rsid w:val="009E7255"/>
    <w:rsid w:val="009E759A"/>
    <w:rsid w:val="009E7A23"/>
    <w:rsid w:val="009E7CAB"/>
    <w:rsid w:val="009E7CFC"/>
    <w:rsid w:val="009E7DE9"/>
    <w:rsid w:val="009F0817"/>
    <w:rsid w:val="009F095E"/>
    <w:rsid w:val="009F0A33"/>
    <w:rsid w:val="009F1C13"/>
    <w:rsid w:val="009F2014"/>
    <w:rsid w:val="009F22C3"/>
    <w:rsid w:val="009F23D7"/>
    <w:rsid w:val="009F24AE"/>
    <w:rsid w:val="009F2B26"/>
    <w:rsid w:val="009F2EE9"/>
    <w:rsid w:val="009F314B"/>
    <w:rsid w:val="009F460C"/>
    <w:rsid w:val="009F56C1"/>
    <w:rsid w:val="009F5C93"/>
    <w:rsid w:val="009F5F2E"/>
    <w:rsid w:val="009F6248"/>
    <w:rsid w:val="009F6685"/>
    <w:rsid w:val="009F697E"/>
    <w:rsid w:val="00A0011E"/>
    <w:rsid w:val="00A002F2"/>
    <w:rsid w:val="00A0098B"/>
    <w:rsid w:val="00A01003"/>
    <w:rsid w:val="00A01255"/>
    <w:rsid w:val="00A018C1"/>
    <w:rsid w:val="00A021FA"/>
    <w:rsid w:val="00A02645"/>
    <w:rsid w:val="00A033DF"/>
    <w:rsid w:val="00A0341C"/>
    <w:rsid w:val="00A03B54"/>
    <w:rsid w:val="00A03E2B"/>
    <w:rsid w:val="00A04B97"/>
    <w:rsid w:val="00A04D02"/>
    <w:rsid w:val="00A0502A"/>
    <w:rsid w:val="00A0510A"/>
    <w:rsid w:val="00A05576"/>
    <w:rsid w:val="00A058D3"/>
    <w:rsid w:val="00A05D76"/>
    <w:rsid w:val="00A05F3B"/>
    <w:rsid w:val="00A07290"/>
    <w:rsid w:val="00A07352"/>
    <w:rsid w:val="00A07FE7"/>
    <w:rsid w:val="00A10413"/>
    <w:rsid w:val="00A10C56"/>
    <w:rsid w:val="00A114A2"/>
    <w:rsid w:val="00A119CF"/>
    <w:rsid w:val="00A12446"/>
    <w:rsid w:val="00A128F9"/>
    <w:rsid w:val="00A1303E"/>
    <w:rsid w:val="00A14A7D"/>
    <w:rsid w:val="00A15622"/>
    <w:rsid w:val="00A15A74"/>
    <w:rsid w:val="00A16544"/>
    <w:rsid w:val="00A167AA"/>
    <w:rsid w:val="00A16BA2"/>
    <w:rsid w:val="00A17501"/>
    <w:rsid w:val="00A20211"/>
    <w:rsid w:val="00A21692"/>
    <w:rsid w:val="00A22892"/>
    <w:rsid w:val="00A2309E"/>
    <w:rsid w:val="00A23680"/>
    <w:rsid w:val="00A265CC"/>
    <w:rsid w:val="00A26FA9"/>
    <w:rsid w:val="00A270D3"/>
    <w:rsid w:val="00A27650"/>
    <w:rsid w:val="00A27ED6"/>
    <w:rsid w:val="00A302B5"/>
    <w:rsid w:val="00A3061B"/>
    <w:rsid w:val="00A3153C"/>
    <w:rsid w:val="00A31590"/>
    <w:rsid w:val="00A3190F"/>
    <w:rsid w:val="00A32228"/>
    <w:rsid w:val="00A32A87"/>
    <w:rsid w:val="00A339E4"/>
    <w:rsid w:val="00A33A38"/>
    <w:rsid w:val="00A346F2"/>
    <w:rsid w:val="00A34740"/>
    <w:rsid w:val="00A34E45"/>
    <w:rsid w:val="00A35199"/>
    <w:rsid w:val="00A357EA"/>
    <w:rsid w:val="00A378DC"/>
    <w:rsid w:val="00A37B35"/>
    <w:rsid w:val="00A37BA8"/>
    <w:rsid w:val="00A40B50"/>
    <w:rsid w:val="00A4174F"/>
    <w:rsid w:val="00A41A8F"/>
    <w:rsid w:val="00A41B49"/>
    <w:rsid w:val="00A41EA3"/>
    <w:rsid w:val="00A42716"/>
    <w:rsid w:val="00A42726"/>
    <w:rsid w:val="00A42969"/>
    <w:rsid w:val="00A42C46"/>
    <w:rsid w:val="00A42F8C"/>
    <w:rsid w:val="00A4414C"/>
    <w:rsid w:val="00A44722"/>
    <w:rsid w:val="00A454C4"/>
    <w:rsid w:val="00A45C62"/>
    <w:rsid w:val="00A45EA5"/>
    <w:rsid w:val="00A4607E"/>
    <w:rsid w:val="00A46695"/>
    <w:rsid w:val="00A471D8"/>
    <w:rsid w:val="00A4736B"/>
    <w:rsid w:val="00A47A33"/>
    <w:rsid w:val="00A47D2D"/>
    <w:rsid w:val="00A50970"/>
    <w:rsid w:val="00A5206B"/>
    <w:rsid w:val="00A5269C"/>
    <w:rsid w:val="00A52A42"/>
    <w:rsid w:val="00A52C9B"/>
    <w:rsid w:val="00A52EE2"/>
    <w:rsid w:val="00A536A3"/>
    <w:rsid w:val="00A53A8A"/>
    <w:rsid w:val="00A53FBB"/>
    <w:rsid w:val="00A545B0"/>
    <w:rsid w:val="00A54B58"/>
    <w:rsid w:val="00A54D7D"/>
    <w:rsid w:val="00A55611"/>
    <w:rsid w:val="00A55EB9"/>
    <w:rsid w:val="00A562AB"/>
    <w:rsid w:val="00A5696E"/>
    <w:rsid w:val="00A56C3B"/>
    <w:rsid w:val="00A56D16"/>
    <w:rsid w:val="00A56EF0"/>
    <w:rsid w:val="00A56FB8"/>
    <w:rsid w:val="00A57639"/>
    <w:rsid w:val="00A57D6E"/>
    <w:rsid w:val="00A600DB"/>
    <w:rsid w:val="00A6031B"/>
    <w:rsid w:val="00A61DEF"/>
    <w:rsid w:val="00A623A6"/>
    <w:rsid w:val="00A6310A"/>
    <w:rsid w:val="00A63D50"/>
    <w:rsid w:val="00A63F60"/>
    <w:rsid w:val="00A64100"/>
    <w:rsid w:val="00A64460"/>
    <w:rsid w:val="00A6453F"/>
    <w:rsid w:val="00A6477E"/>
    <w:rsid w:val="00A64A31"/>
    <w:rsid w:val="00A64CF4"/>
    <w:rsid w:val="00A663C9"/>
    <w:rsid w:val="00A666C5"/>
    <w:rsid w:val="00A66FB2"/>
    <w:rsid w:val="00A67692"/>
    <w:rsid w:val="00A67CE8"/>
    <w:rsid w:val="00A71D92"/>
    <w:rsid w:val="00A72306"/>
    <w:rsid w:val="00A724F3"/>
    <w:rsid w:val="00A72DBD"/>
    <w:rsid w:val="00A73202"/>
    <w:rsid w:val="00A739D2"/>
    <w:rsid w:val="00A73A86"/>
    <w:rsid w:val="00A74144"/>
    <w:rsid w:val="00A74ADE"/>
    <w:rsid w:val="00A74F54"/>
    <w:rsid w:val="00A75C54"/>
    <w:rsid w:val="00A763B8"/>
    <w:rsid w:val="00A76D7D"/>
    <w:rsid w:val="00A77A65"/>
    <w:rsid w:val="00A77EC4"/>
    <w:rsid w:val="00A8095D"/>
    <w:rsid w:val="00A8097A"/>
    <w:rsid w:val="00A80D14"/>
    <w:rsid w:val="00A80DAA"/>
    <w:rsid w:val="00A81081"/>
    <w:rsid w:val="00A813D6"/>
    <w:rsid w:val="00A81A35"/>
    <w:rsid w:val="00A8218A"/>
    <w:rsid w:val="00A821F8"/>
    <w:rsid w:val="00A82274"/>
    <w:rsid w:val="00A82C2D"/>
    <w:rsid w:val="00A832B0"/>
    <w:rsid w:val="00A836B1"/>
    <w:rsid w:val="00A838CA"/>
    <w:rsid w:val="00A83FCD"/>
    <w:rsid w:val="00A84EA3"/>
    <w:rsid w:val="00A850FD"/>
    <w:rsid w:val="00A85583"/>
    <w:rsid w:val="00A8593B"/>
    <w:rsid w:val="00A859B6"/>
    <w:rsid w:val="00A863B2"/>
    <w:rsid w:val="00A86A94"/>
    <w:rsid w:val="00A87145"/>
    <w:rsid w:val="00A9091A"/>
    <w:rsid w:val="00A926E2"/>
    <w:rsid w:val="00A92800"/>
    <w:rsid w:val="00A931D7"/>
    <w:rsid w:val="00A93359"/>
    <w:rsid w:val="00A93DEE"/>
    <w:rsid w:val="00A9413B"/>
    <w:rsid w:val="00A94552"/>
    <w:rsid w:val="00A94810"/>
    <w:rsid w:val="00A95202"/>
    <w:rsid w:val="00A95501"/>
    <w:rsid w:val="00A95563"/>
    <w:rsid w:val="00A969CB"/>
    <w:rsid w:val="00A971A3"/>
    <w:rsid w:val="00A973C1"/>
    <w:rsid w:val="00A975E6"/>
    <w:rsid w:val="00A97722"/>
    <w:rsid w:val="00A97F6D"/>
    <w:rsid w:val="00AA0A16"/>
    <w:rsid w:val="00AA1637"/>
    <w:rsid w:val="00AA16BC"/>
    <w:rsid w:val="00AA16F6"/>
    <w:rsid w:val="00AA1981"/>
    <w:rsid w:val="00AA1BC4"/>
    <w:rsid w:val="00AA2400"/>
    <w:rsid w:val="00AA25A2"/>
    <w:rsid w:val="00AA26D6"/>
    <w:rsid w:val="00AA2D35"/>
    <w:rsid w:val="00AA3BD4"/>
    <w:rsid w:val="00AA440A"/>
    <w:rsid w:val="00AA4708"/>
    <w:rsid w:val="00AA47CC"/>
    <w:rsid w:val="00AA5166"/>
    <w:rsid w:val="00AA57EB"/>
    <w:rsid w:val="00AA5C41"/>
    <w:rsid w:val="00AA633C"/>
    <w:rsid w:val="00AA64DC"/>
    <w:rsid w:val="00AA717A"/>
    <w:rsid w:val="00AA79BF"/>
    <w:rsid w:val="00AA7B4D"/>
    <w:rsid w:val="00AA7C3E"/>
    <w:rsid w:val="00AB0FDD"/>
    <w:rsid w:val="00AB1032"/>
    <w:rsid w:val="00AB1234"/>
    <w:rsid w:val="00AB12CA"/>
    <w:rsid w:val="00AB208F"/>
    <w:rsid w:val="00AB22F2"/>
    <w:rsid w:val="00AB2CE2"/>
    <w:rsid w:val="00AB3599"/>
    <w:rsid w:val="00AB3BDF"/>
    <w:rsid w:val="00AB50A0"/>
    <w:rsid w:val="00AB54E5"/>
    <w:rsid w:val="00AB579C"/>
    <w:rsid w:val="00AB5AA7"/>
    <w:rsid w:val="00AB6110"/>
    <w:rsid w:val="00AB6259"/>
    <w:rsid w:val="00AB671E"/>
    <w:rsid w:val="00AB6ADC"/>
    <w:rsid w:val="00AB7383"/>
    <w:rsid w:val="00AB7FFB"/>
    <w:rsid w:val="00AC01E6"/>
    <w:rsid w:val="00AC0205"/>
    <w:rsid w:val="00AC07B4"/>
    <w:rsid w:val="00AC15CB"/>
    <w:rsid w:val="00AC1F41"/>
    <w:rsid w:val="00AC24A2"/>
    <w:rsid w:val="00AC27BB"/>
    <w:rsid w:val="00AC2A15"/>
    <w:rsid w:val="00AC2B7B"/>
    <w:rsid w:val="00AC3A23"/>
    <w:rsid w:val="00AC3EFB"/>
    <w:rsid w:val="00AC409A"/>
    <w:rsid w:val="00AC5A4D"/>
    <w:rsid w:val="00AC5BBF"/>
    <w:rsid w:val="00AC5F8B"/>
    <w:rsid w:val="00AC610B"/>
    <w:rsid w:val="00AC6523"/>
    <w:rsid w:val="00AC68E0"/>
    <w:rsid w:val="00AC6B04"/>
    <w:rsid w:val="00AC6C7D"/>
    <w:rsid w:val="00AC7095"/>
    <w:rsid w:val="00AC7DB6"/>
    <w:rsid w:val="00AD0193"/>
    <w:rsid w:val="00AD02C0"/>
    <w:rsid w:val="00AD03EB"/>
    <w:rsid w:val="00AD1680"/>
    <w:rsid w:val="00AD19AD"/>
    <w:rsid w:val="00AD28C3"/>
    <w:rsid w:val="00AD2DD8"/>
    <w:rsid w:val="00AD2F32"/>
    <w:rsid w:val="00AD506E"/>
    <w:rsid w:val="00AD6396"/>
    <w:rsid w:val="00AD66AA"/>
    <w:rsid w:val="00AD7AF3"/>
    <w:rsid w:val="00AE01A9"/>
    <w:rsid w:val="00AE06F2"/>
    <w:rsid w:val="00AE0858"/>
    <w:rsid w:val="00AE0CDA"/>
    <w:rsid w:val="00AE100D"/>
    <w:rsid w:val="00AE10A8"/>
    <w:rsid w:val="00AE1816"/>
    <w:rsid w:val="00AE1F4F"/>
    <w:rsid w:val="00AE2843"/>
    <w:rsid w:val="00AE2BB2"/>
    <w:rsid w:val="00AE2BEB"/>
    <w:rsid w:val="00AE3721"/>
    <w:rsid w:val="00AE3737"/>
    <w:rsid w:val="00AE4D8D"/>
    <w:rsid w:val="00AE51F7"/>
    <w:rsid w:val="00AE579D"/>
    <w:rsid w:val="00AE58AB"/>
    <w:rsid w:val="00AE5AFF"/>
    <w:rsid w:val="00AE5E07"/>
    <w:rsid w:val="00AE6D45"/>
    <w:rsid w:val="00AE6F0E"/>
    <w:rsid w:val="00AE7F19"/>
    <w:rsid w:val="00AF03CE"/>
    <w:rsid w:val="00AF173E"/>
    <w:rsid w:val="00AF1EB1"/>
    <w:rsid w:val="00AF20D8"/>
    <w:rsid w:val="00AF21DC"/>
    <w:rsid w:val="00AF220E"/>
    <w:rsid w:val="00AF32E1"/>
    <w:rsid w:val="00AF3330"/>
    <w:rsid w:val="00AF3C55"/>
    <w:rsid w:val="00AF4349"/>
    <w:rsid w:val="00AF4448"/>
    <w:rsid w:val="00AF4D2F"/>
    <w:rsid w:val="00AF4DC5"/>
    <w:rsid w:val="00AF5124"/>
    <w:rsid w:val="00AF5192"/>
    <w:rsid w:val="00AF5A21"/>
    <w:rsid w:val="00AF5BFC"/>
    <w:rsid w:val="00AF6929"/>
    <w:rsid w:val="00AF6D04"/>
    <w:rsid w:val="00AF6E23"/>
    <w:rsid w:val="00AF6FBF"/>
    <w:rsid w:val="00AF7066"/>
    <w:rsid w:val="00B0028B"/>
    <w:rsid w:val="00B0067E"/>
    <w:rsid w:val="00B00A63"/>
    <w:rsid w:val="00B00DAD"/>
    <w:rsid w:val="00B0144A"/>
    <w:rsid w:val="00B01D73"/>
    <w:rsid w:val="00B01EF1"/>
    <w:rsid w:val="00B02057"/>
    <w:rsid w:val="00B02812"/>
    <w:rsid w:val="00B02C92"/>
    <w:rsid w:val="00B02DE4"/>
    <w:rsid w:val="00B02F5E"/>
    <w:rsid w:val="00B03601"/>
    <w:rsid w:val="00B03B00"/>
    <w:rsid w:val="00B03E67"/>
    <w:rsid w:val="00B04A7E"/>
    <w:rsid w:val="00B05374"/>
    <w:rsid w:val="00B0577E"/>
    <w:rsid w:val="00B05C93"/>
    <w:rsid w:val="00B05D1B"/>
    <w:rsid w:val="00B05D58"/>
    <w:rsid w:val="00B05E42"/>
    <w:rsid w:val="00B05E7D"/>
    <w:rsid w:val="00B07C19"/>
    <w:rsid w:val="00B1008F"/>
    <w:rsid w:val="00B10545"/>
    <w:rsid w:val="00B10A81"/>
    <w:rsid w:val="00B116CF"/>
    <w:rsid w:val="00B1194A"/>
    <w:rsid w:val="00B11CA8"/>
    <w:rsid w:val="00B11FF4"/>
    <w:rsid w:val="00B1215E"/>
    <w:rsid w:val="00B12A28"/>
    <w:rsid w:val="00B12AFE"/>
    <w:rsid w:val="00B12C20"/>
    <w:rsid w:val="00B12E72"/>
    <w:rsid w:val="00B1376A"/>
    <w:rsid w:val="00B139DB"/>
    <w:rsid w:val="00B14008"/>
    <w:rsid w:val="00B14A58"/>
    <w:rsid w:val="00B14FE6"/>
    <w:rsid w:val="00B153B9"/>
    <w:rsid w:val="00B155A6"/>
    <w:rsid w:val="00B1575B"/>
    <w:rsid w:val="00B159C2"/>
    <w:rsid w:val="00B175AD"/>
    <w:rsid w:val="00B17870"/>
    <w:rsid w:val="00B20690"/>
    <w:rsid w:val="00B211C5"/>
    <w:rsid w:val="00B217C8"/>
    <w:rsid w:val="00B21F8B"/>
    <w:rsid w:val="00B2219A"/>
    <w:rsid w:val="00B22352"/>
    <w:rsid w:val="00B2358E"/>
    <w:rsid w:val="00B235F5"/>
    <w:rsid w:val="00B238F2"/>
    <w:rsid w:val="00B24448"/>
    <w:rsid w:val="00B24706"/>
    <w:rsid w:val="00B24EF6"/>
    <w:rsid w:val="00B254F8"/>
    <w:rsid w:val="00B25F4F"/>
    <w:rsid w:val="00B25FF4"/>
    <w:rsid w:val="00B26C1B"/>
    <w:rsid w:val="00B26E8E"/>
    <w:rsid w:val="00B26E99"/>
    <w:rsid w:val="00B300C6"/>
    <w:rsid w:val="00B300E9"/>
    <w:rsid w:val="00B30172"/>
    <w:rsid w:val="00B30315"/>
    <w:rsid w:val="00B3057B"/>
    <w:rsid w:val="00B31289"/>
    <w:rsid w:val="00B3132E"/>
    <w:rsid w:val="00B313DA"/>
    <w:rsid w:val="00B31AF5"/>
    <w:rsid w:val="00B326F6"/>
    <w:rsid w:val="00B3270D"/>
    <w:rsid w:val="00B32C0D"/>
    <w:rsid w:val="00B32E93"/>
    <w:rsid w:val="00B32F08"/>
    <w:rsid w:val="00B332EE"/>
    <w:rsid w:val="00B3330A"/>
    <w:rsid w:val="00B3400B"/>
    <w:rsid w:val="00B34529"/>
    <w:rsid w:val="00B3454A"/>
    <w:rsid w:val="00B3583A"/>
    <w:rsid w:val="00B360BC"/>
    <w:rsid w:val="00B365B7"/>
    <w:rsid w:val="00B368F1"/>
    <w:rsid w:val="00B376E5"/>
    <w:rsid w:val="00B37A0B"/>
    <w:rsid w:val="00B37FB6"/>
    <w:rsid w:val="00B418D8"/>
    <w:rsid w:val="00B42095"/>
    <w:rsid w:val="00B42A9E"/>
    <w:rsid w:val="00B42ECB"/>
    <w:rsid w:val="00B436B4"/>
    <w:rsid w:val="00B44766"/>
    <w:rsid w:val="00B45298"/>
    <w:rsid w:val="00B45BA3"/>
    <w:rsid w:val="00B46CAE"/>
    <w:rsid w:val="00B470FA"/>
    <w:rsid w:val="00B47FB3"/>
    <w:rsid w:val="00B50370"/>
    <w:rsid w:val="00B504C6"/>
    <w:rsid w:val="00B50F30"/>
    <w:rsid w:val="00B510A5"/>
    <w:rsid w:val="00B527A6"/>
    <w:rsid w:val="00B52C01"/>
    <w:rsid w:val="00B53051"/>
    <w:rsid w:val="00B532C0"/>
    <w:rsid w:val="00B53715"/>
    <w:rsid w:val="00B539EF"/>
    <w:rsid w:val="00B54753"/>
    <w:rsid w:val="00B54B42"/>
    <w:rsid w:val="00B54B8F"/>
    <w:rsid w:val="00B54EC8"/>
    <w:rsid w:val="00B55452"/>
    <w:rsid w:val="00B55DB0"/>
    <w:rsid w:val="00B56194"/>
    <w:rsid w:val="00B5648C"/>
    <w:rsid w:val="00B56AC6"/>
    <w:rsid w:val="00B57F40"/>
    <w:rsid w:val="00B61286"/>
    <w:rsid w:val="00B6134E"/>
    <w:rsid w:val="00B621C9"/>
    <w:rsid w:val="00B6282B"/>
    <w:rsid w:val="00B629EA"/>
    <w:rsid w:val="00B631D6"/>
    <w:rsid w:val="00B63390"/>
    <w:rsid w:val="00B637FA"/>
    <w:rsid w:val="00B63809"/>
    <w:rsid w:val="00B63995"/>
    <w:rsid w:val="00B63BD1"/>
    <w:rsid w:val="00B63C65"/>
    <w:rsid w:val="00B641E3"/>
    <w:rsid w:val="00B64C44"/>
    <w:rsid w:val="00B64CBD"/>
    <w:rsid w:val="00B64E05"/>
    <w:rsid w:val="00B64E28"/>
    <w:rsid w:val="00B6508B"/>
    <w:rsid w:val="00B6551D"/>
    <w:rsid w:val="00B66358"/>
    <w:rsid w:val="00B6646A"/>
    <w:rsid w:val="00B6666B"/>
    <w:rsid w:val="00B66D43"/>
    <w:rsid w:val="00B67414"/>
    <w:rsid w:val="00B6777C"/>
    <w:rsid w:val="00B67BB0"/>
    <w:rsid w:val="00B67CB4"/>
    <w:rsid w:val="00B7062B"/>
    <w:rsid w:val="00B7067D"/>
    <w:rsid w:val="00B70BCF"/>
    <w:rsid w:val="00B71420"/>
    <w:rsid w:val="00B714B5"/>
    <w:rsid w:val="00B71A75"/>
    <w:rsid w:val="00B71CF3"/>
    <w:rsid w:val="00B71EE6"/>
    <w:rsid w:val="00B72530"/>
    <w:rsid w:val="00B72B50"/>
    <w:rsid w:val="00B732A8"/>
    <w:rsid w:val="00B73E8A"/>
    <w:rsid w:val="00B7411D"/>
    <w:rsid w:val="00B74651"/>
    <w:rsid w:val="00B75249"/>
    <w:rsid w:val="00B75A51"/>
    <w:rsid w:val="00B7617D"/>
    <w:rsid w:val="00B761FB"/>
    <w:rsid w:val="00B764B2"/>
    <w:rsid w:val="00B7670E"/>
    <w:rsid w:val="00B76ED8"/>
    <w:rsid w:val="00B77CBE"/>
    <w:rsid w:val="00B800B9"/>
    <w:rsid w:val="00B80481"/>
    <w:rsid w:val="00B804B6"/>
    <w:rsid w:val="00B80AD9"/>
    <w:rsid w:val="00B815F3"/>
    <w:rsid w:val="00B8168E"/>
    <w:rsid w:val="00B81855"/>
    <w:rsid w:val="00B824BB"/>
    <w:rsid w:val="00B83055"/>
    <w:rsid w:val="00B83CB5"/>
    <w:rsid w:val="00B841AF"/>
    <w:rsid w:val="00B84D81"/>
    <w:rsid w:val="00B85B15"/>
    <w:rsid w:val="00B86082"/>
    <w:rsid w:val="00B862AF"/>
    <w:rsid w:val="00B865F8"/>
    <w:rsid w:val="00B8666F"/>
    <w:rsid w:val="00B86E50"/>
    <w:rsid w:val="00B8771C"/>
    <w:rsid w:val="00B8774D"/>
    <w:rsid w:val="00B87DAE"/>
    <w:rsid w:val="00B90F6C"/>
    <w:rsid w:val="00B90FDF"/>
    <w:rsid w:val="00B9163B"/>
    <w:rsid w:val="00B917C6"/>
    <w:rsid w:val="00B91BD9"/>
    <w:rsid w:val="00B91CF4"/>
    <w:rsid w:val="00B91D8B"/>
    <w:rsid w:val="00B91E60"/>
    <w:rsid w:val="00B91FEA"/>
    <w:rsid w:val="00B92341"/>
    <w:rsid w:val="00B92363"/>
    <w:rsid w:val="00B92834"/>
    <w:rsid w:val="00B932EE"/>
    <w:rsid w:val="00B934F1"/>
    <w:rsid w:val="00B936E2"/>
    <w:rsid w:val="00B93743"/>
    <w:rsid w:val="00B93B06"/>
    <w:rsid w:val="00B93C04"/>
    <w:rsid w:val="00B94CBB"/>
    <w:rsid w:val="00B952F2"/>
    <w:rsid w:val="00B9550C"/>
    <w:rsid w:val="00B95575"/>
    <w:rsid w:val="00B95CCB"/>
    <w:rsid w:val="00B95CDD"/>
    <w:rsid w:val="00B97565"/>
    <w:rsid w:val="00B97909"/>
    <w:rsid w:val="00BA04EF"/>
    <w:rsid w:val="00BA1A23"/>
    <w:rsid w:val="00BA254F"/>
    <w:rsid w:val="00BA260D"/>
    <w:rsid w:val="00BA2A5E"/>
    <w:rsid w:val="00BA4115"/>
    <w:rsid w:val="00BA49D1"/>
    <w:rsid w:val="00BA5441"/>
    <w:rsid w:val="00BA6A98"/>
    <w:rsid w:val="00BA6CC8"/>
    <w:rsid w:val="00BA6D9E"/>
    <w:rsid w:val="00BA7067"/>
    <w:rsid w:val="00BA7183"/>
    <w:rsid w:val="00BA718E"/>
    <w:rsid w:val="00BA78E5"/>
    <w:rsid w:val="00BA7E27"/>
    <w:rsid w:val="00BB1B74"/>
    <w:rsid w:val="00BB2214"/>
    <w:rsid w:val="00BB2561"/>
    <w:rsid w:val="00BB2654"/>
    <w:rsid w:val="00BB2858"/>
    <w:rsid w:val="00BB2EA7"/>
    <w:rsid w:val="00BB3181"/>
    <w:rsid w:val="00BB3A59"/>
    <w:rsid w:val="00BB3AF8"/>
    <w:rsid w:val="00BB3B90"/>
    <w:rsid w:val="00BB3DDA"/>
    <w:rsid w:val="00BB4261"/>
    <w:rsid w:val="00BB4BE0"/>
    <w:rsid w:val="00BB4F71"/>
    <w:rsid w:val="00BB528D"/>
    <w:rsid w:val="00BB5AB3"/>
    <w:rsid w:val="00BB672B"/>
    <w:rsid w:val="00BB6A8E"/>
    <w:rsid w:val="00BB6CB1"/>
    <w:rsid w:val="00BB7470"/>
    <w:rsid w:val="00BC0051"/>
    <w:rsid w:val="00BC0222"/>
    <w:rsid w:val="00BC0729"/>
    <w:rsid w:val="00BC0DE0"/>
    <w:rsid w:val="00BC149C"/>
    <w:rsid w:val="00BC1521"/>
    <w:rsid w:val="00BC1C79"/>
    <w:rsid w:val="00BC1FB9"/>
    <w:rsid w:val="00BC257B"/>
    <w:rsid w:val="00BC2A88"/>
    <w:rsid w:val="00BC2F85"/>
    <w:rsid w:val="00BC3502"/>
    <w:rsid w:val="00BC3C62"/>
    <w:rsid w:val="00BC3E86"/>
    <w:rsid w:val="00BC4273"/>
    <w:rsid w:val="00BC4A92"/>
    <w:rsid w:val="00BC4D88"/>
    <w:rsid w:val="00BC590B"/>
    <w:rsid w:val="00BC5BA7"/>
    <w:rsid w:val="00BC64CD"/>
    <w:rsid w:val="00BC6577"/>
    <w:rsid w:val="00BC70C4"/>
    <w:rsid w:val="00BC7175"/>
    <w:rsid w:val="00BC7976"/>
    <w:rsid w:val="00BD130D"/>
    <w:rsid w:val="00BD137C"/>
    <w:rsid w:val="00BD2721"/>
    <w:rsid w:val="00BD3698"/>
    <w:rsid w:val="00BD37F8"/>
    <w:rsid w:val="00BD4015"/>
    <w:rsid w:val="00BD42F7"/>
    <w:rsid w:val="00BD496E"/>
    <w:rsid w:val="00BD4B45"/>
    <w:rsid w:val="00BD4CDC"/>
    <w:rsid w:val="00BD50B6"/>
    <w:rsid w:val="00BD5164"/>
    <w:rsid w:val="00BD51B0"/>
    <w:rsid w:val="00BD5950"/>
    <w:rsid w:val="00BD6192"/>
    <w:rsid w:val="00BD628C"/>
    <w:rsid w:val="00BD63A0"/>
    <w:rsid w:val="00BD658A"/>
    <w:rsid w:val="00BD6C8B"/>
    <w:rsid w:val="00BD6EC5"/>
    <w:rsid w:val="00BD7891"/>
    <w:rsid w:val="00BD7B79"/>
    <w:rsid w:val="00BD7F23"/>
    <w:rsid w:val="00BE0173"/>
    <w:rsid w:val="00BE034E"/>
    <w:rsid w:val="00BE0479"/>
    <w:rsid w:val="00BE0A2B"/>
    <w:rsid w:val="00BE128B"/>
    <w:rsid w:val="00BE150F"/>
    <w:rsid w:val="00BE15E2"/>
    <w:rsid w:val="00BE28B7"/>
    <w:rsid w:val="00BE3677"/>
    <w:rsid w:val="00BE37FA"/>
    <w:rsid w:val="00BE3F40"/>
    <w:rsid w:val="00BE4392"/>
    <w:rsid w:val="00BE45D7"/>
    <w:rsid w:val="00BE4610"/>
    <w:rsid w:val="00BE4A0C"/>
    <w:rsid w:val="00BE4EDA"/>
    <w:rsid w:val="00BE55FA"/>
    <w:rsid w:val="00BE66FE"/>
    <w:rsid w:val="00BE6918"/>
    <w:rsid w:val="00BE74F9"/>
    <w:rsid w:val="00BE788C"/>
    <w:rsid w:val="00BE79B0"/>
    <w:rsid w:val="00BE7A06"/>
    <w:rsid w:val="00BF0291"/>
    <w:rsid w:val="00BF1248"/>
    <w:rsid w:val="00BF1862"/>
    <w:rsid w:val="00BF19B3"/>
    <w:rsid w:val="00BF1B7E"/>
    <w:rsid w:val="00BF1C1C"/>
    <w:rsid w:val="00BF1C34"/>
    <w:rsid w:val="00BF233F"/>
    <w:rsid w:val="00BF252D"/>
    <w:rsid w:val="00BF2A01"/>
    <w:rsid w:val="00BF2AD3"/>
    <w:rsid w:val="00BF33B0"/>
    <w:rsid w:val="00BF477C"/>
    <w:rsid w:val="00BF48EF"/>
    <w:rsid w:val="00BF4C24"/>
    <w:rsid w:val="00BF4E4F"/>
    <w:rsid w:val="00BF5968"/>
    <w:rsid w:val="00BF645C"/>
    <w:rsid w:val="00BF6BCD"/>
    <w:rsid w:val="00BF6FBD"/>
    <w:rsid w:val="00C0101B"/>
    <w:rsid w:val="00C01A18"/>
    <w:rsid w:val="00C028C9"/>
    <w:rsid w:val="00C03D07"/>
    <w:rsid w:val="00C04216"/>
    <w:rsid w:val="00C047E5"/>
    <w:rsid w:val="00C04B0D"/>
    <w:rsid w:val="00C05E2C"/>
    <w:rsid w:val="00C0655B"/>
    <w:rsid w:val="00C07123"/>
    <w:rsid w:val="00C076A2"/>
    <w:rsid w:val="00C0781B"/>
    <w:rsid w:val="00C10DC4"/>
    <w:rsid w:val="00C1211E"/>
    <w:rsid w:val="00C121A2"/>
    <w:rsid w:val="00C1299B"/>
    <w:rsid w:val="00C130CD"/>
    <w:rsid w:val="00C143DC"/>
    <w:rsid w:val="00C143E9"/>
    <w:rsid w:val="00C144FE"/>
    <w:rsid w:val="00C148CC"/>
    <w:rsid w:val="00C148D6"/>
    <w:rsid w:val="00C14B06"/>
    <w:rsid w:val="00C150C1"/>
    <w:rsid w:val="00C179BB"/>
    <w:rsid w:val="00C21F0A"/>
    <w:rsid w:val="00C23305"/>
    <w:rsid w:val="00C23FC9"/>
    <w:rsid w:val="00C2448F"/>
    <w:rsid w:val="00C2501E"/>
    <w:rsid w:val="00C253A3"/>
    <w:rsid w:val="00C253F6"/>
    <w:rsid w:val="00C259CA"/>
    <w:rsid w:val="00C25BAE"/>
    <w:rsid w:val="00C2611F"/>
    <w:rsid w:val="00C26334"/>
    <w:rsid w:val="00C2652D"/>
    <w:rsid w:val="00C26845"/>
    <w:rsid w:val="00C26B96"/>
    <w:rsid w:val="00C276B2"/>
    <w:rsid w:val="00C279AD"/>
    <w:rsid w:val="00C27AB5"/>
    <w:rsid w:val="00C27AD7"/>
    <w:rsid w:val="00C27B90"/>
    <w:rsid w:val="00C27C8E"/>
    <w:rsid w:val="00C27D78"/>
    <w:rsid w:val="00C30539"/>
    <w:rsid w:val="00C30CB8"/>
    <w:rsid w:val="00C30DAA"/>
    <w:rsid w:val="00C31815"/>
    <w:rsid w:val="00C31F2C"/>
    <w:rsid w:val="00C33037"/>
    <w:rsid w:val="00C330E8"/>
    <w:rsid w:val="00C33FCE"/>
    <w:rsid w:val="00C34046"/>
    <w:rsid w:val="00C34697"/>
    <w:rsid w:val="00C35950"/>
    <w:rsid w:val="00C36460"/>
    <w:rsid w:val="00C364CC"/>
    <w:rsid w:val="00C36A66"/>
    <w:rsid w:val="00C37071"/>
    <w:rsid w:val="00C37270"/>
    <w:rsid w:val="00C3778F"/>
    <w:rsid w:val="00C4076C"/>
    <w:rsid w:val="00C40B5C"/>
    <w:rsid w:val="00C4161F"/>
    <w:rsid w:val="00C41708"/>
    <w:rsid w:val="00C41BCE"/>
    <w:rsid w:val="00C4228E"/>
    <w:rsid w:val="00C42970"/>
    <w:rsid w:val="00C447C7"/>
    <w:rsid w:val="00C44845"/>
    <w:rsid w:val="00C44DC1"/>
    <w:rsid w:val="00C450D8"/>
    <w:rsid w:val="00C451DA"/>
    <w:rsid w:val="00C45402"/>
    <w:rsid w:val="00C465E3"/>
    <w:rsid w:val="00C46630"/>
    <w:rsid w:val="00C471F1"/>
    <w:rsid w:val="00C4737B"/>
    <w:rsid w:val="00C4744B"/>
    <w:rsid w:val="00C475BB"/>
    <w:rsid w:val="00C4779F"/>
    <w:rsid w:val="00C47A33"/>
    <w:rsid w:val="00C50283"/>
    <w:rsid w:val="00C508DB"/>
    <w:rsid w:val="00C50D3D"/>
    <w:rsid w:val="00C50E51"/>
    <w:rsid w:val="00C5111C"/>
    <w:rsid w:val="00C51858"/>
    <w:rsid w:val="00C51C67"/>
    <w:rsid w:val="00C522B0"/>
    <w:rsid w:val="00C53506"/>
    <w:rsid w:val="00C538AF"/>
    <w:rsid w:val="00C543D1"/>
    <w:rsid w:val="00C5445F"/>
    <w:rsid w:val="00C54E34"/>
    <w:rsid w:val="00C54FB3"/>
    <w:rsid w:val="00C550C6"/>
    <w:rsid w:val="00C55790"/>
    <w:rsid w:val="00C574CD"/>
    <w:rsid w:val="00C57E75"/>
    <w:rsid w:val="00C609C1"/>
    <w:rsid w:val="00C61353"/>
    <w:rsid w:val="00C613E3"/>
    <w:rsid w:val="00C617C7"/>
    <w:rsid w:val="00C618CE"/>
    <w:rsid w:val="00C619F9"/>
    <w:rsid w:val="00C621DD"/>
    <w:rsid w:val="00C62290"/>
    <w:rsid w:val="00C629D1"/>
    <w:rsid w:val="00C63EAC"/>
    <w:rsid w:val="00C64F98"/>
    <w:rsid w:val="00C65816"/>
    <w:rsid w:val="00C65DEB"/>
    <w:rsid w:val="00C65EA8"/>
    <w:rsid w:val="00C711C1"/>
    <w:rsid w:val="00C716C4"/>
    <w:rsid w:val="00C71777"/>
    <w:rsid w:val="00C718ED"/>
    <w:rsid w:val="00C7283F"/>
    <w:rsid w:val="00C73149"/>
    <w:rsid w:val="00C7325A"/>
    <w:rsid w:val="00C73310"/>
    <w:rsid w:val="00C7384F"/>
    <w:rsid w:val="00C74832"/>
    <w:rsid w:val="00C74AF7"/>
    <w:rsid w:val="00C74B37"/>
    <w:rsid w:val="00C75355"/>
    <w:rsid w:val="00C754E6"/>
    <w:rsid w:val="00C756A5"/>
    <w:rsid w:val="00C75781"/>
    <w:rsid w:val="00C75A18"/>
    <w:rsid w:val="00C75D35"/>
    <w:rsid w:val="00C76215"/>
    <w:rsid w:val="00C76288"/>
    <w:rsid w:val="00C76512"/>
    <w:rsid w:val="00C7653E"/>
    <w:rsid w:val="00C768CA"/>
    <w:rsid w:val="00C76B5F"/>
    <w:rsid w:val="00C77768"/>
    <w:rsid w:val="00C809CC"/>
    <w:rsid w:val="00C80EFE"/>
    <w:rsid w:val="00C813BD"/>
    <w:rsid w:val="00C8156A"/>
    <w:rsid w:val="00C81839"/>
    <w:rsid w:val="00C8191B"/>
    <w:rsid w:val="00C821C5"/>
    <w:rsid w:val="00C822EA"/>
    <w:rsid w:val="00C828DA"/>
    <w:rsid w:val="00C828E7"/>
    <w:rsid w:val="00C82D30"/>
    <w:rsid w:val="00C82DF4"/>
    <w:rsid w:val="00C8318F"/>
    <w:rsid w:val="00C8353F"/>
    <w:rsid w:val="00C838BC"/>
    <w:rsid w:val="00C83CCB"/>
    <w:rsid w:val="00C84148"/>
    <w:rsid w:val="00C845B8"/>
    <w:rsid w:val="00C85020"/>
    <w:rsid w:val="00C85940"/>
    <w:rsid w:val="00C8688F"/>
    <w:rsid w:val="00C86F7F"/>
    <w:rsid w:val="00C8777E"/>
    <w:rsid w:val="00C8796D"/>
    <w:rsid w:val="00C87D09"/>
    <w:rsid w:val="00C87DB0"/>
    <w:rsid w:val="00C90101"/>
    <w:rsid w:val="00C90901"/>
    <w:rsid w:val="00C9228D"/>
    <w:rsid w:val="00C927F1"/>
    <w:rsid w:val="00C92C7B"/>
    <w:rsid w:val="00C932E6"/>
    <w:rsid w:val="00C94F1E"/>
    <w:rsid w:val="00C94FA3"/>
    <w:rsid w:val="00C956B0"/>
    <w:rsid w:val="00C95C0A"/>
    <w:rsid w:val="00C95E04"/>
    <w:rsid w:val="00C962C6"/>
    <w:rsid w:val="00C967E2"/>
    <w:rsid w:val="00C97A29"/>
    <w:rsid w:val="00CA0826"/>
    <w:rsid w:val="00CA09D7"/>
    <w:rsid w:val="00CA0DD3"/>
    <w:rsid w:val="00CA10A6"/>
    <w:rsid w:val="00CA110C"/>
    <w:rsid w:val="00CA1A55"/>
    <w:rsid w:val="00CA1CD2"/>
    <w:rsid w:val="00CA1F69"/>
    <w:rsid w:val="00CA2C7D"/>
    <w:rsid w:val="00CA33C2"/>
    <w:rsid w:val="00CA3401"/>
    <w:rsid w:val="00CA3C27"/>
    <w:rsid w:val="00CA4AE7"/>
    <w:rsid w:val="00CA4F7F"/>
    <w:rsid w:val="00CA5264"/>
    <w:rsid w:val="00CA596F"/>
    <w:rsid w:val="00CA5A5A"/>
    <w:rsid w:val="00CA633E"/>
    <w:rsid w:val="00CA6D09"/>
    <w:rsid w:val="00CA7DC8"/>
    <w:rsid w:val="00CA7DF7"/>
    <w:rsid w:val="00CA7F0D"/>
    <w:rsid w:val="00CB187E"/>
    <w:rsid w:val="00CB1EA1"/>
    <w:rsid w:val="00CB28BF"/>
    <w:rsid w:val="00CB292D"/>
    <w:rsid w:val="00CB2A4E"/>
    <w:rsid w:val="00CB2E38"/>
    <w:rsid w:val="00CB3686"/>
    <w:rsid w:val="00CB400D"/>
    <w:rsid w:val="00CB403B"/>
    <w:rsid w:val="00CB48F7"/>
    <w:rsid w:val="00CB5302"/>
    <w:rsid w:val="00CB5626"/>
    <w:rsid w:val="00CB60F7"/>
    <w:rsid w:val="00CB63B4"/>
    <w:rsid w:val="00CB65A7"/>
    <w:rsid w:val="00CB6636"/>
    <w:rsid w:val="00CB6B7A"/>
    <w:rsid w:val="00CB6EF4"/>
    <w:rsid w:val="00CB76D3"/>
    <w:rsid w:val="00CC09E9"/>
    <w:rsid w:val="00CC121A"/>
    <w:rsid w:val="00CC1249"/>
    <w:rsid w:val="00CC12C1"/>
    <w:rsid w:val="00CC24D1"/>
    <w:rsid w:val="00CC2CE7"/>
    <w:rsid w:val="00CC2EB1"/>
    <w:rsid w:val="00CC3011"/>
    <w:rsid w:val="00CC3024"/>
    <w:rsid w:val="00CC30FB"/>
    <w:rsid w:val="00CC3149"/>
    <w:rsid w:val="00CC362D"/>
    <w:rsid w:val="00CC3B54"/>
    <w:rsid w:val="00CC4013"/>
    <w:rsid w:val="00CC46BE"/>
    <w:rsid w:val="00CC4E1F"/>
    <w:rsid w:val="00CC5CD2"/>
    <w:rsid w:val="00CC5D97"/>
    <w:rsid w:val="00CC5DEC"/>
    <w:rsid w:val="00CC6395"/>
    <w:rsid w:val="00CC6973"/>
    <w:rsid w:val="00CC6BEB"/>
    <w:rsid w:val="00CC6C17"/>
    <w:rsid w:val="00CC78B0"/>
    <w:rsid w:val="00CC7EC0"/>
    <w:rsid w:val="00CD0241"/>
    <w:rsid w:val="00CD0393"/>
    <w:rsid w:val="00CD09AB"/>
    <w:rsid w:val="00CD1025"/>
    <w:rsid w:val="00CD2716"/>
    <w:rsid w:val="00CD294C"/>
    <w:rsid w:val="00CD2A1B"/>
    <w:rsid w:val="00CD3574"/>
    <w:rsid w:val="00CD3C15"/>
    <w:rsid w:val="00CD3E74"/>
    <w:rsid w:val="00CD43CB"/>
    <w:rsid w:val="00CD44E0"/>
    <w:rsid w:val="00CD4694"/>
    <w:rsid w:val="00CD4983"/>
    <w:rsid w:val="00CD4F04"/>
    <w:rsid w:val="00CD5C23"/>
    <w:rsid w:val="00CD5C3D"/>
    <w:rsid w:val="00CD5D23"/>
    <w:rsid w:val="00CD6117"/>
    <w:rsid w:val="00CD61B1"/>
    <w:rsid w:val="00CD61D3"/>
    <w:rsid w:val="00CD6626"/>
    <w:rsid w:val="00CD6B06"/>
    <w:rsid w:val="00CD780A"/>
    <w:rsid w:val="00CE12C1"/>
    <w:rsid w:val="00CE1AE5"/>
    <w:rsid w:val="00CE2080"/>
    <w:rsid w:val="00CE2883"/>
    <w:rsid w:val="00CE2913"/>
    <w:rsid w:val="00CE2A52"/>
    <w:rsid w:val="00CE2A6A"/>
    <w:rsid w:val="00CE2FD5"/>
    <w:rsid w:val="00CE343B"/>
    <w:rsid w:val="00CE34A5"/>
    <w:rsid w:val="00CE3966"/>
    <w:rsid w:val="00CE3FA6"/>
    <w:rsid w:val="00CE4B1C"/>
    <w:rsid w:val="00CE4E0C"/>
    <w:rsid w:val="00CE50DE"/>
    <w:rsid w:val="00CE517F"/>
    <w:rsid w:val="00CE51D2"/>
    <w:rsid w:val="00CE5868"/>
    <w:rsid w:val="00CE5C87"/>
    <w:rsid w:val="00CE6284"/>
    <w:rsid w:val="00CE7798"/>
    <w:rsid w:val="00CF1A20"/>
    <w:rsid w:val="00CF1FBA"/>
    <w:rsid w:val="00CF2049"/>
    <w:rsid w:val="00CF4982"/>
    <w:rsid w:val="00CF4EC0"/>
    <w:rsid w:val="00CF5347"/>
    <w:rsid w:val="00CF593E"/>
    <w:rsid w:val="00CF61B4"/>
    <w:rsid w:val="00CF6559"/>
    <w:rsid w:val="00CF6862"/>
    <w:rsid w:val="00CF6C88"/>
    <w:rsid w:val="00D00034"/>
    <w:rsid w:val="00D00195"/>
    <w:rsid w:val="00D022A5"/>
    <w:rsid w:val="00D026C7"/>
    <w:rsid w:val="00D026F0"/>
    <w:rsid w:val="00D02B5D"/>
    <w:rsid w:val="00D03FD8"/>
    <w:rsid w:val="00D050D1"/>
    <w:rsid w:val="00D050F3"/>
    <w:rsid w:val="00D05306"/>
    <w:rsid w:val="00D05596"/>
    <w:rsid w:val="00D05E33"/>
    <w:rsid w:val="00D06200"/>
    <w:rsid w:val="00D0648C"/>
    <w:rsid w:val="00D06997"/>
    <w:rsid w:val="00D07286"/>
    <w:rsid w:val="00D078F4"/>
    <w:rsid w:val="00D1015D"/>
    <w:rsid w:val="00D102A8"/>
    <w:rsid w:val="00D1097F"/>
    <w:rsid w:val="00D111DB"/>
    <w:rsid w:val="00D11502"/>
    <w:rsid w:val="00D11527"/>
    <w:rsid w:val="00D11D0D"/>
    <w:rsid w:val="00D12CD9"/>
    <w:rsid w:val="00D13192"/>
    <w:rsid w:val="00D13C6C"/>
    <w:rsid w:val="00D13FE8"/>
    <w:rsid w:val="00D141F0"/>
    <w:rsid w:val="00D1476E"/>
    <w:rsid w:val="00D14827"/>
    <w:rsid w:val="00D153D8"/>
    <w:rsid w:val="00D15DB6"/>
    <w:rsid w:val="00D15FF6"/>
    <w:rsid w:val="00D1623E"/>
    <w:rsid w:val="00D169EA"/>
    <w:rsid w:val="00D16AC0"/>
    <w:rsid w:val="00D16AFB"/>
    <w:rsid w:val="00D1759F"/>
    <w:rsid w:val="00D17614"/>
    <w:rsid w:val="00D1768A"/>
    <w:rsid w:val="00D202C2"/>
    <w:rsid w:val="00D20F55"/>
    <w:rsid w:val="00D210F4"/>
    <w:rsid w:val="00D211A8"/>
    <w:rsid w:val="00D21268"/>
    <w:rsid w:val="00D21271"/>
    <w:rsid w:val="00D219F4"/>
    <w:rsid w:val="00D22060"/>
    <w:rsid w:val="00D22219"/>
    <w:rsid w:val="00D23102"/>
    <w:rsid w:val="00D2437A"/>
    <w:rsid w:val="00D24813"/>
    <w:rsid w:val="00D24A73"/>
    <w:rsid w:val="00D24C94"/>
    <w:rsid w:val="00D250E4"/>
    <w:rsid w:val="00D257DF"/>
    <w:rsid w:val="00D25A2B"/>
    <w:rsid w:val="00D25A2E"/>
    <w:rsid w:val="00D25A97"/>
    <w:rsid w:val="00D25F49"/>
    <w:rsid w:val="00D260D3"/>
    <w:rsid w:val="00D26962"/>
    <w:rsid w:val="00D269D8"/>
    <w:rsid w:val="00D26A3E"/>
    <w:rsid w:val="00D2727A"/>
    <w:rsid w:val="00D27339"/>
    <w:rsid w:val="00D27952"/>
    <w:rsid w:val="00D30206"/>
    <w:rsid w:val="00D30293"/>
    <w:rsid w:val="00D31BE4"/>
    <w:rsid w:val="00D31D38"/>
    <w:rsid w:val="00D32206"/>
    <w:rsid w:val="00D3260A"/>
    <w:rsid w:val="00D329A6"/>
    <w:rsid w:val="00D32F20"/>
    <w:rsid w:val="00D331D0"/>
    <w:rsid w:val="00D33471"/>
    <w:rsid w:val="00D339B9"/>
    <w:rsid w:val="00D348CD"/>
    <w:rsid w:val="00D35D5F"/>
    <w:rsid w:val="00D36B1D"/>
    <w:rsid w:val="00D36E63"/>
    <w:rsid w:val="00D37DC3"/>
    <w:rsid w:val="00D40098"/>
    <w:rsid w:val="00D407CB"/>
    <w:rsid w:val="00D40E61"/>
    <w:rsid w:val="00D41233"/>
    <w:rsid w:val="00D41873"/>
    <w:rsid w:val="00D41901"/>
    <w:rsid w:val="00D41D0F"/>
    <w:rsid w:val="00D422A2"/>
    <w:rsid w:val="00D433D3"/>
    <w:rsid w:val="00D4345D"/>
    <w:rsid w:val="00D4467C"/>
    <w:rsid w:val="00D4593A"/>
    <w:rsid w:val="00D46AFD"/>
    <w:rsid w:val="00D50009"/>
    <w:rsid w:val="00D50248"/>
    <w:rsid w:val="00D503D0"/>
    <w:rsid w:val="00D507A7"/>
    <w:rsid w:val="00D50AC6"/>
    <w:rsid w:val="00D50C02"/>
    <w:rsid w:val="00D50CA8"/>
    <w:rsid w:val="00D510C6"/>
    <w:rsid w:val="00D51BB4"/>
    <w:rsid w:val="00D51D4E"/>
    <w:rsid w:val="00D51D6F"/>
    <w:rsid w:val="00D523F6"/>
    <w:rsid w:val="00D52782"/>
    <w:rsid w:val="00D52F73"/>
    <w:rsid w:val="00D53D29"/>
    <w:rsid w:val="00D53D78"/>
    <w:rsid w:val="00D5402D"/>
    <w:rsid w:val="00D54B48"/>
    <w:rsid w:val="00D553BB"/>
    <w:rsid w:val="00D5547D"/>
    <w:rsid w:val="00D556D8"/>
    <w:rsid w:val="00D55D9A"/>
    <w:rsid w:val="00D572ED"/>
    <w:rsid w:val="00D5748A"/>
    <w:rsid w:val="00D6030D"/>
    <w:rsid w:val="00D60AFB"/>
    <w:rsid w:val="00D60E66"/>
    <w:rsid w:val="00D6256B"/>
    <w:rsid w:val="00D62710"/>
    <w:rsid w:val="00D62AE8"/>
    <w:rsid w:val="00D6303D"/>
    <w:rsid w:val="00D63330"/>
    <w:rsid w:val="00D63C22"/>
    <w:rsid w:val="00D63DD9"/>
    <w:rsid w:val="00D63F09"/>
    <w:rsid w:val="00D643D4"/>
    <w:rsid w:val="00D64728"/>
    <w:rsid w:val="00D64CD3"/>
    <w:rsid w:val="00D64D7F"/>
    <w:rsid w:val="00D65134"/>
    <w:rsid w:val="00D656D4"/>
    <w:rsid w:val="00D6647F"/>
    <w:rsid w:val="00D666CF"/>
    <w:rsid w:val="00D6675A"/>
    <w:rsid w:val="00D66BAB"/>
    <w:rsid w:val="00D67342"/>
    <w:rsid w:val="00D67E6A"/>
    <w:rsid w:val="00D703A6"/>
    <w:rsid w:val="00D707B6"/>
    <w:rsid w:val="00D70B7B"/>
    <w:rsid w:val="00D714EC"/>
    <w:rsid w:val="00D718FD"/>
    <w:rsid w:val="00D724ED"/>
    <w:rsid w:val="00D73002"/>
    <w:rsid w:val="00D7472F"/>
    <w:rsid w:val="00D74AAD"/>
    <w:rsid w:val="00D74DBE"/>
    <w:rsid w:val="00D74DEF"/>
    <w:rsid w:val="00D74ED0"/>
    <w:rsid w:val="00D75EA0"/>
    <w:rsid w:val="00D75F90"/>
    <w:rsid w:val="00D76A04"/>
    <w:rsid w:val="00D77558"/>
    <w:rsid w:val="00D777EC"/>
    <w:rsid w:val="00D77D44"/>
    <w:rsid w:val="00D8043C"/>
    <w:rsid w:val="00D8153D"/>
    <w:rsid w:val="00D81A99"/>
    <w:rsid w:val="00D81CB2"/>
    <w:rsid w:val="00D820A3"/>
    <w:rsid w:val="00D83EFA"/>
    <w:rsid w:val="00D84CE5"/>
    <w:rsid w:val="00D851BB"/>
    <w:rsid w:val="00D852F4"/>
    <w:rsid w:val="00D8587B"/>
    <w:rsid w:val="00D859AF"/>
    <w:rsid w:val="00D85F02"/>
    <w:rsid w:val="00D90AE6"/>
    <w:rsid w:val="00D90DB9"/>
    <w:rsid w:val="00D91366"/>
    <w:rsid w:val="00D91A1D"/>
    <w:rsid w:val="00D91A59"/>
    <w:rsid w:val="00D92BE8"/>
    <w:rsid w:val="00D93109"/>
    <w:rsid w:val="00D9368F"/>
    <w:rsid w:val="00D9371C"/>
    <w:rsid w:val="00D93D25"/>
    <w:rsid w:val="00D94955"/>
    <w:rsid w:val="00D94ABE"/>
    <w:rsid w:val="00D95D52"/>
    <w:rsid w:val="00D95FA0"/>
    <w:rsid w:val="00D9616D"/>
    <w:rsid w:val="00D96382"/>
    <w:rsid w:val="00D964BF"/>
    <w:rsid w:val="00D964DE"/>
    <w:rsid w:val="00D966DE"/>
    <w:rsid w:val="00D9672C"/>
    <w:rsid w:val="00D96CE4"/>
    <w:rsid w:val="00DA23AE"/>
    <w:rsid w:val="00DA2427"/>
    <w:rsid w:val="00DA2972"/>
    <w:rsid w:val="00DA29D6"/>
    <w:rsid w:val="00DA2BD0"/>
    <w:rsid w:val="00DA2CB1"/>
    <w:rsid w:val="00DA3B27"/>
    <w:rsid w:val="00DA3BFE"/>
    <w:rsid w:val="00DA3DE7"/>
    <w:rsid w:val="00DA3E9F"/>
    <w:rsid w:val="00DA45B5"/>
    <w:rsid w:val="00DA4908"/>
    <w:rsid w:val="00DA4E7B"/>
    <w:rsid w:val="00DA5209"/>
    <w:rsid w:val="00DA5897"/>
    <w:rsid w:val="00DA6BBC"/>
    <w:rsid w:val="00DA6CE5"/>
    <w:rsid w:val="00DA72E3"/>
    <w:rsid w:val="00DA7352"/>
    <w:rsid w:val="00DA7994"/>
    <w:rsid w:val="00DB0779"/>
    <w:rsid w:val="00DB0C5C"/>
    <w:rsid w:val="00DB1175"/>
    <w:rsid w:val="00DB179B"/>
    <w:rsid w:val="00DB17C6"/>
    <w:rsid w:val="00DB1FAC"/>
    <w:rsid w:val="00DB2D1E"/>
    <w:rsid w:val="00DB360B"/>
    <w:rsid w:val="00DB368A"/>
    <w:rsid w:val="00DB36ED"/>
    <w:rsid w:val="00DB3B58"/>
    <w:rsid w:val="00DB40DF"/>
    <w:rsid w:val="00DB4B3C"/>
    <w:rsid w:val="00DB539C"/>
    <w:rsid w:val="00DB55A0"/>
    <w:rsid w:val="00DB55C9"/>
    <w:rsid w:val="00DB5A41"/>
    <w:rsid w:val="00DB5BC5"/>
    <w:rsid w:val="00DB664F"/>
    <w:rsid w:val="00DB689C"/>
    <w:rsid w:val="00DB6A2F"/>
    <w:rsid w:val="00DB6B9F"/>
    <w:rsid w:val="00DB774D"/>
    <w:rsid w:val="00DB7AE2"/>
    <w:rsid w:val="00DB7D4D"/>
    <w:rsid w:val="00DC02B5"/>
    <w:rsid w:val="00DC12A0"/>
    <w:rsid w:val="00DC1C26"/>
    <w:rsid w:val="00DC2108"/>
    <w:rsid w:val="00DC2140"/>
    <w:rsid w:val="00DC3043"/>
    <w:rsid w:val="00DC308C"/>
    <w:rsid w:val="00DC3F50"/>
    <w:rsid w:val="00DC43FA"/>
    <w:rsid w:val="00DC44A0"/>
    <w:rsid w:val="00DC4E88"/>
    <w:rsid w:val="00DC51E4"/>
    <w:rsid w:val="00DC57B0"/>
    <w:rsid w:val="00DC5C1D"/>
    <w:rsid w:val="00DC624E"/>
    <w:rsid w:val="00DC75A3"/>
    <w:rsid w:val="00DC7FAA"/>
    <w:rsid w:val="00DD01DB"/>
    <w:rsid w:val="00DD0218"/>
    <w:rsid w:val="00DD0776"/>
    <w:rsid w:val="00DD0CF1"/>
    <w:rsid w:val="00DD1470"/>
    <w:rsid w:val="00DD251D"/>
    <w:rsid w:val="00DD372A"/>
    <w:rsid w:val="00DD4628"/>
    <w:rsid w:val="00DD4B7D"/>
    <w:rsid w:val="00DD4F87"/>
    <w:rsid w:val="00DD5AFD"/>
    <w:rsid w:val="00DD69FF"/>
    <w:rsid w:val="00DD7E9A"/>
    <w:rsid w:val="00DE0B96"/>
    <w:rsid w:val="00DE16A4"/>
    <w:rsid w:val="00DE16E2"/>
    <w:rsid w:val="00DE1AFE"/>
    <w:rsid w:val="00DE1B34"/>
    <w:rsid w:val="00DE1CFB"/>
    <w:rsid w:val="00DE1F2A"/>
    <w:rsid w:val="00DE2928"/>
    <w:rsid w:val="00DE2C53"/>
    <w:rsid w:val="00DE2F55"/>
    <w:rsid w:val="00DE31CE"/>
    <w:rsid w:val="00DE3392"/>
    <w:rsid w:val="00DE33A9"/>
    <w:rsid w:val="00DE3AC2"/>
    <w:rsid w:val="00DE3C05"/>
    <w:rsid w:val="00DE40F0"/>
    <w:rsid w:val="00DE41C2"/>
    <w:rsid w:val="00DE47B2"/>
    <w:rsid w:val="00DE532F"/>
    <w:rsid w:val="00DE5573"/>
    <w:rsid w:val="00DE5666"/>
    <w:rsid w:val="00DE64B2"/>
    <w:rsid w:val="00DE663E"/>
    <w:rsid w:val="00DE69FD"/>
    <w:rsid w:val="00DE6F9D"/>
    <w:rsid w:val="00DE71F6"/>
    <w:rsid w:val="00DE73F0"/>
    <w:rsid w:val="00DF0572"/>
    <w:rsid w:val="00DF0803"/>
    <w:rsid w:val="00DF09B7"/>
    <w:rsid w:val="00DF1E91"/>
    <w:rsid w:val="00DF24C2"/>
    <w:rsid w:val="00DF250C"/>
    <w:rsid w:val="00DF275F"/>
    <w:rsid w:val="00DF2893"/>
    <w:rsid w:val="00DF2B88"/>
    <w:rsid w:val="00DF2D96"/>
    <w:rsid w:val="00DF3222"/>
    <w:rsid w:val="00DF32CF"/>
    <w:rsid w:val="00DF33B3"/>
    <w:rsid w:val="00DF3419"/>
    <w:rsid w:val="00DF5368"/>
    <w:rsid w:val="00DF57D0"/>
    <w:rsid w:val="00DF5E47"/>
    <w:rsid w:val="00DF622F"/>
    <w:rsid w:val="00DF6333"/>
    <w:rsid w:val="00DF64BD"/>
    <w:rsid w:val="00DF6B64"/>
    <w:rsid w:val="00DF7073"/>
    <w:rsid w:val="00DF73DA"/>
    <w:rsid w:val="00DF7608"/>
    <w:rsid w:val="00DF77D8"/>
    <w:rsid w:val="00E003EB"/>
    <w:rsid w:val="00E0049B"/>
    <w:rsid w:val="00E00CDD"/>
    <w:rsid w:val="00E00DA0"/>
    <w:rsid w:val="00E00F7A"/>
    <w:rsid w:val="00E016FE"/>
    <w:rsid w:val="00E01D4A"/>
    <w:rsid w:val="00E0215E"/>
    <w:rsid w:val="00E024A9"/>
    <w:rsid w:val="00E02A0C"/>
    <w:rsid w:val="00E0374A"/>
    <w:rsid w:val="00E037D0"/>
    <w:rsid w:val="00E039DF"/>
    <w:rsid w:val="00E04361"/>
    <w:rsid w:val="00E04C59"/>
    <w:rsid w:val="00E04FEA"/>
    <w:rsid w:val="00E0531A"/>
    <w:rsid w:val="00E05418"/>
    <w:rsid w:val="00E05C61"/>
    <w:rsid w:val="00E069F2"/>
    <w:rsid w:val="00E06C99"/>
    <w:rsid w:val="00E0714C"/>
    <w:rsid w:val="00E0732B"/>
    <w:rsid w:val="00E074F5"/>
    <w:rsid w:val="00E074F8"/>
    <w:rsid w:val="00E077DF"/>
    <w:rsid w:val="00E10190"/>
    <w:rsid w:val="00E101C5"/>
    <w:rsid w:val="00E104D3"/>
    <w:rsid w:val="00E11A64"/>
    <w:rsid w:val="00E12119"/>
    <w:rsid w:val="00E12351"/>
    <w:rsid w:val="00E13848"/>
    <w:rsid w:val="00E14266"/>
    <w:rsid w:val="00E145F1"/>
    <w:rsid w:val="00E14961"/>
    <w:rsid w:val="00E1559D"/>
    <w:rsid w:val="00E165A0"/>
    <w:rsid w:val="00E16CFC"/>
    <w:rsid w:val="00E170E4"/>
    <w:rsid w:val="00E17A32"/>
    <w:rsid w:val="00E17B98"/>
    <w:rsid w:val="00E17BF1"/>
    <w:rsid w:val="00E20A22"/>
    <w:rsid w:val="00E21BE5"/>
    <w:rsid w:val="00E22A2E"/>
    <w:rsid w:val="00E22A50"/>
    <w:rsid w:val="00E22F4F"/>
    <w:rsid w:val="00E23525"/>
    <w:rsid w:val="00E239F8"/>
    <w:rsid w:val="00E23C4A"/>
    <w:rsid w:val="00E24DFC"/>
    <w:rsid w:val="00E24F57"/>
    <w:rsid w:val="00E26E6C"/>
    <w:rsid w:val="00E30026"/>
    <w:rsid w:val="00E300E8"/>
    <w:rsid w:val="00E30963"/>
    <w:rsid w:val="00E30EEC"/>
    <w:rsid w:val="00E310A8"/>
    <w:rsid w:val="00E312D1"/>
    <w:rsid w:val="00E329F2"/>
    <w:rsid w:val="00E33104"/>
    <w:rsid w:val="00E33487"/>
    <w:rsid w:val="00E33C7B"/>
    <w:rsid w:val="00E33D1D"/>
    <w:rsid w:val="00E34289"/>
    <w:rsid w:val="00E342F8"/>
    <w:rsid w:val="00E343E0"/>
    <w:rsid w:val="00E3482D"/>
    <w:rsid w:val="00E348B4"/>
    <w:rsid w:val="00E34F3A"/>
    <w:rsid w:val="00E35630"/>
    <w:rsid w:val="00E35719"/>
    <w:rsid w:val="00E35B4F"/>
    <w:rsid w:val="00E3612C"/>
    <w:rsid w:val="00E368B2"/>
    <w:rsid w:val="00E36B58"/>
    <w:rsid w:val="00E37017"/>
    <w:rsid w:val="00E373D1"/>
    <w:rsid w:val="00E37730"/>
    <w:rsid w:val="00E37A9B"/>
    <w:rsid w:val="00E37A9F"/>
    <w:rsid w:val="00E37C95"/>
    <w:rsid w:val="00E37FD1"/>
    <w:rsid w:val="00E4008E"/>
    <w:rsid w:val="00E401A3"/>
    <w:rsid w:val="00E41249"/>
    <w:rsid w:val="00E41B3E"/>
    <w:rsid w:val="00E42DE3"/>
    <w:rsid w:val="00E42E14"/>
    <w:rsid w:val="00E430A1"/>
    <w:rsid w:val="00E433C2"/>
    <w:rsid w:val="00E43415"/>
    <w:rsid w:val="00E438EE"/>
    <w:rsid w:val="00E43D06"/>
    <w:rsid w:val="00E4503E"/>
    <w:rsid w:val="00E451CC"/>
    <w:rsid w:val="00E45562"/>
    <w:rsid w:val="00E45D12"/>
    <w:rsid w:val="00E4651A"/>
    <w:rsid w:val="00E46BA4"/>
    <w:rsid w:val="00E46D8A"/>
    <w:rsid w:val="00E46DA3"/>
    <w:rsid w:val="00E47221"/>
    <w:rsid w:val="00E47B9C"/>
    <w:rsid w:val="00E50205"/>
    <w:rsid w:val="00E50861"/>
    <w:rsid w:val="00E5146C"/>
    <w:rsid w:val="00E515CE"/>
    <w:rsid w:val="00E517AD"/>
    <w:rsid w:val="00E52683"/>
    <w:rsid w:val="00E52DC5"/>
    <w:rsid w:val="00E5302E"/>
    <w:rsid w:val="00E53DA2"/>
    <w:rsid w:val="00E53F4E"/>
    <w:rsid w:val="00E53FE3"/>
    <w:rsid w:val="00E54495"/>
    <w:rsid w:val="00E546A3"/>
    <w:rsid w:val="00E54B3A"/>
    <w:rsid w:val="00E55812"/>
    <w:rsid w:val="00E55AAA"/>
    <w:rsid w:val="00E567F4"/>
    <w:rsid w:val="00E56B2D"/>
    <w:rsid w:val="00E57BAF"/>
    <w:rsid w:val="00E60112"/>
    <w:rsid w:val="00E6017E"/>
    <w:rsid w:val="00E605AB"/>
    <w:rsid w:val="00E60AF7"/>
    <w:rsid w:val="00E6174D"/>
    <w:rsid w:val="00E6222C"/>
    <w:rsid w:val="00E624B2"/>
    <w:rsid w:val="00E62DE9"/>
    <w:rsid w:val="00E62FE1"/>
    <w:rsid w:val="00E63A2B"/>
    <w:rsid w:val="00E6402C"/>
    <w:rsid w:val="00E648F1"/>
    <w:rsid w:val="00E65769"/>
    <w:rsid w:val="00E6608C"/>
    <w:rsid w:val="00E66304"/>
    <w:rsid w:val="00E665F3"/>
    <w:rsid w:val="00E6685C"/>
    <w:rsid w:val="00E66A51"/>
    <w:rsid w:val="00E66A8C"/>
    <w:rsid w:val="00E677F8"/>
    <w:rsid w:val="00E67E37"/>
    <w:rsid w:val="00E706C6"/>
    <w:rsid w:val="00E707F0"/>
    <w:rsid w:val="00E70886"/>
    <w:rsid w:val="00E70E5B"/>
    <w:rsid w:val="00E71C22"/>
    <w:rsid w:val="00E7281E"/>
    <w:rsid w:val="00E72F95"/>
    <w:rsid w:val="00E737DA"/>
    <w:rsid w:val="00E73D7D"/>
    <w:rsid w:val="00E73F54"/>
    <w:rsid w:val="00E74C0F"/>
    <w:rsid w:val="00E74FEB"/>
    <w:rsid w:val="00E75725"/>
    <w:rsid w:val="00E75A0E"/>
    <w:rsid w:val="00E762EC"/>
    <w:rsid w:val="00E764F8"/>
    <w:rsid w:val="00E767E2"/>
    <w:rsid w:val="00E76E3F"/>
    <w:rsid w:val="00E77B0A"/>
    <w:rsid w:val="00E80602"/>
    <w:rsid w:val="00E80A5F"/>
    <w:rsid w:val="00E81142"/>
    <w:rsid w:val="00E8144A"/>
    <w:rsid w:val="00E8144E"/>
    <w:rsid w:val="00E826BC"/>
    <w:rsid w:val="00E84318"/>
    <w:rsid w:val="00E847D0"/>
    <w:rsid w:val="00E84C3C"/>
    <w:rsid w:val="00E86A45"/>
    <w:rsid w:val="00E86B31"/>
    <w:rsid w:val="00E876F8"/>
    <w:rsid w:val="00E87977"/>
    <w:rsid w:val="00E87DD2"/>
    <w:rsid w:val="00E9023C"/>
    <w:rsid w:val="00E90493"/>
    <w:rsid w:val="00E90749"/>
    <w:rsid w:val="00E91907"/>
    <w:rsid w:val="00E923A1"/>
    <w:rsid w:val="00E92AFF"/>
    <w:rsid w:val="00E93913"/>
    <w:rsid w:val="00E948D1"/>
    <w:rsid w:val="00E94E68"/>
    <w:rsid w:val="00E94FEE"/>
    <w:rsid w:val="00E95272"/>
    <w:rsid w:val="00E965F0"/>
    <w:rsid w:val="00E96A6D"/>
    <w:rsid w:val="00E9753D"/>
    <w:rsid w:val="00E97BBA"/>
    <w:rsid w:val="00E97C2A"/>
    <w:rsid w:val="00EA0113"/>
    <w:rsid w:val="00EA062D"/>
    <w:rsid w:val="00EA06F1"/>
    <w:rsid w:val="00EA0BFE"/>
    <w:rsid w:val="00EA0E55"/>
    <w:rsid w:val="00EA11B7"/>
    <w:rsid w:val="00EA2558"/>
    <w:rsid w:val="00EA2566"/>
    <w:rsid w:val="00EA2A8A"/>
    <w:rsid w:val="00EA2EA3"/>
    <w:rsid w:val="00EA3521"/>
    <w:rsid w:val="00EA37C3"/>
    <w:rsid w:val="00EA3EFD"/>
    <w:rsid w:val="00EA45DA"/>
    <w:rsid w:val="00EA63FF"/>
    <w:rsid w:val="00EA645E"/>
    <w:rsid w:val="00EA6594"/>
    <w:rsid w:val="00EA6D49"/>
    <w:rsid w:val="00EA6F5B"/>
    <w:rsid w:val="00EA765E"/>
    <w:rsid w:val="00EA7EE1"/>
    <w:rsid w:val="00EB0088"/>
    <w:rsid w:val="00EB084A"/>
    <w:rsid w:val="00EB11BA"/>
    <w:rsid w:val="00EB12EF"/>
    <w:rsid w:val="00EB2078"/>
    <w:rsid w:val="00EB2560"/>
    <w:rsid w:val="00EB294A"/>
    <w:rsid w:val="00EB371E"/>
    <w:rsid w:val="00EB3925"/>
    <w:rsid w:val="00EB3BB2"/>
    <w:rsid w:val="00EB432A"/>
    <w:rsid w:val="00EB451E"/>
    <w:rsid w:val="00EB46BD"/>
    <w:rsid w:val="00EB49F5"/>
    <w:rsid w:val="00EB546D"/>
    <w:rsid w:val="00EB66B5"/>
    <w:rsid w:val="00EB76BC"/>
    <w:rsid w:val="00EB7EB8"/>
    <w:rsid w:val="00EB7EDE"/>
    <w:rsid w:val="00EC0976"/>
    <w:rsid w:val="00EC09C9"/>
    <w:rsid w:val="00EC0F07"/>
    <w:rsid w:val="00EC1BC6"/>
    <w:rsid w:val="00EC22C6"/>
    <w:rsid w:val="00EC2BE3"/>
    <w:rsid w:val="00EC5391"/>
    <w:rsid w:val="00EC6276"/>
    <w:rsid w:val="00EC64E1"/>
    <w:rsid w:val="00EC6DB9"/>
    <w:rsid w:val="00EC7235"/>
    <w:rsid w:val="00EC731C"/>
    <w:rsid w:val="00EC7705"/>
    <w:rsid w:val="00EC781D"/>
    <w:rsid w:val="00ED028E"/>
    <w:rsid w:val="00ED03E1"/>
    <w:rsid w:val="00ED0412"/>
    <w:rsid w:val="00ED05FF"/>
    <w:rsid w:val="00ED090D"/>
    <w:rsid w:val="00ED0ADA"/>
    <w:rsid w:val="00ED2B56"/>
    <w:rsid w:val="00ED2E80"/>
    <w:rsid w:val="00ED3258"/>
    <w:rsid w:val="00ED38F7"/>
    <w:rsid w:val="00ED3EB2"/>
    <w:rsid w:val="00ED3F54"/>
    <w:rsid w:val="00ED4193"/>
    <w:rsid w:val="00ED44F5"/>
    <w:rsid w:val="00ED53F7"/>
    <w:rsid w:val="00ED585F"/>
    <w:rsid w:val="00ED5CEE"/>
    <w:rsid w:val="00ED5D1B"/>
    <w:rsid w:val="00ED5E55"/>
    <w:rsid w:val="00ED627C"/>
    <w:rsid w:val="00ED63BD"/>
    <w:rsid w:val="00ED6485"/>
    <w:rsid w:val="00ED6CEA"/>
    <w:rsid w:val="00ED75AB"/>
    <w:rsid w:val="00EE0A21"/>
    <w:rsid w:val="00EE0B49"/>
    <w:rsid w:val="00EE0B7D"/>
    <w:rsid w:val="00EE15DF"/>
    <w:rsid w:val="00EE172D"/>
    <w:rsid w:val="00EE31C8"/>
    <w:rsid w:val="00EE3A26"/>
    <w:rsid w:val="00EE3A64"/>
    <w:rsid w:val="00EE3F9E"/>
    <w:rsid w:val="00EE4415"/>
    <w:rsid w:val="00EE4820"/>
    <w:rsid w:val="00EE4CB3"/>
    <w:rsid w:val="00EE572C"/>
    <w:rsid w:val="00EE5777"/>
    <w:rsid w:val="00EE59F2"/>
    <w:rsid w:val="00EE66B3"/>
    <w:rsid w:val="00EE6EC3"/>
    <w:rsid w:val="00EE7951"/>
    <w:rsid w:val="00EE7B83"/>
    <w:rsid w:val="00EE7D56"/>
    <w:rsid w:val="00EE7EB1"/>
    <w:rsid w:val="00EF015E"/>
    <w:rsid w:val="00EF01FE"/>
    <w:rsid w:val="00EF1211"/>
    <w:rsid w:val="00EF1AD3"/>
    <w:rsid w:val="00EF2373"/>
    <w:rsid w:val="00EF2437"/>
    <w:rsid w:val="00EF2811"/>
    <w:rsid w:val="00EF2A2E"/>
    <w:rsid w:val="00EF2BD7"/>
    <w:rsid w:val="00EF3357"/>
    <w:rsid w:val="00EF382F"/>
    <w:rsid w:val="00EF3BC3"/>
    <w:rsid w:val="00EF41F5"/>
    <w:rsid w:val="00EF4734"/>
    <w:rsid w:val="00EF4F6A"/>
    <w:rsid w:val="00EF5923"/>
    <w:rsid w:val="00EF5AAA"/>
    <w:rsid w:val="00EF5F88"/>
    <w:rsid w:val="00EF647F"/>
    <w:rsid w:val="00EF6C06"/>
    <w:rsid w:val="00EF71F1"/>
    <w:rsid w:val="00EF720E"/>
    <w:rsid w:val="00EF7659"/>
    <w:rsid w:val="00EF7781"/>
    <w:rsid w:val="00EF7D7F"/>
    <w:rsid w:val="00F00357"/>
    <w:rsid w:val="00F00891"/>
    <w:rsid w:val="00F00C7E"/>
    <w:rsid w:val="00F01018"/>
    <w:rsid w:val="00F01094"/>
    <w:rsid w:val="00F011FC"/>
    <w:rsid w:val="00F01842"/>
    <w:rsid w:val="00F020F4"/>
    <w:rsid w:val="00F02363"/>
    <w:rsid w:val="00F03DF3"/>
    <w:rsid w:val="00F04DB4"/>
    <w:rsid w:val="00F05088"/>
    <w:rsid w:val="00F0538E"/>
    <w:rsid w:val="00F0558A"/>
    <w:rsid w:val="00F06595"/>
    <w:rsid w:val="00F06FB7"/>
    <w:rsid w:val="00F07306"/>
    <w:rsid w:val="00F07F42"/>
    <w:rsid w:val="00F10DE6"/>
    <w:rsid w:val="00F10E0C"/>
    <w:rsid w:val="00F110CB"/>
    <w:rsid w:val="00F112BD"/>
    <w:rsid w:val="00F113EF"/>
    <w:rsid w:val="00F114F5"/>
    <w:rsid w:val="00F12B45"/>
    <w:rsid w:val="00F13BE4"/>
    <w:rsid w:val="00F13DF1"/>
    <w:rsid w:val="00F13F5B"/>
    <w:rsid w:val="00F1489A"/>
    <w:rsid w:val="00F14BD9"/>
    <w:rsid w:val="00F15313"/>
    <w:rsid w:val="00F16F07"/>
    <w:rsid w:val="00F17051"/>
    <w:rsid w:val="00F17FCD"/>
    <w:rsid w:val="00F213A6"/>
    <w:rsid w:val="00F217A7"/>
    <w:rsid w:val="00F21E9B"/>
    <w:rsid w:val="00F22656"/>
    <w:rsid w:val="00F22661"/>
    <w:rsid w:val="00F22B7F"/>
    <w:rsid w:val="00F23DBF"/>
    <w:rsid w:val="00F24197"/>
    <w:rsid w:val="00F24C4B"/>
    <w:rsid w:val="00F25A08"/>
    <w:rsid w:val="00F25A99"/>
    <w:rsid w:val="00F26167"/>
    <w:rsid w:val="00F26D7A"/>
    <w:rsid w:val="00F275A6"/>
    <w:rsid w:val="00F27F7D"/>
    <w:rsid w:val="00F309C9"/>
    <w:rsid w:val="00F31505"/>
    <w:rsid w:val="00F31B7D"/>
    <w:rsid w:val="00F31BD9"/>
    <w:rsid w:val="00F3233A"/>
    <w:rsid w:val="00F32439"/>
    <w:rsid w:val="00F325A3"/>
    <w:rsid w:val="00F32857"/>
    <w:rsid w:val="00F32DC7"/>
    <w:rsid w:val="00F3316A"/>
    <w:rsid w:val="00F3382E"/>
    <w:rsid w:val="00F33DC2"/>
    <w:rsid w:val="00F34702"/>
    <w:rsid w:val="00F35107"/>
    <w:rsid w:val="00F35A5B"/>
    <w:rsid w:val="00F3708D"/>
    <w:rsid w:val="00F371CF"/>
    <w:rsid w:val="00F402DA"/>
    <w:rsid w:val="00F40618"/>
    <w:rsid w:val="00F407A5"/>
    <w:rsid w:val="00F413B2"/>
    <w:rsid w:val="00F41920"/>
    <w:rsid w:val="00F4195B"/>
    <w:rsid w:val="00F41BA1"/>
    <w:rsid w:val="00F42129"/>
    <w:rsid w:val="00F42889"/>
    <w:rsid w:val="00F42B73"/>
    <w:rsid w:val="00F42FA6"/>
    <w:rsid w:val="00F4308A"/>
    <w:rsid w:val="00F43E0B"/>
    <w:rsid w:val="00F43E5D"/>
    <w:rsid w:val="00F44478"/>
    <w:rsid w:val="00F44517"/>
    <w:rsid w:val="00F447A9"/>
    <w:rsid w:val="00F449E3"/>
    <w:rsid w:val="00F44CC8"/>
    <w:rsid w:val="00F44D57"/>
    <w:rsid w:val="00F45036"/>
    <w:rsid w:val="00F452C6"/>
    <w:rsid w:val="00F45440"/>
    <w:rsid w:val="00F45658"/>
    <w:rsid w:val="00F45B6E"/>
    <w:rsid w:val="00F46090"/>
    <w:rsid w:val="00F466E1"/>
    <w:rsid w:val="00F467BD"/>
    <w:rsid w:val="00F46EE4"/>
    <w:rsid w:val="00F477D7"/>
    <w:rsid w:val="00F477FD"/>
    <w:rsid w:val="00F5059D"/>
    <w:rsid w:val="00F50E91"/>
    <w:rsid w:val="00F5332B"/>
    <w:rsid w:val="00F5400D"/>
    <w:rsid w:val="00F54395"/>
    <w:rsid w:val="00F5532F"/>
    <w:rsid w:val="00F5546E"/>
    <w:rsid w:val="00F5576D"/>
    <w:rsid w:val="00F57B51"/>
    <w:rsid w:val="00F57C15"/>
    <w:rsid w:val="00F603C4"/>
    <w:rsid w:val="00F60C25"/>
    <w:rsid w:val="00F62960"/>
    <w:rsid w:val="00F62A63"/>
    <w:rsid w:val="00F62C01"/>
    <w:rsid w:val="00F62E3A"/>
    <w:rsid w:val="00F63113"/>
    <w:rsid w:val="00F633EF"/>
    <w:rsid w:val="00F63AAB"/>
    <w:rsid w:val="00F64C6E"/>
    <w:rsid w:val="00F64F1B"/>
    <w:rsid w:val="00F657D3"/>
    <w:rsid w:val="00F65D66"/>
    <w:rsid w:val="00F65E3E"/>
    <w:rsid w:val="00F6723B"/>
    <w:rsid w:val="00F677A7"/>
    <w:rsid w:val="00F70787"/>
    <w:rsid w:val="00F70E4F"/>
    <w:rsid w:val="00F712B2"/>
    <w:rsid w:val="00F7261D"/>
    <w:rsid w:val="00F7288A"/>
    <w:rsid w:val="00F7300F"/>
    <w:rsid w:val="00F730AD"/>
    <w:rsid w:val="00F73A73"/>
    <w:rsid w:val="00F740A5"/>
    <w:rsid w:val="00F742A8"/>
    <w:rsid w:val="00F744EC"/>
    <w:rsid w:val="00F745A3"/>
    <w:rsid w:val="00F745BB"/>
    <w:rsid w:val="00F75872"/>
    <w:rsid w:val="00F7750C"/>
    <w:rsid w:val="00F77C48"/>
    <w:rsid w:val="00F77E59"/>
    <w:rsid w:val="00F80385"/>
    <w:rsid w:val="00F80525"/>
    <w:rsid w:val="00F80E55"/>
    <w:rsid w:val="00F81FD6"/>
    <w:rsid w:val="00F822AF"/>
    <w:rsid w:val="00F8269F"/>
    <w:rsid w:val="00F82B71"/>
    <w:rsid w:val="00F8404F"/>
    <w:rsid w:val="00F843A3"/>
    <w:rsid w:val="00F854D9"/>
    <w:rsid w:val="00F854EA"/>
    <w:rsid w:val="00F859DC"/>
    <w:rsid w:val="00F85E64"/>
    <w:rsid w:val="00F86A54"/>
    <w:rsid w:val="00F86ACC"/>
    <w:rsid w:val="00F871A4"/>
    <w:rsid w:val="00F87363"/>
    <w:rsid w:val="00F9023B"/>
    <w:rsid w:val="00F90305"/>
    <w:rsid w:val="00F909C9"/>
    <w:rsid w:val="00F90E50"/>
    <w:rsid w:val="00F91A68"/>
    <w:rsid w:val="00F91E3A"/>
    <w:rsid w:val="00F92521"/>
    <w:rsid w:val="00F92B47"/>
    <w:rsid w:val="00F93A25"/>
    <w:rsid w:val="00F94C5C"/>
    <w:rsid w:val="00F94C6A"/>
    <w:rsid w:val="00F94D10"/>
    <w:rsid w:val="00F953C2"/>
    <w:rsid w:val="00F95AAA"/>
    <w:rsid w:val="00F95B19"/>
    <w:rsid w:val="00F9632F"/>
    <w:rsid w:val="00F968A2"/>
    <w:rsid w:val="00F969D7"/>
    <w:rsid w:val="00F96C35"/>
    <w:rsid w:val="00F97AE3"/>
    <w:rsid w:val="00FA0B47"/>
    <w:rsid w:val="00FA0E9E"/>
    <w:rsid w:val="00FA0EA3"/>
    <w:rsid w:val="00FA1248"/>
    <w:rsid w:val="00FA178F"/>
    <w:rsid w:val="00FA1AE2"/>
    <w:rsid w:val="00FA1F1E"/>
    <w:rsid w:val="00FA2C4C"/>
    <w:rsid w:val="00FA3446"/>
    <w:rsid w:val="00FA345E"/>
    <w:rsid w:val="00FA36C9"/>
    <w:rsid w:val="00FA383F"/>
    <w:rsid w:val="00FA4120"/>
    <w:rsid w:val="00FA5987"/>
    <w:rsid w:val="00FA5AF4"/>
    <w:rsid w:val="00FA5B0E"/>
    <w:rsid w:val="00FA5B4A"/>
    <w:rsid w:val="00FA5D76"/>
    <w:rsid w:val="00FA6001"/>
    <w:rsid w:val="00FA68F2"/>
    <w:rsid w:val="00FA6C93"/>
    <w:rsid w:val="00FA6F7F"/>
    <w:rsid w:val="00FA73F1"/>
    <w:rsid w:val="00FA763D"/>
    <w:rsid w:val="00FA78EE"/>
    <w:rsid w:val="00FB074F"/>
    <w:rsid w:val="00FB08C2"/>
    <w:rsid w:val="00FB097C"/>
    <w:rsid w:val="00FB1BD9"/>
    <w:rsid w:val="00FB2103"/>
    <w:rsid w:val="00FB255D"/>
    <w:rsid w:val="00FB2D98"/>
    <w:rsid w:val="00FB324C"/>
    <w:rsid w:val="00FB396B"/>
    <w:rsid w:val="00FB53A9"/>
    <w:rsid w:val="00FB5AB1"/>
    <w:rsid w:val="00FB5C53"/>
    <w:rsid w:val="00FB6D24"/>
    <w:rsid w:val="00FB73AB"/>
    <w:rsid w:val="00FB77DE"/>
    <w:rsid w:val="00FB7E19"/>
    <w:rsid w:val="00FC015E"/>
    <w:rsid w:val="00FC0951"/>
    <w:rsid w:val="00FC0C8C"/>
    <w:rsid w:val="00FC0CFB"/>
    <w:rsid w:val="00FC0E9B"/>
    <w:rsid w:val="00FC0F4F"/>
    <w:rsid w:val="00FC201D"/>
    <w:rsid w:val="00FC2415"/>
    <w:rsid w:val="00FC29BE"/>
    <w:rsid w:val="00FC322C"/>
    <w:rsid w:val="00FC341B"/>
    <w:rsid w:val="00FC480D"/>
    <w:rsid w:val="00FC54FC"/>
    <w:rsid w:val="00FC6E68"/>
    <w:rsid w:val="00FC743D"/>
    <w:rsid w:val="00FC79A4"/>
    <w:rsid w:val="00FC7FC9"/>
    <w:rsid w:val="00FD0815"/>
    <w:rsid w:val="00FD0C71"/>
    <w:rsid w:val="00FD0EE0"/>
    <w:rsid w:val="00FD1062"/>
    <w:rsid w:val="00FD13DD"/>
    <w:rsid w:val="00FD16F2"/>
    <w:rsid w:val="00FD1759"/>
    <w:rsid w:val="00FD2015"/>
    <w:rsid w:val="00FD3540"/>
    <w:rsid w:val="00FD3D96"/>
    <w:rsid w:val="00FD4416"/>
    <w:rsid w:val="00FD4CEE"/>
    <w:rsid w:val="00FD4D21"/>
    <w:rsid w:val="00FD4EF9"/>
    <w:rsid w:val="00FD5A75"/>
    <w:rsid w:val="00FD62ED"/>
    <w:rsid w:val="00FD65B5"/>
    <w:rsid w:val="00FD6C38"/>
    <w:rsid w:val="00FD6EB2"/>
    <w:rsid w:val="00FD7974"/>
    <w:rsid w:val="00FD7AA5"/>
    <w:rsid w:val="00FD7ADD"/>
    <w:rsid w:val="00FE042F"/>
    <w:rsid w:val="00FE0594"/>
    <w:rsid w:val="00FE146E"/>
    <w:rsid w:val="00FE148B"/>
    <w:rsid w:val="00FE2027"/>
    <w:rsid w:val="00FE22DE"/>
    <w:rsid w:val="00FE25B9"/>
    <w:rsid w:val="00FE3106"/>
    <w:rsid w:val="00FE43DD"/>
    <w:rsid w:val="00FE5143"/>
    <w:rsid w:val="00FE5637"/>
    <w:rsid w:val="00FE5828"/>
    <w:rsid w:val="00FE59D4"/>
    <w:rsid w:val="00FE67FF"/>
    <w:rsid w:val="00FE7535"/>
    <w:rsid w:val="00FF026D"/>
    <w:rsid w:val="00FF11FA"/>
    <w:rsid w:val="00FF1F9D"/>
    <w:rsid w:val="00FF3111"/>
    <w:rsid w:val="00FF466E"/>
    <w:rsid w:val="00FF4AA1"/>
    <w:rsid w:val="00FF541C"/>
    <w:rsid w:val="00FF5AD8"/>
    <w:rsid w:val="00FF5D6A"/>
    <w:rsid w:val="00FF5E89"/>
    <w:rsid w:val="00FF63A6"/>
    <w:rsid w:val="00FF69A2"/>
    <w:rsid w:val="011A7B7B"/>
    <w:rsid w:val="01397787"/>
    <w:rsid w:val="01436716"/>
    <w:rsid w:val="014B53EB"/>
    <w:rsid w:val="01741C12"/>
    <w:rsid w:val="017841A9"/>
    <w:rsid w:val="01A3073B"/>
    <w:rsid w:val="0222478B"/>
    <w:rsid w:val="02D0299F"/>
    <w:rsid w:val="02F70816"/>
    <w:rsid w:val="0310089E"/>
    <w:rsid w:val="0336290B"/>
    <w:rsid w:val="03552EFC"/>
    <w:rsid w:val="036F4CD3"/>
    <w:rsid w:val="03B804CE"/>
    <w:rsid w:val="03E5777D"/>
    <w:rsid w:val="03F113AE"/>
    <w:rsid w:val="03FD1A71"/>
    <w:rsid w:val="04AB01FD"/>
    <w:rsid w:val="04DD5945"/>
    <w:rsid w:val="04E8688E"/>
    <w:rsid w:val="04F95927"/>
    <w:rsid w:val="05003548"/>
    <w:rsid w:val="056306B2"/>
    <w:rsid w:val="058461D3"/>
    <w:rsid w:val="05C31DD9"/>
    <w:rsid w:val="062C6F51"/>
    <w:rsid w:val="063F645C"/>
    <w:rsid w:val="06567F61"/>
    <w:rsid w:val="065A22B0"/>
    <w:rsid w:val="06677F89"/>
    <w:rsid w:val="066B3286"/>
    <w:rsid w:val="06AC1E40"/>
    <w:rsid w:val="06E01BF1"/>
    <w:rsid w:val="06F03EFD"/>
    <w:rsid w:val="073C7346"/>
    <w:rsid w:val="074B1659"/>
    <w:rsid w:val="076F5347"/>
    <w:rsid w:val="07A22E52"/>
    <w:rsid w:val="07C56C62"/>
    <w:rsid w:val="07E0413F"/>
    <w:rsid w:val="08053EFD"/>
    <w:rsid w:val="081C4334"/>
    <w:rsid w:val="082E3E5E"/>
    <w:rsid w:val="084F368F"/>
    <w:rsid w:val="08570DB2"/>
    <w:rsid w:val="085A017E"/>
    <w:rsid w:val="08653A8B"/>
    <w:rsid w:val="087D21E4"/>
    <w:rsid w:val="089039BE"/>
    <w:rsid w:val="08BD1773"/>
    <w:rsid w:val="08D31A85"/>
    <w:rsid w:val="08D96F58"/>
    <w:rsid w:val="090858F1"/>
    <w:rsid w:val="095626AE"/>
    <w:rsid w:val="096243CF"/>
    <w:rsid w:val="099723E8"/>
    <w:rsid w:val="099A0049"/>
    <w:rsid w:val="09A371BB"/>
    <w:rsid w:val="09A811E8"/>
    <w:rsid w:val="09BA0759"/>
    <w:rsid w:val="09D564CA"/>
    <w:rsid w:val="0A272F9E"/>
    <w:rsid w:val="0A38155C"/>
    <w:rsid w:val="0A9E5349"/>
    <w:rsid w:val="0AA35911"/>
    <w:rsid w:val="0ADC4248"/>
    <w:rsid w:val="0B100BEF"/>
    <w:rsid w:val="0B17322C"/>
    <w:rsid w:val="0B1F4C20"/>
    <w:rsid w:val="0B55201E"/>
    <w:rsid w:val="0B5A6CC4"/>
    <w:rsid w:val="0B8F422B"/>
    <w:rsid w:val="0BB25682"/>
    <w:rsid w:val="0BD06104"/>
    <w:rsid w:val="0C0442A8"/>
    <w:rsid w:val="0C5171D7"/>
    <w:rsid w:val="0C922C7C"/>
    <w:rsid w:val="0C9D1129"/>
    <w:rsid w:val="0CFE3687"/>
    <w:rsid w:val="0D0B0F74"/>
    <w:rsid w:val="0DD92FBE"/>
    <w:rsid w:val="0E0A57AD"/>
    <w:rsid w:val="0E6D2738"/>
    <w:rsid w:val="0E725060"/>
    <w:rsid w:val="0E9F33A9"/>
    <w:rsid w:val="0EC02979"/>
    <w:rsid w:val="0EC14241"/>
    <w:rsid w:val="0ED9314A"/>
    <w:rsid w:val="0EFC660B"/>
    <w:rsid w:val="0F4104CB"/>
    <w:rsid w:val="0F433B91"/>
    <w:rsid w:val="0F8751F8"/>
    <w:rsid w:val="0FB326AC"/>
    <w:rsid w:val="0FC7305E"/>
    <w:rsid w:val="10275130"/>
    <w:rsid w:val="1039578C"/>
    <w:rsid w:val="109646F3"/>
    <w:rsid w:val="10DA2E17"/>
    <w:rsid w:val="110E7803"/>
    <w:rsid w:val="114A1031"/>
    <w:rsid w:val="119953E0"/>
    <w:rsid w:val="11C10BB9"/>
    <w:rsid w:val="12236CC2"/>
    <w:rsid w:val="123350CC"/>
    <w:rsid w:val="124C61C8"/>
    <w:rsid w:val="1254371D"/>
    <w:rsid w:val="125A2A00"/>
    <w:rsid w:val="126744A8"/>
    <w:rsid w:val="12686DE5"/>
    <w:rsid w:val="12922474"/>
    <w:rsid w:val="12B378EF"/>
    <w:rsid w:val="13116762"/>
    <w:rsid w:val="132F5322"/>
    <w:rsid w:val="13AF2034"/>
    <w:rsid w:val="13D90E18"/>
    <w:rsid w:val="13F310AE"/>
    <w:rsid w:val="143A666E"/>
    <w:rsid w:val="14AD66A2"/>
    <w:rsid w:val="14B0154B"/>
    <w:rsid w:val="14D15E74"/>
    <w:rsid w:val="15085E00"/>
    <w:rsid w:val="150D507F"/>
    <w:rsid w:val="152A0075"/>
    <w:rsid w:val="15537E42"/>
    <w:rsid w:val="156D4F60"/>
    <w:rsid w:val="15727FE3"/>
    <w:rsid w:val="15913019"/>
    <w:rsid w:val="15AA73AE"/>
    <w:rsid w:val="16075DBB"/>
    <w:rsid w:val="16097094"/>
    <w:rsid w:val="163569AE"/>
    <w:rsid w:val="165B4528"/>
    <w:rsid w:val="16F0256F"/>
    <w:rsid w:val="173C6683"/>
    <w:rsid w:val="17747886"/>
    <w:rsid w:val="178E6A66"/>
    <w:rsid w:val="17A103B5"/>
    <w:rsid w:val="17D2269C"/>
    <w:rsid w:val="17DF1755"/>
    <w:rsid w:val="17F73494"/>
    <w:rsid w:val="18000B51"/>
    <w:rsid w:val="187A6D58"/>
    <w:rsid w:val="18DD1382"/>
    <w:rsid w:val="190F06EF"/>
    <w:rsid w:val="191837F7"/>
    <w:rsid w:val="1952794A"/>
    <w:rsid w:val="19785028"/>
    <w:rsid w:val="1A05285F"/>
    <w:rsid w:val="1A11372B"/>
    <w:rsid w:val="1A140F2C"/>
    <w:rsid w:val="1A18154C"/>
    <w:rsid w:val="1A276761"/>
    <w:rsid w:val="1A332F33"/>
    <w:rsid w:val="1A4B4C28"/>
    <w:rsid w:val="1A7720D3"/>
    <w:rsid w:val="1A7B38C8"/>
    <w:rsid w:val="1AAD3E85"/>
    <w:rsid w:val="1B0662A4"/>
    <w:rsid w:val="1B576B8B"/>
    <w:rsid w:val="1B702D62"/>
    <w:rsid w:val="1B9F32A9"/>
    <w:rsid w:val="1BA665FD"/>
    <w:rsid w:val="1BF529C7"/>
    <w:rsid w:val="1C201FDA"/>
    <w:rsid w:val="1C3E1CCF"/>
    <w:rsid w:val="1C425CC1"/>
    <w:rsid w:val="1C6C4322"/>
    <w:rsid w:val="1CAB02CA"/>
    <w:rsid w:val="1CAD64E8"/>
    <w:rsid w:val="1CEE57EB"/>
    <w:rsid w:val="1D055F1D"/>
    <w:rsid w:val="1D186672"/>
    <w:rsid w:val="1D301FDD"/>
    <w:rsid w:val="1D4157F2"/>
    <w:rsid w:val="1D435E83"/>
    <w:rsid w:val="1D5A3F4C"/>
    <w:rsid w:val="1D5A5318"/>
    <w:rsid w:val="1D5C6BD7"/>
    <w:rsid w:val="1D9E1C58"/>
    <w:rsid w:val="1E0366EA"/>
    <w:rsid w:val="1E2B1953"/>
    <w:rsid w:val="1E4310C3"/>
    <w:rsid w:val="1E4A0DAC"/>
    <w:rsid w:val="1EC077ED"/>
    <w:rsid w:val="1F274302"/>
    <w:rsid w:val="1F3F482D"/>
    <w:rsid w:val="1F4E7AFC"/>
    <w:rsid w:val="1F5F778F"/>
    <w:rsid w:val="1F6D1CB7"/>
    <w:rsid w:val="1FA34902"/>
    <w:rsid w:val="1FCD369E"/>
    <w:rsid w:val="20024A1C"/>
    <w:rsid w:val="2030445E"/>
    <w:rsid w:val="20487BC6"/>
    <w:rsid w:val="204E7F95"/>
    <w:rsid w:val="204F0BA2"/>
    <w:rsid w:val="2090110A"/>
    <w:rsid w:val="20AD0837"/>
    <w:rsid w:val="20DC6345"/>
    <w:rsid w:val="20FA6082"/>
    <w:rsid w:val="210A2AEB"/>
    <w:rsid w:val="2140661E"/>
    <w:rsid w:val="215F0A65"/>
    <w:rsid w:val="21610420"/>
    <w:rsid w:val="217368C6"/>
    <w:rsid w:val="21971519"/>
    <w:rsid w:val="21CB1179"/>
    <w:rsid w:val="21F7620D"/>
    <w:rsid w:val="22152E66"/>
    <w:rsid w:val="221E4B45"/>
    <w:rsid w:val="22653856"/>
    <w:rsid w:val="230961F8"/>
    <w:rsid w:val="23C63835"/>
    <w:rsid w:val="245A72C6"/>
    <w:rsid w:val="24656A71"/>
    <w:rsid w:val="24732AAF"/>
    <w:rsid w:val="24BB03E0"/>
    <w:rsid w:val="25100C9C"/>
    <w:rsid w:val="2519649B"/>
    <w:rsid w:val="25921904"/>
    <w:rsid w:val="25DB65F0"/>
    <w:rsid w:val="2635402B"/>
    <w:rsid w:val="26960570"/>
    <w:rsid w:val="26985902"/>
    <w:rsid w:val="26EF68F3"/>
    <w:rsid w:val="26EF8641"/>
    <w:rsid w:val="26FF53C3"/>
    <w:rsid w:val="275F2632"/>
    <w:rsid w:val="27E52803"/>
    <w:rsid w:val="282131A0"/>
    <w:rsid w:val="28EE2D23"/>
    <w:rsid w:val="291C2AED"/>
    <w:rsid w:val="297C4FAE"/>
    <w:rsid w:val="298A1FC9"/>
    <w:rsid w:val="29945C9E"/>
    <w:rsid w:val="29B76D6F"/>
    <w:rsid w:val="29B877E7"/>
    <w:rsid w:val="29CA4740"/>
    <w:rsid w:val="2A3D7ED5"/>
    <w:rsid w:val="2A4E1F5E"/>
    <w:rsid w:val="2A6570B6"/>
    <w:rsid w:val="2AD47283"/>
    <w:rsid w:val="2AD51020"/>
    <w:rsid w:val="2B5E19F9"/>
    <w:rsid w:val="2B8D7EA9"/>
    <w:rsid w:val="2B923D48"/>
    <w:rsid w:val="2BA50A88"/>
    <w:rsid w:val="2BBB7293"/>
    <w:rsid w:val="2BF42263"/>
    <w:rsid w:val="2BFE3501"/>
    <w:rsid w:val="2C312160"/>
    <w:rsid w:val="2CA4124A"/>
    <w:rsid w:val="2CAE07C3"/>
    <w:rsid w:val="2CB05723"/>
    <w:rsid w:val="2CC867B7"/>
    <w:rsid w:val="2D566882"/>
    <w:rsid w:val="2D7E0791"/>
    <w:rsid w:val="2D9B03D2"/>
    <w:rsid w:val="2DA932F9"/>
    <w:rsid w:val="2DE7693E"/>
    <w:rsid w:val="2E01466A"/>
    <w:rsid w:val="2E4058FF"/>
    <w:rsid w:val="2E925A88"/>
    <w:rsid w:val="2EA25130"/>
    <w:rsid w:val="2F025A41"/>
    <w:rsid w:val="2F0561E0"/>
    <w:rsid w:val="2F124686"/>
    <w:rsid w:val="2F2B4DAB"/>
    <w:rsid w:val="2FB45F45"/>
    <w:rsid w:val="2FD21189"/>
    <w:rsid w:val="2FDD4A0B"/>
    <w:rsid w:val="30017FC9"/>
    <w:rsid w:val="30073970"/>
    <w:rsid w:val="3081369E"/>
    <w:rsid w:val="30897B56"/>
    <w:rsid w:val="309B1555"/>
    <w:rsid w:val="310D3357"/>
    <w:rsid w:val="31327262"/>
    <w:rsid w:val="315F0965"/>
    <w:rsid w:val="31655ABC"/>
    <w:rsid w:val="31692400"/>
    <w:rsid w:val="316D3215"/>
    <w:rsid w:val="31914974"/>
    <w:rsid w:val="31BB6FCC"/>
    <w:rsid w:val="31C27089"/>
    <w:rsid w:val="31C54ECD"/>
    <w:rsid w:val="321D74CB"/>
    <w:rsid w:val="32483DA3"/>
    <w:rsid w:val="324A2389"/>
    <w:rsid w:val="32531CC7"/>
    <w:rsid w:val="3278257A"/>
    <w:rsid w:val="32885A06"/>
    <w:rsid w:val="329B68DB"/>
    <w:rsid w:val="32A76412"/>
    <w:rsid w:val="339E6FD7"/>
    <w:rsid w:val="342C2CEA"/>
    <w:rsid w:val="344E42B9"/>
    <w:rsid w:val="345C118D"/>
    <w:rsid w:val="349768B2"/>
    <w:rsid w:val="34A16E0A"/>
    <w:rsid w:val="3556054B"/>
    <w:rsid w:val="355A1E00"/>
    <w:rsid w:val="35735978"/>
    <w:rsid w:val="35895BF9"/>
    <w:rsid w:val="36272666"/>
    <w:rsid w:val="36311802"/>
    <w:rsid w:val="36517C44"/>
    <w:rsid w:val="36837DAF"/>
    <w:rsid w:val="369310C9"/>
    <w:rsid w:val="36A730F3"/>
    <w:rsid w:val="36B06A1E"/>
    <w:rsid w:val="36F87504"/>
    <w:rsid w:val="374951FC"/>
    <w:rsid w:val="37794748"/>
    <w:rsid w:val="378B3495"/>
    <w:rsid w:val="37C33973"/>
    <w:rsid w:val="38084878"/>
    <w:rsid w:val="38457815"/>
    <w:rsid w:val="387363F1"/>
    <w:rsid w:val="388248E0"/>
    <w:rsid w:val="389A24F8"/>
    <w:rsid w:val="38B7502F"/>
    <w:rsid w:val="38DA238F"/>
    <w:rsid w:val="38E96CA7"/>
    <w:rsid w:val="390852F4"/>
    <w:rsid w:val="391B3324"/>
    <w:rsid w:val="397B72CC"/>
    <w:rsid w:val="39BD3BBF"/>
    <w:rsid w:val="39CB795E"/>
    <w:rsid w:val="39DD136A"/>
    <w:rsid w:val="3A181AE7"/>
    <w:rsid w:val="3A1F0C99"/>
    <w:rsid w:val="3A2F5782"/>
    <w:rsid w:val="3A5C021B"/>
    <w:rsid w:val="3AA510D7"/>
    <w:rsid w:val="3AE75851"/>
    <w:rsid w:val="3B5C277F"/>
    <w:rsid w:val="3B815459"/>
    <w:rsid w:val="3BBE2EED"/>
    <w:rsid w:val="3BBF02A9"/>
    <w:rsid w:val="3C293E48"/>
    <w:rsid w:val="3C3519B4"/>
    <w:rsid w:val="3C4767CA"/>
    <w:rsid w:val="3C625D91"/>
    <w:rsid w:val="3C9D01A9"/>
    <w:rsid w:val="3CE66628"/>
    <w:rsid w:val="3D1253CF"/>
    <w:rsid w:val="3D760447"/>
    <w:rsid w:val="3D8A14CB"/>
    <w:rsid w:val="3DAA4047"/>
    <w:rsid w:val="3DB97180"/>
    <w:rsid w:val="3E2250DE"/>
    <w:rsid w:val="3E413AD7"/>
    <w:rsid w:val="3EF470C7"/>
    <w:rsid w:val="3F5FF95C"/>
    <w:rsid w:val="3F6D048C"/>
    <w:rsid w:val="3F7EFE7E"/>
    <w:rsid w:val="3F825BC7"/>
    <w:rsid w:val="3F860056"/>
    <w:rsid w:val="3FB66021"/>
    <w:rsid w:val="402479F8"/>
    <w:rsid w:val="402E012B"/>
    <w:rsid w:val="404666F9"/>
    <w:rsid w:val="406849CD"/>
    <w:rsid w:val="407C326F"/>
    <w:rsid w:val="407E73D7"/>
    <w:rsid w:val="40891C7B"/>
    <w:rsid w:val="40C85344"/>
    <w:rsid w:val="41055DF9"/>
    <w:rsid w:val="41807B75"/>
    <w:rsid w:val="423E6DFB"/>
    <w:rsid w:val="424C7F3B"/>
    <w:rsid w:val="42794C32"/>
    <w:rsid w:val="42C5608F"/>
    <w:rsid w:val="42FE6579"/>
    <w:rsid w:val="430E2BDF"/>
    <w:rsid w:val="43C5258C"/>
    <w:rsid w:val="44110F59"/>
    <w:rsid w:val="44332C7D"/>
    <w:rsid w:val="44486706"/>
    <w:rsid w:val="448E0F4D"/>
    <w:rsid w:val="44962661"/>
    <w:rsid w:val="44965EE1"/>
    <w:rsid w:val="44CC6046"/>
    <w:rsid w:val="44D14047"/>
    <w:rsid w:val="456855B7"/>
    <w:rsid w:val="45AC4584"/>
    <w:rsid w:val="45CC5630"/>
    <w:rsid w:val="45EF2BB5"/>
    <w:rsid w:val="46144F14"/>
    <w:rsid w:val="46214878"/>
    <w:rsid w:val="4639132E"/>
    <w:rsid w:val="4660731C"/>
    <w:rsid w:val="46731A57"/>
    <w:rsid w:val="46E333D7"/>
    <w:rsid w:val="47010838"/>
    <w:rsid w:val="472775EE"/>
    <w:rsid w:val="472E1CC7"/>
    <w:rsid w:val="47721D0E"/>
    <w:rsid w:val="47780585"/>
    <w:rsid w:val="47AA2A03"/>
    <w:rsid w:val="483115A6"/>
    <w:rsid w:val="483B2C5F"/>
    <w:rsid w:val="487843BC"/>
    <w:rsid w:val="48BE30EA"/>
    <w:rsid w:val="48E44FDD"/>
    <w:rsid w:val="491552DB"/>
    <w:rsid w:val="493A595C"/>
    <w:rsid w:val="497D499A"/>
    <w:rsid w:val="49871A83"/>
    <w:rsid w:val="498D6A42"/>
    <w:rsid w:val="499566F2"/>
    <w:rsid w:val="499D0342"/>
    <w:rsid w:val="49E94218"/>
    <w:rsid w:val="49F72ABE"/>
    <w:rsid w:val="4A167AB6"/>
    <w:rsid w:val="4A2F3CA3"/>
    <w:rsid w:val="4A46037F"/>
    <w:rsid w:val="4A5F3DC9"/>
    <w:rsid w:val="4AB834EB"/>
    <w:rsid w:val="4AF537EC"/>
    <w:rsid w:val="4B1C69E7"/>
    <w:rsid w:val="4B2257F9"/>
    <w:rsid w:val="4B6261B4"/>
    <w:rsid w:val="4B7E7776"/>
    <w:rsid w:val="4B8244EA"/>
    <w:rsid w:val="4BA83095"/>
    <w:rsid w:val="4C020595"/>
    <w:rsid w:val="4C084797"/>
    <w:rsid w:val="4C786FBC"/>
    <w:rsid w:val="4C824057"/>
    <w:rsid w:val="4D130E0F"/>
    <w:rsid w:val="4D7417BF"/>
    <w:rsid w:val="4D9708C3"/>
    <w:rsid w:val="4ECA0682"/>
    <w:rsid w:val="4EF329B6"/>
    <w:rsid w:val="4EFC565A"/>
    <w:rsid w:val="4F385783"/>
    <w:rsid w:val="4F882206"/>
    <w:rsid w:val="4F8D198E"/>
    <w:rsid w:val="4F986B34"/>
    <w:rsid w:val="4FB94287"/>
    <w:rsid w:val="4FC07A3B"/>
    <w:rsid w:val="4FC220EE"/>
    <w:rsid w:val="4FC322ED"/>
    <w:rsid w:val="4FFB7B70"/>
    <w:rsid w:val="505C0F03"/>
    <w:rsid w:val="50645221"/>
    <w:rsid w:val="506753FB"/>
    <w:rsid w:val="50C45397"/>
    <w:rsid w:val="50E23309"/>
    <w:rsid w:val="50E81D39"/>
    <w:rsid w:val="50F55C31"/>
    <w:rsid w:val="5128741E"/>
    <w:rsid w:val="516249C6"/>
    <w:rsid w:val="51A54C26"/>
    <w:rsid w:val="51B84909"/>
    <w:rsid w:val="52036EEE"/>
    <w:rsid w:val="52263E21"/>
    <w:rsid w:val="52404347"/>
    <w:rsid w:val="52480214"/>
    <w:rsid w:val="52F83D36"/>
    <w:rsid w:val="52F97788"/>
    <w:rsid w:val="531E2D4A"/>
    <w:rsid w:val="53905F2D"/>
    <w:rsid w:val="53E40D23"/>
    <w:rsid w:val="53E8054C"/>
    <w:rsid w:val="54137C55"/>
    <w:rsid w:val="54456D7E"/>
    <w:rsid w:val="54712573"/>
    <w:rsid w:val="54911B75"/>
    <w:rsid w:val="54BF3389"/>
    <w:rsid w:val="54C42EB0"/>
    <w:rsid w:val="54CB1138"/>
    <w:rsid w:val="54DA6101"/>
    <w:rsid w:val="552F7491"/>
    <w:rsid w:val="55553B2D"/>
    <w:rsid w:val="5559040C"/>
    <w:rsid w:val="557035C2"/>
    <w:rsid w:val="55A3725D"/>
    <w:rsid w:val="55EB7656"/>
    <w:rsid w:val="565A10DE"/>
    <w:rsid w:val="56613395"/>
    <w:rsid w:val="568334E0"/>
    <w:rsid w:val="5684546B"/>
    <w:rsid w:val="56C97550"/>
    <w:rsid w:val="5735039B"/>
    <w:rsid w:val="57401881"/>
    <w:rsid w:val="579F5669"/>
    <w:rsid w:val="58090325"/>
    <w:rsid w:val="581945AD"/>
    <w:rsid w:val="58401C14"/>
    <w:rsid w:val="584B0959"/>
    <w:rsid w:val="58B633EF"/>
    <w:rsid w:val="58C866AF"/>
    <w:rsid w:val="58F00BED"/>
    <w:rsid w:val="599056BC"/>
    <w:rsid w:val="59F55596"/>
    <w:rsid w:val="59FD5DAF"/>
    <w:rsid w:val="5A3E2AAD"/>
    <w:rsid w:val="5A5D31A1"/>
    <w:rsid w:val="5A72671B"/>
    <w:rsid w:val="5ACA115A"/>
    <w:rsid w:val="5AE20B01"/>
    <w:rsid w:val="5AF0321E"/>
    <w:rsid w:val="5B2A1363"/>
    <w:rsid w:val="5B2F11FB"/>
    <w:rsid w:val="5B77749C"/>
    <w:rsid w:val="5B897701"/>
    <w:rsid w:val="5B8C4461"/>
    <w:rsid w:val="5B9673BE"/>
    <w:rsid w:val="5BB92F72"/>
    <w:rsid w:val="5BCA67A6"/>
    <w:rsid w:val="5BCF10AF"/>
    <w:rsid w:val="5C0F3B78"/>
    <w:rsid w:val="5C1E200D"/>
    <w:rsid w:val="5C456639"/>
    <w:rsid w:val="5CA76804"/>
    <w:rsid w:val="5D123132"/>
    <w:rsid w:val="5D481883"/>
    <w:rsid w:val="5D4D4B30"/>
    <w:rsid w:val="5D8D1F64"/>
    <w:rsid w:val="5DE25BFC"/>
    <w:rsid w:val="5DEA1F36"/>
    <w:rsid w:val="5E1A508A"/>
    <w:rsid w:val="5E3D2BD8"/>
    <w:rsid w:val="5EEC6CB9"/>
    <w:rsid w:val="5F362F39"/>
    <w:rsid w:val="5F456A46"/>
    <w:rsid w:val="5F6A2863"/>
    <w:rsid w:val="5F8B7656"/>
    <w:rsid w:val="5FBE4115"/>
    <w:rsid w:val="5FD3104D"/>
    <w:rsid w:val="5FEE35CC"/>
    <w:rsid w:val="600D5DA9"/>
    <w:rsid w:val="60C4212D"/>
    <w:rsid w:val="61206FD3"/>
    <w:rsid w:val="612422D0"/>
    <w:rsid w:val="61497B2C"/>
    <w:rsid w:val="61565AC1"/>
    <w:rsid w:val="61A2000F"/>
    <w:rsid w:val="61DE2022"/>
    <w:rsid w:val="61E67129"/>
    <w:rsid w:val="61F31718"/>
    <w:rsid w:val="62094769"/>
    <w:rsid w:val="62147CB2"/>
    <w:rsid w:val="62360A21"/>
    <w:rsid w:val="623B7383"/>
    <w:rsid w:val="623E4768"/>
    <w:rsid w:val="627F2C42"/>
    <w:rsid w:val="62AA7D3A"/>
    <w:rsid w:val="62E513D1"/>
    <w:rsid w:val="6321781F"/>
    <w:rsid w:val="6339222F"/>
    <w:rsid w:val="637073B8"/>
    <w:rsid w:val="63C86468"/>
    <w:rsid w:val="64143397"/>
    <w:rsid w:val="642857C9"/>
    <w:rsid w:val="64AA2BB6"/>
    <w:rsid w:val="64B654D9"/>
    <w:rsid w:val="64CF5082"/>
    <w:rsid w:val="64E51037"/>
    <w:rsid w:val="64E60402"/>
    <w:rsid w:val="64F32EBD"/>
    <w:rsid w:val="651D13F9"/>
    <w:rsid w:val="655D14ED"/>
    <w:rsid w:val="656F0487"/>
    <w:rsid w:val="65A13A93"/>
    <w:rsid w:val="668247DD"/>
    <w:rsid w:val="668F448D"/>
    <w:rsid w:val="669E6224"/>
    <w:rsid w:val="66DF5642"/>
    <w:rsid w:val="66E005EB"/>
    <w:rsid w:val="672F6CD7"/>
    <w:rsid w:val="673367B6"/>
    <w:rsid w:val="675B6EA6"/>
    <w:rsid w:val="67A55390"/>
    <w:rsid w:val="67BF3574"/>
    <w:rsid w:val="67E36FFD"/>
    <w:rsid w:val="6820798E"/>
    <w:rsid w:val="684F191E"/>
    <w:rsid w:val="685028EE"/>
    <w:rsid w:val="685F23E8"/>
    <w:rsid w:val="68A45909"/>
    <w:rsid w:val="68C07A79"/>
    <w:rsid w:val="68DC1286"/>
    <w:rsid w:val="69427A6E"/>
    <w:rsid w:val="69B02C01"/>
    <w:rsid w:val="69C1779E"/>
    <w:rsid w:val="69C50A5B"/>
    <w:rsid w:val="6A477666"/>
    <w:rsid w:val="6A477F15"/>
    <w:rsid w:val="6A4B06DA"/>
    <w:rsid w:val="6AD01E20"/>
    <w:rsid w:val="6AF30F20"/>
    <w:rsid w:val="6AF85A92"/>
    <w:rsid w:val="6AFF1631"/>
    <w:rsid w:val="6B322F85"/>
    <w:rsid w:val="6B332847"/>
    <w:rsid w:val="6B680B5B"/>
    <w:rsid w:val="6B7D56E0"/>
    <w:rsid w:val="6BBA4F22"/>
    <w:rsid w:val="6BFE5259"/>
    <w:rsid w:val="6C297EF3"/>
    <w:rsid w:val="6C3540F6"/>
    <w:rsid w:val="6C472953"/>
    <w:rsid w:val="6C5E3CB6"/>
    <w:rsid w:val="6CB36FAF"/>
    <w:rsid w:val="6CBE1F64"/>
    <w:rsid w:val="6CCF6B0D"/>
    <w:rsid w:val="6CE8757B"/>
    <w:rsid w:val="6D3E449B"/>
    <w:rsid w:val="6D5E04BB"/>
    <w:rsid w:val="6EA52DB1"/>
    <w:rsid w:val="6EF35852"/>
    <w:rsid w:val="6EFE3C65"/>
    <w:rsid w:val="6F1F3C7A"/>
    <w:rsid w:val="6FF90FAE"/>
    <w:rsid w:val="70034B1F"/>
    <w:rsid w:val="70127BF4"/>
    <w:rsid w:val="70E45875"/>
    <w:rsid w:val="70FC4273"/>
    <w:rsid w:val="7106319B"/>
    <w:rsid w:val="71064BE4"/>
    <w:rsid w:val="711B5CC5"/>
    <w:rsid w:val="718823CC"/>
    <w:rsid w:val="719426FE"/>
    <w:rsid w:val="719C03EB"/>
    <w:rsid w:val="71C01745"/>
    <w:rsid w:val="72254A21"/>
    <w:rsid w:val="724F57F7"/>
    <w:rsid w:val="728043A6"/>
    <w:rsid w:val="728F4418"/>
    <w:rsid w:val="72923542"/>
    <w:rsid w:val="736E7354"/>
    <w:rsid w:val="73785014"/>
    <w:rsid w:val="73B051B2"/>
    <w:rsid w:val="73BA21C4"/>
    <w:rsid w:val="745148D6"/>
    <w:rsid w:val="74673706"/>
    <w:rsid w:val="74A16D28"/>
    <w:rsid w:val="74E67A70"/>
    <w:rsid w:val="74F06250"/>
    <w:rsid w:val="75923460"/>
    <w:rsid w:val="75E4177A"/>
    <w:rsid w:val="75FF3855"/>
    <w:rsid w:val="762D01BD"/>
    <w:rsid w:val="763776ED"/>
    <w:rsid w:val="765144FE"/>
    <w:rsid w:val="76C74EB7"/>
    <w:rsid w:val="77462F34"/>
    <w:rsid w:val="777F7DB2"/>
    <w:rsid w:val="77A276CF"/>
    <w:rsid w:val="77A967D7"/>
    <w:rsid w:val="77E5622B"/>
    <w:rsid w:val="77F81BAB"/>
    <w:rsid w:val="78485FF0"/>
    <w:rsid w:val="78644B03"/>
    <w:rsid w:val="78B45016"/>
    <w:rsid w:val="78C55047"/>
    <w:rsid w:val="78D2253D"/>
    <w:rsid w:val="790463BB"/>
    <w:rsid w:val="7929046E"/>
    <w:rsid w:val="797E5756"/>
    <w:rsid w:val="79F872D8"/>
    <w:rsid w:val="7A4642E6"/>
    <w:rsid w:val="7B1C436E"/>
    <w:rsid w:val="7BB13A75"/>
    <w:rsid w:val="7C073962"/>
    <w:rsid w:val="7C337E42"/>
    <w:rsid w:val="7CBA548A"/>
    <w:rsid w:val="7CD2526A"/>
    <w:rsid w:val="7CD92F77"/>
    <w:rsid w:val="7D372AB0"/>
    <w:rsid w:val="7D6566A3"/>
    <w:rsid w:val="7DD031D2"/>
    <w:rsid w:val="7DFA1591"/>
    <w:rsid w:val="7E031735"/>
    <w:rsid w:val="7E106921"/>
    <w:rsid w:val="7E171B2B"/>
    <w:rsid w:val="7E1F1845"/>
    <w:rsid w:val="7E20591B"/>
    <w:rsid w:val="7E3D69FD"/>
    <w:rsid w:val="7E5D753E"/>
    <w:rsid w:val="7E7A5C78"/>
    <w:rsid w:val="7E954CF1"/>
    <w:rsid w:val="7EDF3A5A"/>
    <w:rsid w:val="7EF7251E"/>
    <w:rsid w:val="7EFF9B6D"/>
    <w:rsid w:val="7F360CDC"/>
    <w:rsid w:val="7F4B5C13"/>
    <w:rsid w:val="7F6E291F"/>
    <w:rsid w:val="7F6F055E"/>
    <w:rsid w:val="7F8F0E58"/>
    <w:rsid w:val="7FC35623"/>
    <w:rsid w:val="7FEA64F3"/>
    <w:rsid w:val="7FF5A8B5"/>
    <w:rsid w:val="9DFDD08C"/>
    <w:rsid w:val="D7F955F7"/>
    <w:rsid w:val="DDF61FBD"/>
    <w:rsid w:val="E4F2FE3B"/>
    <w:rsid w:val="F77DAC91"/>
    <w:rsid w:val="F7B763A1"/>
    <w:rsid w:val="F7FD0576"/>
    <w:rsid w:val="FFDE2109"/>
    <w:rsid w:val="FFEF6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Lines/>
      <w:adjustRightInd w:val="0"/>
      <w:snapToGrid w:val="0"/>
      <w:spacing w:beforeLines="100" w:afterLines="50" w:line="360" w:lineRule="auto"/>
      <w:ind w:firstLine="562" w:firstLineChars="200"/>
      <w:outlineLvl w:val="0"/>
    </w:pPr>
    <w:rPr>
      <w:b/>
      <w:bCs/>
      <w:kern w:val="44"/>
      <w:sz w:val="28"/>
      <w:szCs w:val="44"/>
    </w:rPr>
  </w:style>
  <w:style w:type="paragraph" w:styleId="4">
    <w:name w:val="heading 2"/>
    <w:basedOn w:val="1"/>
    <w:next w:val="1"/>
    <w:unhideWhenUsed/>
    <w:qFormat/>
    <w:uiPriority w:val="9"/>
    <w:pPr>
      <w:keepNext/>
      <w:keepLines/>
      <w:pageBreakBefore/>
      <w:adjustRightInd w:val="0"/>
      <w:snapToGrid w:val="0"/>
      <w:spacing w:before="240" w:after="120" w:line="360" w:lineRule="auto"/>
      <w:outlineLvl w:val="1"/>
    </w:pPr>
    <w:rPr>
      <w:b/>
      <w:sz w:val="24"/>
    </w:rPr>
  </w:style>
  <w:style w:type="paragraph" w:styleId="5">
    <w:name w:val="heading 3"/>
    <w:basedOn w:val="1"/>
    <w:next w:val="1"/>
    <w:unhideWhenUsed/>
    <w:qFormat/>
    <w:uiPriority w:val="9"/>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1"/>
    <w:link w:val="49"/>
    <w:unhideWhenUsed/>
    <w:qFormat/>
    <w:uiPriority w:val="9"/>
    <w:pPr>
      <w:keepNext/>
      <w:keepLines/>
      <w:spacing w:line="372" w:lineRule="auto"/>
      <w:outlineLvl w:val="4"/>
    </w:pPr>
    <w:rPr>
      <w:b/>
      <w:sz w:val="24"/>
    </w:rPr>
  </w:style>
  <w:style w:type="paragraph" w:styleId="8">
    <w:name w:val="heading 7"/>
    <w:basedOn w:val="1"/>
    <w:next w:val="1"/>
    <w:link w:val="64"/>
    <w:semiHidden/>
    <w:unhideWhenUsed/>
    <w:qFormat/>
    <w:uiPriority w:val="9"/>
    <w:pPr>
      <w:keepNext/>
      <w:keepLines/>
      <w:spacing w:before="240" w:after="64" w:line="320" w:lineRule="auto"/>
      <w:outlineLvl w:val="6"/>
    </w:pPr>
    <w:rPr>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pPr>
    <w:rPr>
      <w:kern w:val="0"/>
      <w:sz w:val="20"/>
    </w:rPr>
  </w:style>
  <w:style w:type="paragraph" w:styleId="9">
    <w:name w:val="toc 7"/>
    <w:basedOn w:val="1"/>
    <w:next w:val="1"/>
    <w:unhideWhenUsed/>
    <w:qFormat/>
    <w:uiPriority w:val="39"/>
    <w:pPr>
      <w:ind w:left="1260"/>
      <w:jc w:val="left"/>
    </w:pPr>
    <w:rPr>
      <w:rFonts w:asciiTheme="minorHAnsi" w:hAnsiTheme="minorHAnsi" w:cstheme="minorHAnsi"/>
      <w:sz w:val="18"/>
      <w:szCs w:val="18"/>
    </w:rPr>
  </w:style>
  <w:style w:type="paragraph" w:styleId="10">
    <w:name w:val="Normal Indent"/>
    <w:basedOn w:val="1"/>
    <w:next w:val="1"/>
    <w:qFormat/>
    <w:uiPriority w:val="0"/>
    <w:pPr>
      <w:ind w:firstLine="420"/>
    </w:pPr>
  </w:style>
  <w:style w:type="paragraph" w:styleId="11">
    <w:name w:val="annotation text"/>
    <w:basedOn w:val="1"/>
    <w:link w:val="56"/>
    <w:unhideWhenUsed/>
    <w:qFormat/>
    <w:uiPriority w:val="0"/>
    <w:pPr>
      <w:jc w:val="left"/>
    </w:pPr>
  </w:style>
  <w:style w:type="paragraph" w:styleId="12">
    <w:name w:val="Body Text Indent"/>
    <w:basedOn w:val="1"/>
    <w:link w:val="41"/>
    <w:qFormat/>
    <w:uiPriority w:val="0"/>
    <w:pPr>
      <w:spacing w:after="120"/>
      <w:ind w:left="420" w:leftChars="200"/>
    </w:pPr>
    <w:rPr>
      <w:rFonts w:asciiTheme="minorHAnsi" w:hAnsiTheme="minorHAnsi" w:eastAsiaTheme="minorEastAsia" w:cstheme="minorBidi"/>
      <w:szCs w:val="22"/>
    </w:rPr>
  </w:style>
  <w:style w:type="paragraph" w:styleId="13">
    <w:name w:val="toc 5"/>
    <w:basedOn w:val="1"/>
    <w:next w:val="1"/>
    <w:unhideWhenUsed/>
    <w:qFormat/>
    <w:uiPriority w:val="39"/>
    <w:pPr>
      <w:ind w:left="840"/>
      <w:jc w:val="left"/>
    </w:pPr>
    <w:rPr>
      <w:rFonts w:asciiTheme="minorHAnsi" w:hAnsiTheme="minorHAnsi" w:cstheme="minorHAnsi"/>
      <w:sz w:val="18"/>
      <w:szCs w:val="18"/>
    </w:rPr>
  </w:style>
  <w:style w:type="paragraph" w:styleId="14">
    <w:name w:val="toc 3"/>
    <w:basedOn w:val="1"/>
    <w:next w:val="1"/>
    <w:unhideWhenUsed/>
    <w:qFormat/>
    <w:uiPriority w:val="39"/>
    <w:pPr>
      <w:ind w:left="420"/>
      <w:jc w:val="left"/>
    </w:pPr>
    <w:rPr>
      <w:rFonts w:asciiTheme="minorHAnsi" w:hAnsiTheme="minorHAnsi" w:cstheme="minorHAnsi"/>
      <w:i/>
      <w:iCs/>
      <w:sz w:val="20"/>
    </w:rPr>
  </w:style>
  <w:style w:type="paragraph" w:styleId="15">
    <w:name w:val="Plain Text"/>
    <w:basedOn w:val="1"/>
    <w:link w:val="58"/>
    <w:qFormat/>
    <w:uiPriority w:val="0"/>
    <w:rPr>
      <w:rFonts w:ascii="宋体" w:hAnsi="Courier New" w:eastAsia="Times New Roman"/>
    </w:rPr>
  </w:style>
  <w:style w:type="paragraph" w:styleId="16">
    <w:name w:val="toc 8"/>
    <w:basedOn w:val="1"/>
    <w:next w:val="1"/>
    <w:unhideWhenUsed/>
    <w:qFormat/>
    <w:uiPriority w:val="39"/>
    <w:pPr>
      <w:ind w:left="1470"/>
      <w:jc w:val="left"/>
    </w:pPr>
    <w:rPr>
      <w:rFonts w:asciiTheme="minorHAnsi" w:hAnsiTheme="minorHAnsi" w:cstheme="minorHAnsi"/>
      <w:sz w:val="18"/>
      <w:szCs w:val="18"/>
    </w:rPr>
  </w:style>
  <w:style w:type="paragraph" w:styleId="17">
    <w:name w:val="Body Text Indent 2"/>
    <w:basedOn w:val="1"/>
    <w:link w:val="43"/>
    <w:qFormat/>
    <w:uiPriority w:val="0"/>
    <w:pPr>
      <w:spacing w:after="120" w:line="480" w:lineRule="auto"/>
      <w:ind w:left="420" w:leftChars="200"/>
    </w:pPr>
  </w:style>
  <w:style w:type="paragraph" w:styleId="18">
    <w:name w:val="Balloon Text"/>
    <w:basedOn w:val="1"/>
    <w:link w:val="55"/>
    <w:semiHidden/>
    <w:unhideWhenUsed/>
    <w:qFormat/>
    <w:uiPriority w:val="99"/>
    <w:rPr>
      <w:sz w:val="18"/>
      <w:szCs w:val="18"/>
    </w:rPr>
  </w:style>
  <w:style w:type="paragraph" w:styleId="19">
    <w:name w:val="footer"/>
    <w:basedOn w:val="1"/>
    <w:link w:val="46"/>
    <w:unhideWhenUsed/>
    <w:qFormat/>
    <w:uiPriority w:val="99"/>
    <w:pPr>
      <w:tabs>
        <w:tab w:val="center" w:pos="4153"/>
        <w:tab w:val="right" w:pos="8306"/>
      </w:tabs>
      <w:snapToGrid w:val="0"/>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rFonts w:asciiTheme="minorHAnsi" w:hAnsiTheme="minorHAnsi" w:cstheme="minorHAnsi"/>
      <w:b/>
      <w:bCs/>
      <w:caps/>
      <w:sz w:val="20"/>
    </w:rPr>
  </w:style>
  <w:style w:type="paragraph" w:styleId="22">
    <w:name w:val="toc 4"/>
    <w:basedOn w:val="1"/>
    <w:next w:val="1"/>
    <w:unhideWhenUsed/>
    <w:qFormat/>
    <w:uiPriority w:val="39"/>
    <w:pPr>
      <w:ind w:left="630"/>
      <w:jc w:val="left"/>
    </w:pPr>
    <w:rPr>
      <w:rFonts w:asciiTheme="minorHAnsi" w:hAnsiTheme="minorHAnsi" w:cstheme="minorHAnsi"/>
      <w:sz w:val="18"/>
      <w:szCs w:val="18"/>
    </w:rPr>
  </w:style>
  <w:style w:type="paragraph" w:styleId="23">
    <w:name w:val="toc 6"/>
    <w:basedOn w:val="1"/>
    <w:next w:val="1"/>
    <w:unhideWhenUsed/>
    <w:qFormat/>
    <w:uiPriority w:val="39"/>
    <w:pPr>
      <w:ind w:left="1050"/>
      <w:jc w:val="left"/>
    </w:pPr>
    <w:rPr>
      <w:rFonts w:asciiTheme="minorHAnsi" w:hAnsiTheme="minorHAnsi" w:cstheme="minorHAnsi"/>
      <w:sz w:val="18"/>
      <w:szCs w:val="18"/>
    </w:rPr>
  </w:style>
  <w:style w:type="paragraph" w:styleId="24">
    <w:name w:val="toc 2"/>
    <w:basedOn w:val="1"/>
    <w:next w:val="1"/>
    <w:unhideWhenUsed/>
    <w:qFormat/>
    <w:uiPriority w:val="39"/>
    <w:pPr>
      <w:ind w:left="210"/>
      <w:jc w:val="left"/>
    </w:pPr>
    <w:rPr>
      <w:rFonts w:asciiTheme="minorHAnsi" w:hAnsiTheme="minorHAnsi" w:cstheme="minorHAnsi"/>
      <w:smallCaps/>
      <w:sz w:val="20"/>
    </w:rPr>
  </w:style>
  <w:style w:type="paragraph" w:styleId="25">
    <w:name w:val="toc 9"/>
    <w:basedOn w:val="1"/>
    <w:next w:val="1"/>
    <w:unhideWhenUsed/>
    <w:qFormat/>
    <w:uiPriority w:val="39"/>
    <w:pPr>
      <w:ind w:left="1680"/>
      <w:jc w:val="left"/>
    </w:pPr>
    <w:rPr>
      <w:rFonts w:asciiTheme="minorHAnsi" w:hAnsiTheme="minorHAnsi" w:cstheme="minorHAnsi"/>
      <w:sz w:val="18"/>
      <w:szCs w:val="18"/>
    </w:rPr>
  </w:style>
  <w:style w:type="paragraph" w:styleId="26">
    <w:name w:val="Normal (Web)"/>
    <w:basedOn w:val="1"/>
    <w:semiHidden/>
    <w:unhideWhenUsed/>
    <w:qFormat/>
    <w:uiPriority w:val="99"/>
    <w:rPr>
      <w:sz w:val="24"/>
    </w:rPr>
  </w:style>
  <w:style w:type="paragraph" w:styleId="27">
    <w:name w:val="Title"/>
    <w:basedOn w:val="1"/>
    <w:next w:val="1"/>
    <w:link w:val="62"/>
    <w:qFormat/>
    <w:uiPriority w:val="10"/>
    <w:pPr>
      <w:keepNext/>
      <w:keepLines/>
      <w:pageBreakBefore/>
      <w:adjustRightInd w:val="0"/>
      <w:snapToGrid w:val="0"/>
      <w:spacing w:before="240" w:after="240" w:line="360" w:lineRule="auto"/>
      <w:jc w:val="center"/>
      <w:outlineLvl w:val="0"/>
    </w:pPr>
    <w:rPr>
      <w:rFonts w:cstheme="majorBidi"/>
      <w:b/>
      <w:bCs/>
      <w:sz w:val="32"/>
      <w:szCs w:val="32"/>
    </w:rPr>
  </w:style>
  <w:style w:type="paragraph" w:styleId="28">
    <w:name w:val="annotation subject"/>
    <w:basedOn w:val="11"/>
    <w:next w:val="11"/>
    <w:link w:val="57"/>
    <w:semiHidden/>
    <w:unhideWhenUsed/>
    <w:qFormat/>
    <w:uiPriority w:val="99"/>
    <w:rPr>
      <w:b/>
      <w:bCs/>
    </w:rPr>
  </w:style>
  <w:style w:type="paragraph" w:styleId="29">
    <w:name w:val="Body Text First Indent"/>
    <w:basedOn w:val="2"/>
    <w:next w:val="2"/>
    <w:unhideWhenUsed/>
    <w:qFormat/>
    <w:uiPriority w:val="99"/>
    <w:pPr>
      <w:spacing w:before="0" w:beforeAutospacing="0" w:after="120"/>
      <w:ind w:firstLine="420" w:firstLineChars="100"/>
    </w:pPr>
    <w:rPr>
      <w:kern w:val="2"/>
      <w:sz w:val="21"/>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rPr>
  </w:style>
  <w:style w:type="character" w:styleId="34">
    <w:name w:val="page number"/>
    <w:basedOn w:val="32"/>
    <w:qFormat/>
    <w:uiPriority w:val="0"/>
  </w:style>
  <w:style w:type="character" w:styleId="35">
    <w:name w:val="Emphasis"/>
    <w:basedOn w:val="32"/>
    <w:qFormat/>
    <w:uiPriority w:val="20"/>
    <w:rPr>
      <w:i/>
    </w:rPr>
  </w:style>
  <w:style w:type="character" w:styleId="36">
    <w:name w:val="Hyperlink"/>
    <w:basedOn w:val="32"/>
    <w:unhideWhenUsed/>
    <w:qFormat/>
    <w:uiPriority w:val="99"/>
    <w:rPr>
      <w:color w:val="0000FF" w:themeColor="hyperlink"/>
      <w:u w:val="single"/>
      <w14:textFill>
        <w14:solidFill>
          <w14:schemeClr w14:val="hlink"/>
        </w14:solidFill>
      </w14:textFill>
    </w:rPr>
  </w:style>
  <w:style w:type="character" w:styleId="37">
    <w:name w:val="annotation reference"/>
    <w:basedOn w:val="32"/>
    <w:unhideWhenUsed/>
    <w:qFormat/>
    <w:uiPriority w:val="99"/>
    <w:rPr>
      <w:sz w:val="21"/>
      <w:szCs w:val="21"/>
    </w:rPr>
  </w:style>
  <w:style w:type="paragraph" w:customStyle="1" w:styleId="38">
    <w:name w:val="_Style 5"/>
    <w:basedOn w:val="1"/>
    <w:qFormat/>
    <w:uiPriority w:val="0"/>
  </w:style>
  <w:style w:type="character" w:customStyle="1" w:styleId="39">
    <w:name w:val="样式1 Char"/>
    <w:qFormat/>
    <w:uiPriority w:val="0"/>
    <w:rPr>
      <w:rFonts w:ascii="宋体" w:hAnsi="宋体" w:eastAsia="宋体"/>
      <w:b/>
      <w:sz w:val="24"/>
      <w:szCs w:val="24"/>
    </w:rPr>
  </w:style>
  <w:style w:type="paragraph" w:customStyle="1" w:styleId="40">
    <w:name w:val="样式1"/>
    <w:basedOn w:val="1"/>
    <w:link w:val="47"/>
    <w:qFormat/>
    <w:uiPriority w:val="0"/>
    <w:pPr>
      <w:spacing w:beforeLines="70" w:line="460" w:lineRule="exact"/>
      <w:ind w:firstLine="480" w:firstLineChars="200"/>
    </w:pPr>
    <w:rPr>
      <w:rFonts w:ascii="宋体" w:hAnsi="宋体" w:eastAsiaTheme="minorEastAsia" w:cstheme="minorBidi"/>
      <w:sz w:val="24"/>
      <w:szCs w:val="24"/>
    </w:rPr>
  </w:style>
  <w:style w:type="character" w:customStyle="1" w:styleId="41">
    <w:name w:val="正文文本缩进 字符"/>
    <w:link w:val="12"/>
    <w:qFormat/>
    <w:uiPriority w:val="0"/>
  </w:style>
  <w:style w:type="character" w:customStyle="1" w:styleId="42">
    <w:name w:val="正文文本缩进 Char1"/>
    <w:basedOn w:val="32"/>
    <w:semiHidden/>
    <w:qFormat/>
    <w:uiPriority w:val="99"/>
    <w:rPr>
      <w:rFonts w:ascii="Times New Roman" w:hAnsi="Times New Roman" w:eastAsia="宋体" w:cs="Times New Roman"/>
      <w:szCs w:val="20"/>
    </w:rPr>
  </w:style>
  <w:style w:type="character" w:customStyle="1" w:styleId="43">
    <w:name w:val="正文文本缩进 2 字符"/>
    <w:basedOn w:val="32"/>
    <w:link w:val="17"/>
    <w:qFormat/>
    <w:uiPriority w:val="0"/>
    <w:rPr>
      <w:rFonts w:ascii="Times New Roman" w:hAnsi="Times New Roman" w:eastAsia="宋体" w:cs="Times New Roman"/>
      <w:szCs w:val="20"/>
    </w:rPr>
  </w:style>
  <w:style w:type="paragraph" w:customStyle="1" w:styleId="44">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45">
    <w:name w:val="页眉 字符"/>
    <w:basedOn w:val="32"/>
    <w:link w:val="20"/>
    <w:qFormat/>
    <w:uiPriority w:val="99"/>
    <w:rPr>
      <w:rFonts w:ascii="Times New Roman" w:hAnsi="Times New Roman" w:eastAsia="宋体" w:cs="Times New Roman"/>
      <w:sz w:val="18"/>
      <w:szCs w:val="18"/>
    </w:rPr>
  </w:style>
  <w:style w:type="character" w:customStyle="1" w:styleId="46">
    <w:name w:val="页脚 字符"/>
    <w:basedOn w:val="32"/>
    <w:link w:val="19"/>
    <w:qFormat/>
    <w:uiPriority w:val="99"/>
    <w:rPr>
      <w:rFonts w:ascii="Times New Roman" w:hAnsi="Times New Roman" w:eastAsia="宋体" w:cs="Times New Roman"/>
      <w:sz w:val="18"/>
      <w:szCs w:val="18"/>
    </w:rPr>
  </w:style>
  <w:style w:type="character" w:customStyle="1" w:styleId="47">
    <w:name w:val="样式1 字符"/>
    <w:basedOn w:val="32"/>
    <w:link w:val="40"/>
    <w:qFormat/>
    <w:uiPriority w:val="0"/>
    <w:rPr>
      <w:rFonts w:ascii="宋体" w:hAnsi="宋体" w:eastAsia="宋体" w:cs="Times New Roman"/>
      <w:b/>
      <w:sz w:val="24"/>
      <w:szCs w:val="24"/>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character" w:customStyle="1" w:styleId="49">
    <w:name w:val="标题 5 字符"/>
    <w:link w:val="7"/>
    <w:qFormat/>
    <w:uiPriority w:val="0"/>
    <w:rPr>
      <w:b/>
      <w:sz w:val="24"/>
    </w:rPr>
  </w:style>
  <w:style w:type="character" w:customStyle="1" w:styleId="50">
    <w:name w:val="font21"/>
    <w:basedOn w:val="32"/>
    <w:qFormat/>
    <w:uiPriority w:val="0"/>
    <w:rPr>
      <w:rFonts w:hint="eastAsia" w:ascii="宋体" w:hAnsi="宋体" w:eastAsia="宋体" w:cs="宋体"/>
      <w:color w:val="000000"/>
      <w:sz w:val="18"/>
      <w:szCs w:val="18"/>
      <w:u w:val="none"/>
    </w:rPr>
  </w:style>
  <w:style w:type="character" w:customStyle="1" w:styleId="51">
    <w:name w:val="font01"/>
    <w:basedOn w:val="32"/>
    <w:qFormat/>
    <w:uiPriority w:val="0"/>
    <w:rPr>
      <w:rFonts w:hint="eastAsia" w:ascii="宋体" w:hAnsi="宋体" w:eastAsia="宋体" w:cs="宋体"/>
      <w:color w:val="000000"/>
      <w:sz w:val="12"/>
      <w:szCs w:val="12"/>
      <w:u w:val="none"/>
    </w:rPr>
  </w:style>
  <w:style w:type="character" w:customStyle="1" w:styleId="52">
    <w:name w:val="font41"/>
    <w:basedOn w:val="32"/>
    <w:qFormat/>
    <w:uiPriority w:val="0"/>
    <w:rPr>
      <w:rFonts w:hint="eastAsia" w:ascii="宋体" w:hAnsi="宋体" w:eastAsia="宋体" w:cs="宋体"/>
      <w:color w:val="000000"/>
      <w:sz w:val="18"/>
      <w:szCs w:val="18"/>
      <w:u w:val="none"/>
    </w:rPr>
  </w:style>
  <w:style w:type="character" w:customStyle="1" w:styleId="53">
    <w:name w:val="font11"/>
    <w:basedOn w:val="32"/>
    <w:qFormat/>
    <w:uiPriority w:val="0"/>
    <w:rPr>
      <w:rFonts w:hint="eastAsia" w:ascii="宋体" w:hAnsi="宋体" w:eastAsia="宋体" w:cs="宋体"/>
      <w:color w:val="000000"/>
      <w:sz w:val="12"/>
      <w:szCs w:val="12"/>
      <w:u w:val="none"/>
    </w:rPr>
  </w:style>
  <w:style w:type="paragraph" w:styleId="54">
    <w:name w:val="List Paragraph"/>
    <w:basedOn w:val="1"/>
    <w:qFormat/>
    <w:uiPriority w:val="99"/>
    <w:pPr>
      <w:ind w:firstLine="420" w:firstLineChars="200"/>
    </w:pPr>
  </w:style>
  <w:style w:type="character" w:customStyle="1" w:styleId="55">
    <w:name w:val="批注框文本 字符"/>
    <w:basedOn w:val="32"/>
    <w:link w:val="18"/>
    <w:semiHidden/>
    <w:qFormat/>
    <w:uiPriority w:val="99"/>
    <w:rPr>
      <w:kern w:val="2"/>
      <w:sz w:val="18"/>
      <w:szCs w:val="18"/>
    </w:rPr>
  </w:style>
  <w:style w:type="character" w:customStyle="1" w:styleId="56">
    <w:name w:val="批注文字 字符"/>
    <w:basedOn w:val="32"/>
    <w:link w:val="11"/>
    <w:qFormat/>
    <w:uiPriority w:val="0"/>
    <w:rPr>
      <w:kern w:val="2"/>
      <w:sz w:val="21"/>
    </w:rPr>
  </w:style>
  <w:style w:type="character" w:customStyle="1" w:styleId="57">
    <w:name w:val="批注主题 字符"/>
    <w:basedOn w:val="56"/>
    <w:link w:val="28"/>
    <w:semiHidden/>
    <w:qFormat/>
    <w:uiPriority w:val="99"/>
    <w:rPr>
      <w:b/>
      <w:bCs/>
      <w:kern w:val="2"/>
      <w:sz w:val="21"/>
    </w:rPr>
  </w:style>
  <w:style w:type="character" w:customStyle="1" w:styleId="58">
    <w:name w:val="纯文本 字符"/>
    <w:basedOn w:val="32"/>
    <w:link w:val="15"/>
    <w:qFormat/>
    <w:uiPriority w:val="0"/>
    <w:rPr>
      <w:rFonts w:ascii="宋体" w:hAnsi="Courier New" w:eastAsia="Times New Roman"/>
      <w:kern w:val="2"/>
      <w:sz w:val="21"/>
    </w:rPr>
  </w:style>
  <w:style w:type="paragraph" w:customStyle="1" w:styleId="59">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正文首行缩进1"/>
    <w:basedOn w:val="2"/>
    <w:unhideWhenUsed/>
    <w:qFormat/>
    <w:uiPriority w:val="99"/>
    <w:pPr>
      <w:ind w:firstLine="420" w:firstLineChars="100"/>
    </w:pPr>
    <w:rPr>
      <w:szCs w:val="21"/>
    </w:rPr>
  </w:style>
  <w:style w:type="paragraph" w:customStyle="1" w:styleId="61">
    <w:name w:val="修订1"/>
    <w:hidden/>
    <w:semiHidden/>
    <w:qFormat/>
    <w:uiPriority w:val="99"/>
    <w:rPr>
      <w:rFonts w:ascii="Times New Roman" w:hAnsi="Times New Roman" w:eastAsia="宋体" w:cs="Times New Roman"/>
      <w:kern w:val="2"/>
      <w:sz w:val="21"/>
      <w:lang w:val="en-US" w:eastAsia="zh-CN" w:bidi="ar-SA"/>
    </w:rPr>
  </w:style>
  <w:style w:type="character" w:customStyle="1" w:styleId="62">
    <w:name w:val="标题 字符"/>
    <w:basedOn w:val="32"/>
    <w:link w:val="27"/>
    <w:qFormat/>
    <w:uiPriority w:val="10"/>
    <w:rPr>
      <w:rFonts w:cstheme="majorBidi"/>
      <w:b/>
      <w:bCs/>
      <w:kern w:val="2"/>
      <w:sz w:val="32"/>
      <w:szCs w:val="32"/>
    </w:rPr>
  </w:style>
  <w:style w:type="paragraph" w:customStyle="1" w:styleId="63">
    <w:name w:val="TOC 标题1"/>
    <w:basedOn w:val="3"/>
    <w:next w:val="1"/>
    <w:unhideWhenUsed/>
    <w:qFormat/>
    <w:uiPriority w:val="39"/>
    <w:pPr>
      <w:widowControl/>
      <w:adjustRightInd/>
      <w:snapToGrid/>
      <w:spacing w:beforeLines="0" w:afterLines="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4">
    <w:name w:val="标题 7 字符"/>
    <w:basedOn w:val="32"/>
    <w:link w:val="8"/>
    <w:semiHidden/>
    <w:qFormat/>
    <w:uiPriority w:val="9"/>
    <w:rPr>
      <w:b/>
      <w:bCs/>
      <w:kern w:val="2"/>
      <w:sz w:val="24"/>
      <w:szCs w:val="24"/>
    </w:rPr>
  </w:style>
  <w:style w:type="paragraph" w:customStyle="1" w:styleId="65">
    <w:name w:val="修订2"/>
    <w:hidden/>
    <w:semiHidden/>
    <w:qFormat/>
    <w:uiPriority w:val="99"/>
    <w:rPr>
      <w:rFonts w:ascii="Times New Roman" w:hAnsi="Times New Roman" w:eastAsia="宋体" w:cs="Times New Roman"/>
      <w:kern w:val="2"/>
      <w:sz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lang w:val="en-US" w:eastAsia="zh-CN" w:bidi="ar-SA"/>
    </w:rPr>
  </w:style>
  <w:style w:type="paragraph" w:customStyle="1" w:styleId="67">
    <w:name w:val="修订4"/>
    <w:hidden/>
    <w:semiHidden/>
    <w:qFormat/>
    <w:uiPriority w:val="99"/>
    <w:rPr>
      <w:rFonts w:ascii="Times New Roman" w:hAnsi="Times New Roman" w:eastAsia="宋体" w:cs="Times New Roman"/>
      <w:kern w:val="2"/>
      <w:sz w:val="21"/>
      <w:lang w:val="en-US" w:eastAsia="zh-CN" w:bidi="ar-SA"/>
    </w:rPr>
  </w:style>
  <w:style w:type="paragraph" w:customStyle="1" w:styleId="68">
    <w:name w:val="表头"/>
    <w:basedOn w:val="1"/>
    <w:qFormat/>
    <w:uiPriority w:val="0"/>
    <w:pPr>
      <w:spacing w:line="360" w:lineRule="auto"/>
      <w:jc w:val="center"/>
    </w:pPr>
    <w:rPr>
      <w:rFonts w:ascii="黑体" w:eastAsia="黑体"/>
      <w:kern w:val="0"/>
      <w:sz w:val="24"/>
    </w:rPr>
  </w:style>
  <w:style w:type="paragraph" w:customStyle="1" w:styleId="6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3F94D-04CF-4EBD-9107-6CD62B93DFD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22263</Words>
  <Characters>23276</Characters>
  <Lines>213</Lines>
  <Paragraphs>59</Paragraphs>
  <TotalTime>0</TotalTime>
  <ScaleCrop>false</ScaleCrop>
  <LinksUpToDate>false</LinksUpToDate>
  <CharactersWithSpaces>23593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2023-09-20T08:53:00Z</dcterms:created>
  <dc:creator>黄锦峰</dc:creator>
  <cp:lastModifiedBy>C-言诺</cp:lastModifiedBy>
  <cp:lastPrinted>2021-11-13T08:35:00Z</cp:lastPrinted>
  <dcterms:modified xsi:type="dcterms:W3CDTF">2025-05-21T08:43:59Z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9167E6E388563C80A7972C63AFFC4B17</vt:lpwstr>
  </property>
  <property fmtid="{D5CDD505-2E9C-101B-9397-08002B2CF9AE}" pid="4" name="KSOTemplateDocerSaveRecord">
    <vt:lpwstr>eyJoZGlkIjoiMTllMzUzYWVlNDExMDljNzg4Y2Q5ZTEyN2FmYTAxZmMiLCJ1c2VySWQiOiIyMDYzMTExODMifQ==</vt:lpwstr>
  </property>
</Properties>
</file>