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2228C">
      <w:pPr>
        <w:pageBreakBefore w:val="0"/>
        <w:kinsoku/>
        <w:wordWrap/>
        <w:overflowPunct/>
        <w:topLinePunct w:val="0"/>
        <w:bidi w:val="0"/>
        <w:spacing w:after="100" w:line="360" w:lineRule="auto"/>
        <w:textAlignment w:val="auto"/>
        <w:rPr>
          <w:rFonts w:hint="eastAsia" w:ascii="仿宋_GB2312" w:hAnsi="仿宋_GB2312" w:eastAsia="仿宋_GB2312" w:cs="仿宋_GB2312"/>
          <w:b/>
          <w:color w:val="auto"/>
          <w:sz w:val="32"/>
          <w:szCs w:val="32"/>
          <w:highlight w:val="none"/>
        </w:rPr>
      </w:pPr>
      <w:bookmarkStart w:id="72" w:name="_GoBack"/>
    </w:p>
    <w:p w14:paraId="0624B1A6">
      <w:pPr>
        <w:pageBreakBefore w:val="0"/>
        <w:kinsoku/>
        <w:wordWrap/>
        <w:overflowPunct/>
        <w:topLinePunct w:val="0"/>
        <w:bidi w:val="0"/>
        <w:spacing w:after="100" w:line="360" w:lineRule="auto"/>
        <w:textAlignment w:val="auto"/>
        <w:rPr>
          <w:rFonts w:hint="eastAsia" w:ascii="仿宋_GB2312" w:hAnsi="仿宋_GB2312" w:eastAsia="仿宋_GB2312" w:cs="仿宋_GB2312"/>
          <w:b/>
          <w:color w:val="auto"/>
          <w:sz w:val="32"/>
          <w:szCs w:val="32"/>
          <w:highlight w:val="none"/>
        </w:rPr>
      </w:pPr>
    </w:p>
    <w:p w14:paraId="6594B7C3">
      <w:pPr>
        <w:pageBreakBefore w:val="0"/>
        <w:kinsoku/>
        <w:wordWrap/>
        <w:overflowPunct/>
        <w:topLinePunct w:val="0"/>
        <w:bidi w:val="0"/>
        <w:spacing w:after="100" w:line="360" w:lineRule="auto"/>
        <w:textAlignment w:val="auto"/>
        <w:rPr>
          <w:rFonts w:hint="eastAsia" w:ascii="仿宋_GB2312" w:hAnsi="仿宋_GB2312" w:eastAsia="仿宋_GB2312" w:cs="仿宋_GB2312"/>
          <w:b/>
          <w:color w:val="auto"/>
          <w:sz w:val="32"/>
          <w:szCs w:val="32"/>
          <w:highlight w:val="none"/>
        </w:rPr>
      </w:pPr>
    </w:p>
    <w:p w14:paraId="3216747A">
      <w:pPr>
        <w:pageBreakBefore w:val="0"/>
        <w:kinsoku/>
        <w:wordWrap/>
        <w:overflowPunct/>
        <w:topLinePunct w:val="0"/>
        <w:bidi w:val="0"/>
        <w:spacing w:after="100" w:line="360" w:lineRule="auto"/>
        <w:jc w:val="center"/>
        <w:textAlignment w:val="auto"/>
        <w:rPr>
          <w:rFonts w:hint="eastAsia" w:ascii="宋体" w:hAnsi="宋体" w:eastAsia="宋体" w:cs="宋体"/>
          <w:b/>
          <w:bCs/>
          <w:color w:val="auto"/>
          <w:sz w:val="44"/>
          <w:szCs w:val="44"/>
          <w:highlight w:val="none"/>
          <w:u w:val="none"/>
          <w:lang w:eastAsia="zh-CN"/>
        </w:rPr>
      </w:pPr>
      <w:bookmarkStart w:id="0" w:name="OLE_LINK2"/>
      <w:bookmarkStart w:id="1" w:name="OLE_LINK1"/>
      <w:r>
        <w:rPr>
          <w:rFonts w:hint="eastAsia" w:ascii="宋体" w:hAnsi="宋体" w:eastAsia="宋体" w:cs="宋体"/>
          <w:b/>
          <w:bCs/>
          <w:color w:val="auto"/>
          <w:sz w:val="44"/>
          <w:szCs w:val="44"/>
          <w:highlight w:val="none"/>
          <w:u w:val="none"/>
          <w:lang w:eastAsia="zh-CN"/>
        </w:rPr>
        <w:t>广州市白云区螺涌村、松南村、松北村</w:t>
      </w:r>
    </w:p>
    <w:p w14:paraId="2D99CD51">
      <w:pPr>
        <w:pageBreakBefore w:val="0"/>
        <w:kinsoku/>
        <w:wordWrap/>
        <w:overflowPunct/>
        <w:topLinePunct w:val="0"/>
        <w:bidi w:val="0"/>
        <w:spacing w:after="100" w:line="360" w:lineRule="auto"/>
        <w:jc w:val="center"/>
        <w:textAlignment w:val="auto"/>
        <w:rPr>
          <w:rFonts w:hint="eastAsia" w:ascii="宋体" w:hAnsi="宋体" w:eastAsia="宋体" w:cs="宋体"/>
          <w:b/>
          <w:bCs/>
          <w:color w:val="auto"/>
          <w:sz w:val="44"/>
          <w:szCs w:val="44"/>
          <w:highlight w:val="none"/>
          <w:u w:val="none"/>
          <w:lang w:eastAsia="zh-CN"/>
        </w:rPr>
      </w:pPr>
      <w:r>
        <w:rPr>
          <w:rFonts w:hint="eastAsia" w:ascii="宋体" w:hAnsi="宋体" w:eastAsia="宋体" w:cs="宋体"/>
          <w:b/>
          <w:bCs/>
          <w:color w:val="auto"/>
          <w:sz w:val="44"/>
          <w:szCs w:val="44"/>
          <w:highlight w:val="none"/>
          <w:u w:val="none"/>
          <w:lang w:eastAsia="zh-CN"/>
        </w:rPr>
        <w:t>城中村改造项目AB3802042安置地块</w:t>
      </w:r>
    </w:p>
    <w:p w14:paraId="7BFBDB00">
      <w:pPr>
        <w:pageBreakBefore w:val="0"/>
        <w:kinsoku/>
        <w:wordWrap/>
        <w:overflowPunct/>
        <w:topLinePunct w:val="0"/>
        <w:bidi w:val="0"/>
        <w:spacing w:after="100" w:line="360" w:lineRule="auto"/>
        <w:jc w:val="center"/>
        <w:textAlignment w:val="auto"/>
        <w:rPr>
          <w:rFonts w:hint="eastAsia" w:ascii="宋体" w:hAnsi="宋体" w:cs="宋体"/>
          <w:b/>
          <w:bCs/>
          <w:color w:val="auto"/>
          <w:sz w:val="44"/>
          <w:szCs w:val="44"/>
          <w:highlight w:val="none"/>
          <w:lang w:val="en-US" w:eastAsia="zh-CN"/>
        </w:rPr>
      </w:pPr>
      <w:r>
        <w:rPr>
          <w:rFonts w:hint="eastAsia" w:ascii="宋体" w:hAnsi="宋体" w:eastAsia="宋体" w:cs="宋体"/>
          <w:b/>
          <w:bCs/>
          <w:color w:val="auto"/>
          <w:sz w:val="44"/>
          <w:szCs w:val="44"/>
          <w:highlight w:val="none"/>
          <w:u w:val="none"/>
          <w:lang w:eastAsia="zh-CN"/>
        </w:rPr>
        <w:t>项目勘察设计施工(EPC)</w:t>
      </w:r>
    </w:p>
    <w:p w14:paraId="3ABEE560">
      <w:pPr>
        <w:pageBreakBefore w:val="0"/>
        <w:kinsoku/>
        <w:wordWrap/>
        <w:overflowPunct/>
        <w:topLinePunct w:val="0"/>
        <w:bidi w:val="0"/>
        <w:spacing w:after="100" w:line="360" w:lineRule="auto"/>
        <w:jc w:val="center"/>
        <w:textAlignment w:val="auto"/>
        <w:rPr>
          <w:rFonts w:hint="eastAsia" w:ascii="宋体" w:hAnsi="宋体" w:eastAsia="宋体" w:cs="宋体"/>
          <w:b/>
          <w:bCs/>
          <w:color w:val="auto"/>
          <w:spacing w:val="62"/>
          <w:sz w:val="44"/>
          <w:szCs w:val="44"/>
          <w:highlight w:val="none"/>
        </w:rPr>
      </w:pPr>
      <w:r>
        <w:rPr>
          <w:rFonts w:hint="eastAsia" w:ascii="宋体" w:hAnsi="宋体" w:cs="宋体"/>
          <w:b/>
          <w:bCs/>
          <w:color w:val="auto"/>
          <w:sz w:val="44"/>
          <w:szCs w:val="44"/>
          <w:highlight w:val="none"/>
          <w:lang w:val="en-US" w:eastAsia="zh-CN"/>
        </w:rPr>
        <w:t>施工图设计任务书</w:t>
      </w:r>
    </w:p>
    <w:p w14:paraId="1BCB75A9">
      <w:pPr>
        <w:pageBreakBefore w:val="0"/>
        <w:kinsoku/>
        <w:wordWrap/>
        <w:overflowPunct/>
        <w:topLinePunct w:val="0"/>
        <w:bidi w:val="0"/>
        <w:spacing w:after="100" w:line="360" w:lineRule="auto"/>
        <w:jc w:val="center"/>
        <w:textAlignment w:val="auto"/>
        <w:rPr>
          <w:rFonts w:hint="eastAsia" w:ascii="仿宋_GB2312" w:hAnsi="仿宋_GB2312" w:eastAsia="仿宋_GB2312" w:cs="仿宋_GB2312"/>
          <w:b/>
          <w:color w:val="auto"/>
          <w:spacing w:val="62"/>
          <w:sz w:val="32"/>
          <w:szCs w:val="32"/>
          <w:highlight w:val="none"/>
        </w:rPr>
      </w:pPr>
    </w:p>
    <w:p w14:paraId="62A74EA1">
      <w:pPr>
        <w:pageBreakBefore w:val="0"/>
        <w:kinsoku/>
        <w:wordWrap/>
        <w:overflowPunct/>
        <w:topLinePunct w:val="0"/>
        <w:bidi w:val="0"/>
        <w:spacing w:after="100" w:line="360" w:lineRule="auto"/>
        <w:jc w:val="center"/>
        <w:textAlignment w:val="auto"/>
        <w:rPr>
          <w:rFonts w:hint="eastAsia" w:ascii="仿宋_GB2312" w:hAnsi="仿宋_GB2312" w:eastAsia="仿宋_GB2312" w:cs="仿宋_GB2312"/>
          <w:b/>
          <w:color w:val="auto"/>
          <w:spacing w:val="62"/>
          <w:sz w:val="32"/>
          <w:szCs w:val="32"/>
          <w:highlight w:val="none"/>
        </w:rPr>
      </w:pPr>
    </w:p>
    <w:bookmarkEnd w:id="0"/>
    <w:bookmarkEnd w:id="1"/>
    <w:p w14:paraId="40981789">
      <w:pPr>
        <w:pageBreakBefore w:val="0"/>
        <w:kinsoku/>
        <w:wordWrap/>
        <w:overflowPunct/>
        <w:topLinePunct w:val="0"/>
        <w:bidi w:val="0"/>
        <w:spacing w:after="100" w:line="360" w:lineRule="auto"/>
        <w:textAlignment w:val="auto"/>
        <w:rPr>
          <w:rFonts w:hint="eastAsia" w:ascii="仿宋_GB2312" w:hAnsi="仿宋_GB2312" w:eastAsia="仿宋_GB2312" w:cs="仿宋_GB2312"/>
          <w:color w:val="auto"/>
          <w:sz w:val="32"/>
          <w:szCs w:val="32"/>
          <w:highlight w:val="none"/>
        </w:rPr>
      </w:pPr>
    </w:p>
    <w:p w14:paraId="023436F4">
      <w:pPr>
        <w:pageBreakBefore w:val="0"/>
        <w:kinsoku/>
        <w:wordWrap/>
        <w:overflowPunct/>
        <w:topLinePunct w:val="0"/>
        <w:bidi w:val="0"/>
        <w:spacing w:after="100" w:line="360" w:lineRule="auto"/>
        <w:textAlignment w:val="auto"/>
        <w:rPr>
          <w:rFonts w:hint="eastAsia" w:ascii="仿宋_GB2312" w:hAnsi="仿宋_GB2312" w:eastAsia="仿宋_GB2312" w:cs="仿宋_GB2312"/>
          <w:color w:val="auto"/>
          <w:sz w:val="32"/>
          <w:szCs w:val="32"/>
          <w:highlight w:val="none"/>
        </w:rPr>
      </w:pPr>
    </w:p>
    <w:p w14:paraId="2F38C70D">
      <w:pPr>
        <w:pageBreakBefore w:val="0"/>
        <w:kinsoku/>
        <w:wordWrap/>
        <w:overflowPunct/>
        <w:topLinePunct w:val="0"/>
        <w:bidi w:val="0"/>
        <w:spacing w:after="100" w:line="360" w:lineRule="auto"/>
        <w:textAlignment w:val="auto"/>
        <w:rPr>
          <w:rFonts w:hint="eastAsia" w:ascii="仿宋_GB2312" w:hAnsi="仿宋_GB2312" w:eastAsia="仿宋_GB2312" w:cs="仿宋_GB2312"/>
          <w:color w:val="auto"/>
          <w:sz w:val="32"/>
          <w:szCs w:val="32"/>
          <w:highlight w:val="none"/>
        </w:rPr>
      </w:pPr>
    </w:p>
    <w:p w14:paraId="601C60B6">
      <w:pPr>
        <w:pageBreakBefore w:val="0"/>
        <w:kinsoku/>
        <w:wordWrap/>
        <w:overflowPunct/>
        <w:topLinePunct w:val="0"/>
        <w:bidi w:val="0"/>
        <w:spacing w:after="100" w:line="360" w:lineRule="auto"/>
        <w:textAlignment w:val="auto"/>
        <w:rPr>
          <w:rFonts w:hint="eastAsia" w:ascii="仿宋_GB2312" w:hAnsi="仿宋_GB2312" w:eastAsia="仿宋_GB2312" w:cs="仿宋_GB2312"/>
          <w:color w:val="auto"/>
          <w:sz w:val="32"/>
          <w:szCs w:val="32"/>
          <w:highlight w:val="none"/>
        </w:rPr>
      </w:pPr>
    </w:p>
    <w:p w14:paraId="35B4166E">
      <w:pPr>
        <w:pageBreakBefore w:val="0"/>
        <w:kinsoku/>
        <w:wordWrap/>
        <w:overflowPunct/>
        <w:topLinePunct w:val="0"/>
        <w:bidi w:val="0"/>
        <w:spacing w:after="100" w:line="360" w:lineRule="auto"/>
        <w:textAlignment w:val="auto"/>
        <w:rPr>
          <w:rFonts w:hint="eastAsia" w:ascii="仿宋_GB2312" w:hAnsi="仿宋_GB2312" w:eastAsia="仿宋_GB2312" w:cs="仿宋_GB2312"/>
          <w:color w:val="auto"/>
          <w:sz w:val="32"/>
          <w:szCs w:val="32"/>
          <w:highlight w:val="none"/>
        </w:rPr>
      </w:pPr>
    </w:p>
    <w:p w14:paraId="56F21D09">
      <w:pPr>
        <w:pageBreakBefore w:val="0"/>
        <w:kinsoku/>
        <w:wordWrap/>
        <w:overflowPunct/>
        <w:topLinePunct w:val="0"/>
        <w:bidi w:val="0"/>
        <w:spacing w:after="100" w:line="360" w:lineRule="auto"/>
        <w:textAlignment w:val="auto"/>
        <w:rPr>
          <w:rFonts w:hint="eastAsia" w:ascii="仿宋_GB2312" w:hAnsi="仿宋_GB2312" w:eastAsia="仿宋_GB2312" w:cs="仿宋_GB2312"/>
          <w:color w:val="auto"/>
          <w:sz w:val="32"/>
          <w:szCs w:val="32"/>
          <w:highlight w:val="none"/>
        </w:rPr>
      </w:pPr>
    </w:p>
    <w:p w14:paraId="4B8930F1">
      <w:pPr>
        <w:pageBreakBefore w:val="0"/>
        <w:kinsoku/>
        <w:wordWrap/>
        <w:overflowPunct/>
        <w:topLinePunct w:val="0"/>
        <w:bidi w:val="0"/>
        <w:spacing w:line="360" w:lineRule="auto"/>
        <w:jc w:val="center"/>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20</w:t>
      </w:r>
      <w:r>
        <w:rPr>
          <w:rFonts w:hint="eastAsia" w:ascii="仿宋_GB2312" w:hAnsi="仿宋_GB2312" w:eastAsia="仿宋_GB2312" w:cs="仿宋_GB2312"/>
          <w:b/>
          <w:color w:val="auto"/>
          <w:sz w:val="32"/>
          <w:szCs w:val="32"/>
          <w:highlight w:val="none"/>
          <w:lang w:val="en-US" w:eastAsia="zh-CN"/>
        </w:rPr>
        <w:t xml:space="preserve">25 </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u w:val="single"/>
          <w:lang w:val="en-US" w:eastAsia="zh-CN"/>
        </w:rPr>
        <w:t xml:space="preserve"> 4 </w:t>
      </w:r>
      <w:r>
        <w:rPr>
          <w:rFonts w:hint="eastAsia" w:ascii="仿宋_GB2312" w:hAnsi="仿宋_GB2312" w:eastAsia="仿宋_GB2312" w:cs="仿宋_GB2312"/>
          <w:b/>
          <w:color w:val="auto"/>
          <w:sz w:val="32"/>
          <w:szCs w:val="32"/>
          <w:highlight w:val="none"/>
        </w:rPr>
        <w:t>月</w:t>
      </w:r>
    </w:p>
    <w:p w14:paraId="3761CD91">
      <w:pPr>
        <w:pageBreakBefore w:val="0"/>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14:paraId="5610E93A">
      <w:pPr>
        <w:pStyle w:val="12"/>
        <w:pageBreakBefore w:val="0"/>
        <w:kinsoku/>
        <w:wordWrap/>
        <w:overflowPunct/>
        <w:topLinePunct w:val="0"/>
        <w:bidi w:val="0"/>
        <w:spacing w:line="360" w:lineRule="auto"/>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目    录</w:t>
      </w:r>
    </w:p>
    <w:p w14:paraId="7C19A4E4">
      <w:pPr>
        <w:pageBreakBefore w:val="0"/>
        <w:numPr>
          <w:ilvl w:val="0"/>
          <w:numId w:val="3"/>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总则</w:t>
      </w:r>
    </w:p>
    <w:p w14:paraId="5F5B55EC">
      <w:pPr>
        <w:pageBreakBefore w:val="0"/>
        <w:numPr>
          <w:ilvl w:val="0"/>
          <w:numId w:val="0"/>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p>
    <w:p w14:paraId="47629E38">
      <w:pPr>
        <w:pageBreakBefore w:val="0"/>
        <w:numPr>
          <w:ilvl w:val="0"/>
          <w:numId w:val="3"/>
        </w:numPr>
        <w:kinsoku/>
        <w:wordWrap/>
        <w:overflowPunct/>
        <w:topLinePunct w:val="0"/>
        <w:bidi w:val="0"/>
        <w:spacing w:line="360" w:lineRule="auto"/>
        <w:ind w:left="0" w:leftChars="0" w:firstLine="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建筑设计专篇</w:t>
      </w:r>
    </w:p>
    <w:p w14:paraId="163BA4C9">
      <w:pPr>
        <w:pageBreakBefore w:val="0"/>
        <w:numPr>
          <w:ilvl w:val="0"/>
          <w:numId w:val="0"/>
        </w:numPr>
        <w:kinsoku/>
        <w:wordWrap/>
        <w:overflowPunct/>
        <w:topLinePunct w:val="0"/>
        <w:bidi w:val="0"/>
        <w:spacing w:line="360" w:lineRule="auto"/>
        <w:ind w:leftChars="0"/>
        <w:textAlignment w:val="auto"/>
        <w:rPr>
          <w:rFonts w:hint="eastAsia" w:ascii="仿宋_GB2312" w:hAnsi="仿宋_GB2312" w:eastAsia="仿宋_GB2312" w:cs="仿宋_GB2312"/>
          <w:color w:val="auto"/>
          <w:sz w:val="32"/>
          <w:szCs w:val="32"/>
          <w:highlight w:val="none"/>
          <w:lang w:val="en-US" w:eastAsia="zh-CN"/>
        </w:rPr>
      </w:pPr>
    </w:p>
    <w:p w14:paraId="644C229C">
      <w:pPr>
        <w:pageBreakBefore w:val="0"/>
        <w:numPr>
          <w:ilvl w:val="0"/>
          <w:numId w:val="3"/>
        </w:numPr>
        <w:kinsoku/>
        <w:wordWrap/>
        <w:overflowPunct/>
        <w:topLinePunct w:val="0"/>
        <w:bidi w:val="0"/>
        <w:spacing w:line="360" w:lineRule="auto"/>
        <w:ind w:left="0" w:leftChars="0" w:firstLine="0" w:firstLine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结构设计专篇</w:t>
      </w:r>
    </w:p>
    <w:p w14:paraId="5A67C9BB">
      <w:pPr>
        <w:pageBreakBefore w:val="0"/>
        <w:numPr>
          <w:ilvl w:val="0"/>
          <w:numId w:val="0"/>
        </w:numPr>
        <w:kinsoku/>
        <w:wordWrap/>
        <w:overflowPunct/>
        <w:topLinePunct w:val="0"/>
        <w:bidi w:val="0"/>
        <w:spacing w:line="360" w:lineRule="auto"/>
        <w:ind w:leftChars="0"/>
        <w:textAlignment w:val="auto"/>
        <w:rPr>
          <w:rFonts w:hint="eastAsia" w:ascii="仿宋_GB2312" w:hAnsi="仿宋_GB2312" w:eastAsia="仿宋_GB2312" w:cs="仿宋_GB2312"/>
          <w:color w:val="auto"/>
          <w:sz w:val="32"/>
          <w:szCs w:val="32"/>
          <w:highlight w:val="none"/>
          <w:lang w:val="en-US" w:eastAsia="zh-CN"/>
        </w:rPr>
      </w:pPr>
    </w:p>
    <w:p w14:paraId="3A3D8F10">
      <w:pPr>
        <w:pageBreakBefore w:val="0"/>
        <w:numPr>
          <w:ilvl w:val="0"/>
          <w:numId w:val="4"/>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电气设计专篇</w:t>
      </w:r>
    </w:p>
    <w:p w14:paraId="1A09F406">
      <w:pPr>
        <w:pageBreakBefore w:val="0"/>
        <w:numPr>
          <w:ilvl w:val="0"/>
          <w:numId w:val="0"/>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p>
    <w:p w14:paraId="59575FEB">
      <w:pPr>
        <w:pageBreakBefore w:val="0"/>
        <w:numPr>
          <w:ilvl w:val="0"/>
          <w:numId w:val="4"/>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给排水设计专篇</w:t>
      </w:r>
    </w:p>
    <w:p w14:paraId="376E79B5">
      <w:pPr>
        <w:pageBreakBefore w:val="0"/>
        <w:numPr>
          <w:ilvl w:val="0"/>
          <w:numId w:val="0"/>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p>
    <w:p w14:paraId="2804FD35">
      <w:pPr>
        <w:pageBreakBefore w:val="0"/>
        <w:numPr>
          <w:ilvl w:val="0"/>
          <w:numId w:val="4"/>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暖通设计专篇</w:t>
      </w:r>
    </w:p>
    <w:p w14:paraId="02DBF41E">
      <w:pPr>
        <w:pageBreakBefore w:val="0"/>
        <w:numPr>
          <w:ilvl w:val="0"/>
          <w:numId w:val="0"/>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p>
    <w:p w14:paraId="2CFA923D">
      <w:pPr>
        <w:pageBreakBefore w:val="0"/>
        <w:numPr>
          <w:ilvl w:val="0"/>
          <w:numId w:val="4"/>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智能化设计专篇</w:t>
      </w:r>
    </w:p>
    <w:p w14:paraId="7389EC92">
      <w:pPr>
        <w:pageBreakBefore w:val="0"/>
        <w:numPr>
          <w:ilvl w:val="0"/>
          <w:numId w:val="0"/>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p>
    <w:p w14:paraId="1C9C4ED2">
      <w:pPr>
        <w:pageBreakBefore w:val="0"/>
        <w:numPr>
          <w:ilvl w:val="0"/>
          <w:numId w:val="4"/>
        </w:numPr>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BIM设计专篇</w:t>
      </w:r>
    </w:p>
    <w:p w14:paraId="282FF505">
      <w:pPr>
        <w:pageBreakBefore w:val="0"/>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p>
    <w:p w14:paraId="1A49C9DD">
      <w:pPr>
        <w:pageBreakBefore w:val="0"/>
        <w:kinsoku/>
        <w:wordWrap/>
        <w:overflowPunct/>
        <w:topLinePunct w:val="0"/>
        <w:bidi w:val="0"/>
        <w:spacing w:line="360" w:lineRule="auto"/>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第九章 景观设计专篇</w:t>
      </w:r>
    </w:p>
    <w:p w14:paraId="1C8F1E99">
      <w:pPr>
        <w:pageBreakBefore w:val="0"/>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rPr>
      </w:pPr>
    </w:p>
    <w:p w14:paraId="4F349EFF">
      <w:pPr>
        <w:pageBreakBefore w:val="0"/>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第十章 绿色建筑设计专篇</w:t>
      </w:r>
    </w:p>
    <w:p w14:paraId="58639890">
      <w:pPr>
        <w:pageBreakBefore w:val="0"/>
        <w:kinsoku/>
        <w:wordWrap/>
        <w:overflowPunct/>
        <w:topLinePunct w:val="0"/>
        <w:bidi w:val="0"/>
        <w:spacing w:line="360" w:lineRule="auto"/>
        <w:textAlignment w:val="auto"/>
        <w:rPr>
          <w:rFonts w:hint="default" w:ascii="仿宋_GB2312" w:hAnsi="仿宋_GB2312" w:eastAsia="仿宋_GB2312" w:cs="仿宋_GB2312"/>
          <w:color w:val="auto"/>
          <w:sz w:val="32"/>
          <w:szCs w:val="32"/>
          <w:highlight w:val="none"/>
          <w:lang w:val="en-US" w:eastAsia="zh-CN"/>
        </w:rPr>
      </w:pPr>
    </w:p>
    <w:p w14:paraId="67EB0333">
      <w:pPr>
        <w:pageBreakBefore w:val="0"/>
        <w:kinsoku/>
        <w:wordWrap/>
        <w:overflowPunct/>
        <w:topLinePunct w:val="0"/>
        <w:bidi w:val="0"/>
        <w:spacing w:line="360" w:lineRule="auto"/>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第十一章 海绵城市设计专篇</w:t>
      </w:r>
    </w:p>
    <w:p w14:paraId="137A4C0C">
      <w:pPr>
        <w:pageBreakBefore w:val="0"/>
        <w:kinsoku/>
        <w:wordWrap/>
        <w:overflowPunct/>
        <w:topLinePunct w:val="0"/>
        <w:bidi w:val="0"/>
        <w:spacing w:line="360" w:lineRule="auto"/>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14:paraId="30EA565E">
      <w:pPr>
        <w:pageBreakBefore w:val="0"/>
        <w:kinsoku/>
        <w:wordWrap/>
        <w:overflowPunct/>
        <w:topLinePunct w:val="0"/>
        <w:bidi w:val="0"/>
        <w:spacing w:line="360" w:lineRule="auto"/>
        <w:jc w:val="center"/>
        <w:textAlignment w:val="auto"/>
        <w:rPr>
          <w:rFonts w:hint="eastAsia" w:ascii="黑体" w:hAnsi="黑体" w:eastAsia="黑体" w:cs="黑体"/>
          <w:b/>
          <w:bCs/>
          <w:color w:val="auto"/>
          <w:sz w:val="32"/>
          <w:szCs w:val="32"/>
          <w:highlight w:val="none"/>
        </w:rPr>
      </w:pPr>
      <w:bookmarkStart w:id="2" w:name="_Toc409080638"/>
      <w:r>
        <w:rPr>
          <w:rFonts w:hint="eastAsia" w:ascii="黑体" w:hAnsi="黑体" w:eastAsia="黑体" w:cs="黑体"/>
          <w:b/>
          <w:bCs/>
          <w:color w:val="auto"/>
          <w:sz w:val="32"/>
          <w:szCs w:val="32"/>
          <w:highlight w:val="none"/>
        </w:rPr>
        <w:t>第一章 总则</w:t>
      </w:r>
    </w:p>
    <w:p w14:paraId="3D743522">
      <w:pPr>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楷体" w:hAnsi="楷体" w:eastAsia="楷体" w:cs="楷体"/>
          <w:color w:val="auto"/>
          <w:sz w:val="32"/>
          <w:szCs w:val="32"/>
          <w:highlight w:val="none"/>
        </w:rPr>
        <w:t>第一条</w:t>
      </w:r>
      <w:r>
        <w:rPr>
          <w:rFonts w:hint="eastAsia" w:ascii="仿宋_GB2312" w:hAnsi="仿宋_GB2312" w:eastAsia="仿宋_GB2312" w:cs="仿宋_GB2312"/>
          <w:color w:val="auto"/>
          <w:sz w:val="32"/>
          <w:szCs w:val="32"/>
          <w:highlight w:val="none"/>
        </w:rPr>
        <w:t xml:space="preserve"> 目的</w:t>
      </w:r>
    </w:p>
    <w:bookmarkEnd w:id="2"/>
    <w:p w14:paraId="56E54134">
      <w:pPr>
        <w:pageBreakBefore w:val="0"/>
        <w:kinsoku/>
        <w:wordWrap/>
        <w:overflowPunct/>
        <w:topLinePunct w:val="0"/>
        <w:bidi w:val="0"/>
        <w:spacing w:line="360" w:lineRule="auto"/>
        <w:ind w:left="0" w:leftChars="0" w:firstLine="640" w:firstLineChars="200"/>
        <w:textAlignment w:val="auto"/>
        <w:rPr>
          <w:rFonts w:hint="eastAsia" w:ascii="仿宋_GB2312" w:hAnsi="仿宋_GB2312" w:eastAsia="仿宋_GB2312" w:cs="仿宋_GB2312"/>
          <w:b w:val="0"/>
          <w:bCs w:val="0"/>
          <w:color w:val="auto"/>
          <w:kern w:val="44"/>
          <w:sz w:val="32"/>
          <w:szCs w:val="32"/>
          <w:highlight w:val="none"/>
          <w:lang w:val="en-US" w:eastAsia="zh-CN" w:bidi="ar-SA"/>
        </w:rPr>
      </w:pPr>
      <w:r>
        <w:rPr>
          <w:rFonts w:hint="eastAsia" w:ascii="仿宋_GB2312" w:hAnsi="仿宋_GB2312" w:eastAsia="仿宋_GB2312" w:cs="仿宋_GB2312"/>
          <w:b w:val="0"/>
          <w:bCs w:val="0"/>
          <w:color w:val="auto"/>
          <w:kern w:val="44"/>
          <w:sz w:val="32"/>
          <w:szCs w:val="32"/>
          <w:highlight w:val="none"/>
          <w:lang w:val="en-US" w:eastAsia="zh-CN" w:bidi="ar-SA"/>
        </w:rPr>
        <w:t>为保证广州湾区新岸城市开发投资有限公司关于</w:t>
      </w:r>
      <w:r>
        <w:rPr>
          <w:rFonts w:hint="eastAsia" w:ascii="仿宋_GB2312" w:hAnsi="仿宋_GB2312" w:eastAsia="仿宋_GB2312" w:cs="仿宋_GB2312"/>
          <w:color w:val="auto"/>
          <w:kern w:val="44"/>
          <w:sz w:val="32"/>
          <w:szCs w:val="32"/>
          <w:highlight w:val="none"/>
          <w:u w:val="none"/>
          <w:lang w:eastAsia="zh-CN"/>
        </w:rPr>
        <w:t>广州市白云区螺涌村、松南村、松北村城中村改造项目AB3802042安置地块项目勘察设计施工(EPC)</w:t>
      </w:r>
      <w:r>
        <w:rPr>
          <w:rFonts w:hint="eastAsia" w:ascii="仿宋_GB2312" w:hAnsi="仿宋_GB2312" w:eastAsia="仿宋_GB2312" w:cs="仿宋_GB2312"/>
          <w:b w:val="0"/>
          <w:bCs w:val="0"/>
          <w:color w:val="auto"/>
          <w:kern w:val="44"/>
          <w:sz w:val="32"/>
          <w:szCs w:val="32"/>
          <w:highlight w:val="none"/>
          <w:lang w:val="en-US" w:eastAsia="zh-CN" w:bidi="ar-SA"/>
        </w:rPr>
        <w:t>的施工图设计顺利进行，在保证产品达到其基本功能和性能要求的基础上，满足使用舒适方便、管理维修便捷、造价经济合理、施工合理可行的要求，保证设计成果质量稳定和标准统一，减少施工过程中的返工与改动，特编制本任务书。</w:t>
      </w:r>
    </w:p>
    <w:p w14:paraId="285BEEDC">
      <w:pPr>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楷体" w:hAnsi="楷体" w:eastAsia="楷体" w:cs="楷体"/>
          <w:color w:val="auto"/>
          <w:sz w:val="32"/>
          <w:szCs w:val="32"/>
          <w:highlight w:val="none"/>
        </w:rPr>
        <w:t>第二条</w:t>
      </w:r>
      <w:r>
        <w:rPr>
          <w:rFonts w:hint="eastAsia" w:ascii="仿宋_GB2312" w:hAnsi="仿宋_GB2312" w:eastAsia="仿宋_GB2312" w:cs="仿宋_GB2312"/>
          <w:color w:val="auto"/>
          <w:sz w:val="32"/>
          <w:szCs w:val="32"/>
          <w:highlight w:val="none"/>
        </w:rPr>
        <w:t xml:space="preserve"> 本</w:t>
      </w:r>
      <w:r>
        <w:rPr>
          <w:rFonts w:hint="eastAsia" w:ascii="仿宋_GB2312" w:hAnsi="仿宋_GB2312" w:eastAsia="仿宋_GB2312" w:cs="仿宋_GB2312"/>
          <w:color w:val="auto"/>
          <w:sz w:val="32"/>
          <w:szCs w:val="32"/>
          <w:highlight w:val="none"/>
          <w:lang w:val="en-US" w:eastAsia="zh-CN"/>
        </w:rPr>
        <w:t>任务书中</w:t>
      </w:r>
      <w:r>
        <w:rPr>
          <w:rFonts w:hint="eastAsia" w:ascii="仿宋_GB2312" w:hAnsi="仿宋_GB2312" w:eastAsia="仿宋_GB2312" w:cs="仿宋_GB2312"/>
          <w:color w:val="auto"/>
          <w:sz w:val="32"/>
          <w:szCs w:val="32"/>
          <w:highlight w:val="none"/>
        </w:rPr>
        <w:t>，除非文意另有所指，下列简称具有如下特定意义：</w:t>
      </w:r>
    </w:p>
    <w:p w14:paraId="1D107CAA">
      <w:pPr>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（一） </w:t>
      </w:r>
      <w:r>
        <w:rPr>
          <w:rFonts w:hint="eastAsia" w:ascii="仿宋_GB2312" w:hAnsi="仿宋_GB2312" w:eastAsia="仿宋_GB2312" w:cs="仿宋_GB2312"/>
          <w:color w:val="auto"/>
          <w:sz w:val="32"/>
          <w:szCs w:val="32"/>
          <w:highlight w:val="none"/>
          <w:lang w:val="en-US" w:eastAsia="zh-CN"/>
        </w:rPr>
        <w:t>湾区新岸</w:t>
      </w:r>
      <w:r>
        <w:rPr>
          <w:rFonts w:hint="eastAsia" w:ascii="仿宋_GB2312" w:hAnsi="仿宋_GB2312" w:eastAsia="仿宋_GB2312" w:cs="仿宋_GB2312"/>
          <w:color w:val="auto"/>
          <w:sz w:val="32"/>
          <w:szCs w:val="32"/>
          <w:highlight w:val="none"/>
        </w:rPr>
        <w:t>公司：指广州</w:t>
      </w:r>
      <w:r>
        <w:rPr>
          <w:rFonts w:hint="eastAsia" w:ascii="仿宋_GB2312" w:hAnsi="仿宋_GB2312" w:eastAsia="仿宋_GB2312" w:cs="仿宋_GB2312"/>
          <w:color w:val="auto"/>
          <w:sz w:val="32"/>
          <w:szCs w:val="32"/>
          <w:highlight w:val="none"/>
          <w:lang w:val="en-US" w:eastAsia="zh-CN"/>
        </w:rPr>
        <w:t>湾区新岸城市开发投资</w:t>
      </w:r>
      <w:r>
        <w:rPr>
          <w:rFonts w:hint="eastAsia" w:ascii="仿宋_GB2312" w:hAnsi="仿宋_GB2312" w:eastAsia="仿宋_GB2312" w:cs="仿宋_GB2312"/>
          <w:color w:val="auto"/>
          <w:sz w:val="32"/>
          <w:szCs w:val="32"/>
          <w:highlight w:val="none"/>
        </w:rPr>
        <w:t>有限公司；</w:t>
      </w:r>
    </w:p>
    <w:p w14:paraId="75B674AB">
      <w:pPr>
        <w:pageBreakBefore w:val="0"/>
        <w:kinsoku/>
        <w:wordWrap/>
        <w:overflowPunct/>
        <w:topLinePunct w:val="0"/>
        <w:bidi w:val="0"/>
        <w:spacing w:line="360" w:lineRule="auto"/>
        <w:ind w:firstLine="640" w:firstLineChars="200"/>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罗冲围首开区安置地块项目/松溪片区安置区项目：指</w:t>
      </w:r>
      <w:r>
        <w:rPr>
          <w:rFonts w:hint="eastAsia" w:ascii="仿宋_GB2312" w:hAnsi="仿宋_GB2312" w:eastAsia="仿宋_GB2312" w:cs="仿宋_GB2312"/>
          <w:color w:val="auto"/>
          <w:sz w:val="32"/>
          <w:szCs w:val="32"/>
          <w:highlight w:val="none"/>
          <w:u w:val="none"/>
          <w:lang w:eastAsia="zh-CN"/>
        </w:rPr>
        <w:t>广州市白云区螺涌村、松南村、松北村城中村改造项目AB3802042安置地块项目勘察设计施工(EPC)</w:t>
      </w:r>
      <w:r>
        <w:rPr>
          <w:rFonts w:hint="eastAsia" w:ascii="仿宋_GB2312" w:hAnsi="仿宋_GB2312" w:eastAsia="仿宋_GB2312" w:cs="仿宋_GB2312"/>
          <w:color w:val="auto"/>
          <w:sz w:val="32"/>
          <w:szCs w:val="32"/>
          <w:highlight w:val="none"/>
          <w:lang w:val="en-US" w:eastAsia="zh-CN"/>
        </w:rPr>
        <w:t>。</w:t>
      </w:r>
    </w:p>
    <w:p w14:paraId="3A764F17">
      <w:pPr>
        <w:pageBreakBefore w:val="0"/>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3" w:name="_Toc396296965"/>
      <w:bookmarkStart w:id="4" w:name="_Toc249082769"/>
      <w:bookmarkStart w:id="5" w:name="_Toc409080639"/>
      <w:r>
        <w:rPr>
          <w:rFonts w:hint="eastAsia" w:ascii="楷体" w:hAnsi="楷体" w:eastAsia="楷体" w:cs="楷体"/>
          <w:color w:val="auto"/>
          <w:sz w:val="32"/>
          <w:szCs w:val="32"/>
          <w:highlight w:val="none"/>
        </w:rPr>
        <w:t>第</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rPr>
        <w:t>条</w:t>
      </w:r>
      <w:r>
        <w:rPr>
          <w:rFonts w:hint="eastAsia" w:ascii="楷体" w:hAnsi="楷体" w:eastAsia="楷体" w:cs="楷体"/>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设计依据</w:t>
      </w:r>
      <w:bookmarkEnd w:id="3"/>
      <w:bookmarkEnd w:id="4"/>
      <w:bookmarkEnd w:id="5"/>
    </w:p>
    <w:p w14:paraId="79FD5AAC">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bookmarkStart w:id="6" w:name="_Toc396296966"/>
      <w:bookmarkStart w:id="7" w:name="_Toc409080640"/>
      <w:bookmarkStart w:id="8" w:name="_Toc249082770"/>
      <w:bookmarkStart w:id="9" w:name="_Toc148425173"/>
      <w:r>
        <w:rPr>
          <w:rFonts w:hint="eastAsia" w:ascii="仿宋_GB2312" w:hAnsi="仿宋_GB2312" w:eastAsia="仿宋_GB2312" w:cs="仿宋_GB2312"/>
          <w:color w:val="auto"/>
          <w:sz w:val="32"/>
          <w:szCs w:val="32"/>
          <w:highlight w:val="none"/>
        </w:rPr>
        <w:t xml:space="preserve">（一） </w:t>
      </w:r>
      <w:r>
        <w:rPr>
          <w:rFonts w:hint="eastAsia" w:ascii="仿宋_GB2312" w:hAnsi="仿宋_GB2312" w:eastAsia="仿宋_GB2312" w:cs="仿宋_GB2312"/>
          <w:color w:val="auto"/>
          <w:sz w:val="32"/>
          <w:szCs w:val="32"/>
          <w:highlight w:val="none"/>
          <w:lang w:val="en-US" w:eastAsia="zh-CN"/>
        </w:rPr>
        <w:t>政府批文与基础资料</w:t>
      </w:r>
    </w:p>
    <w:p w14:paraId="581FA80B">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1.政府部门对项目方案设计的批文</w:t>
      </w:r>
    </w:p>
    <w:p w14:paraId="3F8EC20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2.用地范围1：500地形图</w:t>
      </w:r>
    </w:p>
    <w:p w14:paraId="2CDF17C9">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3.该项目红线外管线配套图</w:t>
      </w:r>
    </w:p>
    <w:p w14:paraId="2688A80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4.用地范围内的水文资料</w:t>
      </w:r>
    </w:p>
    <w:p w14:paraId="331515A9">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5.用地范围内地质勘察报告</w:t>
      </w:r>
    </w:p>
    <w:p w14:paraId="12CBB280">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国家及地方现行有关的规范及规定</w:t>
      </w:r>
    </w:p>
    <w:p w14:paraId="24D262E3">
      <w:pPr>
        <w:pageBreakBefore w:val="0"/>
        <w:kinsoku/>
        <w:wordWrap/>
        <w:overflowPunct/>
        <w:topLinePunct w:val="0"/>
        <w:bidi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 本项目初步设计图纸</w:t>
      </w:r>
    </w:p>
    <w:p w14:paraId="5F38C7F4">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楷体" w:hAnsi="楷体" w:eastAsia="楷体" w:cs="楷体"/>
          <w:color w:val="auto"/>
          <w:sz w:val="32"/>
          <w:szCs w:val="32"/>
          <w:highlight w:val="none"/>
          <w:lang w:val="en-US" w:eastAsia="zh-CN"/>
        </w:rPr>
        <w:t>第四条</w:t>
      </w:r>
      <w:r>
        <w:rPr>
          <w:rFonts w:hint="eastAsia" w:ascii="仿宋_GB2312" w:hAnsi="仿宋_GB2312" w:eastAsia="仿宋_GB2312" w:cs="仿宋_GB2312"/>
          <w:color w:val="auto"/>
          <w:sz w:val="32"/>
          <w:szCs w:val="32"/>
          <w:highlight w:val="none"/>
          <w:lang w:val="en-US" w:eastAsia="zh-CN"/>
        </w:rPr>
        <w:t xml:space="preserve"> 使用范围</w:t>
      </w:r>
      <w:bookmarkEnd w:id="6"/>
      <w:bookmarkEnd w:id="7"/>
      <w:bookmarkEnd w:id="8"/>
    </w:p>
    <w:p w14:paraId="61BF4C35">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任务书适用于松溪片区安置区项目的总体设计，且包括相关附属用房、商业网点、配套设施、构筑物等。设计单位在施工图设计中应认真仔细阅读和贯彻本任务书要求，预防设计中常见问题，统一设计标准和做法，提高设计质量。</w:t>
      </w:r>
    </w:p>
    <w:bookmarkEnd w:id="9"/>
    <w:p w14:paraId="5186FD7C">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楷体" w:hAnsi="楷体" w:eastAsia="楷体" w:cs="楷体"/>
          <w:color w:val="auto"/>
          <w:sz w:val="32"/>
          <w:szCs w:val="32"/>
          <w:highlight w:val="none"/>
        </w:rPr>
        <w:t>第</w:t>
      </w:r>
      <w:r>
        <w:rPr>
          <w:rFonts w:hint="eastAsia" w:ascii="楷体" w:hAnsi="楷体" w:eastAsia="楷体" w:cs="楷体"/>
          <w:color w:val="auto"/>
          <w:sz w:val="32"/>
          <w:szCs w:val="32"/>
          <w:highlight w:val="none"/>
          <w:lang w:val="en-US" w:eastAsia="zh-CN"/>
        </w:rPr>
        <w:t>五</w:t>
      </w:r>
      <w:r>
        <w:rPr>
          <w:rFonts w:hint="eastAsia" w:ascii="楷体" w:hAnsi="楷体" w:eastAsia="楷体" w:cs="楷体"/>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解释权</w:t>
      </w:r>
    </w:p>
    <w:p w14:paraId="1B4646CE">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本任务书指引由甲方负责设计管理的部门负责具体技术内容解释。</w:t>
      </w:r>
    </w:p>
    <w:p w14:paraId="6C6CC0BF">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任务书未注明的内容应按国家现行标准及规范进行设计，如有抵触部分，按现行规范执行；如有不清不详之处，及时与甲方负责设计管理的部门之项目负责人沟通。所有关于本设计任务书的变更、补充均以工作联系函（或传真）予以书面确认。</w:t>
      </w:r>
    </w:p>
    <w:p w14:paraId="070D9586">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楷体" w:hAnsi="楷体" w:eastAsia="楷体" w:cs="楷体"/>
          <w:color w:val="auto"/>
          <w:sz w:val="32"/>
          <w:szCs w:val="32"/>
          <w:highlight w:val="none"/>
        </w:rPr>
        <w:t>第</w:t>
      </w:r>
      <w:r>
        <w:rPr>
          <w:rFonts w:hint="eastAsia" w:ascii="楷体" w:hAnsi="楷体" w:eastAsia="楷体" w:cs="楷体"/>
          <w:color w:val="auto"/>
          <w:sz w:val="32"/>
          <w:szCs w:val="32"/>
          <w:highlight w:val="none"/>
          <w:lang w:val="en-US" w:eastAsia="zh-CN"/>
        </w:rPr>
        <w:t>六</w:t>
      </w:r>
      <w:r>
        <w:rPr>
          <w:rFonts w:hint="eastAsia" w:ascii="楷体" w:hAnsi="楷体" w:eastAsia="楷体" w:cs="楷体"/>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职责</w:t>
      </w:r>
    </w:p>
    <w:p w14:paraId="61DB3ED1">
      <w:pPr>
        <w:pageBreakBefore w:val="0"/>
        <w:widowControl/>
        <w:numPr>
          <w:ilvl w:val="0"/>
          <w:numId w:val="0"/>
        </w:numPr>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（一）乙方的设计内容，除项目范围内建筑及构筑物的施工图设计外，还包括但不限于配合景观设计、室内装修设计、绿色建筑设计、节能保温设计、装配式设计、消防设计及其它专项工程的深化设计工作。</w:t>
      </w:r>
    </w:p>
    <w:p w14:paraId="4EB40489">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乙方须按甲方要求，及时向甲方提交设计成果文件并对设计文件中出现的遗漏、错误及时补充、修改，同时保证设计文件的质量符合中华人民共和国及当地政府的有关规范、规定（如消防、卫生、防疫、交通、环保、人防等方面的规范及要求），符合甲方的要求；乙方对本建筑工程设计和顾问服务的适用性、正确性、可实施性、经济合理性和实际呈现效果全面负责。</w:t>
      </w:r>
    </w:p>
    <w:p w14:paraId="26229FD5">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乙方须参与和协助甲方基础资料的收集工作（指位置图、地形图、风向、日照、气象、供电、给排水、电话、有线电视、煤气等的供应、走向、数量等资料），乙方在设计过程中所需的设计资料或其它需甲方配合的事项应及时通知甲方。</w:t>
      </w:r>
    </w:p>
    <w:p w14:paraId="4C428CB4">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对于设计过程中的重大方案及重要调整，乙方均应先送甲方审核后方可进行下一步设计（如有必要，需进行多方案论证及经济分析）。如：总图及建筑的平面、立面、剖面；基础形式、结构选型；给排水、电气、消防、暖通、智能化等重要系统的方案；户型柱、梁、隔墙平面定位图，开关、空调、插座等位置；涉及工程量和投资变化较大的调整。</w:t>
      </w:r>
    </w:p>
    <w:p w14:paraId="566EE584">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（五）乙方提供给甲方的所有正式图纸必须经乙方设计总负责人签字确认，同时乙方每一阶段所提供给甲方的设计图纸均须乙方盖章签发。</w:t>
      </w:r>
    </w:p>
    <w:p w14:paraId="1FC7824E">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（六）乙方须配合甲方要求进行图纸的出图、装订、加晒，并应按甲方要求进行整理分类及图纸发送、传递。</w:t>
      </w:r>
    </w:p>
    <w:p w14:paraId="1C37F902">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（七）图纸完成后对甲方提出的设计中存在的各种问题，除本任务书另有期限要求外，乙方应在甲方书面要求后三个工作天内做出正确处理。</w:t>
      </w:r>
    </w:p>
    <w:p w14:paraId="50FF8947">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（八）乙方应根据甲方要求提供各专业原始模型、计算数据、计算过程和结果，对于甲方的质疑，除本任务书另有期限要求外，乙方应在甲方书面要求后三个工作天内做出合理解释。</w:t>
      </w:r>
    </w:p>
    <w:p w14:paraId="7758BCD7">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（九）若项目实施过程中出现分多期开发，建筑单体和总体工程的部分图纸可能会要求按分期开发进度分批设计、提供，乙方应综合考虑局部与整体的关系，确保前期开发的部分具有相对独立的使用功能。</w:t>
      </w:r>
    </w:p>
    <w:p w14:paraId="722CEC19">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甲方所提供的设计条件、资料中若有违背使用品质、经济合理、实际呈现效果和国家规范之处，乙方均应及时知会甲方、并同时提出优化建议，不得以任何理由放任其存在和发展。当出现上述问题时，乙方均应无条件及时修改、完善设计。</w:t>
      </w:r>
    </w:p>
    <w:p w14:paraId="6B0AD36B">
      <w:pPr>
        <w:pageBreakBefore w:val="0"/>
        <w:widowControl/>
        <w:kinsoku/>
        <w:wordWrap/>
        <w:overflowPunct/>
        <w:topLinePunct w:val="0"/>
        <w:bidi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（十一）在设计过程评审和沟通中，对甲方所提出或发现的设计问题，乙方应以点带面、举一反三，系统地在专业内和各专业配合间全面予以解决。</w:t>
      </w:r>
    </w:p>
    <w:p w14:paraId="73616BF8">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二）甲方负责设计管理的部门根据湾区新岸公司的权责手册规定组织设计评审，并不代替乙方的校审工作。乙方在交付各类、各级设计成果前，应完成其自身管理体系所确定的校核、审核、审定和综合校对工作。</w:t>
      </w:r>
    </w:p>
    <w:p w14:paraId="6DE2D271">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楷体" w:hAnsi="楷体" w:eastAsia="楷体" w:cs="楷体"/>
          <w:color w:val="auto"/>
          <w:sz w:val="32"/>
          <w:szCs w:val="32"/>
          <w:highlight w:val="none"/>
        </w:rPr>
        <w:t>第</w:t>
      </w:r>
      <w:r>
        <w:rPr>
          <w:rFonts w:hint="eastAsia" w:ascii="楷体" w:hAnsi="楷体" w:eastAsia="楷体" w:cs="楷体"/>
          <w:color w:val="auto"/>
          <w:sz w:val="32"/>
          <w:szCs w:val="32"/>
          <w:highlight w:val="none"/>
          <w:lang w:val="en-US" w:eastAsia="zh-CN"/>
        </w:rPr>
        <w:t>七</w:t>
      </w:r>
      <w:r>
        <w:rPr>
          <w:rFonts w:hint="eastAsia" w:ascii="楷体" w:hAnsi="楷体" w:eastAsia="楷体" w:cs="楷体"/>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设计要求</w:t>
      </w:r>
    </w:p>
    <w:p w14:paraId="58C2189F">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（一）设计内容</w:t>
      </w:r>
    </w:p>
    <w:p w14:paraId="44FD5A3D">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 根据《建筑工程设计文件编制深度规定》（2016 年版）中关于施工图设计应达到的设计深度要求及招标人各设计管理办法要求，在前期完成的方案和初步设计文件基础上开展施工图设计工作。</w:t>
      </w:r>
    </w:p>
    <w:p w14:paraId="230DAD8D">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 各阶段、各专业设计应按照国家相关规范和项目所在地地方法规的要求、合同约定的设计内容、本《设计任务书指引》的要求完成设计成果和各建筑详细建筑面积指标统计，以满足政府各阶段报建、甲方审图、各阶段设计和施工要求为准。上述文件中未约定，但为项目报建、施工所必须的设计成果亦包括在内。</w:t>
      </w:r>
    </w:p>
    <w:p w14:paraId="36B14DDD">
      <w:pPr>
        <w:pageBreakBefore w:val="0"/>
        <w:numPr>
          <w:ilvl w:val="0"/>
          <w:numId w:val="0"/>
        </w:numPr>
        <w:kinsoku/>
        <w:wordWrap/>
        <w:overflowPunct/>
        <w:topLinePunct w:val="0"/>
        <w:bidi w:val="0"/>
        <w:spacing w:line="360" w:lineRule="auto"/>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3.本项目包含装配式建筑及模块化建筑建造，乙方各个相关专业应完成装配式、模块化专项设计及构件、模块的深化设计。</w:t>
      </w:r>
    </w:p>
    <w:p w14:paraId="766CE751">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4.审核门窗、栏杆、雨棚、钢结构、装配式、管线综合、抗震支架等需二次深化设计和其他专项设计图纸。</w:t>
      </w:r>
    </w:p>
    <w:p w14:paraId="646AA68A">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5.乙方在施工图完成后依据甲方要求完成相关宣传资料附图（如有）。</w:t>
      </w:r>
    </w:p>
    <w:p w14:paraId="3538E697">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6.乙方须在景观设计定稿后提供各专业的综合管线图和施工图。</w:t>
      </w:r>
    </w:p>
    <w:p w14:paraId="4491A649">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7.乙方完成道路交通、小区大门、围墙、游泳池、室外健身活动场地、岗亭、垃圾收集站（房）、地下车库出入口等所有建筑物和构筑物的建筑、结构、机电施工图。</w:t>
      </w:r>
    </w:p>
    <w:p w14:paraId="6DCDD892">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8.乙方配合完成并审核公共部位装修、户内装修涉及的建筑、结构和机电施工图设计图纸。</w:t>
      </w:r>
    </w:p>
    <w:p w14:paraId="3C98F3DC">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9.乙方须在施工图完成时同时提交户内管线综合图、立面分色图。</w:t>
      </w:r>
    </w:p>
    <w:p w14:paraId="2FDFCC44">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10.乙方须负责编制施工图预算。为了便于本工程的管理、招标和施工需要，甲方可将某部分或全部的设计及预算翻印使用。</w:t>
      </w:r>
    </w:p>
    <w:p w14:paraId="5B5FACB2">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11.对于施工图、设计变更、技术文函、情况说明、二次深化设计及其配合等均应正式出图或相关文件资料，并加盖齐全相关政府主管部门要求所必须的各类印章。</w:t>
      </w:r>
    </w:p>
    <w:p w14:paraId="101721ED">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12.各专业设计文件及说明要求为未加密WORD或CAD版，以便编辑修改。</w:t>
      </w:r>
    </w:p>
    <w:p w14:paraId="085D6E6A">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（二）质量标准和深度标准</w:t>
      </w:r>
    </w:p>
    <w:p w14:paraId="691D119B">
      <w:pPr>
        <w:pageBreakBefore w:val="0"/>
        <w:numPr>
          <w:ilvl w:val="0"/>
          <w:numId w:val="0"/>
        </w:numPr>
        <w:kinsoku/>
        <w:wordWrap/>
        <w:overflowPunct/>
        <w:topLinePunct w:val="0"/>
        <w:bidi w:val="0"/>
        <w:spacing w:line="360" w:lineRule="auto"/>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本项目为限额设计，宜本着节约投资的原则，要求依据建设和技术资料合理选择、运用技术经济多方案比选等技术手段，科学分析、系统考虑，不断优化设计方案。具体造价限额待概算审定后，以批复金额及合同约定为准。</w:t>
      </w:r>
    </w:p>
    <w:p w14:paraId="68250470">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2.各专业设计经济、合理，应服从甲方对本项目建筑方案设计的总体构思和建筑使用要求，运行安全可靠，设计完整、精确，设计标准恰当。</w:t>
      </w:r>
    </w:p>
    <w:p w14:paraId="137FF166">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3.设计文件编制深度、图例表达符合国家相关规范及要求，正确表达设计意图，设计文件齐全，图面完整，质量好。</w:t>
      </w:r>
    </w:p>
    <w:p w14:paraId="007DBA52">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4.除特别提出要求外，所有过程文件和设计成果文件的文字标识均为中文简体。</w:t>
      </w:r>
    </w:p>
    <w:p w14:paraId="124561AE">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5.各阶段、各专项设计图纸需满足当地政府各相关主管部门对报建图纸的各项深度要求。</w:t>
      </w:r>
    </w:p>
    <w:p w14:paraId="61D327EF">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（三）图纸要求及建筑模型</w:t>
      </w:r>
    </w:p>
    <w:p w14:paraId="0B4E5CC5">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1.图纸的装订：必须分类成套，每套图上需有图纸目录清单，便于查阅。所有电子版文档文件格式按甲方要求提供。</w:t>
      </w:r>
    </w:p>
    <w:p w14:paraId="392BEB7F">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2.过程图纸：乙方须按甲方要求于设计过程中提供阶段过程图（相应款项已包含在总价款中）供甲方审核（2次以上），套数根据甲方需要确定。乙方于甲方提出交图要求之日起三个工作天内提供阶段过程图。</w:t>
      </w:r>
    </w:p>
    <w:p w14:paraId="1E86EE48">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（四）设计要求</w:t>
      </w:r>
    </w:p>
    <w:p w14:paraId="320A0B1C">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1.施工图设计阶段</w:t>
      </w:r>
    </w:p>
    <w:p w14:paraId="1E3CAD98">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按甲方同意的扩初设计和当地政府有关部门的审查意见和要求，深化项目单体各专业（建筑、结构、机电、景观、装修、人防、绿建、装配式、模块化建造等）施工图设计和节点大样设计，保障方案设计理念在施工图设计过程中完整实现。</w:t>
      </w:r>
    </w:p>
    <w:p w14:paraId="0DF7B4AD">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（2）总平面设计：包括但不限于满足项目报建要求及现场施工要求、反映出景观方案设计、结合景观道路设计提供管线综合总平面图（含水、强弱电、气等系统）、为环境工程提供接驳口。</w:t>
      </w:r>
    </w:p>
    <w:p w14:paraId="2233EEF3">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（3）室外工程施工图设计（包括但不限于）：</w:t>
      </w:r>
    </w:p>
    <w:p w14:paraId="4A71D1D4">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①.</w:t>
      </w:r>
      <w:r>
        <w:rPr>
          <w:rFonts w:hint="eastAsia" w:ascii="仿宋_GB2312" w:hAnsi="仿宋_GB2312" w:eastAsia="仿宋_GB2312" w:cs="仿宋_GB2312"/>
          <w:color w:val="auto"/>
          <w:sz w:val="32"/>
          <w:szCs w:val="32"/>
          <w:highlight w:val="none"/>
          <w:lang w:val="en-US" w:eastAsia="zh-CN"/>
        </w:rPr>
        <w:t>室外工程施工图设计，包括管线综合系统图、室外广场、道路的施工图设计；</w:t>
      </w:r>
    </w:p>
    <w:p w14:paraId="3B776EE7">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lang w:val="en-US" w:eastAsia="zh-CN"/>
        </w:rPr>
        <w:t>机电（强弱电、给排水、通风空调、燃气设计）与市政管网系统接驳的设计工作；</w:t>
      </w:r>
    </w:p>
    <w:p w14:paraId="0EAE3BD1">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lang w:val="en-US" w:eastAsia="zh-CN"/>
        </w:rPr>
        <w:t>在总图中须明确建筑红线内各管线及与市政管线的关系；</w:t>
      </w:r>
    </w:p>
    <w:p w14:paraId="5B3D9C8E">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（4）外立面设计（包括但不限于）：</w:t>
      </w:r>
    </w:p>
    <w:p w14:paraId="187E6E01">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根据立面方案设计提供的深化设计图纸，完成最终的建筑施工图；</w:t>
      </w:r>
    </w:p>
    <w:p w14:paraId="474B0D88">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立面深化设计，包括但不限于：与建筑外立面有关的各项装饰、装修工程，如外墙材料、架空层、立面分色图、排砖图、门窗设计、空调位和空调百叶、各类雨蓬、阳台、栏杆大样、户间防盗、特种结构、装饰构件和装饰百页等。</w:t>
      </w:r>
    </w:p>
    <w:p w14:paraId="166E52DD">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节能保温设计：根据政府及甲方要求进行保温节能设计，达到政府相关部门及审图机构的要求、施工图纸应明确保温材料的节点做法、在立面图纸绘制时应将保温材料的厚度考虑在内，避免因保温材料厚度的增加影响外立面实际效果。</w:t>
      </w:r>
    </w:p>
    <w:p w14:paraId="67ABF257">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（6）合同范围内的智能化设计（包括建筑内部及室外）、管线综合布置和对专业公司的设计成果审查。</w:t>
      </w:r>
    </w:p>
    <w:p w14:paraId="190DBE24">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（7）地下室管线综合设计和出图。</w:t>
      </w:r>
    </w:p>
    <w:p w14:paraId="69E593B6">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（8）室内交通设计（指地下室的车位、行车线等）。</w:t>
      </w:r>
    </w:p>
    <w:p w14:paraId="27FF1655">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（9）设计过程中与甲方聘请的设计顾问（如有）协调配合，设计顾问对施工图设计提出的有关意见和表达设计构思的图纸，乙方应配合完成施工图设计调整和优化工作，以保证各方面品质达到最优。</w:t>
      </w:r>
    </w:p>
    <w:p w14:paraId="13C7C423">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施工图图纸修改完善工作，在全套施工图完成后乙方应立刻开展施工图自查工作，对设计图纸出现的由于乙方原因导致的缺漏或错误进行修改与补充，在甲方要求的时间内完善设计图纸，由此产生增加图纸的费用由乙方承担。</w:t>
      </w:r>
    </w:p>
    <w:p w14:paraId="6B266C0C">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（11）本阶段乙方工作以移交以上工作的设计图纸和资料后才算完成（有关成果亦应满足其他设计协作单位开展设计所需基础资料的要求）。</w:t>
      </w:r>
    </w:p>
    <w:p w14:paraId="661F61BE">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2.多方案比较</w:t>
      </w:r>
    </w:p>
    <w:p w14:paraId="463FD19E">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由乙方负责完成的设计，如结构设计方案、机电设计方案、主要设备用房位置、柱网布置、基础选型、消防系统、送排风系统、中央空调系统及给排水系统（提供2～3个系统比较，含成本和参数）等。乙方应提供多方案比较，并与甲方共同协商，优选出最佳实施方案。</w:t>
      </w:r>
    </w:p>
    <w:p w14:paraId="288FB7CB">
      <w:pPr>
        <w:pageBreakBefore w:val="0"/>
        <w:widowControl/>
        <w:numPr>
          <w:ilvl w:val="0"/>
          <w:numId w:val="0"/>
        </w:numPr>
        <w:kinsoku/>
        <w:wordWrap/>
        <w:overflowPunct/>
        <w:topLinePunct w:val="0"/>
        <w:bidi w:val="0"/>
        <w:adjustRightInd w:val="0"/>
        <w:snapToGrid w:val="0"/>
        <w:spacing w:line="360" w:lineRule="auto"/>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3.会议要求及施工配合</w:t>
      </w:r>
    </w:p>
    <w:p w14:paraId="52850420">
      <w:pPr>
        <w:pStyle w:val="38"/>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zh-TW"/>
        </w:rPr>
        <w:t>会议及要求：</w:t>
      </w:r>
    </w:p>
    <w:p w14:paraId="16630BCE">
      <w:pPr>
        <w:pStyle w:val="33"/>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①.</w:t>
      </w:r>
      <w:r>
        <w:rPr>
          <w:rFonts w:hint="eastAsia" w:ascii="仿宋_GB2312" w:hAnsi="仿宋_GB2312" w:eastAsia="仿宋_GB2312" w:cs="仿宋_GB2312"/>
          <w:color w:val="auto"/>
          <w:sz w:val="32"/>
          <w:szCs w:val="32"/>
          <w:highlight w:val="none"/>
        </w:rPr>
        <w:t>乙方须参加与单体设计相关的各类管理、沟通、协调、研讨、汇报等会议。</w:t>
      </w:r>
    </w:p>
    <w:p w14:paraId="29B91A12">
      <w:pPr>
        <w:pStyle w:val="33"/>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rPr>
        <w:t>乙方应参加甲方指定的现场会议，参加会议人员需事先得到</w:t>
      </w:r>
      <w:r>
        <w:rPr>
          <w:rFonts w:hint="eastAsia" w:ascii="仿宋_GB2312" w:hAnsi="仿宋_GB2312" w:eastAsia="仿宋_GB2312" w:cs="仿宋_GB2312"/>
          <w:color w:val="auto"/>
          <w:sz w:val="32"/>
          <w:szCs w:val="32"/>
          <w:highlight w:val="none"/>
          <w:lang w:val="en-US" w:eastAsia="zh-CN"/>
        </w:rPr>
        <w:t>甲方</w:t>
      </w:r>
      <w:r>
        <w:rPr>
          <w:rFonts w:hint="eastAsia" w:ascii="仿宋_GB2312" w:hAnsi="仿宋_GB2312" w:eastAsia="仿宋_GB2312" w:cs="仿宋_GB2312"/>
          <w:color w:val="auto"/>
          <w:sz w:val="32"/>
          <w:szCs w:val="32"/>
          <w:highlight w:val="none"/>
        </w:rPr>
        <w:t>认可。现场会议包含但不限于以下会议：</w:t>
      </w:r>
    </w:p>
    <w:p w14:paraId="2A9C6399">
      <w:pPr>
        <w:pStyle w:val="33"/>
        <w:pageBreakBefore w:val="0"/>
        <w:numPr>
          <w:ilvl w:val="1"/>
          <w:numId w:val="5"/>
        </w:numPr>
        <w:kinsoku/>
        <w:wordWrap/>
        <w:overflowPunct/>
        <w:topLinePunct w:val="0"/>
        <w:bidi w:val="0"/>
        <w:adjustRightInd w:val="0"/>
        <w:snapToGrid w:val="0"/>
        <w:spacing w:line="360" w:lineRule="auto"/>
        <w:ind w:left="0"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各专业负责人参与政府相关部门召开的各类评审会或论证会议，如：规划协调会、环境影响会等；</w:t>
      </w:r>
    </w:p>
    <w:p w14:paraId="12DDC425">
      <w:pPr>
        <w:pStyle w:val="33"/>
        <w:pageBreakBefore w:val="0"/>
        <w:numPr>
          <w:ilvl w:val="1"/>
          <w:numId w:val="5"/>
        </w:numPr>
        <w:kinsoku/>
        <w:wordWrap/>
        <w:overflowPunct/>
        <w:topLinePunct w:val="0"/>
        <w:bidi w:val="0"/>
        <w:adjustRightInd w:val="0"/>
        <w:snapToGrid w:val="0"/>
        <w:spacing w:line="360" w:lineRule="auto"/>
        <w:ind w:left="0"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施工图设计阶段，各专业（含专项外包专业）须安排相关专业负责人以上级别人员参加相关的设计工作汇报会、设计交底会、图纸会审会、施工问题协调会等会议。</w:t>
      </w:r>
    </w:p>
    <w:p w14:paraId="6DE93C25">
      <w:pPr>
        <w:pStyle w:val="33"/>
        <w:pageBreakBefore w:val="0"/>
        <w:numPr>
          <w:ilvl w:val="1"/>
          <w:numId w:val="5"/>
        </w:numPr>
        <w:kinsoku/>
        <w:wordWrap/>
        <w:overflowPunct/>
        <w:topLinePunct w:val="0"/>
        <w:bidi w:val="0"/>
        <w:adjustRightInd w:val="0"/>
        <w:snapToGrid w:val="0"/>
        <w:spacing w:line="360" w:lineRule="auto"/>
        <w:ind w:left="0"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在主体结构工程施工、设备安装工程等重要阶段，设计总负责人需参加现场设计协调会议。</w:t>
      </w:r>
    </w:p>
    <w:p w14:paraId="46936EE5">
      <w:pPr>
        <w:pStyle w:val="33"/>
        <w:pageBreakBefore w:val="0"/>
        <w:numPr>
          <w:ilvl w:val="1"/>
          <w:numId w:val="5"/>
        </w:numPr>
        <w:kinsoku/>
        <w:wordWrap/>
        <w:overflowPunct/>
        <w:topLinePunct w:val="0"/>
        <w:bidi w:val="0"/>
        <w:adjustRightInd w:val="0"/>
        <w:snapToGrid w:val="0"/>
        <w:spacing w:line="360" w:lineRule="auto"/>
        <w:ind w:left="0"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参加项目例会，由专业负责或项目负责汇报设计进度。</w:t>
      </w:r>
      <w:r>
        <w:rPr>
          <w:rFonts w:hint="eastAsia" w:ascii="仿宋_GB2312" w:hAnsi="仿宋_GB2312" w:eastAsia="仿宋_GB2312" w:cs="仿宋_GB2312"/>
          <w:color w:val="auto"/>
          <w:sz w:val="32"/>
          <w:szCs w:val="32"/>
          <w:highlight w:val="none"/>
          <w:lang w:val="en-US" w:eastAsia="zh-CN"/>
        </w:rPr>
        <w:t>项目例会开会周期另定。</w:t>
      </w:r>
    </w:p>
    <w:p w14:paraId="503E1269">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（2）施工配合</w:t>
      </w:r>
    </w:p>
    <w:p w14:paraId="7426C910">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①.乙方各专业负责人需参加施工图审查、技术交底、设计修改、现场处理、</w:t>
      </w:r>
      <w:r>
        <w:rPr>
          <w:rFonts w:hint="eastAsia" w:ascii="仿宋_GB2312" w:hAnsi="仿宋_GB2312" w:eastAsia="仿宋_GB2312" w:cs="仿宋_GB2312"/>
          <w:color w:val="auto"/>
          <w:sz w:val="32"/>
          <w:szCs w:val="32"/>
          <w:highlight w:val="none"/>
        </w:rPr>
        <w:t>基坑支护、地基基础、主体结构（含主要隐蔽工程）、构筑物结构</w:t>
      </w:r>
      <w:r>
        <w:rPr>
          <w:rFonts w:hint="eastAsia" w:ascii="仿宋_GB2312" w:hAnsi="仿宋_GB2312" w:eastAsia="仿宋_GB2312" w:cs="仿宋_GB2312"/>
          <w:color w:val="auto"/>
          <w:sz w:val="32"/>
          <w:szCs w:val="32"/>
          <w:highlight w:val="none"/>
          <w:lang w:val="en-US" w:eastAsia="zh-CN"/>
        </w:rPr>
        <w:t>验收等配合工作。</w:t>
      </w:r>
    </w:p>
    <w:p w14:paraId="21D692FC">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②.项目后期的设计交底及顾问咨询，</w:t>
      </w:r>
      <w:r>
        <w:rPr>
          <w:rFonts w:hint="eastAsia" w:ascii="仿宋_GB2312" w:hAnsi="仿宋_GB2312" w:eastAsia="仿宋_GB2312" w:cs="仿宋_GB2312"/>
          <w:color w:val="auto"/>
          <w:sz w:val="32"/>
          <w:szCs w:val="32"/>
          <w:highlight w:val="none"/>
        </w:rPr>
        <w:t>确定所用材料样板，对最终材料封样予以现场技术指导及施工品质监控。</w:t>
      </w:r>
    </w:p>
    <w:p w14:paraId="76454E27">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③.配合提供符合当地规范的涂料、面砖、石材、玻璃、铝材等。</w:t>
      </w:r>
    </w:p>
    <w:p w14:paraId="37640D67">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④.对必要的荷载的验算，如堆土、施工荷载、消防荷载必须包括在施工文件中，并提供协助完成竣工图编制工作。</w:t>
      </w:r>
    </w:p>
    <w:p w14:paraId="48B94871">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⑤.乙方应定期到施工现场解决施工中发现的设计图纸及其它有关问题，并将现场问题汇总报告发予甲方存档。</w:t>
      </w:r>
    </w:p>
    <w:p w14:paraId="1B59BAE7">
      <w:pPr>
        <w:pageBreakBefore w:val="0"/>
        <w:kinsoku/>
        <w:wordWrap/>
        <w:overflowPunct/>
        <w:topLinePunct w:val="0"/>
        <w:bidi w:val="0"/>
        <w:adjustRightInd w:val="0"/>
        <w:snapToGrid w:val="0"/>
        <w:spacing w:line="360" w:lineRule="auto"/>
        <w:ind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⑥.</w:t>
      </w:r>
      <w:r>
        <w:rPr>
          <w:rFonts w:hint="eastAsia" w:ascii="仿宋_GB2312" w:hAnsi="仿宋_GB2312" w:eastAsia="仿宋_GB2312" w:cs="仿宋_GB2312"/>
          <w:color w:val="auto"/>
          <w:sz w:val="32"/>
          <w:szCs w:val="32"/>
          <w:highlight w:val="none"/>
        </w:rPr>
        <w:t>乙方各专业负责人需参加的竣工验收。</w:t>
      </w:r>
      <w:r>
        <w:rPr>
          <w:rFonts w:hint="eastAsia" w:ascii="仿宋_GB2312" w:hAnsi="仿宋_GB2312" w:eastAsia="仿宋_GB2312" w:cs="仿宋_GB2312"/>
          <w:color w:val="auto"/>
          <w:sz w:val="32"/>
          <w:szCs w:val="32"/>
          <w:highlight w:val="none"/>
          <w:lang w:val="en-US" w:eastAsia="zh-CN"/>
        </w:rPr>
        <w:t>竣工验收之后，乙方应完成设计全过程问题汇总报告发予甲方存档。</w:t>
      </w:r>
    </w:p>
    <w:p w14:paraId="3DC4499E">
      <w:pPr>
        <w:pageBreakBefore w:val="0"/>
        <w:kinsoku/>
        <w:wordWrap/>
        <w:overflowPunct/>
        <w:topLinePunct w:val="0"/>
        <w:bidi w:val="0"/>
        <w:adjustRightInd w:val="0"/>
        <w:snapToGrid w:val="0"/>
        <w:spacing w:line="360" w:lineRule="auto"/>
        <w:ind w:firstLine="640"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⑦.乙方应派专人驻场项目，技术反馈及解决现场出现的设计问题。</w:t>
      </w:r>
    </w:p>
    <w:p w14:paraId="30D30920">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 w:hAnsi="楷体" w:eastAsia="楷体" w:cs="楷体"/>
          <w:color w:val="auto"/>
          <w:sz w:val="32"/>
          <w:szCs w:val="32"/>
          <w:highlight w:val="none"/>
          <w:lang w:val="en-US" w:eastAsia="zh-CN"/>
        </w:rPr>
        <w:t>第八条</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val="0"/>
          <w:bCs w:val="0"/>
          <w:color w:val="auto"/>
          <w:kern w:val="2"/>
          <w:sz w:val="32"/>
          <w:szCs w:val="32"/>
          <w:highlight w:val="none"/>
          <w:lang w:val="en-US" w:eastAsia="zh-CN" w:bidi="ar-SA"/>
        </w:rPr>
        <w:t>成本控制、限价设计及经济技术指标控制</w:t>
      </w:r>
    </w:p>
    <w:p w14:paraId="647F2176">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乙方应做到所有设计经济合理，建筑设计及选材都应综合考虑造价与效果，在整个设计过程中始终贯彻“限价设计”的观念。在材料的选用和做法的确定上，应与甲方充分沟通，确定最合理的选材和做法，保证成本控制在既定目标之内。</w:t>
      </w:r>
    </w:p>
    <w:p w14:paraId="7441D4FF">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二）结构设计乙方应做到经济合理，并认真计算，关键控制点（如地下室）应先交甲方审查通过后再出图。如甲方认为乙方在设计过程中存在经济上的不合理现象，有权向乙方提出质疑，要求乙方提供有关计算书及力学模型，乙方应予合理解释并积极配合。</w:t>
      </w:r>
    </w:p>
    <w:p w14:paraId="26AA32F2">
      <w:pPr>
        <w:pageBreakBefore w:val="0"/>
        <w:numPr>
          <w:ilvl w:val="0"/>
          <w:numId w:val="0"/>
        </w:numPr>
        <w:kinsoku/>
        <w:wordWrap/>
        <w:overflowPunct/>
        <w:topLinePunct w:val="0"/>
        <w:bidi w:val="0"/>
        <w:spacing w:line="360" w:lineRule="auto"/>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0" w:name="_Toc409080661"/>
      <w:bookmarkStart w:id="11" w:name="_Toc396296987"/>
      <w:r>
        <w:rPr>
          <w:rFonts w:hint="eastAsia" w:ascii="楷体" w:hAnsi="楷体" w:eastAsia="楷体" w:cs="楷体"/>
          <w:color w:val="auto"/>
          <w:sz w:val="32"/>
          <w:szCs w:val="32"/>
          <w:highlight w:val="none"/>
          <w:lang w:val="en-US" w:eastAsia="zh-CN"/>
        </w:rPr>
        <w:t>第九条</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val="0"/>
          <w:bCs w:val="0"/>
          <w:color w:val="auto"/>
          <w:kern w:val="2"/>
          <w:sz w:val="32"/>
          <w:szCs w:val="32"/>
          <w:highlight w:val="none"/>
          <w:lang w:val="en-US" w:eastAsia="zh-CN" w:bidi="ar-SA"/>
        </w:rPr>
        <w:t>设计</w:t>
      </w:r>
      <w:bookmarkEnd w:id="10"/>
      <w:bookmarkEnd w:id="11"/>
      <w:bookmarkStart w:id="12" w:name="_Toc392666548"/>
      <w:bookmarkStart w:id="13" w:name="_Toc249082788"/>
      <w:bookmarkStart w:id="14" w:name="_Toc392583722"/>
      <w:bookmarkStart w:id="15" w:name="_Toc392597686"/>
      <w:bookmarkStart w:id="16" w:name="_Toc396296988"/>
      <w:bookmarkStart w:id="17" w:name="_Toc409080662"/>
      <w:bookmarkStart w:id="18" w:name="_Toc392622601"/>
      <w:bookmarkStart w:id="19" w:name="_Toc392666411"/>
      <w:bookmarkStart w:id="20" w:name="_Toc392584156"/>
      <w:bookmarkStart w:id="21" w:name="_Toc392622738"/>
      <w:r>
        <w:rPr>
          <w:rFonts w:hint="eastAsia" w:ascii="仿宋_GB2312" w:hAnsi="仿宋_GB2312" w:eastAsia="仿宋_GB2312" w:cs="仿宋_GB2312"/>
          <w:b w:val="0"/>
          <w:bCs w:val="0"/>
          <w:color w:val="auto"/>
          <w:kern w:val="2"/>
          <w:sz w:val="32"/>
          <w:szCs w:val="32"/>
          <w:highlight w:val="none"/>
          <w:lang w:val="en-US" w:eastAsia="zh-CN" w:bidi="ar-SA"/>
        </w:rPr>
        <w:t>例会制度</w:t>
      </w:r>
      <w:bookmarkEnd w:id="12"/>
      <w:bookmarkEnd w:id="13"/>
      <w:bookmarkEnd w:id="14"/>
      <w:bookmarkEnd w:id="15"/>
      <w:bookmarkEnd w:id="16"/>
      <w:bookmarkEnd w:id="17"/>
      <w:bookmarkEnd w:id="18"/>
      <w:bookmarkEnd w:id="19"/>
      <w:bookmarkEnd w:id="20"/>
      <w:bookmarkEnd w:id="21"/>
    </w:p>
    <w:p w14:paraId="573236BE">
      <w:pPr>
        <w:pageBreakBefore w:val="0"/>
        <w:kinsoku/>
        <w:wordWrap/>
        <w:overflowPunct/>
        <w:topLinePunct w:val="0"/>
        <w:bidi w:val="0"/>
        <w:spacing w:line="360" w:lineRule="auto"/>
        <w:jc w:val="center"/>
        <w:rPr>
          <w:rFonts w:hint="eastAsia" w:ascii="黑体" w:hAnsi="黑体" w:eastAsia="黑体" w:cs="黑体"/>
          <w:b/>
          <w:bCs/>
          <w:color w:val="auto"/>
          <w:sz w:val="32"/>
          <w:szCs w:val="32"/>
          <w:highlight w:val="none"/>
        </w:rPr>
      </w:pPr>
      <w:r>
        <w:rPr>
          <w:rFonts w:hint="eastAsia" w:ascii="仿宋_GB2312" w:hAnsi="仿宋_GB2312" w:eastAsia="仿宋_GB2312" w:cs="仿宋_GB2312"/>
          <w:b w:val="0"/>
          <w:bCs w:val="0"/>
          <w:color w:val="auto"/>
          <w:kern w:val="2"/>
          <w:sz w:val="32"/>
          <w:szCs w:val="32"/>
          <w:highlight w:val="none"/>
          <w:lang w:val="en-US" w:eastAsia="zh-CN" w:bidi="ar-SA"/>
        </w:rPr>
        <w:t>项目设计期间不定期举行例会，讨论相应阶段和设计过程中的设计问题。乙方需在会议前两天准备已有图纸或资料，提出需讨论确定的问题清单。</w:t>
      </w:r>
    </w:p>
    <w:p w14:paraId="628615D0">
      <w:pPr>
        <w:pageBreakBefore w:val="0"/>
        <w:kinsoku/>
        <w:wordWrap/>
        <w:overflowPunct/>
        <w:topLinePunct w:val="0"/>
        <w:bidi w:val="0"/>
        <w:spacing w:line="360" w:lineRule="auto"/>
        <w:jc w:val="center"/>
        <w:rPr>
          <w:rFonts w:hint="eastAsia" w:ascii="仿宋_GB2312" w:hAnsi="仿宋_GB2312" w:eastAsia="仿宋_GB2312" w:cs="仿宋_GB2312"/>
          <w:b/>
          <w:bCs/>
          <w:color w:val="auto"/>
          <w:sz w:val="32"/>
          <w:szCs w:val="32"/>
          <w:highlight w:val="none"/>
          <w:lang w:val="en-US" w:eastAsia="zh-CN"/>
        </w:rPr>
      </w:pPr>
      <w:r>
        <w:rPr>
          <w:rFonts w:hint="eastAsia" w:ascii="黑体" w:hAnsi="黑体" w:eastAsia="黑体" w:cs="黑体"/>
          <w:b/>
          <w:bCs/>
          <w:color w:val="auto"/>
          <w:sz w:val="32"/>
          <w:szCs w:val="32"/>
          <w:highlight w:val="none"/>
        </w:rPr>
        <w:t>第</w:t>
      </w:r>
      <w:r>
        <w:rPr>
          <w:rFonts w:hint="eastAsia" w:ascii="黑体" w:hAnsi="黑体" w:eastAsia="黑体" w:cs="黑体"/>
          <w:b/>
          <w:bCs/>
          <w:color w:val="auto"/>
          <w:sz w:val="32"/>
          <w:szCs w:val="32"/>
          <w:highlight w:val="none"/>
          <w:lang w:val="en-US" w:eastAsia="zh-CN"/>
        </w:rPr>
        <w:t>二</w:t>
      </w:r>
      <w:r>
        <w:rPr>
          <w:rFonts w:hint="eastAsia" w:ascii="黑体" w:hAnsi="黑体" w:eastAsia="黑体" w:cs="黑体"/>
          <w:b/>
          <w:bCs/>
          <w:color w:val="auto"/>
          <w:sz w:val="32"/>
          <w:szCs w:val="32"/>
          <w:highlight w:val="none"/>
        </w:rPr>
        <w:t xml:space="preserve">章 </w:t>
      </w:r>
      <w:r>
        <w:rPr>
          <w:rFonts w:hint="eastAsia" w:ascii="黑体" w:hAnsi="黑体" w:eastAsia="黑体" w:cs="黑体"/>
          <w:b/>
          <w:bCs/>
          <w:color w:val="auto"/>
          <w:sz w:val="32"/>
          <w:szCs w:val="32"/>
          <w:highlight w:val="none"/>
          <w:lang w:val="en-US" w:eastAsia="zh-CN"/>
        </w:rPr>
        <w:t>建筑设计专篇</w:t>
      </w:r>
    </w:p>
    <w:p w14:paraId="0DDBF9BA">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第一条</w:t>
      </w:r>
      <w:r>
        <w:rPr>
          <w:rFonts w:hint="eastAsia" w:ascii="仿宋_GB2312" w:hAnsi="仿宋_GB2312" w:eastAsia="仿宋_GB2312" w:cs="仿宋_GB2312"/>
          <w:b w:val="0"/>
          <w:bCs w:val="0"/>
          <w:color w:val="auto"/>
          <w:sz w:val="32"/>
          <w:szCs w:val="32"/>
          <w:highlight w:val="none"/>
          <w:lang w:val="en-US" w:eastAsia="zh-CN"/>
        </w:rPr>
        <w:t xml:space="preserve"> 建筑</w:t>
      </w:r>
      <w:r>
        <w:rPr>
          <w:rFonts w:hint="eastAsia" w:ascii="仿宋_GB2312" w:hAnsi="仿宋_GB2312" w:eastAsia="仿宋_GB2312" w:cs="仿宋_GB2312"/>
          <w:b w:val="0"/>
          <w:bCs w:val="0"/>
          <w:color w:val="auto"/>
          <w:sz w:val="32"/>
          <w:szCs w:val="32"/>
          <w:highlight w:val="none"/>
          <w:lang w:eastAsia="zh-CN"/>
        </w:rPr>
        <w:t>专业设计</w:t>
      </w:r>
      <w:r>
        <w:rPr>
          <w:rFonts w:hint="eastAsia" w:ascii="仿宋_GB2312" w:hAnsi="仿宋_GB2312" w:eastAsia="仿宋_GB2312" w:cs="仿宋_GB2312"/>
          <w:b w:val="0"/>
          <w:bCs w:val="0"/>
          <w:color w:val="auto"/>
          <w:sz w:val="32"/>
          <w:szCs w:val="32"/>
          <w:highlight w:val="none"/>
          <w:lang w:val="en-US" w:eastAsia="zh-CN"/>
        </w:rPr>
        <w:t>工作</w:t>
      </w:r>
      <w:r>
        <w:rPr>
          <w:rFonts w:hint="eastAsia" w:ascii="仿宋_GB2312" w:hAnsi="仿宋_GB2312" w:eastAsia="仿宋_GB2312" w:cs="仿宋_GB2312"/>
          <w:b w:val="0"/>
          <w:bCs w:val="0"/>
          <w:color w:val="auto"/>
          <w:sz w:val="32"/>
          <w:szCs w:val="32"/>
          <w:highlight w:val="none"/>
          <w:lang w:eastAsia="zh-CN"/>
        </w:rPr>
        <w:t>内容及要求</w:t>
      </w:r>
    </w:p>
    <w:p w14:paraId="2A29CD09">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设计内容</w:t>
      </w:r>
    </w:p>
    <w:p w14:paraId="3D383B71">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按照甲方提供</w:t>
      </w:r>
      <w:r>
        <w:rPr>
          <w:rFonts w:hint="eastAsia" w:ascii="仿宋_GB2312" w:hAnsi="仿宋_GB2312" w:eastAsia="仿宋_GB2312" w:cs="仿宋_GB2312"/>
          <w:color w:val="auto"/>
          <w:sz w:val="32"/>
          <w:szCs w:val="32"/>
          <w:highlight w:val="none"/>
          <w:lang w:val="en-US" w:eastAsia="zh-CN"/>
        </w:rPr>
        <w:t>设计</w:t>
      </w:r>
      <w:r>
        <w:rPr>
          <w:rFonts w:hint="eastAsia" w:ascii="仿宋_GB2312" w:hAnsi="仿宋_GB2312" w:eastAsia="仿宋_GB2312" w:cs="仿宋_GB2312"/>
          <w:color w:val="auto"/>
          <w:sz w:val="32"/>
          <w:szCs w:val="32"/>
          <w:highlight w:val="none"/>
        </w:rPr>
        <w:t>相关资料等，完成</w:t>
      </w:r>
      <w:r>
        <w:rPr>
          <w:rFonts w:hint="eastAsia" w:ascii="仿宋_GB2312" w:hAnsi="仿宋_GB2312" w:eastAsia="仿宋_GB2312" w:cs="仿宋_GB2312"/>
          <w:color w:val="auto"/>
          <w:sz w:val="32"/>
          <w:szCs w:val="32"/>
          <w:highlight w:val="none"/>
          <w:lang w:val="en-US" w:eastAsia="zh-CN"/>
        </w:rPr>
        <w:t>本项目的建筑</w:t>
      </w:r>
      <w:r>
        <w:rPr>
          <w:rFonts w:hint="eastAsia" w:ascii="仿宋_GB2312" w:hAnsi="仿宋_GB2312" w:eastAsia="仿宋_GB2312" w:cs="仿宋_GB2312"/>
          <w:color w:val="auto"/>
          <w:sz w:val="32"/>
          <w:szCs w:val="32"/>
          <w:highlight w:val="none"/>
        </w:rPr>
        <w:t>的施工图设计。</w:t>
      </w:r>
    </w:p>
    <w:p w14:paraId="626B19E4">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2. </w:t>
      </w:r>
      <w:r>
        <w:rPr>
          <w:rStyle w:val="30"/>
          <w:rFonts w:hint="eastAsia" w:ascii="仿宋_GB2312" w:hAnsi="仿宋_GB2312" w:eastAsia="仿宋_GB2312" w:cs="仿宋_GB2312"/>
          <w:color w:val="auto"/>
          <w:sz w:val="32"/>
          <w:szCs w:val="32"/>
          <w:highlight w:val="none"/>
        </w:rPr>
        <w:t>负责</w:t>
      </w:r>
      <w:r>
        <w:rPr>
          <w:rFonts w:hint="eastAsia" w:ascii="仿宋_GB2312" w:hAnsi="仿宋_GB2312" w:eastAsia="仿宋_GB2312" w:cs="仿宋_GB2312"/>
          <w:color w:val="auto"/>
          <w:sz w:val="32"/>
          <w:szCs w:val="32"/>
          <w:highlight w:val="none"/>
        </w:rPr>
        <w:t>配合其他专业设计工作，包括但不限于总图、二次机电、厨洗、燃气、泛光照明、建筑声学、消防性能化、导标系统、景观设计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具体专业根据项目实际情况</w:t>
      </w:r>
      <w:r>
        <w:rPr>
          <w:rFonts w:hint="eastAsia" w:ascii="仿宋_GB2312" w:hAnsi="仿宋_GB2312" w:eastAsia="仿宋_GB2312" w:cs="仿宋_GB2312"/>
          <w:color w:val="auto"/>
          <w:sz w:val="32"/>
          <w:szCs w:val="32"/>
          <w:highlight w:val="none"/>
          <w:lang w:eastAsia="zh-CN"/>
        </w:rPr>
        <w:t>）</w:t>
      </w:r>
      <w:r>
        <w:rPr>
          <w:rStyle w:val="30"/>
          <w:rFonts w:hint="eastAsia" w:ascii="仿宋_GB2312" w:hAnsi="仿宋_GB2312" w:eastAsia="仿宋_GB2312" w:cs="仿宋_GB2312"/>
          <w:color w:val="auto"/>
          <w:sz w:val="32"/>
          <w:szCs w:val="32"/>
          <w:highlight w:val="none"/>
        </w:rPr>
        <w:t>，落实甲方审核后工作指令及其所提技术要求。</w:t>
      </w:r>
    </w:p>
    <w:p w14:paraId="02470820">
      <w:pPr>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负责完成对施工单位的</w:t>
      </w:r>
      <w:r>
        <w:rPr>
          <w:rFonts w:hint="eastAsia" w:ascii="仿宋_GB2312" w:hAnsi="仿宋_GB2312" w:eastAsia="仿宋_GB2312" w:cs="仿宋_GB2312"/>
          <w:color w:val="auto"/>
          <w:sz w:val="32"/>
          <w:szCs w:val="32"/>
          <w:highlight w:val="none"/>
          <w:lang w:val="en-US" w:eastAsia="zh-CN"/>
        </w:rPr>
        <w:t>装配式深化图（如有）</w:t>
      </w:r>
      <w:r>
        <w:rPr>
          <w:rFonts w:hint="eastAsia" w:ascii="仿宋_GB2312" w:hAnsi="仿宋_GB2312" w:eastAsia="仿宋_GB2312" w:cs="仿宋_GB2312"/>
          <w:color w:val="auto"/>
          <w:sz w:val="32"/>
          <w:szCs w:val="32"/>
          <w:highlight w:val="none"/>
        </w:rPr>
        <w:t>进行审核和签字确认签字，同时负责相关的建筑图纸修改。</w:t>
      </w:r>
    </w:p>
    <w:p w14:paraId="1E24D4BC">
      <w:pPr>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负责对合同范围内各施工单位的铝合金门窗、防火门、金属墙屋面围护系统等深化图进行审核和签字确认，同时负责相关的建筑图纸修改。</w:t>
      </w:r>
    </w:p>
    <w:p w14:paraId="0B399268">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lang w:val="zh-TW"/>
        </w:rPr>
        <w:t>负责因相关专业调整以及因施工需要而产生的</w:t>
      </w:r>
      <w:r>
        <w:rPr>
          <w:rStyle w:val="30"/>
          <w:rFonts w:hint="eastAsia" w:ascii="仿宋_GB2312" w:hAnsi="仿宋_GB2312" w:eastAsia="仿宋_GB2312" w:cs="仿宋_GB2312"/>
          <w:color w:val="auto"/>
          <w:sz w:val="32"/>
          <w:szCs w:val="32"/>
          <w:highlight w:val="none"/>
          <w:lang w:val="en-US" w:eastAsia="zh-CN"/>
        </w:rPr>
        <w:t>建筑专业</w:t>
      </w:r>
      <w:r>
        <w:rPr>
          <w:rStyle w:val="30"/>
          <w:rFonts w:hint="eastAsia" w:ascii="仿宋_GB2312" w:hAnsi="仿宋_GB2312" w:eastAsia="仿宋_GB2312" w:cs="仿宋_GB2312"/>
          <w:color w:val="auto"/>
          <w:sz w:val="32"/>
          <w:szCs w:val="32"/>
          <w:highlight w:val="none"/>
          <w:lang w:val="zh-TW"/>
        </w:rPr>
        <w:t>设计</w:t>
      </w:r>
      <w:r>
        <w:rPr>
          <w:rStyle w:val="30"/>
          <w:rFonts w:hint="eastAsia" w:ascii="仿宋_GB2312" w:hAnsi="仿宋_GB2312" w:eastAsia="仿宋_GB2312" w:cs="仿宋_GB2312"/>
          <w:color w:val="auto"/>
          <w:sz w:val="32"/>
          <w:szCs w:val="32"/>
          <w:highlight w:val="none"/>
        </w:rPr>
        <w:t>及</w:t>
      </w:r>
      <w:r>
        <w:rPr>
          <w:rStyle w:val="30"/>
          <w:rFonts w:hint="eastAsia" w:ascii="仿宋_GB2312" w:hAnsi="仿宋_GB2312" w:eastAsia="仿宋_GB2312" w:cs="仿宋_GB2312"/>
          <w:color w:val="auto"/>
          <w:sz w:val="32"/>
          <w:szCs w:val="32"/>
          <w:highlight w:val="none"/>
          <w:lang w:val="zh-TW"/>
        </w:rPr>
        <w:t>变更。</w:t>
      </w:r>
    </w:p>
    <w:p w14:paraId="53EC400A">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6. </w:t>
      </w:r>
      <w:r>
        <w:rPr>
          <w:rStyle w:val="30"/>
          <w:rFonts w:hint="eastAsia" w:ascii="仿宋_GB2312" w:hAnsi="仿宋_GB2312" w:eastAsia="仿宋_GB2312" w:cs="仿宋_GB2312"/>
          <w:color w:val="auto"/>
          <w:sz w:val="32"/>
          <w:szCs w:val="32"/>
          <w:highlight w:val="none"/>
          <w:lang w:val="zh-TW"/>
        </w:rPr>
        <w:t>根据甲方提出的图纸审核意见，进行图纸完善。配合甲方</w:t>
      </w:r>
      <w:r>
        <w:rPr>
          <w:rFonts w:hint="eastAsia" w:ascii="仿宋_GB2312" w:hAnsi="仿宋_GB2312" w:eastAsia="仿宋_GB2312" w:cs="仿宋_GB2312"/>
          <w:color w:val="auto"/>
          <w:sz w:val="32"/>
          <w:szCs w:val="32"/>
          <w:highlight w:val="none"/>
          <w:lang w:val="zh-TW"/>
        </w:rPr>
        <w:t>完成政府主管部门的相关审批工作</w:t>
      </w:r>
      <w:r>
        <w:rPr>
          <w:rStyle w:val="30"/>
          <w:rFonts w:hint="eastAsia" w:ascii="仿宋_GB2312" w:hAnsi="仿宋_GB2312" w:eastAsia="仿宋_GB2312" w:cs="仿宋_GB2312"/>
          <w:color w:val="auto"/>
          <w:sz w:val="32"/>
          <w:szCs w:val="32"/>
          <w:highlight w:val="none"/>
          <w:lang w:val="zh-TW"/>
        </w:rPr>
        <w:t>，包括但不限于：施工图报审、消防、卫生防疫、环评等报建设计。</w:t>
      </w:r>
    </w:p>
    <w:p w14:paraId="11AE0895">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7. </w:t>
      </w:r>
      <w:r>
        <w:rPr>
          <w:rStyle w:val="30"/>
          <w:rFonts w:hint="eastAsia" w:ascii="仿宋_GB2312" w:hAnsi="仿宋_GB2312" w:eastAsia="仿宋_GB2312" w:cs="仿宋_GB2312"/>
          <w:color w:val="auto"/>
          <w:sz w:val="32"/>
          <w:szCs w:val="32"/>
          <w:highlight w:val="none"/>
          <w:lang w:val="zh-TW"/>
        </w:rPr>
        <w:t>项目开发过程中，按照甲方要求的格式提供所需指标及数据统计文件，如建筑面积、高度、层数、建筑类别、分类建筑面积统计等。</w:t>
      </w:r>
    </w:p>
    <w:p w14:paraId="7CF47AAB">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8. </w:t>
      </w:r>
      <w:r>
        <w:rPr>
          <w:rStyle w:val="30"/>
          <w:rFonts w:hint="eastAsia" w:ascii="仿宋_GB2312" w:hAnsi="仿宋_GB2312" w:eastAsia="仿宋_GB2312" w:cs="仿宋_GB2312"/>
          <w:color w:val="auto"/>
          <w:sz w:val="32"/>
          <w:szCs w:val="32"/>
          <w:highlight w:val="none"/>
          <w:lang w:val="zh-TW"/>
        </w:rPr>
        <w:t>图纸文件资料需满足</w:t>
      </w:r>
      <w:r>
        <w:rPr>
          <w:rStyle w:val="30"/>
          <w:rFonts w:hint="eastAsia" w:ascii="仿宋_GB2312" w:hAnsi="仿宋_GB2312" w:eastAsia="仿宋_GB2312" w:cs="仿宋_GB2312"/>
          <w:color w:val="auto"/>
          <w:sz w:val="32"/>
          <w:szCs w:val="32"/>
          <w:highlight w:val="none"/>
        </w:rPr>
        <w:t>国家及当地有关规范、标</w:t>
      </w:r>
      <w:r>
        <w:rPr>
          <w:rFonts w:hint="eastAsia" w:ascii="仿宋_GB2312" w:hAnsi="仿宋_GB2312" w:eastAsia="仿宋_GB2312" w:cs="仿宋_GB2312"/>
          <w:color w:val="auto"/>
          <w:sz w:val="32"/>
          <w:szCs w:val="32"/>
          <w:highlight w:val="none"/>
        </w:rPr>
        <w:t>准内所规定的，及其他应完成的工作内容。</w:t>
      </w:r>
    </w:p>
    <w:p w14:paraId="634CEBC9">
      <w:pPr>
        <w:pStyle w:val="29"/>
        <w:pageBreakBefore w:val="0"/>
        <w:tabs>
          <w:tab w:val="left" w:pos="0"/>
        </w:tabs>
        <w:kinsoku/>
        <w:wordWrap/>
        <w:overflowPunct/>
        <w:topLinePunct w:val="0"/>
        <w:bidi w:val="0"/>
        <w:adjustRightInd w:val="0"/>
        <w:snapToGrid w:val="0"/>
        <w:spacing w:line="360" w:lineRule="auto"/>
        <w:ind w:left="0" w:leftChars="0" w:firstLine="640" w:firstLineChars="200"/>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kern w:val="0"/>
          <w:sz w:val="32"/>
          <w:szCs w:val="32"/>
          <w:highlight w:val="none"/>
          <w:lang w:val="zh-TW"/>
        </w:rPr>
        <w:t>设计要求</w:t>
      </w:r>
    </w:p>
    <w:p w14:paraId="7F29B092">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lang w:val="zh-TW"/>
        </w:rPr>
        <w:t>单体总图应明确单体定位、与总体场地竖向关系，明确各出入口匝道宽度、转弯半径以及与园区</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小区</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zh-TW"/>
        </w:rPr>
        <w:t>道路的标高关系。</w:t>
      </w:r>
    </w:p>
    <w:p w14:paraId="5E476A0A">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lang w:val="zh-TW"/>
        </w:rPr>
        <w:t>各层平面图应按结构专业提资套入结构</w:t>
      </w:r>
      <w:r>
        <w:rPr>
          <w:rFonts w:hint="eastAsia" w:ascii="仿宋_GB2312" w:hAnsi="仿宋_GB2312" w:eastAsia="仿宋_GB2312" w:cs="仿宋_GB2312"/>
          <w:color w:val="auto"/>
          <w:sz w:val="32"/>
          <w:szCs w:val="32"/>
          <w:highlight w:val="none"/>
          <w:lang w:val="en-US" w:eastAsia="zh-CN"/>
        </w:rPr>
        <w:t>竖向构件</w:t>
      </w:r>
      <w:r>
        <w:rPr>
          <w:rFonts w:hint="eastAsia" w:ascii="仿宋_GB2312" w:hAnsi="仿宋_GB2312" w:eastAsia="仿宋_GB2312" w:cs="仿宋_GB2312"/>
          <w:color w:val="auto"/>
          <w:sz w:val="32"/>
          <w:szCs w:val="32"/>
          <w:highlight w:val="none"/>
          <w:lang w:val="zh-TW"/>
        </w:rPr>
        <w:t>，并注意剖面图、墙身节点结构梁板柱尺寸与结构提资一致。</w:t>
      </w:r>
    </w:p>
    <w:p w14:paraId="3B49D1DE">
      <w:pPr>
        <w:pStyle w:val="29"/>
        <w:pageBreakBefore w:val="0"/>
        <w:tabs>
          <w:tab w:val="left" w:pos="0"/>
        </w:tabs>
        <w:kinsoku/>
        <w:wordWrap/>
        <w:overflowPunct/>
        <w:topLinePunct w:val="0"/>
        <w:bidi w:val="0"/>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lang w:val="zh-TW"/>
        </w:rPr>
        <w:t>强</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zh-TW"/>
        </w:rPr>
        <w:t>弱电箱留洞以及消防栓箱留洞、检查口、配电盘等尺寸定位及雨水管口位置</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按照设备要求，预留设备吊装、进出孔洞口。</w:t>
      </w:r>
    </w:p>
    <w:p w14:paraId="0A106895">
      <w:pPr>
        <w:pStyle w:val="29"/>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lang w:val="zh-TW"/>
        </w:rPr>
        <w:t>室外设备、配套、服务用房剖面图需重点解决建筑物内各种综合管网设计，使建筑物内部各种管线既能满足设计要求，又能满足各设备设施净高的要求，并在经济的前提下，尽量使净高最大化。</w:t>
      </w:r>
    </w:p>
    <w:p w14:paraId="50E3ACC0">
      <w:pPr>
        <w:pStyle w:val="29"/>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lang w:val="zh-TW"/>
        </w:rPr>
        <w:t>室外设备、配套、服务用房屋顶安装各类风机、冷却塔等设备设施应尽可能成组布置，并采取隔音降噪处理。</w:t>
      </w:r>
    </w:p>
    <w:p w14:paraId="5C3880CA">
      <w:pPr>
        <w:pStyle w:val="29"/>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设计</w:t>
      </w:r>
      <w:r>
        <w:rPr>
          <w:rFonts w:hint="eastAsia" w:ascii="仿宋_GB2312" w:hAnsi="仿宋_GB2312" w:eastAsia="仿宋_GB2312" w:cs="仿宋_GB2312"/>
          <w:b w:val="0"/>
          <w:bCs/>
          <w:color w:val="auto"/>
          <w:sz w:val="32"/>
          <w:szCs w:val="32"/>
          <w:highlight w:val="none"/>
        </w:rPr>
        <w:t>成果要求</w:t>
      </w:r>
    </w:p>
    <w:p w14:paraId="4C9FF5B1">
      <w:pPr>
        <w:pageBreakBefore w:val="0"/>
        <w:kinsoku/>
        <w:wordWrap/>
        <w:overflowPunct/>
        <w:topLinePunct w:val="0"/>
        <w:bidi w:val="0"/>
        <w:adjustRightInd w:val="0"/>
        <w:snapToGrid w:val="0"/>
        <w:spacing w:line="360" w:lineRule="auto"/>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应按照《建筑制图标准》GB/T 50104-2010的要求提交单体建筑施工图（蓝图及电子文件PDF及CAD文件）。图纸深度除满足《建筑工程设计文件编制深度规定》(2016版)的要求外，还应提供以下内容（包含但不限于）：</w:t>
      </w:r>
    </w:p>
    <w:p w14:paraId="407EFE41">
      <w:pPr>
        <w:pStyle w:val="38"/>
        <w:pageBreakBefore w:val="0"/>
        <w:numPr>
          <w:ilvl w:val="0"/>
          <w:numId w:val="6"/>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zh-TW"/>
        </w:rPr>
        <w:t>单体总图；</w:t>
      </w:r>
    </w:p>
    <w:p w14:paraId="6705F13F">
      <w:pPr>
        <w:pStyle w:val="38"/>
        <w:pageBreakBefore w:val="0"/>
        <w:numPr>
          <w:ilvl w:val="0"/>
          <w:numId w:val="6"/>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zh-TW"/>
        </w:rPr>
        <w:t>轴网定位图；</w:t>
      </w:r>
    </w:p>
    <w:p w14:paraId="5D13039A">
      <w:pPr>
        <w:pStyle w:val="38"/>
        <w:pageBreakBefore w:val="0"/>
        <w:numPr>
          <w:ilvl w:val="0"/>
          <w:numId w:val="6"/>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zh-TW"/>
        </w:rPr>
        <w:t>各层防火分区及消防疏散图；</w:t>
      </w:r>
    </w:p>
    <w:p w14:paraId="58401EC4">
      <w:pPr>
        <w:pStyle w:val="38"/>
        <w:pageBreakBefore w:val="0"/>
        <w:numPr>
          <w:ilvl w:val="0"/>
          <w:numId w:val="6"/>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zh-TW"/>
        </w:rPr>
        <w:t>装饰立面图、装饰屋顶平面图；</w:t>
      </w:r>
    </w:p>
    <w:p w14:paraId="708A4DB8">
      <w:pPr>
        <w:pStyle w:val="38"/>
        <w:pageBreakBefore w:val="0"/>
        <w:numPr>
          <w:ilvl w:val="0"/>
          <w:numId w:val="6"/>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zh-TW"/>
        </w:rPr>
        <w:t>节</w:t>
      </w:r>
      <w:r>
        <w:rPr>
          <w:rStyle w:val="30"/>
          <w:rFonts w:hint="eastAsia" w:ascii="仿宋_GB2312" w:hAnsi="仿宋_GB2312" w:eastAsia="仿宋_GB2312" w:cs="仿宋_GB2312"/>
          <w:bCs/>
          <w:color w:val="auto"/>
          <w:sz w:val="32"/>
          <w:szCs w:val="32"/>
          <w:highlight w:val="none"/>
        </w:rPr>
        <w:t>能</w:t>
      </w:r>
      <w:r>
        <w:rPr>
          <w:rStyle w:val="30"/>
          <w:rFonts w:hint="eastAsia" w:ascii="仿宋_GB2312" w:hAnsi="仿宋_GB2312" w:eastAsia="仿宋_GB2312" w:cs="仿宋_GB2312"/>
          <w:bCs/>
          <w:color w:val="auto"/>
          <w:sz w:val="32"/>
          <w:szCs w:val="32"/>
          <w:highlight w:val="none"/>
          <w:lang w:val="zh-TW"/>
        </w:rPr>
        <w:t>计算模型及计算书、节能及绿色设计专篇。</w:t>
      </w:r>
    </w:p>
    <w:p w14:paraId="3369862E">
      <w:pPr>
        <w:pageBreakBefore w:val="0"/>
        <w:numPr>
          <w:ilvl w:val="0"/>
          <w:numId w:val="0"/>
        </w:numPr>
        <w:kinsoku/>
        <w:wordWrap/>
        <w:overflowPunct/>
        <w:topLinePunct w:val="0"/>
        <w:bidi w:val="0"/>
        <w:spacing w:line="360" w:lineRule="auto"/>
        <w:contextualSpacing/>
        <w:rPr>
          <w:rFonts w:hint="eastAsia" w:ascii="仿宋_GB2312" w:hAnsi="仿宋_GB2312" w:eastAsia="仿宋_GB2312" w:cs="仿宋_GB2312"/>
          <w:color w:val="auto"/>
          <w:sz w:val="32"/>
          <w:szCs w:val="32"/>
          <w:highlight w:val="none"/>
        </w:rPr>
      </w:pPr>
    </w:p>
    <w:p w14:paraId="26AC3B37">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color w:val="auto"/>
          <w:sz w:val="32"/>
          <w:szCs w:val="32"/>
          <w:highlight w:val="none"/>
        </w:rPr>
      </w:pPr>
      <w:r>
        <w:rPr>
          <w:rFonts w:hint="eastAsia" w:ascii="楷体" w:hAnsi="楷体" w:eastAsia="楷体" w:cs="楷体"/>
          <w:color w:val="auto"/>
          <w:sz w:val="32"/>
          <w:szCs w:val="32"/>
          <w:highlight w:val="none"/>
        </w:rPr>
        <w:t>第</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建筑</w:t>
      </w:r>
      <w:r>
        <w:rPr>
          <w:rFonts w:hint="eastAsia" w:ascii="仿宋_GB2312" w:hAnsi="仿宋_GB2312" w:eastAsia="仿宋_GB2312" w:cs="仿宋_GB2312"/>
          <w:color w:val="auto"/>
          <w:sz w:val="32"/>
          <w:szCs w:val="32"/>
          <w:highlight w:val="none"/>
        </w:rPr>
        <w:t>总体</w:t>
      </w:r>
      <w:r>
        <w:rPr>
          <w:rFonts w:hint="eastAsia" w:ascii="仿宋_GB2312" w:hAnsi="仿宋_GB2312" w:eastAsia="仿宋_GB2312" w:cs="仿宋_GB2312"/>
          <w:color w:val="auto"/>
          <w:sz w:val="32"/>
          <w:szCs w:val="32"/>
          <w:highlight w:val="none"/>
          <w:lang w:val="en-US" w:eastAsia="zh-CN"/>
        </w:rPr>
        <w:t>设计技术</w:t>
      </w:r>
      <w:r>
        <w:rPr>
          <w:rFonts w:hint="eastAsia" w:ascii="仿宋_GB2312" w:hAnsi="仿宋_GB2312" w:eastAsia="仿宋_GB2312" w:cs="仿宋_GB2312"/>
          <w:color w:val="auto"/>
          <w:sz w:val="32"/>
          <w:szCs w:val="32"/>
          <w:highlight w:val="none"/>
        </w:rPr>
        <w:t>要求</w:t>
      </w:r>
    </w:p>
    <w:p w14:paraId="657FC75F">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 设计说明</w:t>
      </w:r>
    </w:p>
    <w:p w14:paraId="636EC27C">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b w:val="0"/>
          <w:bCs w:val="0"/>
          <w:color w:val="auto"/>
          <w:kern w:val="2"/>
          <w:sz w:val="32"/>
          <w:szCs w:val="32"/>
          <w:highlight w:val="none"/>
          <w:lang w:val="en-US" w:eastAsia="zh-CN" w:bidi="ar-SA"/>
        </w:rPr>
        <w:t>建筑设计总说明各子项材料做法表、装修做法表汇总统一编写，子项说明根据具体情况单独编写。</w:t>
      </w:r>
    </w:p>
    <w:p w14:paraId="1B9EB5E6">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2.设计说明及装修做法表须提交甲方评审确认；公配、商办设计说明及装饰做法同住宅建筑分开。</w:t>
      </w:r>
    </w:p>
    <w:p w14:paraId="3FE63709">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3.所有门窗需统一编制门窗表及绘制放大分隔简图，进行编号并注明选料，门窗表中应统计各单体门窗数量。防火门窗及人防门的编号需易于识别。门窗表应包含通风面积、采光面积等与节能审核相关的数据。</w:t>
      </w:r>
    </w:p>
    <w:p w14:paraId="1637D80B">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4.所有未在详图中表达的构件、节点、构造做法，均应在设计说明中以文字和配标准图的方式补充，例如雨水篦子、预埋件、穿墙套管等。</w:t>
      </w:r>
    </w:p>
    <w:p w14:paraId="427F0060">
      <w:pPr>
        <w:pageBreakBefore w:val="0"/>
        <w:numPr>
          <w:ilvl w:val="0"/>
          <w:numId w:val="0"/>
        </w:numPr>
        <w:kinsoku/>
        <w:wordWrap/>
        <w:overflowPunct/>
        <w:topLinePunct w:val="0"/>
        <w:bidi w:val="0"/>
        <w:spacing w:line="360" w:lineRule="auto"/>
        <w:ind w:left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（二） 面积统计</w:t>
      </w:r>
    </w:p>
    <w:p w14:paraId="49DF7555">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1.建筑面积计算应严格按照国家及当地的有关规定执行。</w:t>
      </w:r>
    </w:p>
    <w:p w14:paraId="1EB94BCE">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2.规划报建面积计算规则与房产测绘面积计算规则不完全相同，设计中应注意规避不同，做到房产测绘面积与规划报建面积一致。如存在困难应报甲方协商确定解决办法。</w:t>
      </w:r>
    </w:p>
    <w:p w14:paraId="4AA4EECD">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3.建筑设计总说明中建筑面积的计算要精确。住宅、居委会、物业用房、配电房垃圾房、电信机房等各部分的建筑面积计算应严格按照当地政府有关部门的相关规定及甲方相关要求执行。</w:t>
      </w:r>
    </w:p>
    <w:p w14:paraId="1D14BA4D">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4.经济指标应根据设计的不同阶段分别汇总提供，并随设计的加深不断核算直至最终成果，并应保证与方案报建的指标一致。应根据甲方要求跟踪各阶段的项目规划设计面积和项目户型面积。</w:t>
      </w:r>
    </w:p>
    <w:p w14:paraId="16CF2322">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 w:hAnsi="楷体" w:eastAsia="楷体" w:cs="楷体"/>
          <w:color w:val="auto"/>
          <w:sz w:val="32"/>
          <w:szCs w:val="32"/>
          <w:highlight w:val="none"/>
        </w:rPr>
        <w:t>第</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b w:val="0"/>
          <w:bCs w:val="0"/>
          <w:color w:val="auto"/>
          <w:kern w:val="2"/>
          <w:sz w:val="32"/>
          <w:szCs w:val="32"/>
          <w:highlight w:val="none"/>
          <w:lang w:val="en-US" w:eastAsia="zh-CN" w:bidi="ar-SA"/>
        </w:rPr>
        <w:t>室外总体设计</w:t>
      </w:r>
    </w:p>
    <w:p w14:paraId="2C172D07">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 室外场地</w:t>
      </w:r>
    </w:p>
    <w:p w14:paraId="0E3C3A4F">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1.建筑单体、总图专业标高以及景观设计标高必须一致，由土建设计单位总图专业牵头核对，并落实于总图及单体建筑专业图纸中。</w:t>
      </w:r>
    </w:p>
    <w:p w14:paraId="65F6896F">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u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2.首层室内外高差应控制不大于</w:t>
      </w:r>
      <w:r>
        <w:rPr>
          <w:rFonts w:hint="eastAsia" w:ascii="仿宋_GB2312" w:hAnsi="仿宋_GB2312" w:eastAsia="仿宋_GB2312" w:cs="仿宋_GB2312"/>
          <w:b w:val="0"/>
          <w:bCs w:val="0"/>
          <w:color w:val="auto"/>
          <w:kern w:val="2"/>
          <w:sz w:val="32"/>
          <w:szCs w:val="32"/>
          <w:highlight w:val="none"/>
          <w:u w:val="none"/>
          <w:lang w:val="en-US" w:eastAsia="zh-CN" w:bidi="ar-SA"/>
        </w:rPr>
        <w:t>600mm，或按照初步设计成果执行。</w:t>
      </w:r>
    </w:p>
    <w:p w14:paraId="3F36F665">
      <w:pPr>
        <w:pageBreakBefore w:val="0"/>
        <w:numPr>
          <w:ilvl w:val="0"/>
          <w:numId w:val="0"/>
        </w:numPr>
        <w:kinsoku/>
        <w:wordWrap/>
        <w:overflowPunct/>
        <w:topLinePunct w:val="0"/>
        <w:bidi w:val="0"/>
        <w:spacing w:line="360" w:lineRule="auto"/>
        <w:ind w:firstLine="640" w:firstLineChars="200"/>
        <w:contextualSpacing/>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3.设计院应根据项目实际需要对设计标高进行场地土方平衡计算并提交计算书。</w:t>
      </w:r>
    </w:p>
    <w:p w14:paraId="6F9EE7ED">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（二） 总平面</w:t>
      </w:r>
    </w:p>
    <w:p w14:paraId="0A636920">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22" w:name="_Toc409335909"/>
      <w:bookmarkStart w:id="23" w:name="_Toc396058653"/>
      <w:bookmarkStart w:id="24" w:name="_Toc396061873"/>
      <w:bookmarkStart w:id="25" w:name="_Toc399232445"/>
      <w:r>
        <w:rPr>
          <w:rFonts w:hint="eastAsia" w:ascii="仿宋_GB2312" w:hAnsi="仿宋_GB2312" w:eastAsia="仿宋_GB2312" w:cs="仿宋_GB2312"/>
          <w:b w:val="0"/>
          <w:bCs w:val="0"/>
          <w:color w:val="auto"/>
          <w:kern w:val="2"/>
          <w:sz w:val="32"/>
          <w:szCs w:val="32"/>
          <w:highlight w:val="none"/>
          <w:lang w:val="en-US" w:eastAsia="zh-CN" w:bidi="ar-SA"/>
        </w:rPr>
        <w:t>1.建筑布置</w:t>
      </w:r>
      <w:bookmarkEnd w:id="22"/>
      <w:bookmarkEnd w:id="23"/>
      <w:bookmarkEnd w:id="24"/>
      <w:bookmarkEnd w:id="25"/>
    </w:p>
    <w:p w14:paraId="07B0F5E8">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（1）单元拼接时，应尽量避免故意错位拼接，只有在因地形、边界及特殊空间需求时，才允许单元间错位拼接；拼接楼栋尽量避免非整数楼层标高错位；比邻噪声源的住宅尽量考虑减小噪音对住户的影响。</w:t>
      </w:r>
    </w:p>
    <w:p w14:paraId="232095F3">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（2）地下室出地面楼梯间、地下室采光井、地下室排风口、地下车库坡道出入口及挡土墙的具体位置，应落到总平面中，应考虑与景观设计的结合，避免布置在单元入户处等主要室外空间。</w:t>
      </w:r>
    </w:p>
    <w:p w14:paraId="684FFE78">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2.交通组织</w:t>
      </w:r>
    </w:p>
    <w:p w14:paraId="5163696F">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（1）总平面道路设计应反映出环境方案设计，及与市政道路工程接驳的设计。</w:t>
      </w:r>
    </w:p>
    <w:p w14:paraId="6B273689">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（2）当一个组团有2个及以上人行出入口时，有条件的情况下尽量考虑其中一个人车岗亭合并设置。</w:t>
      </w:r>
    </w:p>
    <w:p w14:paraId="3AF65771">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（3）道路横截面应尽量避免同时跨越室外地坪与地下车库覆土层等不同基础荷载部分，如不能避免，必须在道路截面设计中明确处理方法。</w:t>
      </w:r>
    </w:p>
    <w:p w14:paraId="4B3BFFC6">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（4）地上停车位及车道周边范围1M内禁止设计任何地上突出物，以避免擦碰。</w:t>
      </w:r>
    </w:p>
    <w:p w14:paraId="2ECC091F">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（5）首层电梯大堂入口应尽量利用</w:t>
      </w:r>
      <w:r>
        <w:rPr>
          <w:rFonts w:hint="eastAsia" w:ascii="仿宋_GB2312" w:hAnsi="仿宋_GB2312" w:eastAsia="仿宋_GB2312" w:cs="仿宋_GB2312"/>
          <w:b w:val="0"/>
          <w:bCs w:val="0"/>
          <w:color w:val="auto"/>
          <w:kern w:val="2"/>
          <w:sz w:val="32"/>
          <w:szCs w:val="32"/>
          <w:highlight w:val="none"/>
          <w:u w:val="single"/>
          <w:lang w:val="en-US" w:eastAsia="zh-CN" w:bidi="ar-SA"/>
        </w:rPr>
        <w:t>3%</w:t>
      </w:r>
      <w:r>
        <w:rPr>
          <w:rFonts w:hint="eastAsia" w:ascii="仿宋_GB2312" w:hAnsi="仿宋_GB2312" w:eastAsia="仿宋_GB2312" w:cs="仿宋_GB2312"/>
          <w:b w:val="0"/>
          <w:bCs w:val="0"/>
          <w:color w:val="auto"/>
          <w:kern w:val="2"/>
          <w:sz w:val="32"/>
          <w:szCs w:val="32"/>
          <w:highlight w:val="none"/>
          <w:lang w:val="en-US" w:eastAsia="zh-CN" w:bidi="ar-SA"/>
        </w:rPr>
        <w:t>的排水找坡平接园区路，地下车库电梯厅需考虑标高与车库顺接，避免出现台阶和高差。</w:t>
      </w:r>
    </w:p>
    <w:p w14:paraId="4316AAAD">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3.配套设施</w:t>
      </w:r>
    </w:p>
    <w:p w14:paraId="60FC2507">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（1）在规划设计条件内的物业用房，首期完成；在规划条件外的物业用房，与施工图同步完成、但分别出图。</w:t>
      </w:r>
    </w:p>
    <w:p w14:paraId="6F540553">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（2）总平面设计时应合理设置垃圾收集点，与甲方沟通确认位置。</w:t>
      </w:r>
    </w:p>
    <w:p w14:paraId="0EB17275">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小区住宅如考虑分期建设，具体分期由甲方另行提供分期划分总图。配套设施的设置应考虑分期业主入伙后的共同使用及首期的竣工报验。设备用房的设置、小区出入口、地下车库出入口应考虑满足首期工程使用要求。</w:t>
      </w:r>
    </w:p>
    <w:p w14:paraId="56FC9113">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bookmarkStart w:id="26" w:name="_Toc396058656"/>
      <w:bookmarkStart w:id="27" w:name="_Toc396061876"/>
      <w:bookmarkStart w:id="28" w:name="_Toc399232448"/>
      <w:bookmarkStart w:id="29" w:name="_Toc409335912"/>
      <w:r>
        <w:rPr>
          <w:rFonts w:hint="eastAsia" w:ascii="仿宋_GB2312" w:hAnsi="仿宋_GB2312" w:eastAsia="仿宋_GB2312" w:cs="仿宋_GB2312"/>
          <w:b w:val="0"/>
          <w:bCs w:val="0"/>
          <w:color w:val="auto"/>
          <w:kern w:val="2"/>
          <w:sz w:val="32"/>
          <w:szCs w:val="32"/>
          <w:highlight w:val="none"/>
          <w:lang w:val="en-US" w:eastAsia="zh-CN" w:bidi="ar-SA"/>
        </w:rPr>
        <w:t>4.总平管网</w:t>
      </w:r>
      <w:bookmarkEnd w:id="26"/>
      <w:bookmarkEnd w:id="27"/>
      <w:bookmarkEnd w:id="28"/>
      <w:bookmarkEnd w:id="29"/>
    </w:p>
    <w:p w14:paraId="1E929313">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（1）室外综合管网平面图应包含电力、给水、雨污水排水、燃气、有线、电话、宽带、安防智能化、及各管网构筑物位置。</w:t>
      </w:r>
    </w:p>
    <w:p w14:paraId="5BE711F3">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（2）应根据景观设计及景观审核意见、各专业管网要求及现场实际情况对综合管网进行调整，绘制综合管网施工图。</w:t>
      </w:r>
    </w:p>
    <w:p w14:paraId="672ED922">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（3）注意处理红线外各管线的接驳位及高程。</w:t>
      </w:r>
    </w:p>
    <w:p w14:paraId="2773B96C">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（4）室外的给排水管、煤气管的布置应尽量隐蔽，注意管网构筑物例如煤气调压阀、市政给水减压阀、室外消火栓和消防水泵接合器等的位置，避免布置在底层单元入户处和私家花园等主要空间部位。</w:t>
      </w:r>
    </w:p>
    <w:p w14:paraId="6B784BAD">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（5）场地范围内的雨水井应设沉沙池、井口设镀锌钢丝滤网。雨水井位置应结合景观施工图纸，布置在不影响景观观感的位置，同时避免出现阴阳井。</w:t>
      </w:r>
    </w:p>
    <w:p w14:paraId="4A38C912">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（6）建筑底层排水沟结合总平排水综合设计，建筑雨水与场地雨水合用排水沟，不再额外设置散水沟。</w:t>
      </w:r>
    </w:p>
    <w:p w14:paraId="6F3DA8A2">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 w:hAnsi="楷体" w:eastAsia="楷体" w:cs="楷体"/>
          <w:b w:val="0"/>
          <w:bCs w:val="0"/>
          <w:color w:val="auto"/>
          <w:kern w:val="2"/>
          <w:sz w:val="32"/>
          <w:szCs w:val="32"/>
          <w:highlight w:val="none"/>
          <w:lang w:val="en-US" w:eastAsia="zh-CN" w:bidi="ar-SA"/>
        </w:rPr>
        <w:t>第四条</w:t>
      </w:r>
      <w:r>
        <w:rPr>
          <w:rFonts w:hint="eastAsia" w:ascii="仿宋_GB2312" w:hAnsi="仿宋_GB2312" w:eastAsia="仿宋_GB2312" w:cs="仿宋_GB2312"/>
          <w:b w:val="0"/>
          <w:bCs w:val="0"/>
          <w:color w:val="auto"/>
          <w:kern w:val="2"/>
          <w:sz w:val="32"/>
          <w:szCs w:val="32"/>
          <w:highlight w:val="none"/>
          <w:lang w:val="en-US" w:eastAsia="zh-CN" w:bidi="ar-SA"/>
        </w:rPr>
        <w:t xml:space="preserve"> 建筑单体设计</w:t>
      </w:r>
      <w:r>
        <w:rPr>
          <w:rFonts w:hint="eastAsia" w:ascii="仿宋_GB2312" w:hAnsi="仿宋_GB2312" w:eastAsia="仿宋_GB2312" w:cs="仿宋_GB2312"/>
          <w:color w:val="auto"/>
          <w:sz w:val="32"/>
          <w:szCs w:val="32"/>
          <w:highlight w:val="none"/>
          <w:lang w:val="en-US" w:eastAsia="zh-CN"/>
        </w:rPr>
        <w:t>技术</w:t>
      </w:r>
      <w:r>
        <w:rPr>
          <w:rFonts w:hint="eastAsia" w:ascii="仿宋_GB2312" w:hAnsi="仿宋_GB2312" w:eastAsia="仿宋_GB2312" w:cs="仿宋_GB2312"/>
          <w:color w:val="auto"/>
          <w:sz w:val="32"/>
          <w:szCs w:val="32"/>
          <w:highlight w:val="none"/>
        </w:rPr>
        <w:t>要求</w:t>
      </w:r>
    </w:p>
    <w:p w14:paraId="5D700060">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 墙体</w:t>
      </w:r>
    </w:p>
    <w:p w14:paraId="360DBDF4">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1.墙体材料 </w:t>
      </w:r>
    </w:p>
    <w:p w14:paraId="4A21630D">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（1）±0.000以上外围护填充墙、分户墙、卫生间隔墙、管井隔墙所有材料以当地常用材料为首选，由设计院提供意见甲方决定。</w:t>
      </w:r>
    </w:p>
    <w:p w14:paraId="774CC55C">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（2）客厅挂电视一侧填充墙以及厨房挂橱柜一侧填充墙应考虑加强承载力。</w:t>
      </w:r>
    </w:p>
    <w:p w14:paraId="56879C15">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（3）±0.000以下墙体为实心砖，与土壤接触处做好墙身防潮处理。</w:t>
      </w:r>
    </w:p>
    <w:p w14:paraId="174F3A5A">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（4）填充墙砌筑砂浆应注明标号（或配比）。 </w:t>
      </w:r>
    </w:p>
    <w:p w14:paraId="4E34C05E">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2.墙体厚度</w:t>
      </w:r>
    </w:p>
    <w:p w14:paraId="2BE28579">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（1）外墙按</w:t>
      </w:r>
      <w:r>
        <w:rPr>
          <w:rFonts w:hint="eastAsia" w:ascii="仿宋_GB2312" w:hAnsi="仿宋_GB2312" w:eastAsia="仿宋_GB2312" w:cs="仿宋_GB2312"/>
          <w:b w:val="0"/>
          <w:bCs w:val="0"/>
          <w:color w:val="auto"/>
          <w:kern w:val="2"/>
          <w:sz w:val="32"/>
          <w:szCs w:val="32"/>
          <w:highlight w:val="none"/>
          <w:u w:val="none"/>
          <w:lang w:val="en-US" w:eastAsia="zh-CN" w:bidi="ar-SA"/>
        </w:rPr>
        <w:t xml:space="preserve"> 200 </w:t>
      </w:r>
      <w:r>
        <w:rPr>
          <w:rFonts w:hint="eastAsia" w:ascii="仿宋_GB2312" w:hAnsi="仿宋_GB2312" w:eastAsia="仿宋_GB2312" w:cs="仿宋_GB2312"/>
          <w:b w:val="0"/>
          <w:bCs w:val="0"/>
          <w:color w:val="auto"/>
          <w:kern w:val="2"/>
          <w:sz w:val="32"/>
          <w:szCs w:val="32"/>
          <w:highlight w:val="none"/>
          <w:lang w:val="en-US" w:eastAsia="zh-CN" w:bidi="ar-SA"/>
        </w:rPr>
        <w:t>绘制，分户墙按</w:t>
      </w:r>
      <w:r>
        <w:rPr>
          <w:rFonts w:hint="eastAsia" w:ascii="仿宋_GB2312" w:hAnsi="仿宋_GB2312" w:eastAsia="仿宋_GB2312" w:cs="仿宋_GB2312"/>
          <w:b w:val="0"/>
          <w:bCs w:val="0"/>
          <w:color w:val="auto"/>
          <w:kern w:val="2"/>
          <w:sz w:val="32"/>
          <w:szCs w:val="32"/>
          <w:highlight w:val="none"/>
          <w:u w:val="none"/>
          <w:lang w:val="en-US" w:eastAsia="zh-CN" w:bidi="ar-SA"/>
        </w:rPr>
        <w:t xml:space="preserve"> 200 </w:t>
      </w:r>
      <w:r>
        <w:rPr>
          <w:rFonts w:hint="eastAsia" w:ascii="仿宋_GB2312" w:hAnsi="仿宋_GB2312" w:eastAsia="仿宋_GB2312" w:cs="仿宋_GB2312"/>
          <w:b w:val="0"/>
          <w:bCs w:val="0"/>
          <w:color w:val="auto"/>
          <w:kern w:val="2"/>
          <w:sz w:val="32"/>
          <w:szCs w:val="32"/>
          <w:highlight w:val="none"/>
          <w:lang w:val="en-US" w:eastAsia="zh-CN" w:bidi="ar-SA"/>
        </w:rPr>
        <w:t>绘制，户内隔墙按</w:t>
      </w:r>
      <w:r>
        <w:rPr>
          <w:rFonts w:hint="eastAsia" w:ascii="仿宋_GB2312" w:hAnsi="仿宋_GB2312" w:eastAsia="仿宋_GB2312" w:cs="仿宋_GB2312"/>
          <w:b w:val="0"/>
          <w:bCs w:val="0"/>
          <w:color w:val="auto"/>
          <w:kern w:val="2"/>
          <w:sz w:val="32"/>
          <w:szCs w:val="32"/>
          <w:highlight w:val="none"/>
          <w:u w:val="none"/>
          <w:lang w:val="en-US" w:eastAsia="zh-CN" w:bidi="ar-SA"/>
        </w:rPr>
        <w:t xml:space="preserve"> 100/200 </w:t>
      </w:r>
      <w:r>
        <w:rPr>
          <w:rFonts w:hint="eastAsia" w:ascii="仿宋_GB2312" w:hAnsi="仿宋_GB2312" w:eastAsia="仿宋_GB2312" w:cs="仿宋_GB2312"/>
          <w:b w:val="0"/>
          <w:bCs w:val="0"/>
          <w:color w:val="auto"/>
          <w:kern w:val="2"/>
          <w:sz w:val="32"/>
          <w:szCs w:val="32"/>
          <w:highlight w:val="none"/>
          <w:lang w:val="en-US" w:eastAsia="zh-CN" w:bidi="ar-SA"/>
        </w:rPr>
        <w:t>绘制，户内管道井壁按</w:t>
      </w:r>
      <w:r>
        <w:rPr>
          <w:rFonts w:hint="eastAsia" w:ascii="仿宋_GB2312" w:hAnsi="仿宋_GB2312" w:eastAsia="仿宋_GB2312" w:cs="仿宋_GB2312"/>
          <w:b w:val="0"/>
          <w:bCs w:val="0"/>
          <w:color w:val="auto"/>
          <w:kern w:val="2"/>
          <w:sz w:val="32"/>
          <w:szCs w:val="32"/>
          <w:highlight w:val="none"/>
          <w:u w:val="none"/>
          <w:lang w:val="en-US" w:eastAsia="zh-CN" w:bidi="ar-SA"/>
        </w:rPr>
        <w:t xml:space="preserve"> 100 </w:t>
      </w:r>
      <w:r>
        <w:rPr>
          <w:rFonts w:hint="eastAsia" w:ascii="仿宋_GB2312" w:hAnsi="仿宋_GB2312" w:eastAsia="仿宋_GB2312" w:cs="仿宋_GB2312"/>
          <w:b w:val="0"/>
          <w:bCs w:val="0"/>
          <w:color w:val="auto"/>
          <w:kern w:val="2"/>
          <w:sz w:val="32"/>
          <w:szCs w:val="32"/>
          <w:highlight w:val="none"/>
          <w:lang w:val="en-US" w:eastAsia="zh-CN" w:bidi="ar-SA"/>
        </w:rPr>
        <w:t>绘制，厨房与卫生间按100绘制，防火墙、楼梯间墙、地下室内隔墙按200绘制，安装配电箱墙体应不小于</w:t>
      </w:r>
      <w:r>
        <w:rPr>
          <w:rFonts w:hint="eastAsia" w:ascii="仿宋_GB2312" w:hAnsi="仿宋_GB2312" w:eastAsia="仿宋_GB2312" w:cs="仿宋_GB2312"/>
          <w:b w:val="0"/>
          <w:bCs w:val="0"/>
          <w:color w:val="auto"/>
          <w:kern w:val="2"/>
          <w:sz w:val="32"/>
          <w:szCs w:val="32"/>
          <w:highlight w:val="none"/>
          <w:u w:val="single"/>
          <w:lang w:val="en-US" w:eastAsia="zh-CN" w:bidi="ar-SA"/>
        </w:rPr>
        <w:t xml:space="preserve"> 200 </w:t>
      </w:r>
      <w:r>
        <w:rPr>
          <w:rFonts w:hint="eastAsia" w:ascii="仿宋_GB2312" w:hAnsi="仿宋_GB2312" w:eastAsia="仿宋_GB2312" w:cs="仿宋_GB2312"/>
          <w:b w:val="0"/>
          <w:bCs w:val="0"/>
          <w:color w:val="auto"/>
          <w:kern w:val="2"/>
          <w:sz w:val="32"/>
          <w:szCs w:val="32"/>
          <w:highlight w:val="none"/>
          <w:lang w:val="en-US" w:eastAsia="zh-CN" w:bidi="ar-SA"/>
        </w:rPr>
        <w:t>厚。</w:t>
      </w:r>
    </w:p>
    <w:p w14:paraId="292D3D77">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（2）卫生间隔墙下做</w:t>
      </w:r>
      <w:r>
        <w:rPr>
          <w:rFonts w:hint="eastAsia" w:ascii="仿宋_GB2312" w:hAnsi="仿宋_GB2312" w:eastAsia="仿宋_GB2312" w:cs="仿宋_GB2312"/>
          <w:b w:val="0"/>
          <w:bCs w:val="0"/>
          <w:color w:val="auto"/>
          <w:kern w:val="2"/>
          <w:sz w:val="32"/>
          <w:szCs w:val="32"/>
          <w:highlight w:val="none"/>
          <w:u w:val="single"/>
          <w:lang w:val="en-US" w:eastAsia="zh-CN" w:bidi="ar-SA"/>
        </w:rPr>
        <w:t xml:space="preserve"> 200 </w:t>
      </w:r>
      <w:r>
        <w:rPr>
          <w:rFonts w:hint="eastAsia" w:ascii="仿宋_GB2312" w:hAnsi="仿宋_GB2312" w:eastAsia="仿宋_GB2312" w:cs="仿宋_GB2312"/>
          <w:b w:val="0"/>
          <w:bCs w:val="0"/>
          <w:color w:val="auto"/>
          <w:kern w:val="2"/>
          <w:sz w:val="32"/>
          <w:szCs w:val="32"/>
          <w:highlight w:val="none"/>
          <w:lang w:val="en-US" w:eastAsia="zh-CN" w:bidi="ar-SA"/>
        </w:rPr>
        <w:t>高C20砼反槛，厚度同墙体。</w:t>
      </w:r>
    </w:p>
    <w:p w14:paraId="1F08AA31">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（3）超高层建筑，墙体因抗震设防等规范要求，底部几层墙体会因结构需要适当放宽，具体尺寸应与结构商量确定。</w:t>
      </w:r>
    </w:p>
    <w:p w14:paraId="4D1A35C1">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（4）起居厅与主卧室隔墙剪力墙，保证起居厅墙面平整。起居厅与次卧室或其他辅助房间隔墙剪力墙，保证起居厅墙面平整。主卧室与次卧室或其他辅助房间隔墙剪力墙，保证主卧室墙面平整。</w:t>
      </w:r>
    </w:p>
    <w:p w14:paraId="4A6B7A59">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3.洞口预留及封堵</w:t>
      </w:r>
    </w:p>
    <w:p w14:paraId="2C6765E7">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（1）内外墙上所有留洞（包括门窗洞口）均应有水平和竖向定位。结构梁、柱上所有留洞不仅在各专业图纸上标注，还应在结构图中注明并采取相应措施（补相应图集）。</w:t>
      </w:r>
    </w:p>
    <w:p w14:paraId="153D566C">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（2）凡暗装配电箱、消火栓箱的墙体必须采取相应的构造措施，墙体厚度不小于200mm厚。箱体背板墙体应做加固处理，例如挂钢丝网。</w:t>
      </w:r>
    </w:p>
    <w:p w14:paraId="293DE3E7">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空调预留φ80的PVC套管(在梁中应预留钢质套管)。预留管须坡向室外，内侧管口比外侧管口高20mm～30mm，内外侧管口与内外墙装饰面平齐。挂机空调预留管洞位置注意不要与外立面装饰线角或室内精装修吊顶打架，柜机洞口注意不要与精装修踢脚线打架。</w:t>
      </w:r>
    </w:p>
    <w:p w14:paraId="312B08E0">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（4）客厅及大面积房间（&gt;35m</w:t>
      </w:r>
      <w:r>
        <w:rPr>
          <w:rFonts w:hint="eastAsia" w:ascii="仿宋_GB2312" w:hAnsi="仿宋_GB2312" w:eastAsia="仿宋_GB2312" w:cs="仿宋_GB2312"/>
          <w:b w:val="0"/>
          <w:bCs w:val="0"/>
          <w:color w:val="auto"/>
          <w:kern w:val="2"/>
          <w:sz w:val="32"/>
          <w:szCs w:val="32"/>
          <w:highlight w:val="none"/>
          <w:vertAlign w:val="superscript"/>
          <w:lang w:val="en-US" w:eastAsia="zh-CN" w:bidi="ar-SA"/>
        </w:rPr>
        <w:t>2</w:t>
      </w:r>
      <w:r>
        <w:rPr>
          <w:rFonts w:hint="eastAsia" w:ascii="仿宋_GB2312" w:hAnsi="仿宋_GB2312" w:eastAsia="仿宋_GB2312" w:cs="仿宋_GB2312"/>
          <w:b w:val="0"/>
          <w:bCs w:val="0"/>
          <w:color w:val="auto"/>
          <w:kern w:val="2"/>
          <w:sz w:val="32"/>
          <w:szCs w:val="32"/>
          <w:highlight w:val="none"/>
          <w:lang w:val="en-US" w:eastAsia="zh-CN" w:bidi="ar-SA"/>
        </w:rPr>
        <w:t>）应同时考虑预留柜机和挂机的安装位置，上下各预留一个套管。</w:t>
      </w:r>
    </w:p>
    <w:p w14:paraId="3588A1D9">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（二） 楼地面</w:t>
      </w:r>
    </w:p>
    <w:p w14:paraId="40590F5F">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1.层高</w:t>
      </w:r>
    </w:p>
    <w:p w14:paraId="400CB538">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高层住宅标准层：</w:t>
      </w:r>
      <w:r>
        <w:rPr>
          <w:rFonts w:hint="eastAsia" w:ascii="仿宋_GB2312" w:hAnsi="仿宋_GB2312" w:eastAsia="仿宋_GB2312" w:cs="仿宋_GB2312"/>
          <w:b w:val="0"/>
          <w:bCs w:val="0"/>
          <w:color w:val="auto"/>
          <w:kern w:val="2"/>
          <w:sz w:val="32"/>
          <w:szCs w:val="32"/>
          <w:highlight w:val="none"/>
          <w:u w:val="none"/>
          <w:shd w:val="clear" w:color="auto" w:fill="FFFF00"/>
          <w:lang w:val="en-US" w:eastAsia="zh-CN" w:bidi="ar-SA"/>
        </w:rPr>
        <w:t xml:space="preserve"> 3.0</w:t>
      </w:r>
      <w:r>
        <w:rPr>
          <w:rFonts w:hint="eastAsia" w:ascii="仿宋_GB2312" w:hAnsi="仿宋_GB2312" w:eastAsia="仿宋_GB2312" w:cs="仿宋_GB2312"/>
          <w:b w:val="0"/>
          <w:bCs w:val="0"/>
          <w:color w:val="auto"/>
          <w:kern w:val="2"/>
          <w:sz w:val="32"/>
          <w:szCs w:val="32"/>
          <w:highlight w:val="none"/>
          <w:shd w:val="clear" w:color="auto" w:fill="FFFF00"/>
          <w:lang w:val="en-US" w:eastAsia="zh-CN" w:bidi="ar-SA"/>
        </w:rPr>
        <w:t>m</w:t>
      </w:r>
      <w:r>
        <w:rPr>
          <w:rFonts w:hint="eastAsia" w:ascii="仿宋_GB2312" w:hAnsi="仿宋_GB2312" w:eastAsia="仿宋_GB2312" w:cs="仿宋_GB2312"/>
          <w:b w:val="0"/>
          <w:bCs w:val="0"/>
          <w:color w:val="auto"/>
          <w:kern w:val="2"/>
          <w:sz w:val="32"/>
          <w:szCs w:val="32"/>
          <w:highlight w:val="none"/>
          <w:lang w:val="en-US" w:eastAsia="zh-CN" w:bidi="ar-SA"/>
        </w:rPr>
        <w:t>，</w:t>
      </w:r>
    </w:p>
    <w:p w14:paraId="26953830">
      <w:pPr>
        <w:pageBreakBefore w:val="0"/>
        <w:numPr>
          <w:ilvl w:val="0"/>
          <w:numId w:val="0"/>
        </w:numPr>
        <w:kinsoku/>
        <w:wordWrap/>
        <w:overflowPunct/>
        <w:topLinePunct w:val="0"/>
        <w:bidi w:val="0"/>
        <w:spacing w:line="360" w:lineRule="auto"/>
        <w:ind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高层住宅避难层： </w:t>
      </w:r>
      <w:r>
        <w:rPr>
          <w:rFonts w:hint="eastAsia" w:ascii="仿宋_GB2312" w:hAnsi="仿宋_GB2312" w:eastAsia="仿宋_GB2312" w:cs="仿宋_GB2312"/>
          <w:b w:val="0"/>
          <w:bCs w:val="0"/>
          <w:color w:val="auto"/>
          <w:kern w:val="2"/>
          <w:sz w:val="32"/>
          <w:szCs w:val="32"/>
          <w:highlight w:val="none"/>
          <w:shd w:val="clear" w:color="auto" w:fill="FFFF00"/>
          <w:lang w:val="en-US" w:eastAsia="zh-CN" w:bidi="ar-SA"/>
        </w:rPr>
        <w:t>3.6m</w:t>
      </w:r>
      <w:r>
        <w:rPr>
          <w:rFonts w:hint="eastAsia" w:ascii="仿宋_GB2312" w:hAnsi="仿宋_GB2312" w:eastAsia="仿宋_GB2312" w:cs="仿宋_GB2312"/>
          <w:b w:val="0"/>
          <w:bCs w:val="0"/>
          <w:color w:val="auto"/>
          <w:kern w:val="2"/>
          <w:sz w:val="32"/>
          <w:szCs w:val="32"/>
          <w:highlight w:val="none"/>
          <w:lang w:val="en-US" w:eastAsia="zh-CN" w:bidi="ar-SA"/>
        </w:rPr>
        <w:t>，</w:t>
      </w:r>
    </w:p>
    <w:p w14:paraId="26332BF8">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公配层高：</w:t>
      </w:r>
      <w:r>
        <w:rPr>
          <w:rFonts w:hint="eastAsia" w:ascii="仿宋_GB2312" w:hAnsi="仿宋_GB2312" w:eastAsia="仿宋_GB2312" w:cs="仿宋_GB2312"/>
          <w:b w:val="0"/>
          <w:bCs w:val="0"/>
          <w:color w:val="auto"/>
          <w:kern w:val="2"/>
          <w:sz w:val="32"/>
          <w:szCs w:val="32"/>
          <w:highlight w:val="none"/>
          <w:u w:val="single"/>
          <w:lang w:val="en-US" w:eastAsia="zh-CN" w:bidi="ar-SA"/>
        </w:rPr>
        <w:t xml:space="preserve"> </w:t>
      </w:r>
      <w:r>
        <w:rPr>
          <w:rFonts w:hint="eastAsia" w:ascii="仿宋_GB2312" w:hAnsi="仿宋_GB2312" w:eastAsia="仿宋_GB2312" w:cs="仿宋_GB2312"/>
          <w:b w:val="0"/>
          <w:bCs w:val="0"/>
          <w:color w:val="auto"/>
          <w:kern w:val="2"/>
          <w:sz w:val="32"/>
          <w:szCs w:val="32"/>
          <w:highlight w:val="none"/>
          <w:u w:val="single"/>
          <w:shd w:val="clear" w:color="auto" w:fill="FFFF00"/>
          <w:lang w:val="en-US" w:eastAsia="zh-CN" w:bidi="ar-SA"/>
        </w:rPr>
        <w:t xml:space="preserve">4.8/4.2 </w:t>
      </w:r>
      <w:r>
        <w:rPr>
          <w:rFonts w:hint="eastAsia" w:ascii="仿宋_GB2312" w:hAnsi="仿宋_GB2312" w:eastAsia="仿宋_GB2312" w:cs="仿宋_GB2312"/>
          <w:b w:val="0"/>
          <w:bCs w:val="0"/>
          <w:color w:val="auto"/>
          <w:kern w:val="2"/>
          <w:sz w:val="32"/>
          <w:szCs w:val="32"/>
          <w:highlight w:val="none"/>
          <w:shd w:val="clear" w:color="auto" w:fill="FFFF00"/>
          <w:lang w:val="en-US" w:eastAsia="zh-CN" w:bidi="ar-SA"/>
        </w:rPr>
        <w:t>m</w:t>
      </w:r>
      <w:r>
        <w:rPr>
          <w:rFonts w:hint="eastAsia" w:ascii="仿宋_GB2312" w:hAnsi="仿宋_GB2312" w:eastAsia="仿宋_GB2312" w:cs="仿宋_GB2312"/>
          <w:b w:val="0"/>
          <w:bCs w:val="0"/>
          <w:color w:val="auto"/>
          <w:kern w:val="2"/>
          <w:sz w:val="32"/>
          <w:szCs w:val="32"/>
          <w:highlight w:val="none"/>
          <w:lang w:val="en-US" w:eastAsia="zh-CN" w:bidi="ar-SA"/>
        </w:rPr>
        <w:t>，</w:t>
      </w:r>
    </w:p>
    <w:p w14:paraId="3E9468A1">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裙房层高：</w:t>
      </w:r>
      <w:r>
        <w:rPr>
          <w:rFonts w:hint="eastAsia" w:ascii="仿宋_GB2312" w:hAnsi="仿宋_GB2312" w:eastAsia="仿宋_GB2312" w:cs="仿宋_GB2312"/>
          <w:b w:val="0"/>
          <w:bCs w:val="0"/>
          <w:color w:val="auto"/>
          <w:kern w:val="2"/>
          <w:sz w:val="32"/>
          <w:szCs w:val="32"/>
          <w:highlight w:val="none"/>
          <w:u w:val="single"/>
          <w:lang w:val="en-US" w:eastAsia="zh-CN" w:bidi="ar-SA"/>
        </w:rPr>
        <w:t xml:space="preserve"> </w:t>
      </w:r>
      <w:r>
        <w:rPr>
          <w:rFonts w:hint="eastAsia" w:ascii="仿宋_GB2312" w:hAnsi="仿宋_GB2312" w:eastAsia="仿宋_GB2312" w:cs="仿宋_GB2312"/>
          <w:b w:val="0"/>
          <w:bCs w:val="0"/>
          <w:color w:val="auto"/>
          <w:kern w:val="2"/>
          <w:sz w:val="32"/>
          <w:szCs w:val="32"/>
          <w:highlight w:val="none"/>
          <w:u w:val="single"/>
          <w:shd w:val="clear" w:color="auto" w:fill="FFFF00"/>
          <w:lang w:val="en-US" w:eastAsia="zh-CN" w:bidi="ar-SA"/>
        </w:rPr>
        <w:t xml:space="preserve">首层4.8m，二层4.2 </w:t>
      </w:r>
      <w:r>
        <w:rPr>
          <w:rFonts w:hint="eastAsia" w:ascii="仿宋_GB2312" w:hAnsi="仿宋_GB2312" w:eastAsia="仿宋_GB2312" w:cs="仿宋_GB2312"/>
          <w:b w:val="0"/>
          <w:bCs w:val="0"/>
          <w:color w:val="auto"/>
          <w:kern w:val="2"/>
          <w:sz w:val="32"/>
          <w:szCs w:val="32"/>
          <w:highlight w:val="none"/>
          <w:shd w:val="clear" w:color="auto" w:fill="FFFF00"/>
          <w:lang w:val="en-US" w:eastAsia="zh-CN" w:bidi="ar-SA"/>
        </w:rPr>
        <w:t>m</w:t>
      </w:r>
      <w:r>
        <w:rPr>
          <w:rFonts w:hint="eastAsia" w:ascii="仿宋_GB2312" w:hAnsi="仿宋_GB2312" w:eastAsia="仿宋_GB2312" w:cs="仿宋_GB2312"/>
          <w:b w:val="0"/>
          <w:bCs w:val="0"/>
          <w:color w:val="auto"/>
          <w:kern w:val="2"/>
          <w:sz w:val="32"/>
          <w:szCs w:val="32"/>
          <w:highlight w:val="none"/>
          <w:lang w:val="en-US" w:eastAsia="zh-CN" w:bidi="ar-SA"/>
        </w:rPr>
        <w:t>，</w:t>
      </w:r>
    </w:p>
    <w:p w14:paraId="12769831">
      <w:pPr>
        <w:pageBreakBefore w:val="0"/>
        <w:numPr>
          <w:ilvl w:val="0"/>
          <w:numId w:val="0"/>
        </w:numPr>
        <w:kinsoku/>
        <w:wordWrap/>
        <w:overflowPunct/>
        <w:topLinePunct w:val="0"/>
        <w:bidi w:val="0"/>
        <w:spacing w:line="360" w:lineRule="auto"/>
        <w:ind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架空层层高：</w:t>
      </w:r>
      <w:r>
        <w:rPr>
          <w:rFonts w:hint="eastAsia" w:ascii="仿宋_GB2312" w:hAnsi="仿宋_GB2312" w:eastAsia="仿宋_GB2312" w:cs="仿宋_GB2312"/>
          <w:b w:val="0"/>
          <w:bCs w:val="0"/>
          <w:color w:val="auto"/>
          <w:kern w:val="2"/>
          <w:sz w:val="32"/>
          <w:szCs w:val="32"/>
          <w:highlight w:val="none"/>
          <w:shd w:val="clear" w:color="auto" w:fill="FFFF00"/>
          <w:lang w:val="en-US" w:eastAsia="zh-CN" w:bidi="ar-SA"/>
        </w:rPr>
        <w:t>5.8m</w:t>
      </w:r>
      <w:r>
        <w:rPr>
          <w:rFonts w:hint="eastAsia" w:ascii="仿宋_GB2312" w:hAnsi="仿宋_GB2312" w:eastAsia="仿宋_GB2312" w:cs="仿宋_GB2312"/>
          <w:b w:val="0"/>
          <w:bCs w:val="0"/>
          <w:color w:val="auto"/>
          <w:kern w:val="2"/>
          <w:sz w:val="32"/>
          <w:szCs w:val="32"/>
          <w:highlight w:val="none"/>
          <w:lang w:val="en-US" w:eastAsia="zh-CN" w:bidi="ar-SA"/>
        </w:rPr>
        <w:t>，</w:t>
      </w:r>
    </w:p>
    <w:p w14:paraId="27C394BE">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大底盘地下室（机动车车库）：</w:t>
      </w:r>
      <w:r>
        <w:rPr>
          <w:rFonts w:hint="eastAsia" w:ascii="仿宋_GB2312" w:hAnsi="仿宋_GB2312" w:eastAsia="仿宋_GB2312" w:cs="仿宋_GB2312"/>
          <w:b w:val="0"/>
          <w:bCs w:val="0"/>
          <w:color w:val="auto"/>
          <w:kern w:val="2"/>
          <w:sz w:val="32"/>
          <w:szCs w:val="32"/>
          <w:highlight w:val="none"/>
          <w:u w:val="none"/>
          <w:lang w:val="en-US" w:eastAsia="zh-CN" w:bidi="ar-SA"/>
        </w:rPr>
        <w:t>地下一层层高</w:t>
      </w:r>
      <w:r>
        <w:rPr>
          <w:rFonts w:hint="eastAsia" w:ascii="仿宋_GB2312" w:hAnsi="仿宋_GB2312" w:eastAsia="仿宋_GB2312" w:cs="仿宋_GB2312"/>
          <w:b w:val="0"/>
          <w:bCs w:val="0"/>
          <w:color w:val="auto"/>
          <w:kern w:val="2"/>
          <w:sz w:val="32"/>
          <w:szCs w:val="32"/>
          <w:highlight w:val="none"/>
          <w:u w:val="none"/>
          <w:shd w:val="clear" w:color="auto" w:fill="FFFF00"/>
          <w:lang w:val="en-US" w:eastAsia="zh-CN" w:bidi="ar-SA"/>
        </w:rPr>
        <w:t xml:space="preserve"> 3.5m</w:t>
      </w:r>
      <w:r>
        <w:rPr>
          <w:rFonts w:hint="eastAsia" w:ascii="仿宋_GB2312" w:hAnsi="仿宋_GB2312" w:eastAsia="仿宋_GB2312" w:cs="仿宋_GB2312"/>
          <w:b w:val="0"/>
          <w:bCs w:val="0"/>
          <w:color w:val="auto"/>
          <w:kern w:val="2"/>
          <w:sz w:val="32"/>
          <w:szCs w:val="32"/>
          <w:highlight w:val="none"/>
          <w:u w:val="none"/>
          <w:lang w:val="en-US" w:eastAsia="zh-CN" w:bidi="ar-SA"/>
        </w:rPr>
        <w:t>，地下二层层高</w:t>
      </w:r>
      <w:r>
        <w:rPr>
          <w:rFonts w:hint="eastAsia" w:ascii="仿宋_GB2312" w:hAnsi="仿宋_GB2312" w:eastAsia="仿宋_GB2312" w:cs="仿宋_GB2312"/>
          <w:b w:val="0"/>
          <w:bCs w:val="0"/>
          <w:color w:val="auto"/>
          <w:kern w:val="2"/>
          <w:sz w:val="32"/>
          <w:szCs w:val="32"/>
          <w:highlight w:val="none"/>
          <w:u w:val="none"/>
          <w:shd w:val="clear" w:color="auto" w:fill="FFFF00"/>
          <w:lang w:val="en-US" w:eastAsia="zh-CN" w:bidi="ar-SA"/>
        </w:rPr>
        <w:t xml:space="preserve"> 3.5m</w:t>
      </w:r>
      <w:r>
        <w:rPr>
          <w:rFonts w:hint="eastAsia" w:ascii="仿宋_GB2312" w:hAnsi="仿宋_GB2312" w:eastAsia="仿宋_GB2312" w:cs="仿宋_GB2312"/>
          <w:b w:val="0"/>
          <w:bCs w:val="0"/>
          <w:color w:val="auto"/>
          <w:kern w:val="2"/>
          <w:sz w:val="32"/>
          <w:szCs w:val="32"/>
          <w:highlight w:val="none"/>
          <w:lang w:val="en-US" w:eastAsia="zh-CN" w:bidi="ar-SA"/>
        </w:rPr>
        <w:t>。</w:t>
      </w:r>
    </w:p>
    <w:p w14:paraId="20A5B5D4">
      <w:pPr>
        <w:keepNext w:val="0"/>
        <w:keepLines w:val="0"/>
        <w:pageBreakBefore w:val="0"/>
        <w:widowControl/>
        <w:numPr>
          <w:ilvl w:val="0"/>
          <w:numId w:val="0"/>
        </w:numPr>
        <w:kinsoku/>
        <w:wordWrap/>
        <w:overflowPunct/>
        <w:topLinePunct w:val="0"/>
        <w:bidi w:val="0"/>
        <w:adjustRightInd/>
        <w:spacing w:before="0" w:after="0" w:line="360" w:lineRule="auto"/>
        <w:ind w:leftChars="0" w:firstLine="640" w:firstLineChars="200"/>
        <w:jc w:val="left"/>
        <w:outlineLvl w:val="9"/>
        <w:rPr>
          <w:rFonts w:hint="eastAsia" w:ascii="仿宋_GB2312" w:hAnsi="仿宋_GB2312" w:eastAsia="仿宋_GB2312" w:cs="仿宋_GB2312"/>
          <w:b w:val="0"/>
          <w:bCs w:val="0"/>
          <w:color w:val="auto"/>
          <w:kern w:val="2"/>
          <w:sz w:val="32"/>
          <w:szCs w:val="32"/>
          <w:highlight w:val="none"/>
          <w:lang w:val="en-US" w:eastAsia="zh-CN" w:bidi="ar-SA"/>
        </w:rPr>
      </w:pPr>
      <w:bookmarkStart w:id="30" w:name="_Toc409335922"/>
      <w:r>
        <w:rPr>
          <w:rFonts w:hint="eastAsia" w:ascii="仿宋_GB2312" w:hAnsi="仿宋_GB2312" w:eastAsia="仿宋_GB2312" w:cs="仿宋_GB2312"/>
          <w:b w:val="0"/>
          <w:bCs w:val="0"/>
          <w:color w:val="auto"/>
          <w:kern w:val="2"/>
          <w:sz w:val="32"/>
          <w:szCs w:val="32"/>
          <w:highlight w:val="none"/>
          <w:lang w:val="en-US" w:eastAsia="zh-CN" w:bidi="ar-SA"/>
        </w:rPr>
        <w:t>2.标高</w:t>
      </w:r>
      <w:bookmarkEnd w:id="30"/>
    </w:p>
    <w:p w14:paraId="5137DA8E">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（1）建筑专业标注的标高为楼、地面面层完成面标高，结构专业标注的标高相应降50mm，其他专业应参照建筑专业的标高。</w:t>
      </w:r>
    </w:p>
    <w:tbl>
      <w:tblPr>
        <w:tblStyle w:val="14"/>
        <w:tblpPr w:leftFromText="180" w:rightFromText="180" w:vertAnchor="text" w:horzAnchor="page" w:tblpX="2597"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1"/>
        <w:gridCol w:w="1985"/>
      </w:tblGrid>
      <w:tr w14:paraId="7305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2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186BCEA">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设计标高参考示意</w:t>
            </w:r>
          </w:p>
        </w:tc>
      </w:tr>
      <w:tr w14:paraId="750B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tcBorders>
              <w:top w:val="single" w:color="auto" w:sz="4" w:space="0"/>
            </w:tcBorders>
            <w:shd w:val="clear" w:color="auto" w:fill="auto"/>
            <w:noWrap w:val="0"/>
            <w:vAlign w:val="center"/>
          </w:tcPr>
          <w:p w14:paraId="55C7EE0E">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起居室、卧室</w:t>
            </w:r>
            <w:r>
              <w:rPr>
                <w:rFonts w:hint="eastAsia" w:ascii="仿宋_GB2312" w:hAnsi="仿宋_GB2312" w:eastAsia="仿宋_GB2312" w:cs="仿宋_GB2312"/>
                <w:color w:val="auto"/>
                <w:kern w:val="0"/>
                <w:sz w:val="24"/>
                <w:szCs w:val="24"/>
                <w:highlight w:val="none"/>
              </w:rPr>
              <w:t>建筑标高</w:t>
            </w:r>
          </w:p>
        </w:tc>
        <w:tc>
          <w:tcPr>
            <w:tcW w:w="1985" w:type="dxa"/>
            <w:tcBorders>
              <w:top w:val="single" w:color="auto" w:sz="4" w:space="0"/>
            </w:tcBorders>
            <w:shd w:val="clear" w:color="auto" w:fill="auto"/>
            <w:noWrap w:val="0"/>
            <w:vAlign w:val="center"/>
          </w:tcPr>
          <w:p w14:paraId="7F56B8D6">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w:t>
            </w:r>
          </w:p>
        </w:tc>
      </w:tr>
      <w:tr w14:paraId="7C69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5D4D541F">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lang w:val="en-US" w:eastAsia="zh-CN"/>
              </w:rPr>
              <w:t>起居室、卧室</w:t>
            </w:r>
            <w:r>
              <w:rPr>
                <w:rFonts w:hint="eastAsia" w:ascii="仿宋_GB2312" w:hAnsi="仿宋_GB2312" w:eastAsia="仿宋_GB2312" w:cs="仿宋_GB2312"/>
                <w:color w:val="auto"/>
                <w:kern w:val="0"/>
                <w:sz w:val="24"/>
                <w:szCs w:val="24"/>
                <w:highlight w:val="none"/>
              </w:rPr>
              <w:t>结构标高</w:t>
            </w:r>
          </w:p>
        </w:tc>
        <w:tc>
          <w:tcPr>
            <w:tcW w:w="1985" w:type="dxa"/>
            <w:shd w:val="clear" w:color="auto" w:fill="auto"/>
            <w:noWrap w:val="0"/>
            <w:vAlign w:val="center"/>
          </w:tcPr>
          <w:p w14:paraId="1025CC1F">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H-0.05（结）</w:t>
            </w:r>
          </w:p>
        </w:tc>
      </w:tr>
      <w:tr w14:paraId="1D74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192F7240">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公共楼梯间、电梯厅建筑标高(不降板/降板)</w:t>
            </w:r>
          </w:p>
        </w:tc>
        <w:tc>
          <w:tcPr>
            <w:tcW w:w="1985" w:type="dxa"/>
            <w:shd w:val="clear" w:color="auto" w:fill="auto"/>
            <w:noWrap w:val="0"/>
            <w:vAlign w:val="center"/>
          </w:tcPr>
          <w:p w14:paraId="7C136CF6">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H/H-0.02</w:t>
            </w:r>
          </w:p>
        </w:tc>
      </w:tr>
      <w:tr w14:paraId="05D7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50565B3A">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公共楼梯间、电梯厅结构标高(不降板/降板)</w:t>
            </w:r>
          </w:p>
        </w:tc>
        <w:tc>
          <w:tcPr>
            <w:tcW w:w="1985" w:type="dxa"/>
            <w:shd w:val="clear" w:color="auto" w:fill="auto"/>
            <w:noWrap w:val="0"/>
            <w:vAlign w:val="center"/>
          </w:tcPr>
          <w:p w14:paraId="125E678A">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H-0.05（结）/H-0.07（结）</w:t>
            </w:r>
          </w:p>
        </w:tc>
      </w:tr>
      <w:tr w14:paraId="7097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06D554F0">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厨房建筑标高</w:t>
            </w:r>
          </w:p>
        </w:tc>
        <w:tc>
          <w:tcPr>
            <w:tcW w:w="1985" w:type="dxa"/>
            <w:shd w:val="clear" w:color="auto" w:fill="auto"/>
            <w:noWrap w:val="0"/>
            <w:vAlign w:val="center"/>
          </w:tcPr>
          <w:p w14:paraId="457D25C3">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H-0.0</w:t>
            </w:r>
          </w:p>
        </w:tc>
      </w:tr>
      <w:tr w14:paraId="2FA5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4C3DF979">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厨房结构标高（不降板）</w:t>
            </w:r>
          </w:p>
        </w:tc>
        <w:tc>
          <w:tcPr>
            <w:tcW w:w="1985" w:type="dxa"/>
            <w:shd w:val="clear" w:color="auto" w:fill="auto"/>
            <w:noWrap w:val="0"/>
            <w:vAlign w:val="center"/>
          </w:tcPr>
          <w:p w14:paraId="4261247F">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H-0.05（结）</w:t>
            </w:r>
          </w:p>
        </w:tc>
      </w:tr>
      <w:tr w14:paraId="7A23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09F18A2F">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卫生间建筑标高</w:t>
            </w:r>
          </w:p>
        </w:tc>
        <w:tc>
          <w:tcPr>
            <w:tcW w:w="1985" w:type="dxa"/>
            <w:shd w:val="clear" w:color="auto" w:fill="auto"/>
            <w:noWrap w:val="0"/>
            <w:vAlign w:val="center"/>
          </w:tcPr>
          <w:p w14:paraId="721F3052">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H-0.02</w:t>
            </w:r>
          </w:p>
        </w:tc>
      </w:tr>
      <w:tr w14:paraId="7E10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17CBB62C">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小降板卫生间结构标高</w:t>
            </w:r>
          </w:p>
        </w:tc>
        <w:tc>
          <w:tcPr>
            <w:tcW w:w="1985" w:type="dxa"/>
            <w:shd w:val="clear" w:color="auto" w:fill="auto"/>
            <w:noWrap w:val="0"/>
            <w:vAlign w:val="center"/>
          </w:tcPr>
          <w:p w14:paraId="045EF729">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H-0.10（结）</w:t>
            </w:r>
          </w:p>
        </w:tc>
      </w:tr>
      <w:tr w14:paraId="62E0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43C39BDF">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大降板/局部大降板卫生间结构标高</w:t>
            </w:r>
          </w:p>
        </w:tc>
        <w:tc>
          <w:tcPr>
            <w:tcW w:w="1985" w:type="dxa"/>
            <w:shd w:val="clear" w:color="auto" w:fill="auto"/>
            <w:noWrap w:val="0"/>
            <w:vAlign w:val="center"/>
          </w:tcPr>
          <w:p w14:paraId="61457FFE">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H-0.45（结）</w:t>
            </w:r>
          </w:p>
        </w:tc>
      </w:tr>
      <w:tr w14:paraId="647D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6EFDFDB0">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挑出宽度不大于2m的阳台结构标高（排水1%）</w:t>
            </w:r>
          </w:p>
        </w:tc>
        <w:tc>
          <w:tcPr>
            <w:tcW w:w="1985" w:type="dxa"/>
            <w:shd w:val="clear" w:color="auto" w:fill="auto"/>
            <w:noWrap w:val="0"/>
            <w:vAlign w:val="center"/>
          </w:tcPr>
          <w:p w14:paraId="46944B65">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H-0.10（结）</w:t>
            </w:r>
          </w:p>
        </w:tc>
      </w:tr>
      <w:tr w14:paraId="05BE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77C3F432">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挑出宽度不大于2m的阳台结构标高（排水2%）</w:t>
            </w:r>
          </w:p>
        </w:tc>
        <w:tc>
          <w:tcPr>
            <w:tcW w:w="1985" w:type="dxa"/>
            <w:shd w:val="clear" w:color="auto" w:fill="auto"/>
            <w:noWrap w:val="0"/>
            <w:vAlign w:val="center"/>
          </w:tcPr>
          <w:p w14:paraId="48D85D3A">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H-0.13（结）</w:t>
            </w:r>
          </w:p>
        </w:tc>
      </w:tr>
      <w:tr w14:paraId="3260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49BF6922">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挑出宽度大于2m的阳台结构标高</w:t>
            </w:r>
          </w:p>
        </w:tc>
        <w:tc>
          <w:tcPr>
            <w:tcW w:w="1985" w:type="dxa"/>
            <w:shd w:val="clear" w:color="auto" w:fill="auto"/>
            <w:noWrap w:val="0"/>
            <w:vAlign w:val="center"/>
          </w:tcPr>
          <w:p w14:paraId="662150F0">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H-0.15（结）</w:t>
            </w:r>
          </w:p>
        </w:tc>
      </w:tr>
      <w:tr w14:paraId="1D08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2D9B11D4">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下层为阳台的露台结构标高</w:t>
            </w:r>
          </w:p>
        </w:tc>
        <w:tc>
          <w:tcPr>
            <w:tcW w:w="1985" w:type="dxa"/>
            <w:shd w:val="clear" w:color="auto" w:fill="auto"/>
            <w:noWrap w:val="0"/>
            <w:vAlign w:val="center"/>
          </w:tcPr>
          <w:p w14:paraId="13153E5C">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H-0.15（结）</w:t>
            </w:r>
          </w:p>
        </w:tc>
      </w:tr>
      <w:tr w14:paraId="1837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041" w:type="dxa"/>
            <w:shd w:val="clear" w:color="auto" w:fill="auto"/>
            <w:noWrap w:val="0"/>
            <w:vAlign w:val="center"/>
          </w:tcPr>
          <w:p w14:paraId="485D86A1">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封闭阳台的结构标高</w:t>
            </w:r>
          </w:p>
        </w:tc>
        <w:tc>
          <w:tcPr>
            <w:tcW w:w="1985" w:type="dxa"/>
            <w:shd w:val="clear" w:color="auto" w:fill="auto"/>
            <w:noWrap w:val="0"/>
            <w:vAlign w:val="center"/>
          </w:tcPr>
          <w:p w14:paraId="70D879D9">
            <w:pPr>
              <w:pageBreakBefore w:val="0"/>
              <w:widowControl/>
              <w:kinsoku/>
              <w:wordWrap/>
              <w:overflowPunct/>
              <w:topLinePunct w:val="0"/>
              <w:bidi w:val="0"/>
              <w:spacing w:line="360" w:lineRule="auto"/>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H-0.05（结）</w:t>
            </w:r>
          </w:p>
        </w:tc>
      </w:tr>
    </w:tbl>
    <w:p w14:paraId="0802609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color w:val="auto"/>
          <w:kern w:val="2"/>
          <w:sz w:val="32"/>
          <w:szCs w:val="32"/>
          <w:highlight w:val="none"/>
          <w:lang w:val="en-US" w:eastAsia="zh-CN" w:bidi="ar-SA"/>
        </w:rPr>
      </w:pPr>
    </w:p>
    <w:p w14:paraId="4081431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color w:val="auto"/>
          <w:kern w:val="2"/>
          <w:sz w:val="32"/>
          <w:szCs w:val="32"/>
          <w:highlight w:val="none"/>
          <w:lang w:val="en-US" w:eastAsia="zh-CN" w:bidi="ar-SA"/>
        </w:rPr>
      </w:pPr>
    </w:p>
    <w:p w14:paraId="1A3FD852">
      <w:pPr>
        <w:pageBreakBefore w:val="0"/>
        <w:numPr>
          <w:ilvl w:val="0"/>
          <w:numId w:val="0"/>
        </w:numPr>
        <w:kinsoku/>
        <w:wordWrap/>
        <w:overflowPunct/>
        <w:topLinePunct w:val="0"/>
        <w:bidi w:val="0"/>
        <w:spacing w:line="360" w:lineRule="auto"/>
        <w:rPr>
          <w:rFonts w:hint="eastAsia" w:ascii="仿宋_GB2312" w:hAnsi="仿宋_GB2312" w:eastAsia="仿宋_GB2312" w:cs="仿宋_GB2312"/>
          <w:color w:val="auto"/>
          <w:sz w:val="32"/>
          <w:szCs w:val="32"/>
          <w:highlight w:val="none"/>
          <w:lang w:val="en-US" w:eastAsia="zh-CN"/>
        </w:rPr>
      </w:pPr>
    </w:p>
    <w:p w14:paraId="2A460F5F">
      <w:pPr>
        <w:pageBreakBefore w:val="0"/>
        <w:kinsoku/>
        <w:wordWrap/>
        <w:overflowPunct/>
        <w:topLinePunct w:val="0"/>
        <w:bidi w:val="0"/>
        <w:spacing w:line="360" w:lineRule="auto"/>
        <w:rPr>
          <w:rFonts w:hint="eastAsia" w:ascii="仿宋_GB2312" w:hAnsi="仿宋_GB2312" w:eastAsia="仿宋_GB2312" w:cs="仿宋_GB2312"/>
          <w:color w:val="auto"/>
          <w:sz w:val="32"/>
          <w:szCs w:val="32"/>
          <w:highlight w:val="none"/>
        </w:rPr>
      </w:pPr>
    </w:p>
    <w:p w14:paraId="08F0FC7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（2）严禁厨房、卫生间、阳台的结构板面中部和门洞出入口处，出现梁高出结构板面层的情况。</w:t>
      </w:r>
    </w:p>
    <w:p w14:paraId="27D4AAD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（3）当厨、卫隔墙为100mm厚，厨、卫室内楼面标高处现梁时，可采用缺角梁，或者该梁应比临近厅（室）楼、地面标高多降低30mm（厨）或50mm（卫），并应加强该部位的防水处理。</w:t>
      </w:r>
    </w:p>
    <w:p w14:paraId="4D6EB40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（4）入户门采用四框门，门底框顶面高出室内厅（室）建筑清水完成面至少50mm，若为精装修交楼，应根据室内厅的装修做法确定门底框顶面高度。</w:t>
      </w:r>
    </w:p>
    <w:p w14:paraId="7816A91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（5）各部位楼板间标高和构造关系，应考虑为业主二次装修提供条件；若为精装修交楼，应根据精装修设计确定各部位标高和构造关系。</w:t>
      </w:r>
    </w:p>
    <w:p w14:paraId="028436CE">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bookmarkStart w:id="31" w:name="_Toc392584189"/>
      <w:bookmarkStart w:id="32" w:name="_Toc392583755"/>
      <w:bookmarkStart w:id="33" w:name="_Toc409335925"/>
      <w:bookmarkStart w:id="34" w:name="_Toc392690305"/>
      <w:bookmarkStart w:id="35" w:name="_Toc392622635"/>
      <w:bookmarkStart w:id="36" w:name="_Toc392530456"/>
      <w:bookmarkStart w:id="37" w:name="_Toc392690176"/>
      <w:bookmarkStart w:id="38" w:name="_Toc396061889"/>
      <w:bookmarkStart w:id="39" w:name="_Toc399232461"/>
      <w:bookmarkStart w:id="40" w:name="_Toc392597720"/>
      <w:bookmarkStart w:id="41" w:name="_Toc249082803"/>
      <w:bookmarkStart w:id="42" w:name="_Toc392622772"/>
      <w:bookmarkStart w:id="43" w:name="_Toc392666445"/>
      <w:bookmarkStart w:id="44" w:name="_Toc396058669"/>
      <w:bookmarkStart w:id="45" w:name="_Toc392530890"/>
      <w:bookmarkStart w:id="46" w:name="_Toc392529221"/>
      <w:bookmarkStart w:id="47" w:name="_Toc392666582"/>
      <w:r>
        <w:rPr>
          <w:rFonts w:hint="eastAsia" w:ascii="仿宋_GB2312" w:hAnsi="仿宋_GB2312" w:eastAsia="仿宋_GB2312" w:cs="仿宋_GB2312"/>
          <w:b w:val="0"/>
          <w:bCs w:val="0"/>
          <w:color w:val="auto"/>
          <w:kern w:val="2"/>
          <w:sz w:val="32"/>
          <w:szCs w:val="32"/>
          <w:highlight w:val="none"/>
          <w:lang w:val="en-US" w:eastAsia="zh-CN" w:bidi="ar-SA"/>
        </w:rPr>
        <w:t>（三） 公共部分室内空间设计</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E4540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1.地下车库(含半地下车库)</w:t>
      </w:r>
    </w:p>
    <w:p w14:paraId="39BD2446">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（1）（非）机动车库出入口应临近小区出入口，尽量设于山墙等对业主没有影响的位置；如总平限制，应避免在住宅主景观面，并有良好的屏蔽和美化设计处理措施，且应得到甲方认可。</w:t>
      </w:r>
    </w:p>
    <w:p w14:paraId="7CEB446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（2）（非）机动车库坡道地下室底端设截水沟一道；坡道间结构有顶盖起始处设截水沟一道；坡道地面端部设挡水反坡，坡度为3%，坡长1000～2000mm，挡水反坡起坡处设截水沟一道，直接排向室外的雨水井。</w:t>
      </w:r>
    </w:p>
    <w:p w14:paraId="0D59A27C">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（3）地下车库出入口坡道宜设顶盖。</w:t>
      </w:r>
    </w:p>
    <w:p w14:paraId="437A8D9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（4）横跨车道的排水沟上应有足够强度、截水通畅的成品金属格栅盖板。</w:t>
      </w:r>
    </w:p>
    <w:p w14:paraId="2B61DA1A">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（5）应充分推敲独立于塔楼之外的大底盘地下车库柱网尺寸以及与塔楼交接处的柱网逻辑关系，提高塔楼柱网内可停车空间的利用率。</w:t>
      </w:r>
    </w:p>
    <w:p w14:paraId="22B7D30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车库净高按照车道部分不小于2.2M，车位净高不小于2.0M进行控制。为准确控制剖面净高，应出地下室各层综合管线图，用不同颜色将风、水、电管路分别表示；各层局部风、水、电交叉点管线竖向剖面；地下室各层管线底净空最小处管线竖向剖面（如梁高最低处、过人防门框处等）。</w:t>
      </w:r>
    </w:p>
    <w:p w14:paraId="6E47D781">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（7）车位布置应多方案比较，以标准车位为主结合微型车位，尽可能多布置车位数，提供甲方确认。</w:t>
      </w:r>
    </w:p>
    <w:p w14:paraId="2C0E43F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（8）应做好车位的分类统计工作，分期、分层、分类别（如标准车位、字母车位、微型车位、人防车位等）统计车位数量，并形成相应表格，随车库图纸一并提供给甲方，必要时要能将计算过程提供给甲方。</w:t>
      </w:r>
    </w:p>
    <w:p w14:paraId="62CD9FE6">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（9）地下室顶板荷载计算应考虑局部高大乔木栽种的荷载和游泳池(如有)荷载。</w:t>
      </w:r>
    </w:p>
    <w:p w14:paraId="0964F18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（10）地下室顶板（上部无主体建筑）做0.3%～0.5%结构找坡，有组织排水。</w:t>
      </w:r>
    </w:p>
    <w:p w14:paraId="498EF3E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（11）地下车库地面排水找坡方案，应进行经济性比较，报甲方选择认可。汇水线、分水线、标高、截水沟、积水井等设计应严谨可行、数据可靠，不得未经认真思考随意图示。</w:t>
      </w:r>
    </w:p>
    <w:p w14:paraId="56E691F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（12）地下车库内的截水沟、积水井应靠墙、柱边设置，不得设于车行道、停车位。</w:t>
      </w:r>
    </w:p>
    <w:p w14:paraId="519F619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（13）大底盘地下车库结合车位布置方式和地面景观方案，在车位上方、地下室单元入口门厅附近（如有地面架空层）可均匀设置采光、通风井，且注意做好专项防、排水设计。</w:t>
      </w:r>
    </w:p>
    <w:p w14:paraId="21BCB0E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（14）应系统考虑地下室排风系统在地面出气孔位置的布置，不应对住宅主体、主要景观、主要人行流线及主要商业空间产生不良影响。</w:t>
      </w:r>
    </w:p>
    <w:p w14:paraId="098EC8A2">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（15）地下电梯厅设大堂，大堂入口前考虑设卡门禁系统，大堂入口前不应有车位阻挡，应预留人行通道。</w:t>
      </w:r>
    </w:p>
    <w:p w14:paraId="69F2315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（16）首层地面应注意预留大型设备吊装孔洞。</w:t>
      </w:r>
    </w:p>
    <w:p w14:paraId="326542C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（17）半地下室外窗下口距室外地面高度不应小于300mm。</w:t>
      </w:r>
    </w:p>
    <w:p w14:paraId="53CF7EB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2.设备用房</w:t>
      </w:r>
    </w:p>
    <w:p w14:paraId="322B43A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（1）变配电房、水泵房、柴油发电机房等尽量利用地下车库设于地下。</w:t>
      </w:r>
    </w:p>
    <w:p w14:paraId="6F46011F">
      <w:pPr>
        <w:pageBreakBefore w:val="0"/>
        <w:widowControl w:val="0"/>
        <w:kinsoku/>
        <w:wordWrap/>
        <w:overflowPunct/>
        <w:topLinePunct w:val="0"/>
        <w:bidi w:val="0"/>
        <w:adjustRightInd w:val="0"/>
        <w:snapToGrid w:val="0"/>
        <w:spacing w:line="360" w:lineRule="auto"/>
        <w:ind w:left="0" w:leftChars="0"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（2）设备用房应设置独立、完善的附加防、排水构造措施，高压配电房电缆沟应设置集水坑。该类有噪声或电磁辐射的设备房间不应直接临上部住宅的下方，且有相应的降噪、减震等的构造、设计措施。</w:t>
      </w:r>
    </w:p>
    <w:p w14:paraId="0C71367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（3）地下室防排烟（进风）洞口、柴油发电机送风（排烟）洞口应在建施图和结施图中明确定位、尺寸。地下室防排烟口不得设于单元大堂入口、住宅外墙门窗下方或临近位置。</w:t>
      </w:r>
    </w:p>
    <w:p w14:paraId="1AC8AAB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（4）变配电房应考虑局部抬高300-500mm。为设置电缆沟，应局部降板。</w:t>
      </w:r>
    </w:p>
    <w:p w14:paraId="6F7AB16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3.地下人防工程</w:t>
      </w:r>
    </w:p>
    <w:p w14:paraId="030DAFE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（1）地下人防应充分考虑两个防护单元或物资库之间共用一个口部的可能；应充分利用原民用设计中的钢筋混凝土墙、板。</w:t>
      </w:r>
    </w:p>
    <w:p w14:paraId="54690B3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地下人防口部应尽量利用各单元地下室疏散楼梯间、（非）机动车出入口合并设计。人防口部流线与单元民用地下门厅正常流线分别独立设置。当必须增设独立口部时，不应设置在独立于地面建筑之外，战时补建的情况除外。</w:t>
      </w:r>
    </w:p>
    <w:p w14:paraId="00C4E3A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（3）所有口部原则上不得临机动车车行道布置，不得占用机动车停车位。</w:t>
      </w:r>
    </w:p>
    <w:p w14:paraId="69C683A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（4）非机动车库尽量设在人防区内；人防分区尽量与消防分区相统一，人防墙应尽量与消防分区防火墙重合；人防区战时设备房和非机动车库平面布置均考虑增设车位的可能性。</w:t>
      </w:r>
    </w:p>
    <w:p w14:paraId="232FA48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4.单元大堂门厅</w:t>
      </w:r>
    </w:p>
    <w:p w14:paraId="698BE94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（1）首层大堂尽量保证空间完整方正，如剪力墙对首层大堂空间效果有影响，需优化剪力墙布置方式，或进行局部结构转换。</w:t>
      </w:r>
    </w:p>
    <w:p w14:paraId="725D494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所有排水竖管、雨水立管、消火栓箱、电气箱体等水电设备不得设在首层大堂门厅的主要视线范围内，尽可能设在隐蔽位置。消防警铃、烟感器、安全指示灯等的安装位置避免位于主墙面上，并应与大堂门厅装修结合。消防按钮和插孔电话也不应放在大堂门厅内主要的墙面上，宜放在核心筒的两侧。闭门器应安在门的里侧。原则上，大堂门厅内不应有明装管道及电气箱体。</w:t>
      </w:r>
    </w:p>
    <w:p w14:paraId="0F840B5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应特别考虑大堂门厅顶板处的给排水横管、结构梁等对大堂净空高度的不利影响。大堂门厅顶板有结构梁穿过时，应尽量减少结构梁断面高度，机电管线靠墙边排布。上空不得有影响后期装修高度的各类管线穿过，管线最低处净高不小于3.00M，并在建筑、设备图纸上标明最低设备管道位置及底标高情况。</w:t>
      </w:r>
    </w:p>
    <w:p w14:paraId="6EF1C75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（4）大堂门厅下部有地下室时，大堂门厅投影范围内的地下室顶板标高提升至大堂门厅地面结构设计标高，不做回填处理。下部有人防工程除外。</w:t>
      </w:r>
    </w:p>
    <w:p w14:paraId="707E08E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（5）大堂门厅的照明应结合内装设计明确照度和节能的关系。灯光应分别控制（声光和手动），吊灯、壁灯等一并设计。</w:t>
      </w:r>
    </w:p>
    <w:p w14:paraId="65159A1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（6）首层大堂门厅应能自然通风、采光，并考虑室内外借景。门窗型材尽可能选用非断桥铝合金，优化成本造价。</w:t>
      </w:r>
    </w:p>
    <w:p w14:paraId="6569131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（7）门禁读卡器和对讲主机位置应方便住户使用，并考虑防雨。</w:t>
      </w:r>
    </w:p>
    <w:p w14:paraId="0B8A408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5.楼梯间</w:t>
      </w:r>
    </w:p>
    <w:p w14:paraId="4C72BB2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（1）楼梯间、电梯厅的建筑完成面等高，请根据饰面材料的不同，合理设计结构高度。</w:t>
      </w:r>
    </w:p>
    <w:p w14:paraId="34BCAAC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（2）必须保证楼梯梯段净宽满足规范。在楼梯详图中需准确定位栏杆中心线位置。</w:t>
      </w:r>
    </w:p>
    <w:p w14:paraId="1FB1F23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（3）各类消火栓应嵌入墙内暗装（非住户常见部位的消火栓除外）。消防管道应尽量放在疏散楼梯间内，不放在电梯前室；明露立管凸出墙面时，不得影响安全通行和消防疏散。</w:t>
      </w:r>
    </w:p>
    <w:p w14:paraId="255D7CF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（4）疏散楼梯的楼层处，应安装楼层标识。</w:t>
      </w:r>
    </w:p>
    <w:p w14:paraId="6454D64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（5）满足规范要求下，疏散楼梯应尽量自然通风。</w:t>
      </w:r>
    </w:p>
    <w:p w14:paraId="00CB694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（6）楼梯间出屋面的出口做门槛，以处理楼梯间室内和屋面完成面之间的高差，门槛高度应保证屋面泛水250高；若门槛较高，可在室内侧设置台阶。</w:t>
      </w:r>
    </w:p>
    <w:p w14:paraId="476876F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6.电梯厅、消防电梯前室 </w:t>
      </w:r>
    </w:p>
    <w:p w14:paraId="1768825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（1）地面首层和电梯间入口应设大堂门厅，信报箱结合地面大堂门厅设置（优先外投内取），应注明其位置和做法。</w:t>
      </w:r>
    </w:p>
    <w:p w14:paraId="5D5872D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（2）电梯厅顶板有结构梁穿过时，应尽量减少结构梁断面高度，机电管线靠墙边排布，设置穿梁套管，防止机电管线影响天花标高。</w:t>
      </w:r>
    </w:p>
    <w:p w14:paraId="21769F8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（3）电梯门口做高差10～20mm的反坡，坡向前室，防止电梯井进水。</w:t>
      </w:r>
    </w:p>
    <w:p w14:paraId="4218059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每层应设楼层标识及每户门牌标识，楼层标识应设在出电梯后能直接看到的对景墙上。原则上，电梯对景墙上不设置管道井检查门、消火栓箱、消防立管、加压送风口、各类分线盒等（当不能避免时，应经甲方认可后布置），疏散楼梯门尽量靠边设置。</w:t>
      </w:r>
    </w:p>
    <w:p w14:paraId="084AE16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消防栓箱应尽可能暗装，并避开厅、卧室墙面及避开正对户门和电梯门设置。消火栓箱位置应不影响人流通行，具体位置由甲方认可。消防立管、横管与消火栓箱的接口构造需经给排水、结构和建筑专业共同认可，认真核实其安装的构造可能。在分户墙上采用60mm厚C20钢网细石混凝土封堵，墙体厚度不足时，另行设计；消火栓门采用铝合金、不锈钢或与墙面同样的材料装饰；消火栓的起泵钮放在箱体内，不宜明装，接线盒不得明露；如采用金属门框则不作拉手；箱体的尺寸可适当减小，以能放上器材为准，灭火器不应设在箱内。</w:t>
      </w:r>
    </w:p>
    <w:p w14:paraId="0737E2C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水电管井开门应设距建筑完成面不小于100高的门槛，且水井设地漏。前室内的其它设备，如消防警铃、烟感器、安全指示灯等的安装位置应与前室装修结合，根据前室装修的要求进行调整，保证整体效果协调统一。</w:t>
      </w:r>
    </w:p>
    <w:p w14:paraId="2C690F8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两台相对布置电梯之电梯按钮面板在轿箱门右侧（或使用方便处）单向布置，电梯呼叫按钮留洞距电梯门250mm（净距）；两台并联电梯只在正中间位置设置一个联动电梯呼叫按钮。图纸上应标注竖向和横向定位尺寸。</w:t>
      </w:r>
    </w:p>
    <w:p w14:paraId="62825DC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（8）地下室等通向电梯厅的各种梁、板底标高，考虑设备管线安装后的净高不应小于2200mm。</w:t>
      </w:r>
    </w:p>
    <w:p w14:paraId="5E42416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7.电梯井道、轿厢、机房 </w:t>
      </w:r>
    </w:p>
    <w:p w14:paraId="76C045F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（1）电梯井道尺寸、预埋件、电梯预留孔、结构力学参数、用电量、排水条件、通风条件等根据电梯厂家资料确定。电梯机房设备进出口尺寸应满足设备尺寸要求。</w:t>
      </w:r>
    </w:p>
    <w:p w14:paraId="1263D2D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（2）电梯机房通风系统设置排气扇和电源插座，预留空调位。电梯机房应有直接对外的采光和通风窗（根据通风量计算）；窗外安装百页，以防雨和防盗。</w:t>
      </w:r>
    </w:p>
    <w:p w14:paraId="3A286EC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（3）电梯厅为开敞式时，应加强遮雨及排水措施，防止大雨时雨水倒灌，标准层的电梯门槛完成面高于电梯厅完成面，防止流水进入电梯井道。</w:t>
      </w:r>
    </w:p>
    <w:p w14:paraId="6AB4D8E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（四）公共部分室外分项设计</w:t>
      </w:r>
    </w:p>
    <w:p w14:paraId="4D03E25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1.屋面</w:t>
      </w:r>
    </w:p>
    <w:p w14:paraId="0FF4BC5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（1）屋面分为平屋面和坡屋面。平屋面排水坡度2％；坡屋面排水坡度由立面计算；天沟排水坡度不小于1％。</w:t>
      </w:r>
    </w:p>
    <w:p w14:paraId="45ECA53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屋面雨落水立管应尽量隐蔽设置，宜设在平面凹槽、室外空调机位内等，主要外立面不得明设（联排、双拼、独幢别墅除外）。凹槽处设置时不能影响窗的开启（如卫生间的窗），阳台原则上不设雨落水立管（当必须设置时，不得超过１根）。</w:t>
      </w:r>
    </w:p>
    <w:p w14:paraId="54DDE37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（3）高低屋面处，上部屋面雨水不得经由下一层屋面散排而自由转换。即所有屋面雨水从雨水斗至雨水井间，均必须在雨水管内有组织排放。</w:t>
      </w:r>
    </w:p>
    <w:p w14:paraId="518D846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（4）需在图纸中明确通风道、下水管等各种洞口、管道出屋面的穿板防水处理做法。各种洞口出坡屋面时应结合立面造型综合考虑。各种管线不宜直接穿出坡屋面屋顶。</w:t>
      </w:r>
    </w:p>
    <w:p w14:paraId="6389A94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（5）立面图中需准确表达所有出屋面管道，管道对立面的影响应降至最低。</w:t>
      </w:r>
    </w:p>
    <w:p w14:paraId="43BB99A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（6）女儿墙内侧面层刷白色外墙涂料。请注意屋面防水反坎、消防环管、变形缝对女儿墙安全高度的影响。</w:t>
      </w:r>
    </w:p>
    <w:p w14:paraId="2E5CF48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（7）有绿化的屋顶楼板荷载设计需考虑到相应厚度的土层荷载；同时应留有浇灌用的接水口，亦可用于日后物业外墙清洗。</w:t>
      </w:r>
    </w:p>
    <w:p w14:paraId="5A535E6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2.雨棚</w:t>
      </w:r>
    </w:p>
    <w:p w14:paraId="62B5767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（1）大堂门厅入口如设计防坠落的雨蓬，应预埋安装件。雨蓬出挑长度应覆盖室外台阶踏步，并有组织排水，出水口的位置不影响人员出入，重要位置的雨蓬应做落水管排水或暗排水。</w:t>
      </w:r>
    </w:p>
    <w:p w14:paraId="2E3B6DC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（2）立面设计时，应考虑在顶层阳台上方设置雨棚。</w:t>
      </w:r>
    </w:p>
    <w:p w14:paraId="0EDAEB3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（3）架空层人行出入口设计的防坠落雨蓬，应预埋安装件。</w:t>
      </w:r>
    </w:p>
    <w:p w14:paraId="244B476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（4）出屋面楼梯间和屋面电梯机房出入口，开向露台的门上方均应设雨棚，详标准大样。</w:t>
      </w:r>
    </w:p>
    <w:p w14:paraId="5F01CFE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3.架空层</w:t>
      </w:r>
    </w:p>
    <w:p w14:paraId="6BA50FD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（1）架空层内部不考虑绿化种植和覆土需要。</w:t>
      </w:r>
    </w:p>
    <w:p w14:paraId="6760F3B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（2）架空层地面应有组织排水。</w:t>
      </w:r>
    </w:p>
    <w:p w14:paraId="0735E5E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（3）架空层内风井布置应优先考虑减少对架空层通透空间效果的影响，风井尽量靠边和落地剪力墙组合布置，并应形成模块或规律。</w:t>
      </w:r>
    </w:p>
    <w:p w14:paraId="744703F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（4）与甲方协商确定架空层内的墙面装饰材料，以及吊顶和地面做法。</w:t>
      </w:r>
    </w:p>
    <w:p w14:paraId="41B79B1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4.小区出入口大门及岗亭</w:t>
      </w:r>
    </w:p>
    <w:p w14:paraId="1F74533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（1）小区出入口大门及岗亭若结构与地下车库连接，则应与地下车库施工图设计时一并考虑且出图时间一致。</w:t>
      </w:r>
    </w:p>
    <w:p w14:paraId="489049C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（2）施工图设计单位需按提供的方案对大门及岗亭方案进行深化，同时考虑给排水、电气、大门口泛光照明、道闸、道闸光纤联网、保安值班室强弱电等的设计。</w:t>
      </w:r>
    </w:p>
    <w:p w14:paraId="4A665C4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（五）公共设施</w:t>
      </w:r>
    </w:p>
    <w:p w14:paraId="05857A6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1.水箱</w:t>
      </w:r>
    </w:p>
    <w:p w14:paraId="681ACA5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水箱设置在住宅屋顶时应考虑立面效果，只能在公共部位的屋顶设置，管线不得在户门上空穿越，相关立面方案需甲方认可。</w:t>
      </w:r>
    </w:p>
    <w:p w14:paraId="4DA0490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2.管道井</w:t>
      </w:r>
    </w:p>
    <w:p w14:paraId="151B4D7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（1）管道井设置位置、尺寸做法应与甲方确认。</w:t>
      </w:r>
    </w:p>
    <w:p w14:paraId="086EEE5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（2）高层住宅公共部位水暖井内应每隔5层设置给水点一个，并在管井内设置地漏，楼面满做防水层。</w:t>
      </w:r>
    </w:p>
    <w:p w14:paraId="088D83D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3.出屋面检查孔</w:t>
      </w:r>
    </w:p>
    <w:p w14:paraId="4F65373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设置位置、尺寸及做法应与甲方确认。</w:t>
      </w:r>
    </w:p>
    <w:p w14:paraId="1A97E0E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4.变形缝</w:t>
      </w:r>
    </w:p>
    <w:p w14:paraId="47B9440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变形缝两侧应用墙体分隔以避免出现在住宅户内；禁止排水坡度坡向变形缝一侧，并于图纸上明确变形缝的防水做法。</w:t>
      </w:r>
    </w:p>
    <w:p w14:paraId="312EAE1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5.检查钢梯</w:t>
      </w:r>
    </w:p>
    <w:p w14:paraId="7647DAA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检查钢梯立面色彩与立面位置方案需甲方认可。</w:t>
      </w:r>
    </w:p>
    <w:p w14:paraId="5D93F90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6.防雷带</w:t>
      </w:r>
    </w:p>
    <w:p w14:paraId="58D7371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防雷带样式及做法在图纸上明确，女儿墙采用暗敷避雷带，局部加避雷针做法。</w:t>
      </w:r>
    </w:p>
    <w:p w14:paraId="0845CE6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(六)住宅户内部分</w:t>
      </w:r>
    </w:p>
    <w:p w14:paraId="0F15490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1.玄关</w:t>
      </w:r>
    </w:p>
    <w:p w14:paraId="12948C5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（1）玄关内应考虑鞋柜、衣帽镜、柜的设置空间。</w:t>
      </w:r>
    </w:p>
    <w:p w14:paraId="7F54735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（2）强电箱原则上设置于入口玄关处，尽可能布置在入户门开启后面或隐藏于玄关柜内。强电箱应避免与对讲机、弱电箱一同设置，以免发生干扰。</w:t>
      </w:r>
    </w:p>
    <w:p w14:paraId="402D998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2.客厅、餐厅</w:t>
      </w:r>
    </w:p>
    <w:p w14:paraId="661E6D3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（1）不允许露梁，不允许出现“厚薄墙”设计。</w:t>
      </w:r>
    </w:p>
    <w:p w14:paraId="608AD24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（2）起居厅、客厅的电视墙墙面直线长度应尽可能≥3000mm，沙发应布置在较长墙面一侧。</w:t>
      </w:r>
    </w:p>
    <w:p w14:paraId="54C651E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（3）放置餐桌的墙面宜≥2300mm。</w:t>
      </w:r>
    </w:p>
    <w:p w14:paraId="7F73679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3.书房、卧室</w:t>
      </w:r>
    </w:p>
    <w:p w14:paraId="40EA8D4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（1）主卧应避免出现露梁及“厚薄墙”设计。</w:t>
      </w:r>
    </w:p>
    <w:p w14:paraId="5AE1D36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（2）合理设计壁挂式分体空调室内机的安放位置，避免直接对床头吹。预留空调冷媒、冷凝管孔洞及排水方式，避免室内现管。</w:t>
      </w:r>
    </w:p>
    <w:p w14:paraId="45CE6FC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（3）避免卧室开门正对公卫门，避免主卫门对床，避免卧室开门对床。</w:t>
      </w:r>
    </w:p>
    <w:p w14:paraId="0F469B2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（4）任何排水管道不得穿越上述空间。</w:t>
      </w:r>
    </w:p>
    <w:p w14:paraId="5C9E2BC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4.厨房</w:t>
      </w:r>
    </w:p>
    <w:p w14:paraId="5410E04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（1）开间：单排橱柜布置的平面净宽应≥1600mm，双排布置的平面净宽应≥2200mm。</w:t>
      </w:r>
    </w:p>
    <w:p w14:paraId="3E9BD94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（2）厨房各项设备布置都应遵循洗切炒的流线，应考虑两人同时操作的空间。</w:t>
      </w:r>
    </w:p>
    <w:p w14:paraId="35D3B67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（3）煤气灶靠实体墙面避开窗口布置，方便安装油烟机，同时靠近油烟井道，煤气灶左右两边宜各预留450mm的宽度。</w:t>
      </w:r>
    </w:p>
    <w:p w14:paraId="16BBCA8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（4）洗涤盆临近外墙，方便排水系统靠外墙设置。</w:t>
      </w:r>
    </w:p>
    <w:p w14:paraId="5F676B9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（5）厨房内考虑抽油烟机、电冰箱、微波炉、消毒柜、洗碗机、净水器等电器的布置，并预留相应管线插座，电器插座避免靠近水盆、煤气灶。</w:t>
      </w:r>
    </w:p>
    <w:p w14:paraId="5CAC7FC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（5）冰箱位宽度≥650mm，冰箱和燃气灶不能贴临放置，间距≥450mm。</w:t>
      </w:r>
    </w:p>
    <w:p w14:paraId="1BD7527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厨房内应避免有梁穿过，有梁穿过时应注意水平横管与梁的关系。水平横管的最低高度2500mm。当确须穿过梁时，结构应采取相应措施。所有穿过厨房周边墙、梁的管道应预埋PVC、钢套管；厨房内各种管道应集中布置，不影响正常使用和设置吊顶，应有装修包管道的可能性。</w:t>
      </w:r>
    </w:p>
    <w:p w14:paraId="6A7F35E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（7）应在厨房外墙上预留煤气管道洞口，厨房布置考虑煤气管走向，尽量减少煤气管道在户内的长度。煤气表应设在生活阳台上。厨房预留吸顶煤气泄露报警探头。</w:t>
      </w:r>
    </w:p>
    <w:p w14:paraId="620D353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（8）厨房设置成品双孔变压止逆烟道，井道大小应根据通风量确定。烟道位置应尽可能利用房间转角，并靠近燃气灶。烟道外侧如需贴砖，应加砌50mm砖墙。</w:t>
      </w:r>
    </w:p>
    <w:p w14:paraId="5185BF3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9）厨房门窗设计：厨房吊顶下皮应高于窗洞上皮至少50mm；厨房窗侧留垛宽度考虑燃气管入户宽度；操作台如与开窗墙面垂直，窗侧留垛应≥400mm，以保证上柜安装；橱柜操作台上部如有窗洞，窗洞底应高于操作台挡水高度；注意各种管道，如给排水、煤气管不发生冲突，立管靠墙布置（尽量设置在室外），不得影响开门和开窗。 </w:t>
      </w:r>
    </w:p>
    <w:p w14:paraId="1CCF95B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（10）洗衣机一般不设于厨房，如洗衣机一定要设于厨房，预留机位应不小于650mm*650mm，厨房需预留洗衣机专用排水地漏，离橱柜距离≥200mm。</w:t>
      </w:r>
    </w:p>
    <w:p w14:paraId="2E0B769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（11）如热水器设于厨房，应预留Ф100热水器排烟孔，并安装薄壁镀锌钢套管，建筑图纸中注明水平定位。如排烟孔穿梁，则孔中心距梁底为150mm，如排烟孔在梁下，则孔中心距梁底为100mm。</w:t>
      </w:r>
    </w:p>
    <w:p w14:paraId="4D43C30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（12）厨房若为双扇推拉门≥1600mm，入口净宽应能满足冰箱搬运≥800mm。</w:t>
      </w:r>
    </w:p>
    <w:p w14:paraId="04E17A8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5.卫生间</w:t>
      </w:r>
    </w:p>
    <w:p w14:paraId="3486A04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（1）优选一字形布局。开间：主卧卫生间（设浴缸）净面宽宜≥1800mm。公共卫生间（设淋浴）净面宽应≥1600mm。进深：净尺寸最小值应≥2400mm。</w:t>
      </w:r>
    </w:p>
    <w:p w14:paraId="010E52B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（2）卫生间的门尽量不与卧室门正对。</w:t>
      </w:r>
    </w:p>
    <w:p w14:paraId="5DDB30E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（3）如为精装修交楼，设计应保证吊顶高度不小于2.3m，至少不小于2.2m，有条件的应争取2.4m，吊顶下皮应高于窗洞上皮50mm。</w:t>
      </w:r>
    </w:p>
    <w:p w14:paraId="72A5EC5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（4）卫生间内应避免有梁穿过，当确须有梁穿过时应注意水平横管与梁的关系。同时注意并排卫生间之间不要设梁，因两个卫生间共用排水管时，中间设梁影响吊顶安装高度，如必须设置可采用穿梁方式设置。</w:t>
      </w:r>
    </w:p>
    <w:p w14:paraId="79504612">
      <w:pPr>
        <w:pageBreakBefore w:val="0"/>
        <w:widowControl w:val="0"/>
        <w:kinsoku/>
        <w:wordWrap/>
        <w:overflowPunct/>
        <w:topLinePunct w:val="0"/>
        <w:bidi w:val="0"/>
        <w:adjustRightInd w:val="0"/>
        <w:snapToGrid w:val="0"/>
        <w:spacing w:line="360" w:lineRule="auto"/>
        <w:ind w:firstLine="640" w:firstLineChars="200"/>
        <w:jc w:val="both"/>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降板处理：降板与墙体均需防水处理；同时结构在卫生间隔墙处做200mm高砼反槛，宽与墙厚同，并与楼板砼一起浇捣。地面装修完成后标高宜控制在H-20（客厅=H）。若项目为精装修交楼住宅项目，卫生间门槛石下应做高20mm宽30mm挡水反坎。</w:t>
      </w:r>
    </w:p>
    <w:p w14:paraId="78631E1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（6）无自然通风的卫生间应设通风井道，井道大小应根据通风量确定，不得影响洁具正常使用。</w:t>
      </w:r>
    </w:p>
    <w:p w14:paraId="160926C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卫生间内各种管道应综合布置。给、排水管不应发生冲突，室外立管不遮挡排气洞口，不影响开关门窗，可利用建筑凹槽、隐蔽处或天井位设置；如立管设于卫生间内时，应在室内设管井，管井壁厚100mm，其位置不得影响洁具正常使用，管井应留维修口（不需层层预留）。</w:t>
      </w:r>
    </w:p>
    <w:p w14:paraId="1FB2A93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（8）淋浴间的下水管包括水弯和立管均宜采用10cm管。</w:t>
      </w:r>
    </w:p>
    <w:p w14:paraId="5B25182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（9）跃层卫生间的下层为本套主要出入口、卧室、餐厅、门厅等部位时，不应采用下排的排水方式。</w:t>
      </w:r>
    </w:p>
    <w:p w14:paraId="5701561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如无排水管井，卫生间排气管不应走室内，应沿外墙敷设。排气口如穿过（或靠近）上人屋面，排气口距屋面完成面应不小于2000mm，如排气口设在非上人屋面，排气口距屋面完成面不应小于300mm。排气口不应影响露台及窗。</w:t>
      </w:r>
    </w:p>
    <w:p w14:paraId="066CB8B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（11）热水设置：每个卫生间均通热水，由生活阳台的燃气热水器供给；当跃层的顶层卫生间距燃气热水器较远时，可在卫生间内加设电热水器插座。</w:t>
      </w:r>
    </w:p>
    <w:p w14:paraId="634E67E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6.阳台</w:t>
      </w:r>
    </w:p>
    <w:p w14:paraId="122AD19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（1）阳台栏杆应满足规范要求；若使用玻璃栏板时应充分考虑安全性，玻璃厚度不小于10mm厚；金属栏杆应进行防锈处理。</w:t>
      </w:r>
    </w:p>
    <w:p w14:paraId="5030B51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（2）阳台墙面、梁、栏杆底座及栏板外侧面层如无特别注明，同外墙面层做法，天棚刷白色涂料。</w:t>
      </w:r>
    </w:p>
    <w:p w14:paraId="5594E73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（3）生活阳台上设置：洗衣机、拖布池、煤气表、壁挂强排式燃气热水器、晾衣设施（考虑其空间位置）、地漏（1-2个）、排水立管（北方地区排水立管摄于室内）、防溅插座、给水点。</w:t>
      </w:r>
    </w:p>
    <w:p w14:paraId="3C91896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（4）生活阳台须绘制设备和设施平面布置详图、管线和点位综合图（平面、立面），并标注详细尺寸。</w:t>
      </w:r>
    </w:p>
    <w:p w14:paraId="5861F16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洗衣机位不小于650mm×650mm，并考虑新型洗衣机尺寸。应考虑洗衣机的停放位置与阳台栏板的关系，考虑防雨水、防污的措施等。设置洗衣机专用水龙头（进水龙头采用接口式）、防溅插座和专用防干枯溢漏地漏，且地漏位于洗衣机一侧；生活阳台地漏可单独设置或与洗衣机合用。</w:t>
      </w:r>
    </w:p>
    <w:p w14:paraId="6F6CD3D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生活阳台/厨房考虑壁挂强排式燃气热水器位，设热水器多点供水；具体标明热水器的位置以及留孔。热水器废气直排室外，不得穿玻璃，穿梁、墙应预留空洞，立面设计中要考虑每层排烟管出口对外立面的影响。</w:t>
      </w:r>
    </w:p>
    <w:p w14:paraId="5A8C2D7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（7）生活阳台/厨房墙面留出煤气表位置。煤气表的正投影距离15cm以内不得有电器插座，煤气表不应与热水器邻近。</w:t>
      </w:r>
    </w:p>
    <w:p w14:paraId="622A893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（8）阳台门考虑室内镶地板的高度，阳台门下门框高度不应小于50mm，避免使室内完成面高于门框。</w:t>
      </w:r>
    </w:p>
    <w:p w14:paraId="208543A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（9）阳台周边应设混凝土反坎（门洞处除外），高度不小于150mm。</w:t>
      </w:r>
    </w:p>
    <w:p w14:paraId="31773C1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（10）阳台排水禁止散排应设地漏，地漏的位置建筑专业要结合雨水管，宜靠近外墙、阳台角端设置，不宜设在门口；阳台地面应向地漏找坡。</w:t>
      </w:r>
    </w:p>
    <w:p w14:paraId="4A85AFB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7.露台</w:t>
      </w:r>
    </w:p>
    <w:p w14:paraId="0FA8BDD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（1）墙面、栏杆底座及栏板外侧面层如无特别注明，同外墙面层做法。</w:t>
      </w:r>
    </w:p>
    <w:p w14:paraId="026C47B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（2）露台按屋面防水设计。周边墙体下部均设300mm高混凝土反槛，门洞处设置高出屋面建筑完成面120mm高反槛。</w:t>
      </w:r>
    </w:p>
    <w:p w14:paraId="04488E0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（3）保证露台下层房间中部不出现梁。</w:t>
      </w:r>
    </w:p>
    <w:p w14:paraId="17F1AED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（4）如露台不降板，应做反槛，反槛高度宜为结构至结构250～300mm，即门槛比门口处的室外完成面最高点高50～70mm，比室内楼面高200～250mm。（做隔热的情况）。反坎居室内地坪完成面高度不得超过250mm。</w:t>
      </w:r>
    </w:p>
    <w:p w14:paraId="54DACD9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（5）如露台降板，则降板高度宜为结构至结构250～300mm，即保证室内比上露台门口处室外完成面高50～70mm（做隔热的情况）。</w:t>
      </w:r>
    </w:p>
    <w:p w14:paraId="0C5F0C3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（6）露台分户墙不宜低于1800mm，分户隔墙处做结构上反500mm高C20砼反槛。</w:t>
      </w:r>
    </w:p>
    <w:p w14:paraId="1BFE6BD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（7）为防堵塞，露台面积超过6㎡或长边大于7.5m时，宜在两端设置地漏。</w:t>
      </w:r>
    </w:p>
    <w:p w14:paraId="56E8B87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（8）大于10㎡露台及种植屋面应预留给水点。</w:t>
      </w:r>
    </w:p>
    <w:p w14:paraId="3CE5ED6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8.走道和楼梯</w:t>
      </w:r>
    </w:p>
    <w:p w14:paraId="437A3A8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（1）户内走道净宽≥1000mm，三房及以上户型净宽≥1100mm。</w:t>
      </w:r>
    </w:p>
    <w:p w14:paraId="278DFC4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（2）户内楼梯的踏步净宽≥800mm。户内楼梯原则上采用钢筋混凝土楼梯；特殊情况可为简易钢楼梯，需甲方认可。无论采用何种结构形式楼梯，均应随同正式施工图，绘制建筑、结构专业设计详图。</w:t>
      </w:r>
    </w:p>
    <w:p w14:paraId="0752322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（七）住宅户内分项工程</w:t>
      </w:r>
    </w:p>
    <w:p w14:paraId="5BE1051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1.门窗工程</w:t>
      </w:r>
    </w:p>
    <w:p w14:paraId="6206E5C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甲方根据以往经验总结了门窗工程技术措施，乙方在建筑总说明中作为门窗工程说明统一编写。每栋楼独立进行门窗分割详图设计，编制门窗表，设计门窗立面大样，对门窗进行编号及注明门窗所在层数、樘数、材料种类。各相关部分如平面图、立面图、门窗表、门窗立面大样、保温节能设计等应一致，以保证施工留洞和备料中不发生混淆。</w:t>
      </w:r>
    </w:p>
    <w:p w14:paraId="3BEAB36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（1）外立面门窗尺寸</w:t>
      </w:r>
    </w:p>
    <w:p w14:paraId="47324C9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外立面门窗尺寸须与起居室、卧室的建筑开间相对应，位置居中：</w:t>
      </w:r>
    </w:p>
    <w:tbl>
      <w:tblPr>
        <w:tblStyle w:val="14"/>
        <w:tblW w:w="0" w:type="auto"/>
        <w:tblInd w:w="28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0"/>
        <w:gridCol w:w="1440"/>
        <w:gridCol w:w="1449"/>
        <w:gridCol w:w="1806"/>
        <w:gridCol w:w="1050"/>
        <w:gridCol w:w="1785"/>
      </w:tblGrid>
      <w:tr w14:paraId="2C71C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430" w:type="dxa"/>
            <w:gridSpan w:val="6"/>
            <w:noWrap w:val="0"/>
            <w:vAlign w:val="center"/>
          </w:tcPr>
          <w:p w14:paraId="64E67ECD">
            <w:pPr>
              <w:pageBreakBefore w:val="0"/>
              <w:tabs>
                <w:tab w:val="left" w:pos="1470"/>
              </w:tabs>
              <w:kinsoku/>
              <w:wordWrap/>
              <w:overflowPunct/>
              <w:topLinePunct w:val="0"/>
              <w:bidi w:val="0"/>
              <w:spacing w:line="360" w:lineRule="auto"/>
              <w:ind w:firstLine="482" w:firstLineChars="200"/>
              <w:jc w:val="center"/>
              <w:rPr>
                <w:rFonts w:hint="eastAsia" w:ascii="仿宋_GB2312" w:hAnsi="仿宋_GB2312" w:eastAsia="仿宋_GB2312" w:cs="仿宋_GB2312"/>
                <w:b/>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门窗尺寸参考表</w:t>
            </w:r>
          </w:p>
        </w:tc>
      </w:tr>
      <w:tr w14:paraId="21890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0" w:type="dxa"/>
            <w:noWrap w:val="0"/>
            <w:vAlign w:val="center"/>
          </w:tcPr>
          <w:p w14:paraId="7F0A126B">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房名</w:t>
            </w:r>
          </w:p>
        </w:tc>
        <w:tc>
          <w:tcPr>
            <w:tcW w:w="1440" w:type="dxa"/>
            <w:noWrap w:val="0"/>
            <w:vAlign w:val="center"/>
          </w:tcPr>
          <w:p w14:paraId="3A0EEF0D">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开间</w:t>
            </w:r>
          </w:p>
        </w:tc>
        <w:tc>
          <w:tcPr>
            <w:tcW w:w="1449" w:type="dxa"/>
            <w:noWrap w:val="0"/>
            <w:vAlign w:val="center"/>
          </w:tcPr>
          <w:p w14:paraId="61BDC031">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门窗形式</w:t>
            </w:r>
          </w:p>
        </w:tc>
        <w:tc>
          <w:tcPr>
            <w:tcW w:w="1806" w:type="dxa"/>
            <w:noWrap w:val="0"/>
            <w:vAlign w:val="center"/>
          </w:tcPr>
          <w:p w14:paraId="79D7A51A">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门窗洞宽</w:t>
            </w:r>
          </w:p>
        </w:tc>
        <w:tc>
          <w:tcPr>
            <w:tcW w:w="1050" w:type="dxa"/>
            <w:noWrap w:val="0"/>
            <w:vAlign w:val="center"/>
          </w:tcPr>
          <w:p w14:paraId="08B75701">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墙垛</w:t>
            </w:r>
          </w:p>
        </w:tc>
        <w:tc>
          <w:tcPr>
            <w:tcW w:w="1785" w:type="dxa"/>
            <w:noWrap w:val="0"/>
            <w:vAlign w:val="center"/>
          </w:tcPr>
          <w:p w14:paraId="6836B682">
            <w:pPr>
              <w:pageBreakBefore w:val="0"/>
              <w:tabs>
                <w:tab w:val="left" w:pos="1470"/>
              </w:tabs>
              <w:kinsoku/>
              <w:wordWrap/>
              <w:overflowPunct/>
              <w:topLinePunct w:val="0"/>
              <w:bidi w:val="0"/>
              <w:spacing w:line="360" w:lineRule="auto"/>
              <w:ind w:firstLine="482" w:firstLineChars="200"/>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备注</w:t>
            </w:r>
          </w:p>
        </w:tc>
      </w:tr>
      <w:tr w14:paraId="59E1F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trPr>
        <w:tc>
          <w:tcPr>
            <w:tcW w:w="900" w:type="dxa"/>
            <w:vMerge w:val="restart"/>
            <w:noWrap w:val="0"/>
            <w:vAlign w:val="center"/>
          </w:tcPr>
          <w:p w14:paraId="751C8A9C">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客厅</w:t>
            </w:r>
          </w:p>
        </w:tc>
        <w:tc>
          <w:tcPr>
            <w:tcW w:w="1440" w:type="dxa"/>
            <w:noWrap w:val="0"/>
            <w:vAlign w:val="center"/>
          </w:tcPr>
          <w:p w14:paraId="490EEB0E">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3600-4200</w:t>
            </w:r>
          </w:p>
        </w:tc>
        <w:tc>
          <w:tcPr>
            <w:tcW w:w="1449" w:type="dxa"/>
            <w:vMerge w:val="restart"/>
            <w:noWrap w:val="0"/>
            <w:vAlign w:val="center"/>
          </w:tcPr>
          <w:p w14:paraId="45307B52">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四扇落地推拉门或飘窗</w:t>
            </w:r>
          </w:p>
        </w:tc>
        <w:tc>
          <w:tcPr>
            <w:tcW w:w="1806" w:type="dxa"/>
            <w:noWrap w:val="0"/>
            <w:vAlign w:val="center"/>
          </w:tcPr>
          <w:p w14:paraId="157B7187">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2400</w:t>
            </w:r>
          </w:p>
        </w:tc>
        <w:tc>
          <w:tcPr>
            <w:tcW w:w="1050" w:type="dxa"/>
            <w:vMerge w:val="restart"/>
            <w:noWrap w:val="0"/>
            <w:vAlign w:val="center"/>
          </w:tcPr>
          <w:p w14:paraId="742C96F5">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≥800</w:t>
            </w:r>
          </w:p>
        </w:tc>
        <w:tc>
          <w:tcPr>
            <w:tcW w:w="1785" w:type="dxa"/>
            <w:vMerge w:val="restart"/>
            <w:noWrap w:val="0"/>
            <w:vAlign w:val="center"/>
          </w:tcPr>
          <w:p w14:paraId="739A17A3">
            <w:pPr>
              <w:pageBreakBefore w:val="0"/>
              <w:tabs>
                <w:tab w:val="left" w:pos="1470"/>
              </w:tabs>
              <w:kinsoku/>
              <w:wordWrap/>
              <w:overflowPunct/>
              <w:topLinePunct w:val="0"/>
              <w:bidi w:val="0"/>
              <w:spacing w:line="360" w:lineRule="auto"/>
              <w:jc w:val="both"/>
              <w:rPr>
                <w:rFonts w:hint="eastAsia" w:ascii="仿宋_GB2312" w:hAnsi="仿宋_GB2312" w:eastAsia="仿宋_GB2312" w:cs="仿宋_GB2312"/>
                <w:color w:val="auto"/>
                <w:sz w:val="24"/>
                <w:szCs w:val="24"/>
                <w:highlight w:val="none"/>
              </w:rPr>
            </w:pPr>
          </w:p>
        </w:tc>
      </w:tr>
      <w:tr w14:paraId="6405C9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trPr>
        <w:tc>
          <w:tcPr>
            <w:tcW w:w="900" w:type="dxa"/>
            <w:vMerge w:val="continue"/>
            <w:noWrap w:val="0"/>
            <w:vAlign w:val="center"/>
          </w:tcPr>
          <w:p w14:paraId="5F1C98BB">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440" w:type="dxa"/>
            <w:noWrap w:val="0"/>
            <w:vAlign w:val="center"/>
          </w:tcPr>
          <w:p w14:paraId="79D1AA02">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4200-4800</w:t>
            </w:r>
          </w:p>
        </w:tc>
        <w:tc>
          <w:tcPr>
            <w:tcW w:w="1449" w:type="dxa"/>
            <w:vMerge w:val="continue"/>
            <w:noWrap w:val="0"/>
            <w:vAlign w:val="center"/>
          </w:tcPr>
          <w:p w14:paraId="223320F6">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806" w:type="dxa"/>
            <w:noWrap w:val="0"/>
            <w:vAlign w:val="center"/>
          </w:tcPr>
          <w:p w14:paraId="0D52F24D">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2400-3200</w:t>
            </w:r>
          </w:p>
        </w:tc>
        <w:tc>
          <w:tcPr>
            <w:tcW w:w="1050" w:type="dxa"/>
            <w:vMerge w:val="continue"/>
            <w:noWrap w:val="0"/>
            <w:vAlign w:val="center"/>
          </w:tcPr>
          <w:p w14:paraId="6AA8642A">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continue"/>
            <w:noWrap w:val="0"/>
            <w:vAlign w:val="center"/>
          </w:tcPr>
          <w:p w14:paraId="5004AA87">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r>
      <w:tr w14:paraId="0B05E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3" w:hRule="atLeast"/>
        </w:trPr>
        <w:tc>
          <w:tcPr>
            <w:tcW w:w="900" w:type="dxa"/>
            <w:vMerge w:val="continue"/>
            <w:noWrap w:val="0"/>
            <w:vAlign w:val="center"/>
          </w:tcPr>
          <w:p w14:paraId="2F96C804">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440" w:type="dxa"/>
            <w:noWrap w:val="0"/>
            <w:vAlign w:val="center"/>
          </w:tcPr>
          <w:p w14:paraId="4C3207C1">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4800-5400</w:t>
            </w:r>
          </w:p>
        </w:tc>
        <w:tc>
          <w:tcPr>
            <w:tcW w:w="1449" w:type="dxa"/>
            <w:vMerge w:val="continue"/>
            <w:noWrap w:val="0"/>
            <w:vAlign w:val="center"/>
          </w:tcPr>
          <w:p w14:paraId="690F415E">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806" w:type="dxa"/>
            <w:noWrap w:val="0"/>
            <w:vAlign w:val="center"/>
          </w:tcPr>
          <w:p w14:paraId="79840774">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2700-3200</w:t>
            </w:r>
          </w:p>
        </w:tc>
        <w:tc>
          <w:tcPr>
            <w:tcW w:w="1050" w:type="dxa"/>
            <w:vMerge w:val="continue"/>
            <w:noWrap w:val="0"/>
            <w:vAlign w:val="center"/>
          </w:tcPr>
          <w:p w14:paraId="2AF39970">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continue"/>
            <w:noWrap w:val="0"/>
            <w:vAlign w:val="center"/>
          </w:tcPr>
          <w:p w14:paraId="03E969E0">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r>
      <w:tr w14:paraId="49776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2" w:hRule="atLeast"/>
        </w:trPr>
        <w:tc>
          <w:tcPr>
            <w:tcW w:w="900" w:type="dxa"/>
            <w:vMerge w:val="continue"/>
            <w:noWrap w:val="0"/>
            <w:vAlign w:val="center"/>
          </w:tcPr>
          <w:p w14:paraId="7A134120">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440" w:type="dxa"/>
            <w:noWrap w:val="0"/>
            <w:vAlign w:val="center"/>
          </w:tcPr>
          <w:p w14:paraId="4AC9BC6B">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5400-6000</w:t>
            </w:r>
          </w:p>
        </w:tc>
        <w:tc>
          <w:tcPr>
            <w:tcW w:w="1449" w:type="dxa"/>
            <w:vMerge w:val="continue"/>
            <w:noWrap w:val="0"/>
            <w:vAlign w:val="center"/>
          </w:tcPr>
          <w:p w14:paraId="59B44CBE">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806" w:type="dxa"/>
            <w:noWrap w:val="0"/>
            <w:vAlign w:val="center"/>
          </w:tcPr>
          <w:p w14:paraId="0A1C2E36">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3200-3600</w:t>
            </w:r>
          </w:p>
        </w:tc>
        <w:tc>
          <w:tcPr>
            <w:tcW w:w="1050" w:type="dxa"/>
            <w:vMerge w:val="continue"/>
            <w:noWrap w:val="0"/>
            <w:vAlign w:val="center"/>
          </w:tcPr>
          <w:p w14:paraId="4395FAEF">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continue"/>
            <w:noWrap w:val="0"/>
            <w:vAlign w:val="center"/>
          </w:tcPr>
          <w:p w14:paraId="10A69F55">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r>
      <w:tr w14:paraId="5CC5D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0" w:type="dxa"/>
            <w:vMerge w:val="restart"/>
            <w:noWrap w:val="0"/>
            <w:vAlign w:val="center"/>
          </w:tcPr>
          <w:p w14:paraId="20123E9E">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主人房</w:t>
            </w:r>
          </w:p>
        </w:tc>
        <w:tc>
          <w:tcPr>
            <w:tcW w:w="1440" w:type="dxa"/>
            <w:noWrap w:val="0"/>
            <w:vAlign w:val="center"/>
          </w:tcPr>
          <w:p w14:paraId="5E84654C">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3600-3900</w:t>
            </w:r>
          </w:p>
        </w:tc>
        <w:tc>
          <w:tcPr>
            <w:tcW w:w="1449" w:type="dxa"/>
            <w:vMerge w:val="restart"/>
            <w:noWrap w:val="0"/>
            <w:vAlign w:val="center"/>
          </w:tcPr>
          <w:p w14:paraId="7DF3F633">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落地推拉门或大飘窗</w:t>
            </w:r>
          </w:p>
        </w:tc>
        <w:tc>
          <w:tcPr>
            <w:tcW w:w="1806" w:type="dxa"/>
            <w:noWrap w:val="0"/>
            <w:vAlign w:val="center"/>
          </w:tcPr>
          <w:p w14:paraId="40DC94F1">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1800（两扇）</w:t>
            </w:r>
          </w:p>
        </w:tc>
        <w:tc>
          <w:tcPr>
            <w:tcW w:w="1050" w:type="dxa"/>
            <w:vMerge w:val="restart"/>
            <w:noWrap w:val="0"/>
            <w:vAlign w:val="center"/>
          </w:tcPr>
          <w:p w14:paraId="0B76395F">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≥600</w:t>
            </w:r>
          </w:p>
        </w:tc>
        <w:tc>
          <w:tcPr>
            <w:tcW w:w="1785" w:type="dxa"/>
            <w:vMerge w:val="restart"/>
            <w:shd w:val="clear" w:color="auto" w:fill="auto"/>
            <w:noWrap w:val="0"/>
            <w:vAlign w:val="center"/>
          </w:tcPr>
          <w:p w14:paraId="52D8F0D9">
            <w:pPr>
              <w:pageBreakBefore w:val="0"/>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shd w:val="clear" w:color="auto" w:fill="FFFF00"/>
              </w:rPr>
            </w:pPr>
            <w:r>
              <w:rPr>
                <w:rFonts w:hint="eastAsia" w:ascii="仿宋_GB2312" w:hAnsi="仿宋_GB2312" w:eastAsia="仿宋_GB2312" w:cs="仿宋_GB2312"/>
                <w:color w:val="auto"/>
                <w:sz w:val="24"/>
                <w:szCs w:val="24"/>
                <w:highlight w:val="none"/>
                <w:shd w:val="clear" w:color="auto" w:fill="FFFFFF" w:themeFill="background1"/>
              </w:rPr>
              <w:t>在符合广州相关规定的前提下把窗垛最大化</w:t>
            </w:r>
          </w:p>
        </w:tc>
      </w:tr>
      <w:tr w14:paraId="36A2E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0" w:type="dxa"/>
            <w:vMerge w:val="continue"/>
            <w:noWrap w:val="0"/>
            <w:vAlign w:val="center"/>
          </w:tcPr>
          <w:p w14:paraId="0859138B">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440" w:type="dxa"/>
            <w:noWrap w:val="0"/>
            <w:vAlign w:val="center"/>
          </w:tcPr>
          <w:p w14:paraId="68C41789">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4000-4200</w:t>
            </w:r>
          </w:p>
        </w:tc>
        <w:tc>
          <w:tcPr>
            <w:tcW w:w="1449" w:type="dxa"/>
            <w:vMerge w:val="continue"/>
            <w:noWrap w:val="0"/>
            <w:vAlign w:val="center"/>
          </w:tcPr>
          <w:p w14:paraId="5C8AAF4B">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806" w:type="dxa"/>
            <w:noWrap w:val="0"/>
            <w:vAlign w:val="center"/>
          </w:tcPr>
          <w:p w14:paraId="67FB8E51">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2400（四扇）</w:t>
            </w:r>
          </w:p>
        </w:tc>
        <w:tc>
          <w:tcPr>
            <w:tcW w:w="1050" w:type="dxa"/>
            <w:vMerge w:val="continue"/>
            <w:noWrap w:val="0"/>
            <w:vAlign w:val="center"/>
          </w:tcPr>
          <w:p w14:paraId="35D802D2">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continue"/>
            <w:shd w:val="clear" w:color="auto" w:fill="auto"/>
            <w:noWrap w:val="0"/>
            <w:vAlign w:val="center"/>
          </w:tcPr>
          <w:p w14:paraId="719FCD55">
            <w:pPr>
              <w:pageBreakBefore w:val="0"/>
              <w:tabs>
                <w:tab w:val="left" w:pos="1470"/>
              </w:tabs>
              <w:kinsoku/>
              <w:wordWrap/>
              <w:overflowPunct/>
              <w:topLinePunct w:val="0"/>
              <w:bidi w:val="0"/>
              <w:spacing w:before="156" w:beforeLines="50" w:line="360" w:lineRule="auto"/>
              <w:ind w:firstLine="480" w:firstLineChars="200"/>
              <w:jc w:val="center"/>
              <w:rPr>
                <w:rFonts w:hint="eastAsia" w:ascii="仿宋_GB2312" w:hAnsi="仿宋_GB2312" w:eastAsia="仿宋_GB2312" w:cs="仿宋_GB2312"/>
                <w:color w:val="auto"/>
                <w:sz w:val="24"/>
                <w:szCs w:val="24"/>
                <w:highlight w:val="none"/>
              </w:rPr>
            </w:pPr>
          </w:p>
        </w:tc>
      </w:tr>
      <w:tr w14:paraId="0E4CC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0" w:hRule="atLeast"/>
        </w:trPr>
        <w:tc>
          <w:tcPr>
            <w:tcW w:w="900" w:type="dxa"/>
            <w:vMerge w:val="restart"/>
            <w:noWrap w:val="0"/>
            <w:vAlign w:val="center"/>
          </w:tcPr>
          <w:p w14:paraId="1782D409">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次卧房及书房</w:t>
            </w:r>
          </w:p>
        </w:tc>
        <w:tc>
          <w:tcPr>
            <w:tcW w:w="1440" w:type="dxa"/>
            <w:noWrap w:val="0"/>
            <w:vAlign w:val="center"/>
          </w:tcPr>
          <w:p w14:paraId="63C92DEB">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≤2700</w:t>
            </w:r>
          </w:p>
        </w:tc>
        <w:tc>
          <w:tcPr>
            <w:tcW w:w="1449" w:type="dxa"/>
            <w:vMerge w:val="restart"/>
            <w:noWrap w:val="0"/>
            <w:vAlign w:val="center"/>
          </w:tcPr>
          <w:p w14:paraId="77D486EE">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飘窗或平窗</w:t>
            </w:r>
          </w:p>
        </w:tc>
        <w:tc>
          <w:tcPr>
            <w:tcW w:w="1806" w:type="dxa"/>
            <w:noWrap w:val="0"/>
            <w:vAlign w:val="center"/>
          </w:tcPr>
          <w:p w14:paraId="226105F7">
            <w:pPr>
              <w:pageBreakBefore w:val="0"/>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1200-1500</w:t>
            </w:r>
          </w:p>
        </w:tc>
        <w:tc>
          <w:tcPr>
            <w:tcW w:w="1050" w:type="dxa"/>
            <w:vMerge w:val="restart"/>
            <w:shd w:val="clear" w:color="auto" w:fill="FFFFFF" w:themeFill="background1"/>
            <w:noWrap w:val="0"/>
            <w:vAlign w:val="center"/>
          </w:tcPr>
          <w:p w14:paraId="5318B392">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≥600</w:t>
            </w:r>
          </w:p>
        </w:tc>
        <w:tc>
          <w:tcPr>
            <w:tcW w:w="1785" w:type="dxa"/>
            <w:vMerge w:val="restart"/>
            <w:shd w:val="clear" w:color="auto" w:fill="auto"/>
            <w:noWrap w:val="0"/>
            <w:vAlign w:val="center"/>
          </w:tcPr>
          <w:p w14:paraId="14977482">
            <w:pPr>
              <w:pageBreakBefore w:val="0"/>
              <w:pBdr>
                <w:bottom w:val="none" w:color="auto" w:sz="0" w:space="0"/>
              </w:pBdr>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shd w:val="clear" w:color="auto" w:fill="FFFF00"/>
              </w:rPr>
            </w:pPr>
            <w:r>
              <w:rPr>
                <w:rFonts w:hint="eastAsia" w:ascii="仿宋_GB2312" w:hAnsi="仿宋_GB2312" w:eastAsia="仿宋_GB2312" w:cs="仿宋_GB2312"/>
                <w:color w:val="auto"/>
                <w:sz w:val="24"/>
                <w:szCs w:val="24"/>
                <w:highlight w:val="none"/>
                <w:shd w:val="clear" w:color="auto"/>
              </w:rPr>
              <w:t>在符合广州相关规定的前提下把窗垛最大化</w:t>
            </w:r>
          </w:p>
        </w:tc>
      </w:tr>
      <w:tr w14:paraId="68D5A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0" w:hRule="atLeast"/>
        </w:trPr>
        <w:tc>
          <w:tcPr>
            <w:tcW w:w="900" w:type="dxa"/>
            <w:vMerge w:val="continue"/>
            <w:noWrap w:val="0"/>
            <w:vAlign w:val="center"/>
          </w:tcPr>
          <w:p w14:paraId="62BE03EE">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440" w:type="dxa"/>
            <w:noWrap w:val="0"/>
            <w:vAlign w:val="center"/>
          </w:tcPr>
          <w:p w14:paraId="246A5E3E">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2700-3300</w:t>
            </w:r>
          </w:p>
        </w:tc>
        <w:tc>
          <w:tcPr>
            <w:tcW w:w="1449" w:type="dxa"/>
            <w:vMerge w:val="continue"/>
            <w:noWrap w:val="0"/>
            <w:vAlign w:val="center"/>
          </w:tcPr>
          <w:p w14:paraId="56BA5495">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806" w:type="dxa"/>
            <w:noWrap w:val="0"/>
            <w:vAlign w:val="center"/>
          </w:tcPr>
          <w:p w14:paraId="0164977F">
            <w:pPr>
              <w:pageBreakBefore w:val="0"/>
              <w:tabs>
                <w:tab w:val="left" w:pos="1470"/>
              </w:tabs>
              <w:kinsoku/>
              <w:wordWrap/>
              <w:overflowPunct/>
              <w:topLinePunct w:val="0"/>
              <w:bidi w:val="0"/>
              <w:spacing w:before="156" w:beforeLines="5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1500</w:t>
            </w:r>
          </w:p>
        </w:tc>
        <w:tc>
          <w:tcPr>
            <w:tcW w:w="1050" w:type="dxa"/>
            <w:vMerge w:val="continue"/>
            <w:shd w:val="clear" w:color="auto" w:fill="FFFFFF" w:themeFill="background1"/>
            <w:noWrap w:val="0"/>
            <w:vAlign w:val="center"/>
          </w:tcPr>
          <w:p w14:paraId="012B18FA">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continue"/>
            <w:shd w:val="clear" w:color="auto" w:fill="auto"/>
            <w:noWrap w:val="0"/>
            <w:vAlign w:val="center"/>
          </w:tcPr>
          <w:p w14:paraId="0669DF84">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r>
      <w:tr w14:paraId="1D08D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2" w:hRule="atLeast"/>
        </w:trPr>
        <w:tc>
          <w:tcPr>
            <w:tcW w:w="900" w:type="dxa"/>
            <w:noWrap w:val="0"/>
            <w:vAlign w:val="center"/>
          </w:tcPr>
          <w:p w14:paraId="07D89210">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厨房</w:t>
            </w:r>
          </w:p>
        </w:tc>
        <w:tc>
          <w:tcPr>
            <w:tcW w:w="1440" w:type="dxa"/>
            <w:noWrap w:val="0"/>
            <w:vAlign w:val="center"/>
          </w:tcPr>
          <w:p w14:paraId="06C5D2FB">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≥1600</w:t>
            </w:r>
          </w:p>
        </w:tc>
        <w:tc>
          <w:tcPr>
            <w:tcW w:w="1449" w:type="dxa"/>
            <w:noWrap w:val="0"/>
            <w:vAlign w:val="center"/>
          </w:tcPr>
          <w:p w14:paraId="5FA303BE">
            <w:pPr>
              <w:pageBreakBefore w:val="0"/>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门联窗或平开门</w:t>
            </w:r>
          </w:p>
        </w:tc>
        <w:tc>
          <w:tcPr>
            <w:tcW w:w="1806" w:type="dxa"/>
            <w:noWrap w:val="0"/>
            <w:vAlign w:val="center"/>
          </w:tcPr>
          <w:p w14:paraId="266E68DF">
            <w:pPr>
              <w:pageBreakBefore w:val="0"/>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门洞宽：800</w:t>
            </w:r>
          </w:p>
          <w:p w14:paraId="02FC5A31">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窗洞宽：350-650；</w:t>
            </w:r>
          </w:p>
          <w:p w14:paraId="051E80A9">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平开门洞宽800</w:t>
            </w:r>
          </w:p>
        </w:tc>
        <w:tc>
          <w:tcPr>
            <w:tcW w:w="1050" w:type="dxa"/>
            <w:noWrap w:val="0"/>
            <w:vAlign w:val="center"/>
          </w:tcPr>
          <w:p w14:paraId="71966051">
            <w:pPr>
              <w:pageBreakBefore w:val="0"/>
              <w:tabs>
                <w:tab w:val="left" w:pos="1470"/>
              </w:tabs>
              <w:kinsoku/>
              <w:wordWrap/>
              <w:overflowPunct/>
              <w:topLinePunct w:val="0"/>
              <w:bidi w:val="0"/>
              <w:spacing w:before="156" w:beforeLines="50"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noWrap w:val="0"/>
            <w:vAlign w:val="center"/>
          </w:tcPr>
          <w:p w14:paraId="236DC356">
            <w:pPr>
              <w:pageBreakBefore w:val="0"/>
              <w:pBdr>
                <w:bottom w:val="none" w:color="auto" w:sz="0" w:space="0"/>
              </w:pBdr>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shd w:val="clear" w:color="auto" w:fill="FFFF00"/>
              </w:rPr>
            </w:pPr>
            <w:r>
              <w:rPr>
                <w:rFonts w:hint="eastAsia" w:ascii="仿宋_GB2312" w:hAnsi="仿宋_GB2312" w:eastAsia="仿宋_GB2312" w:cs="仿宋_GB2312"/>
                <w:color w:val="auto"/>
                <w:sz w:val="24"/>
                <w:szCs w:val="24"/>
                <w:highlight w:val="none"/>
              </w:rPr>
              <w:t>设置吊柜一侧的窗垛必须为≥600，窗为固定扇。</w:t>
            </w:r>
          </w:p>
        </w:tc>
      </w:tr>
      <w:tr w14:paraId="29DED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900" w:type="dxa"/>
            <w:vMerge w:val="restart"/>
            <w:noWrap w:val="0"/>
            <w:vAlign w:val="center"/>
          </w:tcPr>
          <w:p w14:paraId="07BD8163">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卫生间</w:t>
            </w:r>
          </w:p>
        </w:tc>
        <w:tc>
          <w:tcPr>
            <w:tcW w:w="1440" w:type="dxa"/>
            <w:noWrap w:val="0"/>
            <w:vAlign w:val="center"/>
          </w:tcPr>
          <w:p w14:paraId="01197174">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1500-1900</w:t>
            </w:r>
          </w:p>
        </w:tc>
        <w:tc>
          <w:tcPr>
            <w:tcW w:w="1449" w:type="dxa"/>
            <w:vMerge w:val="restart"/>
            <w:noWrap w:val="0"/>
            <w:vAlign w:val="center"/>
          </w:tcPr>
          <w:p w14:paraId="2FE69236">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普通平开窗</w:t>
            </w:r>
          </w:p>
        </w:tc>
        <w:tc>
          <w:tcPr>
            <w:tcW w:w="1806" w:type="dxa"/>
            <w:noWrap w:val="0"/>
            <w:vAlign w:val="center"/>
          </w:tcPr>
          <w:p w14:paraId="54220FF4">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700（单扇）</w:t>
            </w:r>
          </w:p>
        </w:tc>
        <w:tc>
          <w:tcPr>
            <w:tcW w:w="1050" w:type="dxa"/>
            <w:vMerge w:val="restart"/>
            <w:noWrap w:val="0"/>
            <w:vAlign w:val="center"/>
          </w:tcPr>
          <w:p w14:paraId="31C48BE2">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restart"/>
            <w:noWrap w:val="0"/>
            <w:vAlign w:val="center"/>
          </w:tcPr>
          <w:p w14:paraId="631CCEFB">
            <w:pPr>
              <w:pageBreakBefore w:val="0"/>
              <w:tabs>
                <w:tab w:val="left" w:pos="1470"/>
              </w:tabs>
              <w:kinsoku/>
              <w:wordWrap/>
              <w:overflowPunct/>
              <w:topLinePunct w:val="0"/>
              <w:bidi w:val="0"/>
              <w:spacing w:before="156" w:beforeLines="50"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≥900的窗可考虑分格两扇，但须固定一扇</w:t>
            </w:r>
          </w:p>
        </w:tc>
      </w:tr>
      <w:tr w14:paraId="17CA21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2" w:hRule="atLeast"/>
        </w:trPr>
        <w:tc>
          <w:tcPr>
            <w:tcW w:w="900" w:type="dxa"/>
            <w:vMerge w:val="continue"/>
            <w:noWrap w:val="0"/>
            <w:vAlign w:val="center"/>
          </w:tcPr>
          <w:p w14:paraId="18435496">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440" w:type="dxa"/>
            <w:noWrap w:val="0"/>
            <w:vAlign w:val="center"/>
          </w:tcPr>
          <w:p w14:paraId="48C6E239">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1900-2600</w:t>
            </w:r>
          </w:p>
        </w:tc>
        <w:tc>
          <w:tcPr>
            <w:tcW w:w="1449" w:type="dxa"/>
            <w:vMerge w:val="continue"/>
            <w:noWrap w:val="0"/>
            <w:vAlign w:val="center"/>
          </w:tcPr>
          <w:p w14:paraId="5E615D20">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806" w:type="dxa"/>
            <w:noWrap w:val="0"/>
            <w:vAlign w:val="center"/>
          </w:tcPr>
          <w:p w14:paraId="295CDEA2">
            <w:pPr>
              <w:pageBreakBefore w:val="0"/>
              <w:tabs>
                <w:tab w:val="left" w:pos="1470"/>
              </w:tabs>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700-1200</w:t>
            </w:r>
          </w:p>
        </w:tc>
        <w:tc>
          <w:tcPr>
            <w:tcW w:w="1050" w:type="dxa"/>
            <w:vMerge w:val="continue"/>
            <w:noWrap w:val="0"/>
            <w:vAlign w:val="center"/>
          </w:tcPr>
          <w:p w14:paraId="459A6DFB">
            <w:pPr>
              <w:pageBreakBefore w:val="0"/>
              <w:tabs>
                <w:tab w:val="left" w:pos="1470"/>
              </w:tabs>
              <w:kinsoku/>
              <w:wordWrap/>
              <w:overflowPunct/>
              <w:topLinePunct w:val="0"/>
              <w:bidi w:val="0"/>
              <w:spacing w:line="360" w:lineRule="auto"/>
              <w:ind w:firstLine="480" w:firstLineChars="200"/>
              <w:jc w:val="center"/>
              <w:rPr>
                <w:rFonts w:hint="eastAsia" w:ascii="仿宋_GB2312" w:hAnsi="仿宋_GB2312" w:eastAsia="仿宋_GB2312" w:cs="仿宋_GB2312"/>
                <w:color w:val="auto"/>
                <w:sz w:val="24"/>
                <w:szCs w:val="24"/>
                <w:highlight w:val="none"/>
              </w:rPr>
            </w:pPr>
          </w:p>
        </w:tc>
        <w:tc>
          <w:tcPr>
            <w:tcW w:w="1785" w:type="dxa"/>
            <w:vMerge w:val="continue"/>
            <w:noWrap w:val="0"/>
            <w:vAlign w:val="center"/>
          </w:tcPr>
          <w:p w14:paraId="3AB45D0E">
            <w:pPr>
              <w:pageBreakBefore w:val="0"/>
              <w:tabs>
                <w:tab w:val="left" w:pos="1470"/>
              </w:tabs>
              <w:kinsoku/>
              <w:wordWrap/>
              <w:overflowPunct/>
              <w:topLinePunct w:val="0"/>
              <w:bidi w:val="0"/>
              <w:spacing w:before="156" w:beforeLines="50" w:line="360" w:lineRule="auto"/>
              <w:ind w:firstLine="480" w:firstLineChars="200"/>
              <w:jc w:val="center"/>
              <w:rPr>
                <w:rFonts w:hint="eastAsia" w:ascii="仿宋_GB2312" w:hAnsi="仿宋_GB2312" w:eastAsia="仿宋_GB2312" w:cs="仿宋_GB2312"/>
                <w:color w:val="auto"/>
                <w:sz w:val="24"/>
                <w:szCs w:val="24"/>
                <w:highlight w:val="none"/>
              </w:rPr>
            </w:pPr>
          </w:p>
        </w:tc>
      </w:tr>
    </w:tbl>
    <w:p w14:paraId="572635FC">
      <w:pPr>
        <w:pageBreakBefore w:val="0"/>
        <w:tabs>
          <w:tab w:val="left" w:pos="1470"/>
        </w:tabs>
        <w:kinsoku/>
        <w:wordWrap/>
        <w:overflowPunct/>
        <w:topLinePunct w:val="0"/>
        <w:bidi w:val="0"/>
        <w:spacing w:line="360" w:lineRule="auto"/>
        <w:ind w:firstLine="48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24"/>
          <w:szCs w:val="24"/>
          <w:highlight w:val="none"/>
        </w:rPr>
        <w:t xml:space="preserve">   注：≥3.6m的门洞门扇分格形式须结合实际情况设计。</w:t>
      </w:r>
    </w:p>
    <w:p w14:paraId="64DE9FC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（2）住宅门尺寸</w:t>
      </w:r>
    </w:p>
    <w:p w14:paraId="3999291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b w:val="0"/>
          <w:bCs w:val="0"/>
          <w:color w:val="auto"/>
          <w:kern w:val="2"/>
          <w:sz w:val="32"/>
          <w:szCs w:val="32"/>
          <w:highlight w:val="none"/>
          <w:lang w:val="en-US" w:eastAsia="zh-CN" w:bidi="ar-SA"/>
        </w:rPr>
        <w:t>入户门</w:t>
      </w:r>
    </w:p>
    <w:p w14:paraId="4E0C47E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子母门宽宜≥1200mm；单扇门宽宜≥1000mm。高度宜2300mm。</w:t>
      </w:r>
    </w:p>
    <w:p w14:paraId="476D4FD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入户门若采用铸铝门，需在门两侧设置构造柱。</w:t>
      </w:r>
    </w:p>
    <w:p w14:paraId="7B7C5CF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b w:val="0"/>
          <w:bCs w:val="0"/>
          <w:color w:val="auto"/>
          <w:kern w:val="2"/>
          <w:sz w:val="32"/>
          <w:szCs w:val="32"/>
          <w:highlight w:val="none"/>
          <w:lang w:val="en-US" w:eastAsia="zh-CN" w:bidi="ar-SA"/>
        </w:rPr>
        <w:t>室内门</w:t>
      </w:r>
    </w:p>
    <w:p w14:paraId="73B779B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卧室门洞宽度宜≥900mm；厨房、卫生间门洞宽度宜≥800mm；储藏间门洞宽宜≥700mm；若餐厅到厨房为推拉门，双扇门洞宽度宜≥1600mm。高度宜2200mm。</w:t>
      </w:r>
    </w:p>
    <w:p w14:paraId="27D97D6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特殊门洞详具体项目。</w:t>
      </w:r>
    </w:p>
    <w:p w14:paraId="3FCD3C4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kern w:val="2"/>
          <w:sz w:val="32"/>
          <w:szCs w:val="32"/>
          <w:highlight w:val="none"/>
          <w:lang w:val="en-US" w:eastAsia="zh-CN" w:bidi="ar-SA"/>
        </w:rPr>
        <w:t>门垛</w:t>
      </w:r>
    </w:p>
    <w:p w14:paraId="1A26581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所有户内、户外门两侧均应设门垛，尺寸为100mm，最小不小于</w:t>
      </w:r>
      <w:r>
        <w:rPr>
          <w:rFonts w:hint="eastAsia" w:ascii="仿宋_GB2312" w:hAnsi="仿宋_GB2312" w:eastAsia="仿宋_GB2312" w:cs="仿宋_GB2312"/>
          <w:b w:val="0"/>
          <w:bCs w:val="0"/>
          <w:color w:val="auto"/>
          <w:kern w:val="2"/>
          <w:sz w:val="32"/>
          <w:szCs w:val="32"/>
          <w:highlight w:val="none"/>
          <w:shd w:val="clear" w:color="auto" w:fill="FFFF00"/>
          <w:lang w:val="en-US" w:eastAsia="zh-CN" w:bidi="ar-SA"/>
        </w:rPr>
        <w:t>50mm</w:t>
      </w:r>
      <w:r>
        <w:rPr>
          <w:rFonts w:hint="eastAsia" w:ascii="仿宋_GB2312" w:hAnsi="仿宋_GB2312" w:eastAsia="仿宋_GB2312" w:cs="仿宋_GB2312"/>
          <w:b w:val="0"/>
          <w:bCs w:val="0"/>
          <w:color w:val="auto"/>
          <w:kern w:val="2"/>
          <w:sz w:val="32"/>
          <w:szCs w:val="32"/>
          <w:highlight w:val="none"/>
          <w:lang w:val="en-US" w:eastAsia="zh-CN" w:bidi="ar-SA"/>
        </w:rPr>
        <w:t>，当门洞较大时或门垛不易砌筑时应做构造柱加固。</w:t>
      </w:r>
    </w:p>
    <w:p w14:paraId="6CC8A7C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（3）住户窗尺寸</w:t>
      </w:r>
    </w:p>
    <w:p w14:paraId="1AF6D151">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①.窗洞尺寸</w:t>
      </w:r>
    </w:p>
    <w:p w14:paraId="4D2F2311">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所有的窗原则上居中，两边墙垛对称，相同类型房间窗洞口尺寸应尽量统一。其他特殊的窗洞口尺寸详具体项目。</w:t>
      </w:r>
    </w:p>
    <w:p w14:paraId="342C7618">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开窗洞尺寸要求详7.1.1</w:t>
      </w:r>
    </w:p>
    <w:p w14:paraId="2FC737E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②.飘窗</w:t>
      </w:r>
    </w:p>
    <w:p w14:paraId="5E5819B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飘窗若无主要景观需求，不宜三面做玻璃；飘窗出外墙尺寸及飘窗净空尺寸根据当地规范设计。</w:t>
      </w:r>
    </w:p>
    <w:p w14:paraId="57CB2AA5">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③.飘窗框外缘至凸窗板外缘为50mm。飘窗遮阳板在墙根处应设导流槽，以免遮阳板上的水停留时间过长，导致砌体外墙渗漏或侵蚀；或者应在遮阳板外墙挑檐处设≥100mm高混凝土止水坎。</w:t>
      </w:r>
    </w:p>
    <w:p w14:paraId="7C33A82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（4）门窗立面要求</w:t>
      </w:r>
    </w:p>
    <w:p w14:paraId="1DC9E8D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①.窗扇的开启方向应考虑夏季兜风及冬季避风。</w:t>
      </w:r>
    </w:p>
    <w:p w14:paraId="2296F405">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②.门窗亮子高度宜≥400mm，否则取消亮子。门窗上的亮子严禁正中间出现竖杆。</w:t>
      </w:r>
    </w:p>
    <w:p w14:paraId="5C46123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③.飘窗与落地窗中间扇应为固定扇，尽量为不遮挡视线的整块大玻璃，严禁出现中间竖杆以及平人视线（1.5～1.8米高度）的横杆。</w:t>
      </w:r>
    </w:p>
    <w:p w14:paraId="0B129C8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④.门窗的开启扇位置应根据立面确定，同时满足窗型设计经济和美观、外门窗清洁方便与安装空调安全。窗宽≤900mm时，为平开窗或上旋窗；窗宽≥1200mm时，为平开窗。临阳台或花园时，采用推拉或上悬开启，楼梯间等公共区域外窗优先采用上旋窗。</w:t>
      </w:r>
    </w:p>
    <w:p w14:paraId="5BA1C89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⑤.窗分格的设计尽可能少用五金件和分割，以降低成本。外墙门窗用料通过计算确定是否具备足够强度保证抗风压及密封性能。</w:t>
      </w:r>
    </w:p>
    <w:p w14:paraId="13607D3A">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⑥.主要外立面的门窗上口标高齐梁底（卫生间除外），在同一水平面上保持一致，但是楼梯间窗口高度错半层。</w:t>
      </w:r>
    </w:p>
    <w:p w14:paraId="4A43534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⑦.尽量采用平开窗，卫生间采用上悬外开窗。观景窗视线高度范围内避免出现分格遮挡视线，考虑适当的开启扇面积及数量，保证良好的通风条件。窗开启扇与护窗栏杆不应出现干扰，护窗栏杆高度应符合相关规范要求。</w:t>
      </w:r>
    </w:p>
    <w:p w14:paraId="4EF6B90B">
      <w:pPr>
        <w:pageBreakBefore w:val="0"/>
        <w:widowControl w:val="0"/>
        <w:numPr>
          <w:ilvl w:val="0"/>
          <w:numId w:val="7"/>
        </w:numPr>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空调机位</w:t>
      </w:r>
    </w:p>
    <w:p w14:paraId="2D9E5D6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（1）住宅的每个功能房（起居厅、客厅、餐厅、卧室、书房等）均应设置空调。原则上起居厅、客厅设柜式空调，其余居住空间等设挂式空调。</w:t>
      </w:r>
    </w:p>
    <w:p w14:paraId="61732AD2">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（2）空调室内机位应结合室内家具布置合理摆放，避免直接吹向人体；穿墙洞口的设置位置使得室内尽量不现冷媒管线，电源插座尽量设置于室内机安装后的隐蔽处；空调室外机位应结合立面，整体考虑。</w:t>
      </w:r>
    </w:p>
    <w:p w14:paraId="0002047C">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（3）室外机安装可借鉴凸窗上放置、相临凸窗间放置、梁下挑板放置、阳台或平层挑板放置等几种方式，应根据立面效果决定。</w:t>
      </w:r>
    </w:p>
    <w:p w14:paraId="185B697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室外机位（为净尺寸，不含保温层厚度，下同）：1100mm×600mm。双机平行摆放时为1800mm×600mm。应避免雨水管穿空调板。如条件限制不可避免时，空调板应加大至1200mm×700mm。平面图中应详细标明空调板定位尺寸。</w:t>
      </w:r>
    </w:p>
    <w:p w14:paraId="0F9E19BC">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（5）同一层高范围内，同一位置上下安装两台室外机时，在不同标高处分别设置钢筋混凝土挑板，层高中间的空调板应增设一个冷媒管预留空洞。</w:t>
      </w:r>
    </w:p>
    <w:p w14:paraId="16F2C8F1">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（6）空调板的地漏设在靠外边缘处（不临近可开启铝合金空调百叶），坡度1％，注明排水方向。</w:t>
      </w:r>
    </w:p>
    <w:p w14:paraId="69DB122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（7）室外机设置于本层楼面，严禁在凸窗上板位置设置空调机位。</w:t>
      </w:r>
    </w:p>
    <w:p w14:paraId="6130473E">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（8）主要立面上的空调室外机位应结合立面做百叶装饰处理，不现冷媒管和冷凝水立管。百叶安装开口宽度，柜机≥1000mm、挂机≥900mm，设活动扇便于安装，建筑专业应有铝合金百叶详图大样。</w:t>
      </w:r>
    </w:p>
    <w:p w14:paraId="680D26C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（9）空调室外机的位置和造型，应安装、维修安全方便。室外机位应尽量靠近窗洞口或阳台设置，避免设在山墙面或距窗口较远处；空调室外机位旁的外窗应考虑窗的开启扇对空调室外机安装的方便性。</w:t>
      </w:r>
    </w:p>
    <w:p w14:paraId="468A1A7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（10）空调室外机位设在建筑凹槽内时，需考虑对凹槽内窗户的影响。如凹槽距离过近须相对设置时，空调室外机位应相互错位。位于凹槽部位或阳台边的普通室外机挑板周边设600mm高铁花栏杆装饰。</w:t>
      </w:r>
    </w:p>
    <w:p w14:paraId="3683395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（11）空调室外机安放在上人屋面或露台时，开口应朝外，避免对人的活动产生不良影响。原则上，阳台上不设置空调位，当必须设置时应报甲方认可，且空调位的开口应朝外，不能影响阳台正常使用。</w:t>
      </w:r>
    </w:p>
    <w:p w14:paraId="3F4752C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12）空调冷媒管穿外墙的留洞洞口尺寸：柜机冷媒管预留DN80PVC套管，洞中心距地和临近侧墙边均为200mm；挂机冷媒管预留DN80PVC套管，洞中心距天棚450mm、距临近侧墙边200mm；洞口内套管，向外倾斜10°，内外高差为10mm，管口与外墙内外建筑完成面齐平。空调管不能直接从窗台板上方穿出。平面图中应详细标明留洞情况。</w:t>
      </w:r>
    </w:p>
    <w:p w14:paraId="4EC0F675">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（13）空调位里设置空调室外机冷凝水专用排水立管，采用DN50PVC管，冷凝水不可接入雨水管。</w:t>
      </w:r>
    </w:p>
    <w:p w14:paraId="1365EE0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（14）空调冷媒管穿外墙留洞洞口与空调冷凝水立管应错位布置，互相不遮挡。当放置二台空调时，应合理布置空调冷凝水立管和地漏的位置。</w:t>
      </w:r>
    </w:p>
    <w:p w14:paraId="3A43AA2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（15）空调板下口需做滴水槽。</w:t>
      </w:r>
    </w:p>
    <w:p w14:paraId="7665774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（八）立面设计</w:t>
      </w:r>
    </w:p>
    <w:p w14:paraId="0BC4900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1.设计要点</w:t>
      </w:r>
    </w:p>
    <w:p w14:paraId="494E4AF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（1）建筑立面主要装饰材料采用涂料、面砖和石材，其他辅助材料包括型钢、铝合金、玻璃幕墙、GRC等，不得采用木材。</w:t>
      </w:r>
    </w:p>
    <w:p w14:paraId="49549FB6">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（2）应注明各类材料的几何尺寸、色彩、构造方式和主要参数；各类材料交接口之间，阴阳转角和平接处的详细做法。</w:t>
      </w:r>
    </w:p>
    <w:p w14:paraId="7073258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墙面分隔缝的划分距离和做法需在立面或详图中表示，同时考虑不同楼栋的立面分隔缝要一致。特别是外墙涂料应标出分格缝划分间距和做法。一般情况时，分格缝设在外窗上下口处，特殊情况应注明特殊做法。</w:t>
      </w:r>
    </w:p>
    <w:p w14:paraId="3FD3650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（4）面砖外墙应标出面砖的排列、组合方式和做法，特别是转角、拼接处。石材外墙应标明石材与龙骨的连接方式和做法。</w:t>
      </w:r>
    </w:p>
    <w:p w14:paraId="577663E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（5）凡有龙骨的外墙装饰面，包括石材、玻璃幕墙等，设计时应考虑材料和龙骨的总厚度。文化石、普通石材等外墙装饰在一层以下时，可考虑直接粘贴。</w:t>
      </w:r>
    </w:p>
    <w:p w14:paraId="1A43327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（6）外墙门窗洞口靠外处的外墙面装饰材料与临近材料相同。特殊情况应注明。</w:t>
      </w:r>
    </w:p>
    <w:p w14:paraId="263F666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（7）外墙变形缝、雨水管、冷凝水管、排水管、煤气管的位置应尽量隐蔽，其材料和色彩处理应兼顾立面美观要求，淡化视觉注意力（外墙立管色彩与该部位墙面应相同）。各种管道应避免遮挡开窗和留洞。</w:t>
      </w:r>
    </w:p>
    <w:p w14:paraId="6185A8A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（8）立面上所有的水平装饰线条须做滴水线。</w:t>
      </w:r>
    </w:p>
    <w:p w14:paraId="2252AF38">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（9）凡是非结构构筑物的部位，需考虑其施工的便利和可能。设计预埋件，注明预埋件尺寸、间距、材料。</w:t>
      </w:r>
    </w:p>
    <w:p w14:paraId="606A548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（10）结构与建筑施工图设计要充分考虑外立面的统一，综合考虑外立面效果的影响，调整结构梁高度一致。凡外立面管道穿越构造线条时，须明确预留孔洞，管道不得翻越线条安装。</w:t>
      </w:r>
    </w:p>
    <w:p w14:paraId="7FEFFE08">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（11）外立面装饰设计要注意控制“墙积比”。（标准层外墙面积与标准层平面建筑面积之比），合理的墙积比应该控制在1.2左右，不宜超过1.5。</w:t>
      </w:r>
    </w:p>
    <w:p w14:paraId="73D39505">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（12）高层住宅阳台栏杆高度均按1150mm进行设计，该高度应从阳台完成可踏面算起。</w:t>
      </w:r>
    </w:p>
    <w:p w14:paraId="1A3BA8A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2.图纸要求</w:t>
      </w:r>
    </w:p>
    <w:p w14:paraId="2EBA542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（1）针对天井、外墙转折处等特殊部位应绘制立面展开图，并有清晰的轴号示意。</w:t>
      </w:r>
    </w:p>
    <w:p w14:paraId="6D340CAE">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（2）在确认外墙材料样板后，应补充各立面详细的设计排砖图、分缝图、分色图；立面图无法表达的部位应专门绘制局部立剖面设计排砖图和分色图。</w:t>
      </w:r>
    </w:p>
    <w:p w14:paraId="2C2E521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所有外立面装修设计除由其它设计机构或专业厂家担任设计的分项以外，其余均须设计到位。部分细部构件须做专项设计并绘制详图大样，例如：阳台栏杆、架空层细部做法、门厅（外立面）细部做法、屋顶山花、装饰构件、构架做法等。</w:t>
      </w:r>
    </w:p>
    <w:p w14:paraId="33D2474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所有外立面需依装饰材料做出详细的分隔设计，绘制立面分色图。如装饰材料有变动，需根据变动后的材料规格作立面分隔图。详细标注出各种尺寸、作法、颜色、材料等。分隔设计进度应满足总体施工进度要求。</w:t>
      </w:r>
    </w:p>
    <w:p w14:paraId="18020131">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（九）配套用房设计</w:t>
      </w:r>
    </w:p>
    <w:p w14:paraId="61A705B8">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 小型商业用房</w:t>
      </w:r>
    </w:p>
    <w:p w14:paraId="61F197FA">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（1）室内外高差不大于300mm。若为临街商铺，高差建议为150mm。</w:t>
      </w:r>
    </w:p>
    <w:p w14:paraId="7BDBA85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（2）商业用房地面不建议做结构现浇板，为细石混凝土配筋构造地坪。如下部有地下室，顶板降低，其标高结合室外人行道、商业网点污水排放、人防工程等因素综合土建造价经济、合理的方案确定。</w:t>
      </w:r>
    </w:p>
    <w:p w14:paraId="796D52F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（3）商业用房如设置卫生间，预留上、下水及电源插座，就近预留直接对外的排气口，外墙排气口设置不锈钢风帽。商业网点临小区内侧如设采光通风窗，采用高窗。</w:t>
      </w:r>
    </w:p>
    <w:p w14:paraId="320CFC3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（4）商业用房室内管道靠墙设置，不得影响室内净高和业主将来的装修和使用功能。</w:t>
      </w:r>
    </w:p>
    <w:p w14:paraId="6F53D87C">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（5）商务公寓、商业楼等下部的商业网点（住宅楼除外），集中设置将来作为餐饮功能使用的地下设施、设备和排烟管道（高空排放），相关管道每个商业网点均应预埋、预铺设到位。</w:t>
      </w:r>
    </w:p>
    <w:p w14:paraId="706286D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（6）商业用房的外立面消火栓箱应尽可能暗装。临街面不得出现任何管道明装。</w:t>
      </w:r>
    </w:p>
    <w:p w14:paraId="4249AD16">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（7）商业用房门面上方设置室外空调机位、店招、雨棚，并进行专项综合设计，绘制基本典型单元的立面、剖面详图，提交甲方认可。室外空调机位有良好的进、排风组织。</w:t>
      </w:r>
    </w:p>
    <w:tbl>
      <w:tblPr>
        <w:tblStyle w:val="14"/>
        <w:tblW w:w="0" w:type="auto"/>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1247"/>
        <w:gridCol w:w="1247"/>
        <w:gridCol w:w="1246"/>
        <w:gridCol w:w="1247"/>
        <w:gridCol w:w="1269"/>
      </w:tblGrid>
      <w:tr w14:paraId="2492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6"/>
            <w:noWrap w:val="0"/>
            <w:vAlign w:val="top"/>
          </w:tcPr>
          <w:p w14:paraId="55D8C217">
            <w:pPr>
              <w:pStyle w:val="19"/>
              <w:pageBreakBefore w:val="0"/>
              <w:kinsoku/>
              <w:wordWrap/>
              <w:overflowPunct/>
              <w:topLinePunct w:val="0"/>
              <w:bidi w:val="0"/>
              <w:spacing w:line="36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color w:val="auto"/>
                <w:sz w:val="24"/>
                <w:szCs w:val="24"/>
                <w:highlight w:val="none"/>
                <w:lang w:eastAsia="zh-CN"/>
              </w:rPr>
              <w:t>商铺空调位参考尺寸表</w:t>
            </w:r>
          </w:p>
        </w:tc>
      </w:tr>
      <w:tr w14:paraId="00F1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4BF68EE8">
            <w:pPr>
              <w:pStyle w:val="19"/>
              <w:pageBreakBefore w:val="0"/>
              <w:kinsoku/>
              <w:wordWrap/>
              <w:overflowPunct/>
              <w:topLinePunct w:val="0"/>
              <w:bidi w:val="0"/>
              <w:spacing w:line="360" w:lineRule="auto"/>
              <w:ind w:left="148" w:leftChars="0" w:hanging="148" w:hangingChars="62"/>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选用空调功率</w:t>
            </w:r>
          </w:p>
        </w:tc>
        <w:tc>
          <w:tcPr>
            <w:tcW w:w="1247" w:type="dxa"/>
            <w:noWrap w:val="0"/>
            <w:vAlign w:val="top"/>
          </w:tcPr>
          <w:p w14:paraId="20257A52">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3P</w:t>
            </w:r>
          </w:p>
        </w:tc>
        <w:tc>
          <w:tcPr>
            <w:tcW w:w="1247" w:type="dxa"/>
            <w:noWrap w:val="0"/>
            <w:vAlign w:val="top"/>
          </w:tcPr>
          <w:p w14:paraId="47B1CD37">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5P</w:t>
            </w:r>
          </w:p>
        </w:tc>
        <w:tc>
          <w:tcPr>
            <w:tcW w:w="1246" w:type="dxa"/>
            <w:noWrap w:val="0"/>
            <w:vAlign w:val="top"/>
          </w:tcPr>
          <w:p w14:paraId="03D5270A">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6P</w:t>
            </w:r>
          </w:p>
        </w:tc>
        <w:tc>
          <w:tcPr>
            <w:tcW w:w="1247" w:type="dxa"/>
            <w:noWrap w:val="0"/>
            <w:vAlign w:val="top"/>
          </w:tcPr>
          <w:p w14:paraId="323BC015">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8P</w:t>
            </w:r>
          </w:p>
        </w:tc>
        <w:tc>
          <w:tcPr>
            <w:tcW w:w="1269" w:type="dxa"/>
            <w:noWrap w:val="0"/>
            <w:vAlign w:val="top"/>
          </w:tcPr>
          <w:p w14:paraId="3969405B">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10P</w:t>
            </w:r>
          </w:p>
        </w:tc>
      </w:tr>
      <w:tr w14:paraId="61EE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00B62E81">
            <w:pPr>
              <w:pStyle w:val="19"/>
              <w:pageBreakBefore w:val="0"/>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可服务商铺面积</w:t>
            </w:r>
          </w:p>
        </w:tc>
        <w:tc>
          <w:tcPr>
            <w:tcW w:w="1247" w:type="dxa"/>
            <w:noWrap w:val="0"/>
            <w:vAlign w:val="top"/>
          </w:tcPr>
          <w:p w14:paraId="19A985CF">
            <w:pPr>
              <w:pStyle w:val="19"/>
              <w:pageBreakBefore w:val="0"/>
              <w:kinsoku/>
              <w:wordWrap/>
              <w:overflowPunct/>
              <w:topLinePunct w:val="0"/>
              <w:bidi w:val="0"/>
              <w:spacing w:line="360" w:lineRule="auto"/>
              <w:ind w:left="0" w:leftChars="0" w:firstLine="0" w:firstLineChars="0"/>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29-48</w:t>
            </w:r>
          </w:p>
        </w:tc>
        <w:tc>
          <w:tcPr>
            <w:tcW w:w="1247" w:type="dxa"/>
            <w:noWrap w:val="0"/>
            <w:vAlign w:val="top"/>
          </w:tcPr>
          <w:p w14:paraId="45B6C6EE">
            <w:pPr>
              <w:pStyle w:val="19"/>
              <w:pageBreakBefore w:val="0"/>
              <w:kinsoku/>
              <w:wordWrap/>
              <w:overflowPunct/>
              <w:topLinePunct w:val="0"/>
              <w:bidi w:val="0"/>
              <w:spacing w:line="360" w:lineRule="auto"/>
              <w:ind w:left="0" w:leftChars="0" w:firstLine="0" w:firstLineChars="0"/>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48-62</w:t>
            </w:r>
          </w:p>
        </w:tc>
        <w:tc>
          <w:tcPr>
            <w:tcW w:w="1246" w:type="dxa"/>
            <w:noWrap w:val="0"/>
            <w:vAlign w:val="top"/>
          </w:tcPr>
          <w:p w14:paraId="1FF06E76">
            <w:pPr>
              <w:pStyle w:val="19"/>
              <w:pageBreakBefore w:val="0"/>
              <w:kinsoku/>
              <w:wordWrap/>
              <w:overflowPunct/>
              <w:topLinePunct w:val="0"/>
              <w:bidi w:val="0"/>
              <w:spacing w:line="360" w:lineRule="auto"/>
              <w:ind w:left="0" w:leftChars="0" w:firstLine="0" w:firstLineChars="0"/>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62-90</w:t>
            </w:r>
          </w:p>
        </w:tc>
        <w:tc>
          <w:tcPr>
            <w:tcW w:w="1247" w:type="dxa"/>
            <w:noWrap w:val="0"/>
            <w:vAlign w:val="top"/>
          </w:tcPr>
          <w:p w14:paraId="17F150D6">
            <w:pPr>
              <w:pStyle w:val="19"/>
              <w:pageBreakBefore w:val="0"/>
              <w:kinsoku/>
              <w:wordWrap/>
              <w:overflowPunct/>
              <w:topLinePunct w:val="0"/>
              <w:bidi w:val="0"/>
              <w:spacing w:line="360" w:lineRule="auto"/>
              <w:ind w:left="0" w:leftChars="0" w:firstLine="0" w:firstLineChars="0"/>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90-104</w:t>
            </w:r>
          </w:p>
        </w:tc>
        <w:tc>
          <w:tcPr>
            <w:tcW w:w="1269" w:type="dxa"/>
            <w:noWrap w:val="0"/>
            <w:vAlign w:val="top"/>
          </w:tcPr>
          <w:p w14:paraId="0D31587D">
            <w:pPr>
              <w:pStyle w:val="19"/>
              <w:pageBreakBefore w:val="0"/>
              <w:kinsoku/>
              <w:wordWrap/>
              <w:overflowPunct/>
              <w:topLinePunct w:val="0"/>
              <w:bidi w:val="0"/>
              <w:spacing w:line="360" w:lineRule="auto"/>
              <w:ind w:left="0" w:leftChars="0" w:firstLine="0" w:firstLineChars="0"/>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104-120</w:t>
            </w:r>
          </w:p>
        </w:tc>
      </w:tr>
      <w:tr w14:paraId="014D4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48E015D9">
            <w:pPr>
              <w:pStyle w:val="19"/>
              <w:pageBreakBefore w:val="0"/>
              <w:kinsoku/>
              <w:wordWrap/>
              <w:overflowPunct/>
              <w:topLinePunct w:val="0"/>
              <w:bidi w:val="0"/>
              <w:spacing w:line="360" w:lineRule="auto"/>
              <w:ind w:left="148" w:leftChars="0" w:hanging="148" w:hangingChars="62"/>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外机宽度</w:t>
            </w:r>
          </w:p>
        </w:tc>
        <w:tc>
          <w:tcPr>
            <w:tcW w:w="1247" w:type="dxa"/>
            <w:noWrap w:val="0"/>
            <w:vAlign w:val="top"/>
          </w:tcPr>
          <w:p w14:paraId="4A179909">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1020</w:t>
            </w:r>
          </w:p>
        </w:tc>
        <w:tc>
          <w:tcPr>
            <w:tcW w:w="1247" w:type="dxa"/>
            <w:noWrap w:val="0"/>
            <w:vAlign w:val="top"/>
          </w:tcPr>
          <w:p w14:paraId="427B3DFB">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1020</w:t>
            </w:r>
          </w:p>
        </w:tc>
        <w:tc>
          <w:tcPr>
            <w:tcW w:w="1246" w:type="dxa"/>
            <w:noWrap w:val="0"/>
            <w:vAlign w:val="top"/>
          </w:tcPr>
          <w:p w14:paraId="37F28D9E">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960</w:t>
            </w:r>
          </w:p>
        </w:tc>
        <w:tc>
          <w:tcPr>
            <w:tcW w:w="1247" w:type="dxa"/>
            <w:noWrap w:val="0"/>
            <w:vAlign w:val="top"/>
          </w:tcPr>
          <w:p w14:paraId="652222F4">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1120</w:t>
            </w:r>
          </w:p>
        </w:tc>
        <w:tc>
          <w:tcPr>
            <w:tcW w:w="1269" w:type="dxa"/>
            <w:noWrap w:val="0"/>
            <w:vAlign w:val="top"/>
          </w:tcPr>
          <w:p w14:paraId="081E6C7B">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1120</w:t>
            </w:r>
          </w:p>
        </w:tc>
      </w:tr>
      <w:tr w14:paraId="4585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3B36E944">
            <w:pPr>
              <w:pStyle w:val="19"/>
              <w:pageBreakBefore w:val="0"/>
              <w:kinsoku/>
              <w:wordWrap/>
              <w:overflowPunct/>
              <w:topLinePunct w:val="0"/>
              <w:bidi w:val="0"/>
              <w:spacing w:line="360" w:lineRule="auto"/>
              <w:ind w:left="148" w:leftChars="0" w:hanging="148" w:hangingChars="62"/>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外机高度</w:t>
            </w:r>
          </w:p>
        </w:tc>
        <w:tc>
          <w:tcPr>
            <w:tcW w:w="1247" w:type="dxa"/>
            <w:noWrap w:val="0"/>
            <w:vAlign w:val="top"/>
          </w:tcPr>
          <w:p w14:paraId="1BDB479F">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810</w:t>
            </w:r>
          </w:p>
        </w:tc>
        <w:tc>
          <w:tcPr>
            <w:tcW w:w="1247" w:type="dxa"/>
            <w:noWrap w:val="0"/>
            <w:vAlign w:val="top"/>
          </w:tcPr>
          <w:p w14:paraId="15345514">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1365</w:t>
            </w:r>
          </w:p>
        </w:tc>
        <w:tc>
          <w:tcPr>
            <w:tcW w:w="1246" w:type="dxa"/>
            <w:noWrap w:val="0"/>
            <w:vAlign w:val="top"/>
          </w:tcPr>
          <w:p w14:paraId="76DB29D5">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1327</w:t>
            </w:r>
          </w:p>
        </w:tc>
        <w:tc>
          <w:tcPr>
            <w:tcW w:w="1247" w:type="dxa"/>
            <w:noWrap w:val="0"/>
            <w:vAlign w:val="top"/>
          </w:tcPr>
          <w:p w14:paraId="05AEE226">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1558</w:t>
            </w:r>
          </w:p>
        </w:tc>
        <w:tc>
          <w:tcPr>
            <w:tcW w:w="1269" w:type="dxa"/>
            <w:noWrap w:val="0"/>
            <w:vAlign w:val="top"/>
          </w:tcPr>
          <w:p w14:paraId="0EE75D26">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1558</w:t>
            </w:r>
          </w:p>
        </w:tc>
      </w:tr>
      <w:tr w14:paraId="53B4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1F2922C1">
            <w:pPr>
              <w:pStyle w:val="19"/>
              <w:pageBreakBefore w:val="0"/>
              <w:kinsoku/>
              <w:wordWrap/>
              <w:overflowPunct/>
              <w:topLinePunct w:val="0"/>
              <w:bidi w:val="0"/>
              <w:spacing w:line="360" w:lineRule="auto"/>
              <w:ind w:left="148" w:leftChars="0" w:hanging="148" w:hangingChars="62"/>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外机厚度</w:t>
            </w:r>
          </w:p>
        </w:tc>
        <w:tc>
          <w:tcPr>
            <w:tcW w:w="1247" w:type="dxa"/>
            <w:noWrap w:val="0"/>
            <w:vAlign w:val="top"/>
          </w:tcPr>
          <w:p w14:paraId="20FD8A51">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395</w:t>
            </w:r>
          </w:p>
        </w:tc>
        <w:tc>
          <w:tcPr>
            <w:tcW w:w="1247" w:type="dxa"/>
            <w:noWrap w:val="0"/>
            <w:vAlign w:val="top"/>
          </w:tcPr>
          <w:p w14:paraId="4A624149">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400</w:t>
            </w:r>
          </w:p>
        </w:tc>
        <w:tc>
          <w:tcPr>
            <w:tcW w:w="1246" w:type="dxa"/>
            <w:noWrap w:val="0"/>
            <w:vAlign w:val="top"/>
          </w:tcPr>
          <w:p w14:paraId="1E251FB5">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320</w:t>
            </w:r>
          </w:p>
        </w:tc>
        <w:tc>
          <w:tcPr>
            <w:tcW w:w="1247" w:type="dxa"/>
            <w:noWrap w:val="0"/>
            <w:vAlign w:val="top"/>
          </w:tcPr>
          <w:p w14:paraId="480630D0">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400</w:t>
            </w:r>
          </w:p>
        </w:tc>
        <w:tc>
          <w:tcPr>
            <w:tcW w:w="1269" w:type="dxa"/>
            <w:noWrap w:val="0"/>
            <w:vAlign w:val="top"/>
          </w:tcPr>
          <w:p w14:paraId="2EF1D166">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400</w:t>
            </w:r>
          </w:p>
        </w:tc>
      </w:tr>
      <w:tr w14:paraId="3AED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681278A2">
            <w:pPr>
              <w:pStyle w:val="19"/>
              <w:pageBreakBefore w:val="0"/>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空调位最小宽度</w:t>
            </w:r>
          </w:p>
        </w:tc>
        <w:tc>
          <w:tcPr>
            <w:tcW w:w="1247" w:type="dxa"/>
            <w:noWrap w:val="0"/>
            <w:vAlign w:val="top"/>
          </w:tcPr>
          <w:p w14:paraId="4FA2C742">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1320</w:t>
            </w:r>
          </w:p>
        </w:tc>
        <w:tc>
          <w:tcPr>
            <w:tcW w:w="1247" w:type="dxa"/>
            <w:noWrap w:val="0"/>
            <w:vAlign w:val="top"/>
          </w:tcPr>
          <w:p w14:paraId="2879F22F">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1320</w:t>
            </w:r>
          </w:p>
        </w:tc>
        <w:tc>
          <w:tcPr>
            <w:tcW w:w="1246" w:type="dxa"/>
            <w:noWrap w:val="0"/>
            <w:vAlign w:val="top"/>
          </w:tcPr>
          <w:p w14:paraId="61BD74EB">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1260</w:t>
            </w:r>
          </w:p>
        </w:tc>
        <w:tc>
          <w:tcPr>
            <w:tcW w:w="1247" w:type="dxa"/>
            <w:noWrap w:val="0"/>
            <w:vAlign w:val="top"/>
          </w:tcPr>
          <w:p w14:paraId="4DF2D507">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1420</w:t>
            </w:r>
          </w:p>
        </w:tc>
        <w:tc>
          <w:tcPr>
            <w:tcW w:w="1269" w:type="dxa"/>
            <w:noWrap w:val="0"/>
            <w:vAlign w:val="top"/>
          </w:tcPr>
          <w:p w14:paraId="3A63C0A4">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1420</w:t>
            </w:r>
          </w:p>
        </w:tc>
      </w:tr>
      <w:tr w14:paraId="5E1B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5A759D1F">
            <w:pPr>
              <w:pStyle w:val="19"/>
              <w:pageBreakBefore w:val="0"/>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空调位最小高度</w:t>
            </w:r>
          </w:p>
        </w:tc>
        <w:tc>
          <w:tcPr>
            <w:tcW w:w="1247" w:type="dxa"/>
            <w:noWrap w:val="0"/>
            <w:vAlign w:val="top"/>
          </w:tcPr>
          <w:p w14:paraId="71DEFBBA">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1260</w:t>
            </w:r>
          </w:p>
        </w:tc>
        <w:tc>
          <w:tcPr>
            <w:tcW w:w="1247" w:type="dxa"/>
            <w:noWrap w:val="0"/>
            <w:vAlign w:val="top"/>
          </w:tcPr>
          <w:p w14:paraId="1F07A76D">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1815</w:t>
            </w:r>
          </w:p>
        </w:tc>
        <w:tc>
          <w:tcPr>
            <w:tcW w:w="1246" w:type="dxa"/>
            <w:noWrap w:val="0"/>
            <w:vAlign w:val="top"/>
          </w:tcPr>
          <w:p w14:paraId="3062E55C">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1777</w:t>
            </w:r>
          </w:p>
        </w:tc>
        <w:tc>
          <w:tcPr>
            <w:tcW w:w="1247" w:type="dxa"/>
            <w:noWrap w:val="0"/>
            <w:vAlign w:val="top"/>
          </w:tcPr>
          <w:p w14:paraId="004613A3">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2008</w:t>
            </w:r>
          </w:p>
        </w:tc>
        <w:tc>
          <w:tcPr>
            <w:tcW w:w="1269" w:type="dxa"/>
            <w:noWrap w:val="0"/>
            <w:vAlign w:val="top"/>
          </w:tcPr>
          <w:p w14:paraId="18A4DD40">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2008</w:t>
            </w:r>
          </w:p>
        </w:tc>
      </w:tr>
      <w:tr w14:paraId="5823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7999EAF6">
            <w:pPr>
              <w:pStyle w:val="19"/>
              <w:pageBreakBefore w:val="0"/>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空调位最小进深</w:t>
            </w:r>
          </w:p>
        </w:tc>
        <w:tc>
          <w:tcPr>
            <w:tcW w:w="1247" w:type="dxa"/>
            <w:noWrap w:val="0"/>
            <w:vAlign w:val="top"/>
          </w:tcPr>
          <w:p w14:paraId="25052410">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695</w:t>
            </w:r>
          </w:p>
        </w:tc>
        <w:tc>
          <w:tcPr>
            <w:tcW w:w="1247" w:type="dxa"/>
            <w:noWrap w:val="0"/>
            <w:vAlign w:val="top"/>
          </w:tcPr>
          <w:p w14:paraId="398678BB">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700</w:t>
            </w:r>
          </w:p>
        </w:tc>
        <w:tc>
          <w:tcPr>
            <w:tcW w:w="1246" w:type="dxa"/>
            <w:noWrap w:val="0"/>
            <w:vAlign w:val="top"/>
          </w:tcPr>
          <w:p w14:paraId="0EE1A369">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620</w:t>
            </w:r>
          </w:p>
        </w:tc>
        <w:tc>
          <w:tcPr>
            <w:tcW w:w="1247" w:type="dxa"/>
            <w:noWrap w:val="0"/>
            <w:vAlign w:val="top"/>
          </w:tcPr>
          <w:p w14:paraId="34C2DD5D">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800</w:t>
            </w:r>
          </w:p>
        </w:tc>
        <w:tc>
          <w:tcPr>
            <w:tcW w:w="1269" w:type="dxa"/>
            <w:noWrap w:val="0"/>
            <w:vAlign w:val="top"/>
          </w:tcPr>
          <w:p w14:paraId="53C0978F">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800</w:t>
            </w:r>
          </w:p>
        </w:tc>
      </w:tr>
      <w:tr w14:paraId="4F69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144F5A4D">
            <w:pPr>
              <w:pStyle w:val="19"/>
              <w:pageBreakBefore w:val="0"/>
              <w:kinsoku/>
              <w:wordWrap/>
              <w:overflowPunct/>
              <w:topLinePunct w:val="0"/>
              <w:bidi w:val="0"/>
              <w:spacing w:line="360" w:lineRule="auto"/>
              <w:ind w:left="148" w:leftChars="0" w:hanging="148" w:hangingChars="62"/>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外机重量（KG）</w:t>
            </w:r>
          </w:p>
        </w:tc>
        <w:tc>
          <w:tcPr>
            <w:tcW w:w="1247" w:type="dxa"/>
            <w:noWrap w:val="0"/>
            <w:vAlign w:val="top"/>
          </w:tcPr>
          <w:p w14:paraId="39ECF04C">
            <w:pPr>
              <w:pStyle w:val="19"/>
              <w:pageBreakBefore w:val="0"/>
              <w:tabs>
                <w:tab w:val="left" w:pos="638"/>
              </w:tabs>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33.5</w:t>
            </w:r>
          </w:p>
        </w:tc>
        <w:tc>
          <w:tcPr>
            <w:tcW w:w="1247" w:type="dxa"/>
            <w:noWrap w:val="0"/>
            <w:vAlign w:val="top"/>
          </w:tcPr>
          <w:p w14:paraId="3BE39C61">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42.5</w:t>
            </w:r>
          </w:p>
        </w:tc>
        <w:tc>
          <w:tcPr>
            <w:tcW w:w="1246" w:type="dxa"/>
            <w:noWrap w:val="0"/>
            <w:vAlign w:val="top"/>
          </w:tcPr>
          <w:p w14:paraId="1C9B8854">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58</w:t>
            </w:r>
          </w:p>
        </w:tc>
        <w:tc>
          <w:tcPr>
            <w:tcW w:w="1247" w:type="dxa"/>
            <w:noWrap w:val="0"/>
            <w:vAlign w:val="top"/>
          </w:tcPr>
          <w:p w14:paraId="4DC69BC8">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142</w:t>
            </w:r>
          </w:p>
        </w:tc>
        <w:tc>
          <w:tcPr>
            <w:tcW w:w="1269" w:type="dxa"/>
            <w:noWrap w:val="0"/>
            <w:vAlign w:val="top"/>
          </w:tcPr>
          <w:p w14:paraId="268CB5D3">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143</w:t>
            </w:r>
          </w:p>
        </w:tc>
      </w:tr>
      <w:tr w14:paraId="6011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6D716AD8">
            <w:pPr>
              <w:pStyle w:val="19"/>
              <w:pageBreakBefore w:val="0"/>
              <w:kinsoku/>
              <w:wordWrap/>
              <w:overflowPunct/>
              <w:topLinePunct w:val="0"/>
              <w:bidi w:val="0"/>
              <w:spacing w:line="360" w:lineRule="auto"/>
              <w:ind w:left="148" w:leftChars="0" w:hanging="148" w:hangingChars="62"/>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外机垫高</w:t>
            </w:r>
          </w:p>
        </w:tc>
        <w:tc>
          <w:tcPr>
            <w:tcW w:w="6256" w:type="dxa"/>
            <w:gridSpan w:val="5"/>
            <w:noWrap w:val="0"/>
            <w:vAlign w:val="top"/>
          </w:tcPr>
          <w:p w14:paraId="123AA1CE">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 xml:space="preserve">100MM至150MM </w:t>
            </w:r>
          </w:p>
        </w:tc>
      </w:tr>
      <w:tr w14:paraId="34F2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0E2F7ABB">
            <w:pPr>
              <w:pStyle w:val="19"/>
              <w:pageBreakBefore w:val="0"/>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空调百叶开孔率</w:t>
            </w:r>
          </w:p>
        </w:tc>
        <w:tc>
          <w:tcPr>
            <w:tcW w:w="6256" w:type="dxa"/>
            <w:gridSpan w:val="5"/>
            <w:noWrap w:val="0"/>
            <w:vAlign w:val="top"/>
          </w:tcPr>
          <w:p w14:paraId="4DAA6009">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60%至70%</w:t>
            </w:r>
          </w:p>
        </w:tc>
      </w:tr>
      <w:tr w14:paraId="5583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6" w:type="dxa"/>
            <w:noWrap w:val="0"/>
            <w:vAlign w:val="top"/>
          </w:tcPr>
          <w:p w14:paraId="39A27BFB">
            <w:pPr>
              <w:pStyle w:val="19"/>
              <w:pageBreakBefore w:val="0"/>
              <w:kinsoku/>
              <w:wordWrap/>
              <w:overflowPunct/>
              <w:topLinePunct w:val="0"/>
              <w:bidi w:val="0"/>
              <w:spacing w:line="360" w:lineRule="auto"/>
              <w:ind w:left="0" w:leftChars="0" w:firstLine="0" w:firstLineChars="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建议百叶净间距</w:t>
            </w:r>
          </w:p>
        </w:tc>
        <w:tc>
          <w:tcPr>
            <w:tcW w:w="6256" w:type="dxa"/>
            <w:gridSpan w:val="5"/>
            <w:noWrap w:val="0"/>
            <w:vAlign w:val="top"/>
          </w:tcPr>
          <w:p w14:paraId="31F3D2D8">
            <w:pPr>
              <w:pStyle w:val="19"/>
              <w:pageBreakBefore w:val="0"/>
              <w:kinsoku/>
              <w:wordWrap/>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60MM</w:t>
            </w:r>
          </w:p>
        </w:tc>
      </w:tr>
    </w:tbl>
    <w:p w14:paraId="6B177D1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p>
    <w:p w14:paraId="3D5009B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（8）商业用房门窗型材尽可能选用非断桥铝合金。</w:t>
      </w:r>
    </w:p>
    <w:p w14:paraId="3DC51A4C">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（9）商业上方有住宅卫生间的，该卫生间必须降板400mm。</w:t>
      </w:r>
    </w:p>
    <w:p w14:paraId="57F52E72">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（10）沿街雨棚出挑进深≤1500mm。</w:t>
      </w:r>
    </w:p>
    <w:p w14:paraId="43B1240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（11）考虑集中卫生间设计，并设计无障碍卫生间。</w:t>
      </w:r>
    </w:p>
    <w:p w14:paraId="5524811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2.物业管理用房</w:t>
      </w:r>
    </w:p>
    <w:p w14:paraId="1FC7A9D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（1）根据物业公司需求确定物业中心面积；集中商业应单独设置物业服务中心。</w:t>
      </w:r>
    </w:p>
    <w:p w14:paraId="4613485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（2）地下室顶板提高至物业管理用房±0.00地面设计标高（人防工程除外）。如下部无地下室，地面为细石混凝土配筋构造地坪。</w:t>
      </w:r>
    </w:p>
    <w:p w14:paraId="169F7B9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（3）外墙开窗面积适当，除客户接待中心外不宜过大。</w:t>
      </w:r>
    </w:p>
    <w:p w14:paraId="4D3B1E8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（4）物业管理用房地砖地面、乳胶漆墙面、石膏板吊顶，设置机械排气扇。</w:t>
      </w:r>
    </w:p>
    <w:p w14:paraId="1B03C1E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 w:hAnsi="楷体" w:eastAsia="楷体" w:cs="楷体"/>
          <w:color w:val="auto"/>
          <w:sz w:val="32"/>
          <w:szCs w:val="32"/>
          <w:highlight w:val="none"/>
          <w:lang w:val="en-US" w:eastAsia="zh-CN"/>
        </w:rPr>
        <w:t>第五条</w:t>
      </w:r>
      <w:r>
        <w:rPr>
          <w:rFonts w:hint="eastAsia" w:ascii="仿宋_GB2312" w:hAnsi="仿宋_GB2312" w:eastAsia="仿宋_GB2312" w:cs="仿宋_GB2312"/>
          <w:b w:val="0"/>
          <w:bCs w:val="0"/>
          <w:color w:val="auto"/>
          <w:kern w:val="2"/>
          <w:sz w:val="32"/>
          <w:szCs w:val="32"/>
          <w:highlight w:val="none"/>
          <w:lang w:val="en-US" w:eastAsia="zh-CN" w:bidi="ar-SA"/>
        </w:rPr>
        <w:t xml:space="preserve"> 其他专项技术要求</w:t>
      </w:r>
    </w:p>
    <w:p w14:paraId="78A579A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（一）节能设计</w:t>
      </w:r>
    </w:p>
    <w:p w14:paraId="65E6134D">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30BCF2F1">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（1）节能设计在满足规范的要求下，应考虑其经济性指标并进行节能综合动态计算（使用政府认可的软件）。</w:t>
      </w:r>
    </w:p>
    <w:p w14:paraId="1F12A7D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（2）外墙外保温或外墙内保温形式的选用须进行经济性方案比较，并报甲方选择认可。特殊情况须做保温加强处理时，少量局部在凹阳台处的墙体可采用内外保温同时结合采用的方式。</w:t>
      </w:r>
    </w:p>
    <w:p w14:paraId="3C7ECF7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（3）尽量控制体型系数，减少凹凸变化。</w:t>
      </w:r>
    </w:p>
    <w:p w14:paraId="45899ED9">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（4）尽量控制开窗面积，减小窗墙比。</w:t>
      </w:r>
    </w:p>
    <w:p w14:paraId="26A6A16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（5）外墙保温范围图、所有保温节点详图均须独立绘制，不得选用任何图集。</w:t>
      </w:r>
    </w:p>
    <w:p w14:paraId="20DAD607">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（6）所有图纸及节点详图均需随正式施工图一并同时出图，送机构审图。</w:t>
      </w:r>
    </w:p>
    <w:p w14:paraId="50D4A210">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（7）节能设计专篇、装修做法表及建筑节能计算报告书内保温厚度及做法应确保统一。</w:t>
      </w:r>
    </w:p>
    <w:p w14:paraId="4DFBCD9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2.保温材料</w:t>
      </w:r>
    </w:p>
    <w:p w14:paraId="30550DA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（1）根据节能计算确定保温材料。</w:t>
      </w:r>
    </w:p>
    <w:p w14:paraId="7656864A">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（2）外保温材料的防火要求：按国家规范或当地规定。</w:t>
      </w:r>
    </w:p>
    <w:p w14:paraId="3E00ED72">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3.外窗选型</w:t>
      </w:r>
    </w:p>
    <w:p w14:paraId="2B3C960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（1）为节约成本，公共部位、厨房、卫生间、储藏间、商业网点、附属用房的外墙门窗一般情况下选择单框（非断桥）+单玻。</w:t>
      </w:r>
    </w:p>
    <w:p w14:paraId="63DB4D2F">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（2）其他外墙门窗采用塑钢（或断桥铝合金）+中空玻璃，根据节能计算确定。</w:t>
      </w:r>
    </w:p>
    <w:p w14:paraId="530234A6">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4.设计范围</w:t>
      </w:r>
    </w:p>
    <w:p w14:paraId="2B8E84A5">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无空调房间、公共空间根据计算尽量减少保温面积，并在施工图中明确标识。</w:t>
      </w:r>
    </w:p>
    <w:p w14:paraId="389FDCF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（二）防水设计：</w:t>
      </w:r>
    </w:p>
    <w:p w14:paraId="2976925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5E5F561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（1）各子项施工图中必须有集中的防水专项设计图纸，无论在施工图中的其他部分是否已经表达。所有防水收头处理必须有节点设计和详图选用，特殊部位必须绘制节点详图。</w:t>
      </w:r>
    </w:p>
    <w:p w14:paraId="02E10B1B">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（2）防水设计由防水和排水两部分组成。凡有水接触的部位均必须进行防水设计，无论本设计任务书是否叙及。</w:t>
      </w:r>
    </w:p>
    <w:p w14:paraId="763685D8">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（3）屋面、地下室的防水材料原则上采用SBS改性沥青防水卷材。</w:t>
      </w:r>
    </w:p>
    <w:p w14:paraId="7C5ACCD4">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（4）防水设计部位如下：屋面、墙身、户内（含架空层）、地下室。</w:t>
      </w:r>
    </w:p>
    <w:p w14:paraId="5872A4F3">
      <w:pPr>
        <w:pageBreakBefore w:val="0"/>
        <w:widowControl w:val="0"/>
        <w:kinsoku/>
        <w:wordWrap/>
        <w:overflowPunct/>
        <w:topLinePunct w:val="0"/>
        <w:bidi w:val="0"/>
        <w:adjustRightInd w:val="0"/>
        <w:snapToGrid w:val="0"/>
        <w:spacing w:line="360" w:lineRule="auto"/>
        <w:ind w:left="2" w:leftChars="1"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首层室内地面应设置防潮层，通常设置在±0.00以下600mm处，当底层相邻房间地面存在室内高差时，水平防潮层应设置在不同标高室内地面以下600mm处的墙体中，同时还要在上下两层水平防潮层之间，高出地面沿墙的内侧做一层垂直防潮层。</w:t>
      </w:r>
    </w:p>
    <w:p w14:paraId="0DD3CBD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楷体" w:hAnsi="楷体" w:eastAsia="楷体" w:cs="楷体"/>
          <w:color w:val="auto"/>
          <w:sz w:val="32"/>
          <w:szCs w:val="32"/>
          <w:highlight w:val="none"/>
          <w:lang w:val="en-US" w:eastAsia="zh-CN"/>
        </w:rPr>
        <w:t>第六条</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val="0"/>
          <w:bCs w:val="0"/>
          <w:color w:val="auto"/>
          <w:kern w:val="2"/>
          <w:sz w:val="32"/>
          <w:szCs w:val="32"/>
          <w:highlight w:val="none"/>
          <w:lang w:val="en-US" w:eastAsia="zh-CN" w:bidi="ar-SA"/>
        </w:rPr>
        <w:t>图面表达及深度要求</w:t>
      </w:r>
    </w:p>
    <w:p w14:paraId="0A85B09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（一）总平面设计</w:t>
      </w:r>
    </w:p>
    <w:p w14:paraId="2DB9708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1.一般规定</w:t>
      </w:r>
    </w:p>
    <w:p w14:paraId="5C9532D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（1）基地总平面设计应满足项目政府报建要求及现场施工要求。</w:t>
      </w:r>
    </w:p>
    <w:p w14:paraId="0C8E059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（2）建筑总平面图出图比例1:500（建议根据实际项目确定）。</w:t>
      </w:r>
    </w:p>
    <w:p w14:paraId="1718148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（3）应注明道路、主要出入口处、场地平整后的标高。</w:t>
      </w:r>
    </w:p>
    <w:p w14:paraId="33C5937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（4）应注明建筑物之间、建筑物与用地红线之间、建筑物与道路之间的间距。</w:t>
      </w:r>
    </w:p>
    <w:p w14:paraId="7EE3ED1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（5）应注明单体建筑的长度、宽度、高度、层数，建筑物四周的放线坐标点，室内正负0.000的绝对标高。</w:t>
      </w:r>
    </w:p>
    <w:p w14:paraId="1B5F7B8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单独提供一层平面总平面图，比例1:500。图中应标注建筑物（门卫房、垃圾房、公共厕所、物管用房、底层商业、配电房、消防控制中心等）、构筑物（化粪池、发电机房高空排放烟道等）、道路、（非）机动车地下出入口、（非）机动车地面停车位、非住宅用空调室外机位置、地下室所有出地面管（风）井、全面健身用地位置、屋顶高位水箱（消防水箱）位置、场地地貌、景观的基本情况。</w:t>
      </w:r>
    </w:p>
    <w:p w14:paraId="7C42D99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2.技术经济指标</w:t>
      </w:r>
    </w:p>
    <w:p w14:paraId="107204F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（1）技术经济指标除满足项目政府报建、国家和所在地区施工图编制深度的规定外，还应反映：不同物业类型的建筑面积、户数统计；各户型的详细建筑面积指标统计；每栋建筑包含的各户型面积、户数统计。</w:t>
      </w:r>
    </w:p>
    <w:p w14:paraId="22582F4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（2）建筑面积包括：各房间使用面积、套内建筑面积、户型建筑面积、各层建筑面积、子项建筑面积、总建筑面积等。</w:t>
      </w:r>
    </w:p>
    <w:p w14:paraId="3D6F4D0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（3）主要技术经济指标应准确无误，特别是建筑面积的计算要严格按照当地颁发的建筑产权面积计算标准执行，并随设计的加深不断核算直至最终结果。</w:t>
      </w:r>
    </w:p>
    <w:p w14:paraId="2C3AA74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3.日照设计</w:t>
      </w:r>
    </w:p>
    <w:p w14:paraId="0ED515E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根据当地日照计算要求进行日照计算，满足当地规划部门和审图机构的审查要求。 </w:t>
      </w:r>
    </w:p>
    <w:p w14:paraId="2B9ECE7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4.管线设计</w:t>
      </w:r>
    </w:p>
    <w:p w14:paraId="12518A4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结合环境道路设计，在图纸中明确环境工程提供接驳口，并明确项目用地范围内各管线与市政管线的关系；在景观施工图完成后，需优化管道布置及管道综合，出正式设计变更图纸。</w:t>
      </w:r>
    </w:p>
    <w:p w14:paraId="062937D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5.景观设计</w:t>
      </w:r>
    </w:p>
    <w:p w14:paraId="19CBB11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地下室顶板荷载计算应考虑局部高大乔木栽种的荷载和游泳池荷载，覆土需满足上述要求。</w:t>
      </w:r>
    </w:p>
    <w:p w14:paraId="396FCCB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提供地下室顶板标高图。</w:t>
      </w:r>
    </w:p>
    <w:p w14:paraId="09D3E3A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根据景观设计成果，审核并完成（出正式设计变更图纸）下列设计修改，包括但不限于：各类围墙、小区大门、门卫房、垃圾房、各类钢构、各类构筑物、游泳池等。 </w:t>
      </w:r>
    </w:p>
    <w:p w14:paraId="2B1DBC9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（二）组合平面图</w:t>
      </w:r>
    </w:p>
    <w:p w14:paraId="5A28EA9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7BE1BB3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（1）各层组合平面图的出图比例1:100。</w:t>
      </w:r>
    </w:p>
    <w:p w14:paraId="6694182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（2）主要图纸包括地下各层，地上各层及屋顶平面图。组合图与单元图应一致。</w:t>
      </w:r>
    </w:p>
    <w:p w14:paraId="67C5C72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2.表达内容</w:t>
      </w:r>
    </w:p>
    <w:p w14:paraId="75104B1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（1）反映建筑长度、宽度，注明建筑轴网定位、轴间尺寸、总尺寸（即二道尺寸）。</w:t>
      </w:r>
    </w:p>
    <w:p w14:paraId="60AF517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（2）注明外墙面的开洞、门洞编号、楼梯编号、不同板面标高等等。</w:t>
      </w:r>
    </w:p>
    <w:p w14:paraId="40E7194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（3）注明室外环境的做法，包括散水，台阶，坡道。</w:t>
      </w:r>
    </w:p>
    <w:p w14:paraId="7BAC8E9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（4）注明结构柱、墙体、门窗、厨房、卫生间布置等，可不标出家俱布置。</w:t>
      </w:r>
    </w:p>
    <w:p w14:paraId="339E9A0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（5）屋顶平面图中注明雨水口、各层雨水管位置，以及雨水接至地面后的处理方式。</w:t>
      </w:r>
    </w:p>
    <w:p w14:paraId="0A7E1DB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（6）注明各层的建筑面积，以及消防设计内容，包括防火分区、防火门窗、防火墙、设备管井等，屋顶平面图中应注明消防通道与屋顶花园的范围。</w:t>
      </w:r>
    </w:p>
    <w:p w14:paraId="52FB0A0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（7）标明楼栋编号﹑户型编号﹑楼梯编号。</w:t>
      </w:r>
    </w:p>
    <w:p w14:paraId="047D5CC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（8）特殊部位的构造处理。如门厅、设缝﹑边单元户型、异型平面节点等情况。比例较小时，应引出较大比例的平面节点图。</w:t>
      </w:r>
    </w:p>
    <w:p w14:paraId="2301B75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（9）注明公共部分的强﹑弱电应留洞，通风留洞以及消防栓留洞。</w:t>
      </w:r>
    </w:p>
    <w:p w14:paraId="5CCDA7A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（10）一层组合平面图应表达底层门厅、单元入口、架空层之间的关系。</w:t>
      </w:r>
    </w:p>
    <w:p w14:paraId="6EE3C21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（三）单元平面放大图</w:t>
      </w:r>
    </w:p>
    <w:p w14:paraId="12193FF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07BB505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（1）单元平面放大图出图比例1:50。</w:t>
      </w:r>
    </w:p>
    <w:p w14:paraId="51B8F0A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（2）各单元均应绘制所有楼层的单元平面放大图。</w:t>
      </w:r>
    </w:p>
    <w:p w14:paraId="114ECD6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（3）单元平面放大图应与组合平面图一致。</w:t>
      </w:r>
    </w:p>
    <w:p w14:paraId="6F1109C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（4）户型对称或端头户型局部变化时，应表达出对称户型或端头户型的放大平面图。</w:t>
      </w:r>
    </w:p>
    <w:p w14:paraId="7AAB1A5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2.一般表达内容</w:t>
      </w:r>
    </w:p>
    <w:p w14:paraId="4582294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（1）柱、墙体定位，轴间尺寸，门窗洞口尺寸，单元总尺寸，主要构件尺寸。</w:t>
      </w:r>
    </w:p>
    <w:p w14:paraId="34CF668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（2）结构部分的柱大小，框架梁及主要梁的位置、高度。柱断面变化以及梁板标高的降低或抬高。</w:t>
      </w:r>
    </w:p>
    <w:p w14:paraId="07609A1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（3）墙体材料图例。</w:t>
      </w:r>
    </w:p>
    <w:p w14:paraId="18CBFEE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（4）室内家俱布置。</w:t>
      </w:r>
    </w:p>
    <w:p w14:paraId="20227D7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（5）门窗编号，门窗细部构造构造做法。</w:t>
      </w:r>
    </w:p>
    <w:p w14:paraId="77C2C29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（6）建筑及结构标高。</w:t>
      </w:r>
    </w:p>
    <w:p w14:paraId="15D39BA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（7）强弱电设备定位及高度。</w:t>
      </w:r>
    </w:p>
    <w:p w14:paraId="514ED0B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3.厨房及生活阳台表达内容</w:t>
      </w:r>
    </w:p>
    <w:p w14:paraId="269A78B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（1）抽油烟机井道、厨柜、吊柜位置、尺寸以及布置方式。</w:t>
      </w:r>
    </w:p>
    <w:p w14:paraId="6B390C4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（2）抽油烟机、冰箱、洗衣机、热水器定位及布置。</w:t>
      </w:r>
    </w:p>
    <w:p w14:paraId="72D8C9B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（3）地漏及地面找坡示意。</w:t>
      </w:r>
    </w:p>
    <w:p w14:paraId="47C6A90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4.卫生间表达内容</w:t>
      </w:r>
    </w:p>
    <w:p w14:paraId="207FD52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（1）化妆镜、化妆台（柜）及台盆的定位和尺寸。</w:t>
      </w:r>
    </w:p>
    <w:p w14:paraId="0FC9D6C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（2）花洒、浴盆、大便器、淋浴杆、肥皂盒、毛巾架、手纸盒定位。</w:t>
      </w:r>
    </w:p>
    <w:p w14:paraId="0FB4164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（3）地漏及地面找坡示意。</w:t>
      </w:r>
    </w:p>
    <w:p w14:paraId="62515AD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（4）给排水的洁具定位，电气开关插座定位。</w:t>
      </w:r>
    </w:p>
    <w:p w14:paraId="0F821BE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5.孔洞</w:t>
      </w:r>
    </w:p>
    <w:p w14:paraId="683E15F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（1）给排水，通风，电气专业的设备留洞由建筑，结构专业协调完成，设备专业应校对具体位置。</w:t>
      </w:r>
    </w:p>
    <w:p w14:paraId="79E503D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（2）空调室内外机位置及空调板尺寸、定位。</w:t>
      </w:r>
    </w:p>
    <w:p w14:paraId="78FD48C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（3）电梯井道，电梯门洞，电梯机房的预留孔，根据电梯厂家的要求设置。</w:t>
      </w:r>
    </w:p>
    <w:p w14:paraId="2718A4A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（4）其他应注明：空调机冷媒管洞、油烟机排烟孔洞、强排热水器排烟孔洞、天然气入户管洞、污水管排污孔、花园洋房厨房预留排气扇位、地漏定位、强弱电户内箱的预留洞的定位。</w:t>
      </w:r>
    </w:p>
    <w:p w14:paraId="2DF4323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6.设备管道</w:t>
      </w:r>
    </w:p>
    <w:p w14:paraId="17E015D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（1）给排水管位置，特别是预埋在板内、墙体中的管道位置。</w:t>
      </w:r>
    </w:p>
    <w:p w14:paraId="515E948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（2）空调冷凝水立管位置。</w:t>
      </w:r>
    </w:p>
    <w:p w14:paraId="2985896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（3）室外雨水立管位置。</w:t>
      </w:r>
    </w:p>
    <w:p w14:paraId="491DA1D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（4）出屋面，穿越其他房间或跃层楼梯间的各种管道。</w:t>
      </w:r>
    </w:p>
    <w:p w14:paraId="1D1CB18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（四）立面图</w:t>
      </w:r>
    </w:p>
    <w:p w14:paraId="3D739F0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6957EB9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（1）立面图的出图比例1:100。</w:t>
      </w:r>
    </w:p>
    <w:p w14:paraId="43E35AE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（2）建筑四个方向应设计立面，与平面图对应。</w:t>
      </w:r>
    </w:p>
    <w:p w14:paraId="2E30BBF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2.表达内容</w:t>
      </w:r>
    </w:p>
    <w:p w14:paraId="648C62E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（1）垂直尺寸应有三道尺寸，包括总建筑高度、建筑高度、分层高度、门窗洞口高度、室外标高、各层标高。</w:t>
      </w:r>
    </w:p>
    <w:p w14:paraId="1CB7C41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（2）水平尺寸应有总长度、轴间尺寸。</w:t>
      </w:r>
    </w:p>
    <w:p w14:paraId="3126FBC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（3）注明室外空调机挑板、雨水落管等室外构件。</w:t>
      </w:r>
    </w:p>
    <w:p w14:paraId="35E1A7C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（4）注明立面饰面材料的使用范围、饰面材料的色彩、主要参数、以及构造做法。</w:t>
      </w:r>
    </w:p>
    <w:p w14:paraId="7912CD6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（5）注明屋檐、雨罩、花台、坡道，平台、窗台、栏杆、勒脚、雨蓬、檐沟等的标高、位置及构造做法。</w:t>
      </w:r>
    </w:p>
    <w:p w14:paraId="3139AB6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3.立面分色排砖图</w:t>
      </w:r>
    </w:p>
    <w:p w14:paraId="2600141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所有外立面需进行外墙装饰材料的分色排砖设计。如装饰材料有变动，需根据变动后的材料规格作立面材料的分色排砖图。详细标注出各种尺寸、作法、颜色、材料等。分隔设计进度应满足总体施工进度要求。</w:t>
      </w:r>
    </w:p>
    <w:p w14:paraId="346E43B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(五)剖面图</w:t>
      </w:r>
    </w:p>
    <w:p w14:paraId="6B5C873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1DD3928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（1）剖面图的出图基本比例1:100。</w:t>
      </w:r>
    </w:p>
    <w:p w14:paraId="1ADBA57A">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（2）剖面图应与平面、立面对应，剖到的梁板柱应与结构图应相符。</w:t>
      </w:r>
    </w:p>
    <w:p w14:paraId="351787B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（3）应至少一个剖面图剖到楼梯电梯间。</w:t>
      </w:r>
    </w:p>
    <w:p w14:paraId="773F1DE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2.表达内容</w:t>
      </w:r>
    </w:p>
    <w:p w14:paraId="5632D91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（1）垂直尺寸应有三道尺寸，包括总建筑高度、建筑高度、分层高度、门窗洞口高度、室外标高、各层标高。水平尺寸应有总长度、轴间尺寸。</w:t>
      </w:r>
    </w:p>
    <w:p w14:paraId="4FA57D4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（2）注明室外地坪、各层楼地面、女儿墙、坡屋面、烟囱、花台、踏步、阳台平台、护窗栏杆、吊顶等的标高及做法。</w:t>
      </w:r>
    </w:p>
    <w:p w14:paraId="6A16EDB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3.楼梯剖面大样图 </w:t>
      </w:r>
    </w:p>
    <w:p w14:paraId="427FE89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（1）绘制1:50的楼电梯平面、剖面详图。如户型平面放大图已有楼电梯标注，可不再绘制1:50的楼电梯平面图。</w:t>
      </w:r>
    </w:p>
    <w:p w14:paraId="5199EC6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（2）踏步高×踏步宽、步数。</w:t>
      </w:r>
    </w:p>
    <w:p w14:paraId="79993B82">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（3）各层楼梯平台的宽度、标高。</w:t>
      </w:r>
    </w:p>
    <w:p w14:paraId="3120E2F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（4）楼梯栏杆高度及选型。</w:t>
      </w:r>
    </w:p>
    <w:p w14:paraId="0E26328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（5）平台处的窗台洞口高度低于900mm，应做护窗栏杆。</w:t>
      </w:r>
    </w:p>
    <w:p w14:paraId="2BAED09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（六）外墙身及节点详图</w:t>
      </w:r>
    </w:p>
    <w:p w14:paraId="45EB11C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1.基本要求</w:t>
      </w:r>
    </w:p>
    <w:p w14:paraId="03ACA95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（1）凡有变化处，均绘制1:50的外墙剖立面墙身详图（从室外地面至屋顶女儿墙，结构专业亦相同）和1:20的特殊外墙身节点详图。应与平面、立面、剖面相符。</w:t>
      </w:r>
    </w:p>
    <w:p w14:paraId="094ECED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（2）外立面节点详图尽量布置在一张图纸中，各栋不得引用其它栋大样图。如大样图一致，也应在本栋图纸中重复绘出。</w:t>
      </w:r>
    </w:p>
    <w:p w14:paraId="549CA5A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（3）女儿墙、檐口、顶棚、台阶、窗台、楼梯扶手、栏杆等节点构造应结合本项目绘制自用详图。</w:t>
      </w:r>
    </w:p>
    <w:p w14:paraId="7EB0367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（4）详图的索引编号与节点编号应相符、水平尺寸应与轴线对应、垂直尺寸应与各层标高对应；详图的总尺寸标高，应与平面图、立面图、剖面图一致。</w:t>
      </w:r>
    </w:p>
    <w:p w14:paraId="4A27F32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2.表达内容</w:t>
      </w:r>
    </w:p>
    <w:p w14:paraId="73CC958B">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（1）楼、地面（包括地下室）、屋面做法。</w:t>
      </w:r>
    </w:p>
    <w:p w14:paraId="5F1D305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（2）内外墙的水平及垂直防潮层做法，地下室的底板、外墙、顶板的防水措施。</w:t>
      </w:r>
    </w:p>
    <w:p w14:paraId="68BC918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（3）檐口，屋脊标高及坡度。雨蓬、窗台滴水。</w:t>
      </w:r>
    </w:p>
    <w:p w14:paraId="7BF2981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（4）窗台板、吊顶。</w:t>
      </w:r>
    </w:p>
    <w:p w14:paraId="3DBB0B0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3.特殊主要节点清单</w:t>
      </w:r>
    </w:p>
    <w:p w14:paraId="0FB052C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包括但不限于：</w:t>
      </w:r>
    </w:p>
    <w:p w14:paraId="09FE5BD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（1）坡屋面的檐口，屋脊。</w:t>
      </w:r>
    </w:p>
    <w:p w14:paraId="4F47F44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（2）凸窗。</w:t>
      </w:r>
    </w:p>
    <w:p w14:paraId="29F926A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（3）雨蓬。</w:t>
      </w:r>
    </w:p>
    <w:p w14:paraId="012E0655">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（4）空调室外机挑板。</w:t>
      </w:r>
    </w:p>
    <w:p w14:paraId="08052D2C">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（5）设备管沟，各类管井出屋面，包括油烟井道，通风井道等。</w:t>
      </w:r>
    </w:p>
    <w:p w14:paraId="44E3DEAE">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（6）各类栏杆，包括阳台，楼梯，上人屋面，护窗等部位。</w:t>
      </w:r>
    </w:p>
    <w:p w14:paraId="6A9EF2F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（7）各类1:100剖面未表达清楚的小剖面。</w:t>
      </w:r>
    </w:p>
    <w:p w14:paraId="51799E6F">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（七）合同附图</w:t>
      </w:r>
    </w:p>
    <w:p w14:paraId="3A8C594D">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1.绘制原则</w:t>
      </w:r>
    </w:p>
    <w:p w14:paraId="214DB8D8">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一户一图，表达准确、简洁，避免多余内容和有歧义的表达。</w:t>
      </w:r>
    </w:p>
    <w:p w14:paraId="5E903C7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2.图纸依据</w:t>
      </w:r>
    </w:p>
    <w:p w14:paraId="6DE83694">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施工报建图及其相应的所有变更。</w:t>
      </w:r>
    </w:p>
    <w:p w14:paraId="677E5CA9">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3.绘图注意事项</w:t>
      </w:r>
    </w:p>
    <w:p w14:paraId="0231D05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（1）明确电子文件与施工蓝图之间的差异，避免导致合同附图的错误。</w:t>
      </w:r>
    </w:p>
    <w:p w14:paraId="61765CF1">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（2）注意每条线条表达的意义，避免废线。</w:t>
      </w:r>
    </w:p>
    <w:p w14:paraId="7D89DA16">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（3）以施工蓝图和设计变更为准，电子版不能作为最后复核依据。</w:t>
      </w:r>
    </w:p>
    <w:p w14:paraId="61A3AB97">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（4）注意变异户型。</w:t>
      </w:r>
    </w:p>
    <w:p w14:paraId="36EE9BB0">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（5）注意绘图容易出错的地方：凸窗、阳台、露台、墙线、造型框、楼梯间及其通高区域。</w:t>
      </w:r>
    </w:p>
    <w:p w14:paraId="1F7E7F83">
      <w:pPr>
        <w:pageBreakBefore w:val="0"/>
        <w:widowControl w:val="0"/>
        <w:kinsoku/>
        <w:wordWrap/>
        <w:overflowPunct/>
        <w:topLinePunct w:val="0"/>
        <w:bidi w:val="0"/>
        <w:adjustRightInd w:val="0"/>
        <w:snapToGrid w:val="0"/>
        <w:spacing w:line="360" w:lineRule="auto"/>
        <w:ind w:firstLine="640" w:firstLineChars="200"/>
        <w:jc w:val="both"/>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（6）原则上只表达与本户功能性构件或空间有直接联系的构件，与本户无功能性联系的构件不做表达。</w:t>
      </w:r>
    </w:p>
    <w:p w14:paraId="27FA9E95">
      <w:pPr>
        <w:pageBreakBefore w:val="0"/>
        <w:kinsoku/>
        <w:wordWrap/>
        <w:overflowPunct/>
        <w:topLinePunct w:val="0"/>
        <w:bidi w:val="0"/>
        <w:spacing w:line="360" w:lineRule="auto"/>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br w:type="page"/>
      </w:r>
    </w:p>
    <w:p w14:paraId="1C095857">
      <w:pPr>
        <w:pStyle w:val="9"/>
        <w:pageBreakBefore w:val="0"/>
        <w:numPr>
          <w:ilvl w:val="0"/>
          <w:numId w:val="0"/>
        </w:numPr>
        <w:kinsoku/>
        <w:wordWrap/>
        <w:overflowPunct/>
        <w:topLinePunct w:val="0"/>
        <w:bidi w:val="0"/>
        <w:adjustRightInd w:val="0"/>
        <w:snapToGrid w:val="0"/>
        <w:spacing w:after="0" w:line="360" w:lineRule="auto"/>
        <w:ind w:leftChars="0"/>
        <w:jc w:val="center"/>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第三章 结构设计专篇</w:t>
      </w:r>
    </w:p>
    <w:p w14:paraId="384F3162">
      <w:pPr>
        <w:pStyle w:val="9"/>
        <w:pageBreakBefore w:val="0"/>
        <w:numPr>
          <w:ilvl w:val="0"/>
          <w:numId w:val="0"/>
        </w:numPr>
        <w:kinsoku/>
        <w:wordWrap/>
        <w:overflowPunct/>
        <w:topLinePunct w:val="0"/>
        <w:bidi w:val="0"/>
        <w:adjustRightInd w:val="0"/>
        <w:snapToGrid w:val="0"/>
        <w:spacing w:after="0" w:line="360" w:lineRule="auto"/>
        <w:ind w:leftChars="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val="en-US" w:eastAsia="zh-CN"/>
        </w:rPr>
        <w:t xml:space="preserve">第一条 </w:t>
      </w:r>
      <w:r>
        <w:rPr>
          <w:rFonts w:hint="eastAsia" w:ascii="仿宋_GB2312" w:hAnsi="仿宋_GB2312" w:eastAsia="仿宋_GB2312" w:cs="仿宋_GB2312"/>
          <w:b w:val="0"/>
          <w:bCs/>
          <w:color w:val="auto"/>
          <w:sz w:val="32"/>
          <w:szCs w:val="32"/>
          <w:highlight w:val="none"/>
          <w:lang w:eastAsia="zh-CN"/>
        </w:rPr>
        <w:t>结构专业设计</w:t>
      </w:r>
      <w:r>
        <w:rPr>
          <w:rFonts w:hint="eastAsia" w:ascii="仿宋_GB2312" w:hAnsi="仿宋_GB2312" w:eastAsia="仿宋_GB2312" w:cs="仿宋_GB2312"/>
          <w:b w:val="0"/>
          <w:bCs/>
          <w:color w:val="auto"/>
          <w:sz w:val="32"/>
          <w:szCs w:val="32"/>
          <w:highlight w:val="none"/>
          <w:lang w:val="en-US" w:eastAsia="zh-CN"/>
        </w:rPr>
        <w:t>工作</w:t>
      </w:r>
      <w:r>
        <w:rPr>
          <w:rFonts w:hint="eastAsia" w:ascii="仿宋_GB2312" w:hAnsi="仿宋_GB2312" w:eastAsia="仿宋_GB2312" w:cs="仿宋_GB2312"/>
          <w:b w:val="0"/>
          <w:bCs/>
          <w:color w:val="auto"/>
          <w:sz w:val="32"/>
          <w:szCs w:val="32"/>
          <w:highlight w:val="none"/>
          <w:lang w:eastAsia="zh-CN"/>
        </w:rPr>
        <w:t>内容及要求</w:t>
      </w:r>
    </w:p>
    <w:p w14:paraId="4FBFDE7B">
      <w:pPr>
        <w:pStyle w:val="9"/>
        <w:pageBreakBefore w:val="0"/>
        <w:kinsoku/>
        <w:wordWrap/>
        <w:overflowPunct/>
        <w:topLinePunct w:val="0"/>
        <w:bidi w:val="0"/>
        <w:adjustRightInd w:val="0"/>
        <w:snapToGrid w:val="0"/>
        <w:spacing w:after="0" w:line="360" w:lineRule="auto"/>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）设计</w:t>
      </w:r>
      <w:r>
        <w:rPr>
          <w:rFonts w:hint="eastAsia" w:ascii="仿宋_GB2312" w:hAnsi="仿宋_GB2312" w:eastAsia="仿宋_GB2312" w:cs="仿宋_GB2312"/>
          <w:b w:val="0"/>
          <w:bCs/>
          <w:color w:val="auto"/>
          <w:sz w:val="32"/>
          <w:szCs w:val="32"/>
          <w:highlight w:val="none"/>
          <w:lang w:val="en-US" w:eastAsia="zh-CN"/>
        </w:rPr>
        <w:t>工作</w:t>
      </w:r>
      <w:r>
        <w:rPr>
          <w:rFonts w:hint="eastAsia" w:ascii="仿宋_GB2312" w:hAnsi="仿宋_GB2312" w:eastAsia="仿宋_GB2312" w:cs="仿宋_GB2312"/>
          <w:b w:val="0"/>
          <w:bCs/>
          <w:color w:val="auto"/>
          <w:sz w:val="32"/>
          <w:szCs w:val="32"/>
          <w:highlight w:val="none"/>
          <w:lang w:eastAsia="zh-CN"/>
        </w:rPr>
        <w:t>内容</w:t>
      </w:r>
    </w:p>
    <w:p w14:paraId="02E51395">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按照甲方提供的设计文件，完成项目范围内建筑物及构筑物的结构专业施工图设计（含配合</w:t>
      </w:r>
      <w:r>
        <w:rPr>
          <w:rFonts w:hint="eastAsia" w:ascii="仿宋_GB2312" w:hAnsi="仿宋_GB2312" w:eastAsia="仿宋_GB2312" w:cs="仿宋_GB2312"/>
          <w:color w:val="auto"/>
          <w:sz w:val="32"/>
          <w:szCs w:val="32"/>
          <w:highlight w:val="none"/>
          <w:lang w:val="en-US" w:eastAsia="zh-CN"/>
        </w:rPr>
        <w:t>合同范围内的</w:t>
      </w:r>
      <w:r>
        <w:rPr>
          <w:rFonts w:hint="eastAsia" w:ascii="仿宋_GB2312" w:hAnsi="仿宋_GB2312" w:eastAsia="仿宋_GB2312" w:cs="仿宋_GB2312"/>
          <w:color w:val="auto"/>
          <w:sz w:val="32"/>
          <w:szCs w:val="32"/>
          <w:highlight w:val="none"/>
        </w:rPr>
        <w:t>其他专业的结构设计），并完成主体结构、基础结构、大跨度结构、结构加固改造（如有）等结构设计（涉及重大结构设计方案成本的，需进行不少于二种方案的比选论证）以及甲方要求的结构设计报审工作。</w:t>
      </w:r>
    </w:p>
    <w:p w14:paraId="369DC7E4">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负责项目范围内钢结构设计,包含完成主体钢结构、附属钢结构及二次承重受力钢构等设计，钢结构不得分包设计。</w:t>
      </w:r>
    </w:p>
    <w:p w14:paraId="2789C825">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负责协调、审核确认各专项设计（包括但不限于幕墙、景观，导向标识、泛光等）对主体结构的影响，并完成结构预留预埋设计。</w:t>
      </w:r>
    </w:p>
    <w:p w14:paraId="4931AEC7">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负责完成由于建筑功能等相关专业调整引起的结构</w:t>
      </w:r>
      <w:r>
        <w:rPr>
          <w:rFonts w:hint="eastAsia" w:ascii="仿宋_GB2312" w:hAnsi="仿宋_GB2312" w:eastAsia="仿宋_GB2312" w:cs="仿宋_GB2312"/>
          <w:color w:val="auto"/>
          <w:sz w:val="32"/>
          <w:szCs w:val="32"/>
          <w:highlight w:val="none"/>
          <w:lang w:val="en-US" w:eastAsia="zh-CN"/>
        </w:rPr>
        <w:t>调整设计。</w:t>
      </w:r>
    </w:p>
    <w:p w14:paraId="34A1E01A">
      <w:pPr>
        <w:pageBreakBefore w:val="0"/>
        <w:numPr>
          <w:ilvl w:val="0"/>
          <w:numId w:val="0"/>
        </w:numPr>
        <w:tabs>
          <w:tab w:val="left" w:pos="0"/>
          <w:tab w:val="left" w:pos="567"/>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配合施工总包和设备安装方的施工方案，验算施工方案对结构的安全影响，必要时对已施工结构进行调整、加固施工图设计。</w:t>
      </w:r>
    </w:p>
    <w:p w14:paraId="4317A13A">
      <w:pPr>
        <w:pageBreakBefore w:val="0"/>
        <w:numPr>
          <w:ilvl w:val="0"/>
          <w:numId w:val="0"/>
        </w:numPr>
        <w:tabs>
          <w:tab w:val="left" w:pos="0"/>
          <w:tab w:val="left" w:pos="567"/>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根据甲方提出的审核意见，在要求时间内完善设计成果和相应的设计变更。</w:t>
      </w:r>
    </w:p>
    <w:p w14:paraId="29E19641">
      <w:pPr>
        <w:pageBreakBefore w:val="0"/>
        <w:numPr>
          <w:ilvl w:val="0"/>
          <w:numId w:val="0"/>
        </w:numPr>
        <w:tabs>
          <w:tab w:val="left" w:pos="0"/>
          <w:tab w:val="left" w:pos="567"/>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7. </w:t>
      </w:r>
      <w:r>
        <w:rPr>
          <w:rFonts w:hint="eastAsia" w:ascii="仿宋_GB2312" w:hAnsi="仿宋_GB2312" w:eastAsia="仿宋_GB2312" w:cs="仿宋_GB2312"/>
          <w:color w:val="auto"/>
          <w:sz w:val="32"/>
          <w:szCs w:val="32"/>
          <w:highlight w:val="none"/>
        </w:rPr>
        <w:t>根据国家和地方规范、标准规定和当地建设主管单位文件要求，当主体结构判定为超限结构时，负责完成超限结构建筑抗震设防专项审查工作。</w:t>
      </w:r>
    </w:p>
    <w:p w14:paraId="4F823834">
      <w:pPr>
        <w:pageBreakBefore w:val="0"/>
        <w:numPr>
          <w:ilvl w:val="0"/>
          <w:numId w:val="0"/>
        </w:numPr>
        <w:tabs>
          <w:tab w:val="left" w:pos="0"/>
          <w:tab w:val="left" w:pos="567"/>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8. </w:t>
      </w:r>
      <w:r>
        <w:rPr>
          <w:rFonts w:hint="eastAsia" w:ascii="仿宋_GB2312" w:hAnsi="仿宋_GB2312" w:eastAsia="仿宋_GB2312" w:cs="仿宋_GB2312"/>
          <w:color w:val="auto"/>
          <w:sz w:val="32"/>
          <w:szCs w:val="32"/>
          <w:highlight w:val="none"/>
        </w:rPr>
        <w:t>配合完成甲方要求的技术经济分析，并提供技术经济分析报告。</w:t>
      </w:r>
    </w:p>
    <w:p w14:paraId="51904819">
      <w:pPr>
        <w:pageBreakBefore w:val="0"/>
        <w:numPr>
          <w:ilvl w:val="0"/>
          <w:numId w:val="0"/>
        </w:numPr>
        <w:tabs>
          <w:tab w:val="left" w:pos="0"/>
          <w:tab w:val="left" w:pos="567"/>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z w:val="32"/>
          <w:szCs w:val="32"/>
          <w:highlight w:val="none"/>
        </w:rPr>
        <w:t>设计单位应具备解决合同范围内所有的技术问题的能力，如设计单位要聘请第三方设计顾问解决技术问题，由设计单位自行聘请并支付费用。</w:t>
      </w:r>
    </w:p>
    <w:p w14:paraId="110BB513">
      <w:pPr>
        <w:pStyle w:val="9"/>
        <w:pageBreakBefore w:val="0"/>
        <w:kinsoku/>
        <w:wordWrap/>
        <w:overflowPunct/>
        <w:topLinePunct w:val="0"/>
        <w:bidi w:val="0"/>
        <w:adjustRightInd w:val="0"/>
        <w:snapToGrid w:val="0"/>
        <w:spacing w:after="0" w:line="360" w:lineRule="auto"/>
        <w:ind w:left="0" w:leftChars="0" w:firstLine="640" w:firstLineChars="200"/>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设计</w:t>
      </w:r>
      <w:r>
        <w:rPr>
          <w:rFonts w:hint="eastAsia" w:ascii="仿宋_GB2312" w:hAnsi="仿宋_GB2312" w:eastAsia="仿宋_GB2312" w:cs="仿宋_GB2312"/>
          <w:b w:val="0"/>
          <w:bCs/>
          <w:color w:val="auto"/>
          <w:sz w:val="32"/>
          <w:szCs w:val="32"/>
          <w:highlight w:val="none"/>
          <w:lang w:val="en-US" w:eastAsia="zh-CN"/>
        </w:rPr>
        <w:t>工作</w:t>
      </w:r>
      <w:r>
        <w:rPr>
          <w:rFonts w:hint="eastAsia" w:ascii="仿宋_GB2312" w:hAnsi="仿宋_GB2312" w:eastAsia="仿宋_GB2312" w:cs="仿宋_GB2312"/>
          <w:b w:val="0"/>
          <w:bCs/>
          <w:color w:val="auto"/>
          <w:sz w:val="32"/>
          <w:szCs w:val="32"/>
          <w:highlight w:val="none"/>
        </w:rPr>
        <w:t>要求</w:t>
      </w:r>
    </w:p>
    <w:p w14:paraId="3C74D6D6">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1. </w:t>
      </w:r>
      <w:r>
        <w:rPr>
          <w:rFonts w:hint="eastAsia" w:ascii="仿宋_GB2312" w:hAnsi="仿宋_GB2312" w:eastAsia="仿宋_GB2312" w:cs="仿宋_GB2312"/>
          <w:bCs/>
          <w:color w:val="auto"/>
          <w:sz w:val="32"/>
          <w:szCs w:val="32"/>
          <w:highlight w:val="none"/>
        </w:rPr>
        <w:t>施工图设计前应根据甲方限额设计指标进行结构方案设计，必要时提供结构方案技术及经济专题分析报告。</w:t>
      </w:r>
    </w:p>
    <w:p w14:paraId="57E2EE17">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2. </w:t>
      </w:r>
      <w:r>
        <w:rPr>
          <w:rFonts w:hint="eastAsia" w:ascii="仿宋_GB2312" w:hAnsi="仿宋_GB2312" w:eastAsia="仿宋_GB2312" w:cs="仿宋_GB2312"/>
          <w:bCs/>
          <w:color w:val="auto"/>
          <w:sz w:val="32"/>
          <w:szCs w:val="32"/>
          <w:highlight w:val="none"/>
        </w:rPr>
        <w:t>结构设计除应执行满足国家规范、地方规范等设计要求外，还应满足甲方的相关标准设计要求。</w:t>
      </w:r>
    </w:p>
    <w:p w14:paraId="055130C5">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3. </w:t>
      </w:r>
      <w:r>
        <w:rPr>
          <w:rFonts w:hint="eastAsia" w:ascii="仿宋_GB2312" w:hAnsi="仿宋_GB2312" w:eastAsia="仿宋_GB2312" w:cs="仿宋_GB2312"/>
          <w:bCs/>
          <w:color w:val="auto"/>
          <w:sz w:val="32"/>
          <w:szCs w:val="32"/>
          <w:highlight w:val="none"/>
        </w:rPr>
        <w:t>结构设计应根据建筑、机电</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机电</w:t>
      </w:r>
      <w:r>
        <w:rPr>
          <w:rFonts w:hint="eastAsia" w:ascii="仿宋_GB2312" w:hAnsi="仿宋_GB2312" w:eastAsia="仿宋_GB2312" w:cs="仿宋_GB2312"/>
          <w:bCs/>
          <w:color w:val="auto"/>
          <w:sz w:val="32"/>
          <w:szCs w:val="32"/>
          <w:highlight w:val="none"/>
        </w:rPr>
        <w:t>设备等相关专业提资，准确完成专业间配合，对于各专业所需求的预留预埋、基础设计、吊挂杆件等均应在图纸中准确表示，满足相关专业提资需求。</w:t>
      </w:r>
    </w:p>
    <w:p w14:paraId="6070CC50">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4. </w:t>
      </w:r>
      <w:r>
        <w:rPr>
          <w:rFonts w:hint="eastAsia" w:ascii="仿宋_GB2312" w:hAnsi="仿宋_GB2312" w:eastAsia="仿宋_GB2312" w:cs="仿宋_GB2312"/>
          <w:bCs/>
          <w:color w:val="auto"/>
          <w:sz w:val="32"/>
          <w:szCs w:val="32"/>
          <w:highlight w:val="none"/>
        </w:rPr>
        <w:t>设计单位应准确考虑设备荷载、主体结构支承等设计条件；</w:t>
      </w:r>
      <w:r>
        <w:rPr>
          <w:rFonts w:hint="eastAsia" w:ascii="仿宋_GB2312" w:hAnsi="仿宋_GB2312" w:eastAsia="仿宋_GB2312" w:cs="仿宋_GB2312"/>
          <w:bCs/>
          <w:color w:val="auto"/>
          <w:sz w:val="32"/>
          <w:szCs w:val="32"/>
          <w:highlight w:val="none"/>
          <w:lang w:val="en-US" w:eastAsia="zh-CN"/>
        </w:rPr>
        <w:t>如有需要</w:t>
      </w:r>
      <w:r>
        <w:rPr>
          <w:rFonts w:hint="eastAsia" w:ascii="仿宋_GB2312" w:hAnsi="仿宋_GB2312" w:eastAsia="仿宋_GB2312" w:cs="仿宋_GB2312"/>
          <w:bCs/>
          <w:color w:val="auto"/>
          <w:sz w:val="32"/>
          <w:szCs w:val="32"/>
          <w:highlight w:val="none"/>
        </w:rPr>
        <w:t>按设备荷载的单工况进行整体模型计算时，同时必须注意设备荷载矢量方向、荷载作用的标高等问</w:t>
      </w:r>
      <w:r>
        <w:rPr>
          <w:rFonts w:hint="eastAsia" w:ascii="仿宋_GB2312" w:hAnsi="仿宋_GB2312" w:eastAsia="仿宋_GB2312" w:cs="仿宋_GB2312"/>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highlight w:val="none"/>
        </w:rPr>
        <w:t>题。</w:t>
      </w:r>
    </w:p>
    <w:p w14:paraId="21D49A20">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5. </w:t>
      </w:r>
      <w:r>
        <w:rPr>
          <w:rFonts w:hint="eastAsia" w:ascii="仿宋_GB2312" w:hAnsi="仿宋_GB2312" w:eastAsia="仿宋_GB2312" w:cs="仿宋_GB2312"/>
          <w:bCs/>
          <w:color w:val="auto"/>
          <w:sz w:val="32"/>
          <w:szCs w:val="32"/>
          <w:highlight w:val="none"/>
        </w:rPr>
        <w:t>设计单位提交施工图</w:t>
      </w:r>
      <w:r>
        <w:rPr>
          <w:rFonts w:hint="eastAsia" w:ascii="仿宋_GB2312" w:hAnsi="仿宋_GB2312" w:eastAsia="仿宋_GB2312" w:cs="仿宋_GB2312"/>
          <w:bCs/>
          <w:color w:val="auto"/>
          <w:sz w:val="32"/>
          <w:szCs w:val="32"/>
          <w:highlight w:val="none"/>
          <w:lang w:val="en-US" w:eastAsia="zh-CN"/>
        </w:rPr>
        <w:t>前应严格完成</w:t>
      </w:r>
      <w:r>
        <w:rPr>
          <w:rFonts w:hint="eastAsia" w:ascii="仿宋_GB2312" w:hAnsi="仿宋_GB2312" w:eastAsia="仿宋_GB2312" w:cs="仿宋_GB2312"/>
          <w:bCs/>
          <w:color w:val="auto"/>
          <w:sz w:val="32"/>
          <w:szCs w:val="32"/>
          <w:highlight w:val="none"/>
        </w:rPr>
        <w:t>三级校审。</w:t>
      </w:r>
    </w:p>
    <w:p w14:paraId="3EEC044D">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6. </w:t>
      </w:r>
      <w:r>
        <w:rPr>
          <w:rFonts w:hint="eastAsia" w:ascii="仿宋_GB2312" w:hAnsi="仿宋_GB2312" w:eastAsia="仿宋_GB2312" w:cs="仿宋_GB2312"/>
          <w:bCs/>
          <w:color w:val="auto"/>
          <w:sz w:val="32"/>
          <w:szCs w:val="32"/>
          <w:highlight w:val="none"/>
        </w:rPr>
        <w:t>甲方提出的设计意见，设计单位</w:t>
      </w:r>
      <w:r>
        <w:rPr>
          <w:rFonts w:hint="eastAsia" w:ascii="仿宋_GB2312" w:hAnsi="仿宋_GB2312" w:eastAsia="仿宋_GB2312" w:cs="仿宋_GB2312"/>
          <w:bCs/>
          <w:color w:val="auto"/>
          <w:sz w:val="32"/>
          <w:szCs w:val="32"/>
          <w:highlight w:val="none"/>
          <w:lang w:val="en-US" w:eastAsia="zh-CN"/>
        </w:rPr>
        <w:t>若存在</w:t>
      </w:r>
      <w:r>
        <w:rPr>
          <w:rFonts w:hint="eastAsia" w:ascii="仿宋_GB2312" w:hAnsi="仿宋_GB2312" w:eastAsia="仿宋_GB2312" w:cs="仿宋_GB2312"/>
          <w:bCs/>
          <w:color w:val="auto"/>
          <w:sz w:val="32"/>
          <w:szCs w:val="32"/>
          <w:highlight w:val="none"/>
        </w:rPr>
        <w:t>异议</w:t>
      </w:r>
      <w:r>
        <w:rPr>
          <w:rFonts w:hint="eastAsia" w:ascii="仿宋_GB2312" w:hAnsi="仿宋_GB2312" w:eastAsia="仿宋_GB2312" w:cs="仿宋_GB2312"/>
          <w:bCs/>
          <w:color w:val="auto"/>
          <w:sz w:val="32"/>
          <w:szCs w:val="32"/>
          <w:highlight w:val="none"/>
          <w:lang w:val="en-US" w:eastAsia="zh-CN"/>
        </w:rPr>
        <w:t>时</w:t>
      </w:r>
      <w:r>
        <w:rPr>
          <w:rFonts w:hint="eastAsia" w:ascii="仿宋_GB2312" w:hAnsi="仿宋_GB2312" w:eastAsia="仿宋_GB2312" w:cs="仿宋_GB2312"/>
          <w:bCs/>
          <w:color w:val="auto"/>
          <w:sz w:val="32"/>
          <w:szCs w:val="32"/>
          <w:highlight w:val="none"/>
        </w:rPr>
        <w:t>应及时沟通解决。</w:t>
      </w:r>
    </w:p>
    <w:p w14:paraId="7DABD14A">
      <w:pPr>
        <w:pStyle w:val="33"/>
        <w:pageBreakBefore w:val="0"/>
        <w:widowControl/>
        <w:numPr>
          <w:ilvl w:val="0"/>
          <w:numId w:val="0"/>
        </w:numPr>
        <w:kinsoku/>
        <w:wordWrap/>
        <w:overflowPunct/>
        <w:topLinePunct w:val="0"/>
        <w:bidi w:val="0"/>
        <w:adjustRightInd w:val="0"/>
        <w:snapToGrid w:val="0"/>
        <w:spacing w:line="360" w:lineRule="auto"/>
        <w:ind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7. </w:t>
      </w:r>
      <w:r>
        <w:rPr>
          <w:rFonts w:hint="eastAsia" w:ascii="仿宋_GB2312" w:hAnsi="仿宋_GB2312" w:eastAsia="仿宋_GB2312" w:cs="仿宋_GB2312"/>
          <w:bCs/>
          <w:color w:val="auto"/>
          <w:sz w:val="32"/>
          <w:szCs w:val="32"/>
          <w:highlight w:val="none"/>
        </w:rPr>
        <w:t>结构设计成本控制：</w:t>
      </w:r>
    </w:p>
    <w:p w14:paraId="29027D94">
      <w:pPr>
        <w:pStyle w:val="33"/>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设计单位应提供详细的成本控制措施（可作为统一技术措施的分项），经甲方确认后严格按照控制措施执行。并应按甲方的成本控制要求进行设计，原则上按计算结果配筋，不得随意超配筋。</w:t>
      </w:r>
    </w:p>
    <w:p w14:paraId="222FB245">
      <w:pPr>
        <w:pStyle w:val="33"/>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设计单位提交施工图设计成果前，应完成土建成本测算工作（包含但不限于钢筋、混凝土和钢材等用量指标），当测算结果超出</w:t>
      </w:r>
      <w:r>
        <w:rPr>
          <w:rFonts w:hint="eastAsia" w:ascii="仿宋_GB2312" w:hAnsi="仿宋_GB2312" w:eastAsia="仿宋_GB2312" w:cs="仿宋_GB2312"/>
          <w:bCs/>
          <w:color w:val="auto"/>
          <w:sz w:val="32"/>
          <w:szCs w:val="32"/>
          <w:highlight w:val="none"/>
          <w:lang w:val="en-US" w:eastAsia="zh-CN"/>
        </w:rPr>
        <w:t>甲方成本控制要求时，</w:t>
      </w:r>
      <w:r>
        <w:rPr>
          <w:rFonts w:hint="eastAsia" w:ascii="仿宋_GB2312" w:hAnsi="仿宋_GB2312" w:eastAsia="仿宋_GB2312" w:cs="仿宋_GB2312"/>
          <w:bCs/>
          <w:color w:val="auto"/>
          <w:sz w:val="32"/>
          <w:szCs w:val="32"/>
          <w:highlight w:val="none"/>
        </w:rPr>
        <w:t>设计单位应分析原因并在规定时间内完成结构设计优化工作。</w:t>
      </w:r>
    </w:p>
    <w:p w14:paraId="118A7FE6">
      <w:pPr>
        <w:pStyle w:val="33"/>
        <w:pageBreakBefore w:val="0"/>
        <w:widowControl/>
        <w:numPr>
          <w:ilvl w:val="0"/>
          <w:numId w:val="0"/>
        </w:numPr>
        <w:tabs>
          <w:tab w:val="left" w:pos="567"/>
        </w:tabs>
        <w:kinsoku/>
        <w:wordWrap/>
        <w:overflowPunct/>
        <w:topLinePunct w:val="0"/>
        <w:bidi w:val="0"/>
        <w:adjustRightInd w:val="0"/>
        <w:snapToGrid w:val="0"/>
        <w:spacing w:line="360" w:lineRule="auto"/>
        <w:ind w:leftChars="0"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8. </w:t>
      </w:r>
      <w:r>
        <w:rPr>
          <w:rFonts w:hint="eastAsia" w:ascii="仿宋_GB2312" w:hAnsi="仿宋_GB2312" w:eastAsia="仿宋_GB2312" w:cs="仿宋_GB2312"/>
          <w:bCs/>
          <w:color w:val="auto"/>
          <w:sz w:val="32"/>
          <w:szCs w:val="32"/>
          <w:highlight w:val="none"/>
        </w:rPr>
        <w:t>设计单位对其设计的钢结构设计施工图负全部责任。钢结构深化设计图的编制由深化设计单位完成。设计单位需对钢结构深化设计图在规定时间内进行审核后签字盖章。乙方对钢结构深化设计图的审核范围与责任</w:t>
      </w:r>
      <w:r>
        <w:rPr>
          <w:rFonts w:hint="eastAsia" w:ascii="仿宋_GB2312" w:hAnsi="仿宋_GB2312" w:eastAsia="仿宋_GB2312" w:cs="仿宋_GB2312"/>
          <w:bCs/>
          <w:color w:val="auto"/>
          <w:sz w:val="32"/>
          <w:szCs w:val="32"/>
          <w:highlight w:val="none"/>
          <w:lang w:val="en-US" w:eastAsia="zh-CN"/>
        </w:rPr>
        <w:t>如下</w:t>
      </w:r>
      <w:r>
        <w:rPr>
          <w:rFonts w:hint="eastAsia" w:ascii="仿宋_GB2312" w:hAnsi="仿宋_GB2312" w:eastAsia="仿宋_GB2312" w:cs="仿宋_GB2312"/>
          <w:bCs/>
          <w:color w:val="auto"/>
          <w:sz w:val="32"/>
          <w:szCs w:val="32"/>
          <w:highlight w:val="none"/>
        </w:rPr>
        <w:t>：</w:t>
      </w:r>
    </w:p>
    <w:p w14:paraId="091EFA05">
      <w:pPr>
        <w:pStyle w:val="33"/>
        <w:pageBreakBefore w:val="0"/>
        <w:numPr>
          <w:ilvl w:val="0"/>
          <w:numId w:val="0"/>
        </w:numPr>
        <w:kinsoku/>
        <w:wordWrap/>
        <w:overflowPunct/>
        <w:topLinePunct w:val="0"/>
        <w:bidi w:val="0"/>
        <w:adjustRightInd w:val="0"/>
        <w:snapToGrid w:val="0"/>
        <w:spacing w:line="360" w:lineRule="auto"/>
        <w:ind w:leftChars="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乙方应对深化设计图进行审核，包括但不限于深化设计总说明、构件材料（包括防火防腐）、构件截面及尺寸（不包括零件图）、定位尺寸、支座连接方式、构件拼接（包括弧形杆件找形）方式、节点连接做法等内容，且出具签字盖章的审核意见并在深化设计方修改完毕后进行确认。</w:t>
      </w:r>
    </w:p>
    <w:p w14:paraId="3C545311">
      <w:pPr>
        <w:pStyle w:val="33"/>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若钢结构深化设计图纸带有对原设计图纸内容非深化性质的修改调整时，乙方应对此部分修改内容进行重点审核，出具签字盖章的审核意见并在深化设计方修改完毕后进行确认。所有在深化图阶段产生的修改调整，均应出具正式的设计变更，不得以深化图</w:t>
      </w:r>
      <w:r>
        <w:rPr>
          <w:rFonts w:hint="eastAsia" w:ascii="仿宋_GB2312" w:hAnsi="仿宋_GB2312" w:eastAsia="仿宋_GB2312" w:cs="仿宋_GB2312"/>
          <w:bCs/>
          <w:color w:val="auto"/>
          <w:sz w:val="32"/>
          <w:szCs w:val="32"/>
          <w:highlight w:val="none"/>
          <w:lang w:val="en-US" w:eastAsia="zh-CN"/>
        </w:rPr>
        <w:t>确认</w:t>
      </w:r>
      <w:r>
        <w:rPr>
          <w:rFonts w:hint="eastAsia" w:ascii="仿宋_GB2312" w:hAnsi="仿宋_GB2312" w:eastAsia="仿宋_GB2312" w:cs="仿宋_GB2312"/>
          <w:bCs/>
          <w:color w:val="auto"/>
          <w:sz w:val="32"/>
          <w:szCs w:val="32"/>
          <w:highlight w:val="none"/>
        </w:rPr>
        <w:t>形式对施工图进行变更修改。</w:t>
      </w:r>
    </w:p>
    <w:p w14:paraId="370D8BF9">
      <w:pPr>
        <w:pStyle w:val="33"/>
        <w:pageBreakBefore w:val="0"/>
        <w:widowControl/>
        <w:numPr>
          <w:ilvl w:val="0"/>
          <w:numId w:val="0"/>
        </w:numPr>
        <w:tabs>
          <w:tab w:val="left" w:pos="567"/>
        </w:tabs>
        <w:kinsoku/>
        <w:wordWrap/>
        <w:overflowPunct/>
        <w:topLinePunct w:val="0"/>
        <w:bidi w:val="0"/>
        <w:adjustRightInd w:val="0"/>
        <w:snapToGrid w:val="0"/>
        <w:spacing w:line="360" w:lineRule="auto"/>
        <w:ind w:leftChars="0"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9. </w:t>
      </w:r>
      <w:r>
        <w:rPr>
          <w:rFonts w:hint="eastAsia" w:ascii="仿宋_GB2312" w:hAnsi="仿宋_GB2312" w:eastAsia="仿宋_GB2312" w:cs="仿宋_GB2312"/>
          <w:bCs/>
          <w:color w:val="auto"/>
          <w:sz w:val="32"/>
          <w:szCs w:val="32"/>
          <w:highlight w:val="none"/>
        </w:rPr>
        <w:t>本项目如需进行结构试验或抗震专项审查等时，应配合甲方解决。</w:t>
      </w:r>
    </w:p>
    <w:p w14:paraId="214F82C7">
      <w:pPr>
        <w:pStyle w:val="33"/>
        <w:pageBreakBefore w:val="0"/>
        <w:widowControl/>
        <w:numPr>
          <w:ilvl w:val="0"/>
          <w:numId w:val="0"/>
        </w:numPr>
        <w:tabs>
          <w:tab w:val="left" w:pos="567"/>
        </w:tabs>
        <w:kinsoku/>
        <w:wordWrap/>
        <w:overflowPunct/>
        <w:topLinePunct w:val="0"/>
        <w:bidi w:val="0"/>
        <w:adjustRightInd w:val="0"/>
        <w:snapToGrid w:val="0"/>
        <w:spacing w:line="360" w:lineRule="auto"/>
        <w:ind w:leftChars="0" w:firstLine="640" w:firstLineChars="200"/>
        <w:jc w:val="left"/>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10. </w:t>
      </w:r>
      <w:r>
        <w:rPr>
          <w:rFonts w:hint="eastAsia" w:ascii="仿宋_GB2312" w:hAnsi="仿宋_GB2312" w:eastAsia="仿宋_GB2312" w:cs="仿宋_GB2312"/>
          <w:bCs/>
          <w:color w:val="auto"/>
          <w:sz w:val="32"/>
          <w:szCs w:val="32"/>
          <w:highlight w:val="none"/>
        </w:rPr>
        <w:t>验算施工方案对结构的安全影响，必要时对已有结构设计进行调整加固。</w:t>
      </w:r>
    </w:p>
    <w:p w14:paraId="2F4FB2E6">
      <w:pPr>
        <w:pStyle w:val="9"/>
        <w:pageBreakBefore w:val="0"/>
        <w:numPr>
          <w:ilvl w:val="0"/>
          <w:numId w:val="0"/>
        </w:numPr>
        <w:kinsoku/>
        <w:wordWrap/>
        <w:overflowPunct/>
        <w:topLinePunct w:val="0"/>
        <w:bidi w:val="0"/>
        <w:adjustRightInd w:val="0"/>
        <w:snapToGrid w:val="0"/>
        <w:spacing w:after="0" w:line="360" w:lineRule="auto"/>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（三）设计</w:t>
      </w:r>
      <w:r>
        <w:rPr>
          <w:rFonts w:hint="eastAsia" w:ascii="仿宋_GB2312" w:hAnsi="仿宋_GB2312" w:eastAsia="仿宋_GB2312" w:cs="仿宋_GB2312"/>
          <w:b w:val="0"/>
          <w:bCs/>
          <w:color w:val="auto"/>
          <w:sz w:val="32"/>
          <w:szCs w:val="32"/>
          <w:highlight w:val="none"/>
        </w:rPr>
        <w:t>成果要求</w:t>
      </w:r>
    </w:p>
    <w:p w14:paraId="2F9F4A0D">
      <w:pPr>
        <w:pStyle w:val="33"/>
        <w:pageBreakBefore w:val="0"/>
        <w:widowControl/>
        <w:numPr>
          <w:ilvl w:val="0"/>
          <w:numId w:val="8"/>
        </w:numPr>
        <w:kinsoku/>
        <w:wordWrap/>
        <w:overflowPunct/>
        <w:topLinePunct w:val="0"/>
        <w:bidi w:val="0"/>
        <w:adjustRightInd w:val="0"/>
        <w:snapToGrid w:val="0"/>
        <w:spacing w:line="360" w:lineRule="auto"/>
        <w:ind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图纸文件资料需满足甲方要求，并提供签字盖章纸质版设计成果和相应的电子资料（图纸需同时提供PDF和DWG格式文件）。</w:t>
      </w:r>
    </w:p>
    <w:p w14:paraId="214EBCB0">
      <w:pPr>
        <w:pStyle w:val="33"/>
        <w:pageBreakBefore w:val="0"/>
        <w:widowControl/>
        <w:numPr>
          <w:ilvl w:val="0"/>
          <w:numId w:val="8"/>
        </w:numPr>
        <w:kinsoku/>
        <w:wordWrap/>
        <w:overflowPunct/>
        <w:topLinePunct w:val="0"/>
        <w:bidi w:val="0"/>
        <w:adjustRightInd w:val="0"/>
        <w:snapToGrid w:val="0"/>
        <w:spacing w:line="360" w:lineRule="auto"/>
        <w:ind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提供结构设计计算书、含设计参数的计算模型和结构方案图纸、结构构件关键节点结构计算书及详图；</w:t>
      </w:r>
    </w:p>
    <w:p w14:paraId="6CDE2A3D">
      <w:pPr>
        <w:pageBreakBefore w:val="0"/>
        <w:widowControl/>
        <w:numPr>
          <w:ilvl w:val="0"/>
          <w:numId w:val="8"/>
        </w:numPr>
        <w:tabs>
          <w:tab w:val="left" w:pos="0"/>
          <w:tab w:val="left" w:pos="567"/>
        </w:tabs>
        <w:kinsoku/>
        <w:wordWrap/>
        <w:overflowPunct/>
        <w:topLinePunct w:val="0"/>
        <w:autoSpaceDE w:val="0"/>
        <w:autoSpaceDN w:val="0"/>
        <w:bidi w:val="0"/>
        <w:adjustRightInd w:val="0"/>
        <w:snapToGrid w:val="0"/>
        <w:spacing w:line="360" w:lineRule="auto"/>
        <w:ind w:left="0" w:leftChars="0" w:firstLine="640" w:firstLineChars="200"/>
        <w:jc w:val="left"/>
        <w:textAlignment w:val="auto"/>
        <w:outlineLvl w:val="2"/>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施工图</w:t>
      </w:r>
      <w:r>
        <w:rPr>
          <w:rFonts w:hint="eastAsia" w:ascii="仿宋_GB2312" w:hAnsi="仿宋_GB2312" w:eastAsia="仿宋_GB2312" w:cs="仿宋_GB2312"/>
          <w:bCs/>
          <w:color w:val="auto"/>
          <w:sz w:val="32"/>
          <w:szCs w:val="32"/>
          <w:highlight w:val="none"/>
          <w:lang w:val="en-US" w:eastAsia="zh-CN"/>
        </w:rPr>
        <w:t>成果要求</w:t>
      </w:r>
    </w:p>
    <w:p w14:paraId="4AEE0DE4">
      <w:pPr>
        <w:pageBreakBefore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设计单位应按照《建筑结构制图标准》GB/T 50105-2010的要求提交结构施工图（蓝图及电子文件PDF及CAD文件），包括但不限于：图纸目录、结构设计总说明（含钢结构设计总说明）、（桩）基础设计说明、（桩）基础平面布置图、基础大样图、结构模板图、柱定位及配筋图、梁板配筋图、屋面桁架支座布置图、屋面檩条布置图及连接大样图等，图纸深度除满足《建筑工程设计文件编制深度规定》(2016版)的要求外，还应</w:t>
      </w:r>
      <w:r>
        <w:rPr>
          <w:rFonts w:hint="eastAsia" w:ascii="仿宋_GB2312" w:hAnsi="仿宋_GB2312" w:eastAsia="仿宋_GB2312" w:cs="仿宋_GB2312"/>
          <w:color w:val="auto"/>
          <w:sz w:val="32"/>
          <w:szCs w:val="32"/>
          <w:highlight w:val="none"/>
          <w:lang w:val="en-US" w:eastAsia="zh-CN"/>
        </w:rPr>
        <w:t>根据项目情况</w:t>
      </w:r>
      <w:r>
        <w:rPr>
          <w:rFonts w:hint="eastAsia" w:ascii="仿宋_GB2312" w:hAnsi="仿宋_GB2312" w:eastAsia="仿宋_GB2312" w:cs="仿宋_GB2312"/>
          <w:color w:val="auto"/>
          <w:sz w:val="32"/>
          <w:szCs w:val="32"/>
          <w:highlight w:val="none"/>
        </w:rPr>
        <w:t>提供以下内容：</w:t>
      </w:r>
    </w:p>
    <w:p w14:paraId="5B0BCC2D">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结构设计节点详图：与建筑大样对应的结构配筋详图，混凝土结构与钢结构的连接节点大样（需表示出混凝土内钢筋遇钢构件和预埋件的穿筋、绕筋、锚固做法等）、钢构件连接节点、主体结构与二次结构连接大样及必要的文字说明。</w:t>
      </w:r>
    </w:p>
    <w:p w14:paraId="444F9D66">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提供结构计算书和恒荷载的荷载统计计算书，以及与计算书一致的含设计参数的结构计算模型；对于复杂结构应提供关键构件和节点的详细分析及详图；所有计算书中图纸文件，均需提供DWG和PDF两种版本文件。</w:t>
      </w:r>
    </w:p>
    <w:p w14:paraId="668F7A5E">
      <w:pPr>
        <w:pageBreakBefore w:val="0"/>
        <w:numPr>
          <w:ilvl w:val="0"/>
          <w:numId w:val="0"/>
        </w:numPr>
        <w:tabs>
          <w:tab w:val="left" w:pos="0"/>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配合各专项设计需求，提供（或接收）包含设计荷载、计算参数、计算结果的模型、BIM合模模型等设计相关资料。</w:t>
      </w:r>
    </w:p>
    <w:p w14:paraId="5FF95C6D">
      <w:pPr>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对于高大空间的填充墙应验算墙体结构稳定性</w:t>
      </w:r>
      <w:r>
        <w:rPr>
          <w:rFonts w:hint="eastAsia" w:ascii="仿宋_GB2312" w:hAnsi="仿宋_GB2312" w:eastAsia="仿宋_GB2312" w:cs="仿宋_GB2312"/>
          <w:color w:val="auto"/>
          <w:sz w:val="32"/>
          <w:szCs w:val="32"/>
          <w:highlight w:val="none"/>
          <w:lang w:val="en-US" w:eastAsia="zh-CN"/>
        </w:rPr>
        <w:t>计算</w:t>
      </w:r>
      <w:r>
        <w:rPr>
          <w:rFonts w:hint="eastAsia" w:ascii="仿宋_GB2312" w:hAnsi="仿宋_GB2312" w:eastAsia="仿宋_GB2312" w:cs="仿宋_GB2312"/>
          <w:color w:val="auto"/>
          <w:sz w:val="32"/>
          <w:szCs w:val="32"/>
          <w:highlight w:val="none"/>
        </w:rPr>
        <w:t>，并进行抗风抗震验算。</w:t>
      </w:r>
    </w:p>
    <w:p w14:paraId="7DAE298A">
      <w:pPr>
        <w:pageBreakBefore w:val="0"/>
        <w:numPr>
          <w:ilvl w:val="0"/>
          <w:numId w:val="0"/>
        </w:numPr>
        <w:tabs>
          <w:tab w:val="left" w:pos="426"/>
        </w:tabs>
        <w:kinsoku/>
        <w:wordWrap/>
        <w:overflowPunct/>
        <w:topLinePunct w:val="0"/>
        <w:bidi w:val="0"/>
        <w:adjustRightInd w:val="0"/>
        <w:snapToGrid w:val="0"/>
        <w:spacing w:line="360" w:lineRule="auto"/>
        <w:ind w:leftChars="0"/>
        <w:textAlignment w:val="auto"/>
        <w:outlineLvl w:val="4"/>
        <w:rPr>
          <w:rFonts w:hint="eastAsia" w:ascii="仿宋_GB2312" w:hAnsi="仿宋_GB2312" w:eastAsia="仿宋_GB2312" w:cs="仿宋_GB2312"/>
          <w:color w:val="auto"/>
          <w:sz w:val="32"/>
          <w:szCs w:val="32"/>
          <w:highlight w:val="none"/>
        </w:rPr>
      </w:pPr>
    </w:p>
    <w:p w14:paraId="64D23231">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firstLine="640" w:firstLineChars="200"/>
        <w:textAlignment w:val="auto"/>
        <w:outlineLvl w:val="4"/>
        <w:rPr>
          <w:rFonts w:hint="eastAsia" w:ascii="仿宋_GB2312" w:hAnsi="仿宋_GB2312" w:eastAsia="仿宋_GB2312" w:cs="仿宋_GB2312"/>
          <w:b/>
          <w:color w:val="auto"/>
          <w:sz w:val="32"/>
          <w:szCs w:val="32"/>
          <w:highlight w:val="none"/>
        </w:rPr>
      </w:pPr>
      <w:r>
        <w:rPr>
          <w:rFonts w:hint="eastAsia" w:ascii="楷体" w:hAnsi="楷体" w:eastAsia="楷体" w:cs="楷体"/>
          <w:color w:val="auto"/>
          <w:sz w:val="32"/>
          <w:szCs w:val="32"/>
          <w:highlight w:val="none"/>
          <w:lang w:val="en-US" w:eastAsia="zh-CN"/>
        </w:rPr>
        <w:t>第二条</w:t>
      </w:r>
      <w:r>
        <w:rPr>
          <w:rFonts w:hint="eastAsia" w:ascii="仿宋_GB2312" w:hAnsi="仿宋_GB2312" w:eastAsia="仿宋_GB2312" w:cs="仿宋_GB2312"/>
          <w:color w:val="auto"/>
          <w:sz w:val="32"/>
          <w:szCs w:val="32"/>
          <w:highlight w:val="none"/>
          <w:lang w:val="en-US" w:eastAsia="zh-CN"/>
        </w:rPr>
        <w:t xml:space="preserve"> 结构设计技术要求</w:t>
      </w:r>
    </w:p>
    <w:p w14:paraId="3CEA178B">
      <w:pPr>
        <w:keepNext w:val="0"/>
        <w:keepLines w:val="0"/>
        <w:pageBreakBefore w:val="0"/>
        <w:numPr>
          <w:ilvl w:val="0"/>
          <w:numId w:val="0"/>
        </w:numPr>
        <w:kinsoku/>
        <w:wordWrap/>
        <w:overflowPunct/>
        <w:topLinePunct w:val="0"/>
        <w:autoSpaceDE/>
        <w:autoSpaceDN/>
        <w:bidi w:val="0"/>
        <w:spacing w:before="260" w:beforeLines="50" w:after="100" w:line="360" w:lineRule="auto"/>
        <w:ind w:firstLine="640" w:firstLineChars="200"/>
        <w:textAlignment w:val="auto"/>
        <w:outlineLvl w:val="2"/>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rPr>
        <w:t>材料</w:t>
      </w:r>
    </w:p>
    <w:p w14:paraId="08AE4B3D">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混凝土：梁板构件常用C30，除了转换层尽量不要高于C40；剪力墙和柱常用C30~C60，受压构件尽量采用高强度等级。垫层用C20；构造柱、圈梁、过梁用C25。</w:t>
      </w:r>
    </w:p>
    <w:p w14:paraId="55D61117">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钢筋：</w:t>
      </w:r>
      <w:r>
        <w:rPr>
          <w:rFonts w:hint="eastAsia" w:ascii="仿宋_GB2312" w:hAnsi="仿宋_GB2312" w:eastAsia="仿宋_GB2312" w:cs="仿宋_GB2312"/>
          <w:color w:val="auto"/>
          <w:sz w:val="32"/>
          <w:szCs w:val="32"/>
          <w:highlight w:val="none"/>
          <w:lang w:val="en-US" w:eastAsia="zh-CN"/>
        </w:rPr>
        <w:t>处特别要求外，</w:t>
      </w:r>
      <w:r>
        <w:rPr>
          <w:rFonts w:hint="eastAsia" w:ascii="仿宋_GB2312" w:hAnsi="仿宋_GB2312" w:eastAsia="仿宋_GB2312" w:cs="仿宋_GB2312"/>
          <w:color w:val="auto"/>
          <w:sz w:val="32"/>
          <w:szCs w:val="32"/>
          <w:highlight w:val="none"/>
        </w:rPr>
        <w:t>钢筋统一采用HRB400钢筋。</w:t>
      </w:r>
    </w:p>
    <w:p w14:paraId="31D77560">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砌体除特别说明外均不作承重用。室内部分采用</w:t>
      </w:r>
      <w:r>
        <w:rPr>
          <w:rFonts w:hint="eastAsia" w:ascii="仿宋_GB2312" w:hAnsi="仿宋_GB2312" w:eastAsia="仿宋_GB2312" w:cs="仿宋_GB2312"/>
          <w:color w:val="auto"/>
          <w:sz w:val="32"/>
          <w:szCs w:val="32"/>
          <w:highlight w:val="none"/>
          <w:u w:val="none"/>
          <w:lang w:val="en-US" w:eastAsia="zh-CN"/>
        </w:rPr>
        <w:t>蒸压加气混凝土砌块</w:t>
      </w:r>
      <w:r>
        <w:rPr>
          <w:rFonts w:hint="eastAsia" w:ascii="仿宋_GB2312" w:hAnsi="仿宋_GB2312" w:eastAsia="仿宋_GB2312" w:cs="仿宋_GB2312"/>
          <w:color w:val="auto"/>
          <w:sz w:val="32"/>
          <w:szCs w:val="32"/>
          <w:highlight w:val="none"/>
        </w:rPr>
        <w:t>，砌块容重≤</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6.25</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kg/m</w:t>
      </w:r>
      <w:r>
        <w:rPr>
          <w:rFonts w:hint="eastAsia" w:ascii="仿宋_GB2312" w:hAnsi="仿宋_GB2312" w:eastAsia="仿宋_GB2312" w:cs="仿宋_GB2312"/>
          <w:color w:val="auto"/>
          <w:sz w:val="32"/>
          <w:szCs w:val="32"/>
          <w:highlight w:val="none"/>
          <w:vertAlign w:val="superscript"/>
        </w:rPr>
        <w:t>3</w:t>
      </w:r>
      <w:r>
        <w:rPr>
          <w:rFonts w:hint="eastAsia" w:ascii="仿宋_GB2312" w:hAnsi="仿宋_GB2312" w:eastAsia="仿宋_GB2312" w:cs="仿宋_GB2312"/>
          <w:color w:val="auto"/>
          <w:sz w:val="32"/>
          <w:szCs w:val="32"/>
          <w:highlight w:val="none"/>
          <w:vertAlign w:val="baseline"/>
          <w:lang w:eastAsia="zh-CN"/>
        </w:rPr>
        <w:t>（</w:t>
      </w:r>
      <w:r>
        <w:rPr>
          <w:rFonts w:hint="eastAsia" w:ascii="仿宋_GB2312" w:hAnsi="仿宋_GB2312" w:eastAsia="仿宋_GB2312" w:cs="仿宋_GB2312"/>
          <w:color w:val="auto"/>
          <w:sz w:val="32"/>
          <w:szCs w:val="32"/>
          <w:highlight w:val="none"/>
          <w:vertAlign w:val="baseline"/>
          <w:lang w:val="en-US" w:eastAsia="zh-CN"/>
        </w:rPr>
        <w:t>干容重</w:t>
      </w:r>
      <w:r>
        <w:rPr>
          <w:rFonts w:hint="eastAsia" w:ascii="仿宋_GB2312" w:hAnsi="仿宋_GB2312" w:eastAsia="仿宋_GB2312" w:cs="仿宋_GB2312"/>
          <w:color w:val="auto"/>
          <w:sz w:val="32"/>
          <w:szCs w:val="32"/>
          <w:highlight w:val="none"/>
          <w:vertAlign w:val="baseline"/>
          <w:lang w:eastAsia="zh-CN"/>
        </w:rPr>
        <w:t>）</w:t>
      </w:r>
      <w:r>
        <w:rPr>
          <w:rFonts w:hint="eastAsia" w:ascii="仿宋_GB2312" w:hAnsi="仿宋_GB2312" w:eastAsia="仿宋_GB2312" w:cs="仿宋_GB2312"/>
          <w:color w:val="auto"/>
          <w:sz w:val="32"/>
          <w:szCs w:val="32"/>
          <w:highlight w:val="none"/>
        </w:rPr>
        <w:t>，室外地坪以下采用</w:t>
      </w:r>
      <w:r>
        <w:rPr>
          <w:rFonts w:hint="eastAsia" w:ascii="仿宋_GB2312" w:hAnsi="仿宋_GB2312" w:eastAsia="仿宋_GB2312" w:cs="仿宋_GB2312"/>
          <w:color w:val="auto"/>
          <w:sz w:val="32"/>
          <w:szCs w:val="32"/>
          <w:highlight w:val="none"/>
          <w:u w:val="single"/>
        </w:rPr>
        <w:t>实心砌块</w:t>
      </w:r>
      <w:r>
        <w:rPr>
          <w:rFonts w:hint="eastAsia" w:ascii="仿宋_GB2312" w:hAnsi="仿宋_GB2312" w:eastAsia="仿宋_GB2312" w:cs="仿宋_GB2312"/>
          <w:color w:val="auto"/>
          <w:sz w:val="32"/>
          <w:szCs w:val="32"/>
          <w:highlight w:val="none"/>
        </w:rPr>
        <w:t>。砌块强度等级及砂浆采用规范最低限值。</w:t>
      </w:r>
    </w:p>
    <w:p w14:paraId="68A7D884">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为降低工程造价，节约能源和有利环保，提倡积极采用成熟的新技术、新结构、新材料；</w:t>
      </w:r>
    </w:p>
    <w:p w14:paraId="29C86ED5">
      <w:pPr>
        <w:keepNext w:val="0"/>
        <w:keepLines w:val="0"/>
        <w:pageBreakBefore w:val="0"/>
        <w:numPr>
          <w:ilvl w:val="0"/>
          <w:numId w:val="0"/>
        </w:numPr>
        <w:kinsoku/>
        <w:wordWrap/>
        <w:overflowPunct/>
        <w:topLinePunct w:val="0"/>
        <w:autoSpaceDE/>
        <w:autoSpaceDN/>
        <w:bidi w:val="0"/>
        <w:spacing w:before="260" w:beforeLines="50" w:after="100" w:line="360" w:lineRule="auto"/>
        <w:ind w:firstLine="640" w:firstLineChars="200"/>
        <w:textAlignment w:val="auto"/>
        <w:outlineLvl w:val="2"/>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荷载</w:t>
      </w:r>
    </w:p>
    <w:p w14:paraId="39B040EF">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住宅、商业楼面均布活荷载标准值按照规范要求，同时应考虑商业吊顶的荷载及轻质隔墙的荷载，餐饮部位应考虑餐厨设备、卫生洁具、地面排水沟槽及地坪特殊做法的荷载。</w:t>
      </w:r>
    </w:p>
    <w:p w14:paraId="7490B3FA">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住宅、商业屋面均布活荷载标准值按照规范要求，屋面需布置空调主机的位置时，空调主机的荷载应表示准确，以备以后空调安装有图可依，确保结构使用安全。</w:t>
      </w:r>
    </w:p>
    <w:p w14:paraId="137EED5F">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若考虑人防，还应注明人防各构件等效静荷载的取值。特殊的荷载取值应有任务书，应符合初步设计审批文件或工程设计单位正式文件的规定。</w:t>
      </w:r>
    </w:p>
    <w:p w14:paraId="04130C2E">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计算梁自重时，要注意扣去梁板重叠部分的板重，尤其在扁梁、宽扁梁结构中更需注意</w:t>
      </w:r>
      <w:r>
        <w:rPr>
          <w:rFonts w:hint="eastAsia" w:ascii="仿宋_GB2312" w:hAnsi="仿宋_GB2312" w:eastAsia="仿宋_GB2312" w:cs="仿宋_GB2312"/>
          <w:color w:val="auto"/>
          <w:sz w:val="32"/>
          <w:szCs w:val="32"/>
          <w:highlight w:val="none"/>
          <w:lang w:eastAsia="zh-CN"/>
        </w:rPr>
        <w:t>。</w:t>
      </w:r>
    </w:p>
    <w:p w14:paraId="3AF78043">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消防车的荷载取值应区分用于主梁、次梁和楼板的计算。如果有覆土，应该考虑覆土的荷载扩散作用。</w:t>
      </w:r>
    </w:p>
    <w:p w14:paraId="0D4D8278">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钢筋混凝土容重取25kN/m</w:t>
      </w:r>
      <w:r>
        <w:rPr>
          <w:rFonts w:hint="eastAsia" w:ascii="仿宋_GB2312" w:hAnsi="仿宋_GB2312" w:eastAsia="仿宋_GB2312" w:cs="仿宋_GB2312"/>
          <w:color w:val="auto"/>
          <w:sz w:val="32"/>
          <w:szCs w:val="32"/>
          <w:highlight w:val="none"/>
          <w:vertAlign w:val="superscript"/>
        </w:rPr>
        <w:t>3</w:t>
      </w:r>
      <w:r>
        <w:rPr>
          <w:rFonts w:hint="eastAsia" w:ascii="仿宋_GB2312" w:hAnsi="仿宋_GB2312" w:eastAsia="仿宋_GB2312" w:cs="仿宋_GB2312"/>
          <w:color w:val="auto"/>
          <w:sz w:val="32"/>
          <w:szCs w:val="32"/>
          <w:highlight w:val="none"/>
        </w:rPr>
        <w:t>，剪力墙或梁面层按照墙或梁上线荷载另行输入</w:t>
      </w:r>
      <w:r>
        <w:rPr>
          <w:rFonts w:hint="eastAsia" w:ascii="仿宋_GB2312" w:hAnsi="仿宋_GB2312" w:eastAsia="仿宋_GB2312" w:cs="仿宋_GB2312"/>
          <w:color w:val="auto"/>
          <w:sz w:val="32"/>
          <w:szCs w:val="32"/>
          <w:highlight w:val="none"/>
          <w:lang w:eastAsia="zh-CN"/>
        </w:rPr>
        <w:t>。</w:t>
      </w:r>
    </w:p>
    <w:p w14:paraId="1286479A">
      <w:pPr>
        <w:keepNext w:val="0"/>
        <w:keepLines w:val="0"/>
        <w:pageBreakBefore w:val="0"/>
        <w:numPr>
          <w:ilvl w:val="0"/>
          <w:numId w:val="0"/>
        </w:numPr>
        <w:kinsoku/>
        <w:wordWrap/>
        <w:overflowPunct/>
        <w:topLinePunct w:val="0"/>
        <w:autoSpaceDE/>
        <w:autoSpaceDN/>
        <w:bidi w:val="0"/>
        <w:spacing w:before="260" w:beforeLines="50" w:after="100" w:line="360" w:lineRule="auto"/>
        <w:ind w:leftChars="0" w:firstLine="640" w:firstLineChars="200"/>
        <w:textAlignment w:val="auto"/>
        <w:outlineLvl w:val="2"/>
        <w:rPr>
          <w:rFonts w:hint="eastAsia" w:ascii="仿宋_GB2312" w:hAnsi="仿宋_GB2312" w:eastAsia="仿宋_GB2312" w:cs="仿宋_GB2312"/>
          <w:b w:val="0"/>
          <w:bCs/>
          <w:color w:val="auto"/>
          <w:sz w:val="32"/>
          <w:szCs w:val="32"/>
          <w:highlight w:val="none"/>
        </w:rPr>
      </w:pPr>
      <w:bookmarkStart w:id="48" w:name="_Toc407286049"/>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结构计算分析</w:t>
      </w:r>
      <w:bookmarkEnd w:id="48"/>
    </w:p>
    <w:p w14:paraId="2436CBC4">
      <w:pPr>
        <w:pStyle w:val="33"/>
        <w:keepNext w:val="0"/>
        <w:keepLines w:val="0"/>
        <w:pageBreakBefore w:val="0"/>
        <w:widowControl/>
        <w:numPr>
          <w:ilvl w:val="0"/>
          <w:numId w:val="0"/>
        </w:numPr>
        <w:tabs>
          <w:tab w:val="left" w:pos="567"/>
        </w:tabs>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计算采用的软件应通过国家、省级鉴定或获得国际广泛认可，计算软件的技术条件应符合现行工程建设标准的规定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建议</w:t>
      </w:r>
      <w:r>
        <w:rPr>
          <w:rFonts w:hint="eastAsia" w:ascii="仿宋_GB2312" w:hAnsi="仿宋_GB2312" w:eastAsia="仿宋_GB2312" w:cs="仿宋_GB2312"/>
          <w:bCs/>
          <w:color w:val="auto"/>
          <w:sz w:val="32"/>
          <w:szCs w:val="32"/>
          <w:highlight w:val="none"/>
        </w:rPr>
        <w:t>钢筋混凝土结构设计采用PKPM、YJK，钢结构设计采用MIDAS、SAP2000等。</w:t>
      </w:r>
    </w:p>
    <w:p w14:paraId="600271E8">
      <w:pPr>
        <w:pStyle w:val="33"/>
        <w:keepNext w:val="0"/>
        <w:keepLines w:val="0"/>
        <w:pageBreakBefore w:val="0"/>
        <w:widowControl/>
        <w:numPr>
          <w:ilvl w:val="0"/>
          <w:numId w:val="0"/>
        </w:numPr>
        <w:tabs>
          <w:tab w:val="left" w:pos="567"/>
        </w:tabs>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结构计算应选择合适的计算假定、计算简图、计算方法，确保输入数据的准确性，应对计算结果进行仔细分析，判断其是否合理及有效。</w:t>
      </w:r>
    </w:p>
    <w:p w14:paraId="559FE1BC">
      <w:pPr>
        <w:pStyle w:val="33"/>
        <w:keepNext w:val="0"/>
        <w:keepLines w:val="0"/>
        <w:pageBreakBefore w:val="0"/>
        <w:widowControl/>
        <w:numPr>
          <w:ilvl w:val="0"/>
          <w:numId w:val="0"/>
        </w:numPr>
        <w:tabs>
          <w:tab w:val="left" w:pos="567"/>
        </w:tabs>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抗震结构应选用适宜的结构抗震性能目标，计算分析应依据规范规定的各项宏观技术指标来判断结构受力特性的有利和不利情况，确定结构方案是否合理；若结构方案不合理，则应对建筑结构方案予以调整。</w:t>
      </w:r>
    </w:p>
    <w:p w14:paraId="2500F134">
      <w:pPr>
        <w:pStyle w:val="33"/>
        <w:keepNext w:val="0"/>
        <w:keepLines w:val="0"/>
        <w:pageBreakBefore w:val="0"/>
        <w:widowControl/>
        <w:numPr>
          <w:ilvl w:val="0"/>
          <w:numId w:val="0"/>
        </w:numPr>
        <w:tabs>
          <w:tab w:val="left" w:pos="567"/>
        </w:tabs>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体型复杂、结构布置复杂、超限结构以及计算中出现较大异常的结构应采用至少两个不同单位编制的不同力学模型的结构分析软件进行相互校核。</w:t>
      </w:r>
      <w:bookmarkStart w:id="49" w:name="_Toc407286054"/>
    </w:p>
    <w:p w14:paraId="4822EA8E">
      <w:pPr>
        <w:pStyle w:val="33"/>
        <w:keepNext w:val="0"/>
        <w:keepLines w:val="0"/>
        <w:pageBreakBefore w:val="0"/>
        <w:widowControl/>
        <w:numPr>
          <w:ilvl w:val="0"/>
          <w:numId w:val="0"/>
        </w:numPr>
        <w:tabs>
          <w:tab w:val="left" w:pos="567"/>
        </w:tabs>
        <w:kinsoku/>
        <w:wordWrap/>
        <w:overflowPunct/>
        <w:topLinePunct w:val="0"/>
        <w:autoSpaceDE/>
        <w:autoSpaceDN/>
        <w:bidi w:val="0"/>
        <w:adjustRightInd w:val="0"/>
        <w:snapToGrid w:val="0"/>
        <w:spacing w:line="360" w:lineRule="auto"/>
        <w:ind w:leftChars="0" w:firstLine="640" w:firstLineChars="20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四</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基础</w:t>
      </w:r>
      <w:bookmarkEnd w:id="49"/>
      <w:r>
        <w:rPr>
          <w:rFonts w:hint="eastAsia" w:ascii="仿宋_GB2312" w:hAnsi="仿宋_GB2312" w:eastAsia="仿宋_GB2312" w:cs="仿宋_GB2312"/>
          <w:b w:val="0"/>
          <w:bCs/>
          <w:color w:val="auto"/>
          <w:sz w:val="32"/>
          <w:szCs w:val="32"/>
          <w:highlight w:val="none"/>
          <w:lang w:val="en-US" w:eastAsia="zh-CN"/>
        </w:rPr>
        <w:t>设计</w:t>
      </w:r>
    </w:p>
    <w:p w14:paraId="0EFE8B5D">
      <w:pPr>
        <w:pStyle w:val="32"/>
        <w:keepNext w:val="0"/>
        <w:keepLines w:val="0"/>
        <w:pageBreakBefore w:val="0"/>
        <w:numPr>
          <w:ilvl w:val="0"/>
          <w:numId w:val="0"/>
        </w:numPr>
        <w:kinsoku/>
        <w:wordWrap/>
        <w:overflowPunct/>
        <w:topLinePunct w:val="0"/>
        <w:autoSpaceDE/>
        <w:autoSpaceDN/>
        <w:bidi w:val="0"/>
        <w:adjustRightInd w:val="0"/>
        <w:spacing w:line="360" w:lineRule="auto"/>
        <w:ind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要求</w:t>
      </w:r>
      <w:r>
        <w:rPr>
          <w:rFonts w:hint="eastAsia" w:ascii="仿宋_GB2312" w:hAnsi="仿宋_GB2312" w:eastAsia="仿宋_GB2312" w:cs="仿宋_GB2312"/>
          <w:color w:val="auto"/>
          <w:sz w:val="32"/>
          <w:szCs w:val="32"/>
          <w:highlight w:val="none"/>
          <w:lang w:eastAsia="zh-CN"/>
        </w:rPr>
        <w:t>勘察</w:t>
      </w:r>
      <w:r>
        <w:rPr>
          <w:rFonts w:hint="eastAsia" w:ascii="仿宋_GB2312" w:hAnsi="仿宋_GB2312" w:eastAsia="仿宋_GB2312" w:cs="仿宋_GB2312"/>
          <w:color w:val="auto"/>
          <w:sz w:val="32"/>
          <w:szCs w:val="32"/>
          <w:highlight w:val="none"/>
        </w:rPr>
        <w:t>单位提供地下水设防水位和常水位，作为地下室抗浮和抗裂设计依据。</w:t>
      </w:r>
    </w:p>
    <w:p w14:paraId="37866C5D">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基础选型应根据主体结构、地质条件、施工条件、检测验收方式及基坑支护等情况提供两个以上比较合适的设计方案及相应的概算。优先采用浅基础，抗浮不足处布置抗浮锚杆的结构形式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若需采用钻孔灌注桩，应优先选用国标图集。</w:t>
      </w:r>
    </w:p>
    <w:p w14:paraId="3D7470A4">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核心筒的大承台由于电梯基坑和集水井深度要求，应进行局部下沉或整体下沉的设计方案比较。</w:t>
      </w:r>
      <w:bookmarkStart w:id="50" w:name="_Toc407286059"/>
    </w:p>
    <w:p w14:paraId="4F02997B">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五</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地下室</w:t>
      </w:r>
      <w:bookmarkEnd w:id="50"/>
      <w:r>
        <w:rPr>
          <w:rFonts w:hint="eastAsia" w:ascii="仿宋_GB2312" w:hAnsi="仿宋_GB2312" w:eastAsia="仿宋_GB2312" w:cs="仿宋_GB2312"/>
          <w:b w:val="0"/>
          <w:bCs/>
          <w:color w:val="auto"/>
          <w:sz w:val="32"/>
          <w:szCs w:val="32"/>
          <w:highlight w:val="none"/>
          <w:lang w:val="en-US" w:eastAsia="zh-CN"/>
        </w:rPr>
        <w:t>设计</w:t>
      </w:r>
    </w:p>
    <w:p w14:paraId="4D1FB62B">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 与建筑专业积极配合</w:t>
      </w:r>
      <w:r>
        <w:rPr>
          <w:rFonts w:hint="eastAsia" w:ascii="仿宋_GB2312" w:hAnsi="仿宋_GB2312" w:eastAsia="仿宋_GB2312" w:cs="仿宋_GB2312"/>
          <w:color w:val="auto"/>
          <w:sz w:val="32"/>
          <w:szCs w:val="32"/>
          <w:highlight w:val="none"/>
        </w:rPr>
        <w:t>尽量减少地下室层高，尤其是采用悬臂式支护、桩锚支护等造价较高的边坡支护形式时。</w:t>
      </w:r>
    </w:p>
    <w:p w14:paraId="4190E61C">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地下车库框架柱可根据需要局部设计为扁长柱，柱长方向为车长方向，充分利用地下室空间。</w:t>
      </w:r>
    </w:p>
    <w:p w14:paraId="5111C820">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根据不同位置（中间层或顶板）、是否有人防、荷载大小等因素选择合适的楼盖方案。建议优先采用无梁楼盖，并考虑半地下室的可能性。</w:t>
      </w:r>
    </w:p>
    <w:p w14:paraId="47254812">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验算地下室抗裂设计的水位应取常水位或抗浮水位降低1m。</w:t>
      </w:r>
    </w:p>
    <w:p w14:paraId="5DE9AFE2">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核心筒的大承台由于电梯基坑和集水井深度要求，应进行局部下沉或整体下沉的设计方案经济性比较。</w:t>
      </w:r>
    </w:p>
    <w:p w14:paraId="0BD9E815">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地下室底板或楼盖采用无梁板时，尽量按各板带实际计算值，采用通长+另加方式配筋，不应任意全层拉通。</w:t>
      </w:r>
    </w:p>
    <w:p w14:paraId="230607F9">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7. </w:t>
      </w:r>
      <w:r>
        <w:rPr>
          <w:rFonts w:hint="eastAsia" w:ascii="仿宋_GB2312" w:hAnsi="仿宋_GB2312" w:eastAsia="仿宋_GB2312" w:cs="仿宋_GB2312"/>
          <w:color w:val="auto"/>
          <w:sz w:val="32"/>
          <w:szCs w:val="32"/>
          <w:highlight w:val="none"/>
        </w:rPr>
        <w:t>地下室外墙受力筋按实际计算结果采用通长+另加方式配筋。</w:t>
      </w:r>
    </w:p>
    <w:p w14:paraId="370A71FA">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8. </w:t>
      </w:r>
      <w:r>
        <w:rPr>
          <w:rFonts w:hint="eastAsia" w:ascii="仿宋_GB2312" w:hAnsi="仿宋_GB2312" w:eastAsia="仿宋_GB2312" w:cs="仿宋_GB2312"/>
          <w:color w:val="auto"/>
          <w:sz w:val="32"/>
          <w:szCs w:val="32"/>
          <w:highlight w:val="none"/>
        </w:rPr>
        <w:t>地下室如果采用排桩或连续墙支护，应考虑支护的有利影响，对侧向土压力折减。</w:t>
      </w:r>
    </w:p>
    <w:p w14:paraId="63BE1D75">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z w:val="32"/>
          <w:szCs w:val="32"/>
          <w:highlight w:val="none"/>
        </w:rPr>
        <w:t>为方便施工，塔楼墙柱如落在地下室外墙上，在该层的混凝土等级尽量取同地下室外墙，可考虑地下室外墙作为墙柱翼缘。</w:t>
      </w:r>
    </w:p>
    <w:p w14:paraId="49DF0227">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10. </w:t>
      </w:r>
      <w:r>
        <w:rPr>
          <w:rFonts w:hint="eastAsia" w:ascii="仿宋_GB2312" w:hAnsi="仿宋_GB2312" w:eastAsia="仿宋_GB2312" w:cs="仿宋_GB2312"/>
          <w:color w:val="auto"/>
          <w:sz w:val="32"/>
          <w:szCs w:val="32"/>
          <w:highlight w:val="none"/>
        </w:rPr>
        <w:t>地下室尽量不设缝，设计上采取相应措施防止裂缝产生。</w:t>
      </w:r>
    </w:p>
    <w:p w14:paraId="24854A32">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11. </w:t>
      </w:r>
      <w:r>
        <w:rPr>
          <w:rFonts w:hint="eastAsia" w:ascii="仿宋_GB2312" w:hAnsi="仿宋_GB2312" w:eastAsia="仿宋_GB2312" w:cs="仿宋_GB2312"/>
          <w:color w:val="auto"/>
          <w:sz w:val="32"/>
          <w:szCs w:val="32"/>
          <w:highlight w:val="none"/>
        </w:rPr>
        <w:t>首层地下室顶板荷载应考虑施工荷载，但施工荷载与覆土荷载不同时考虑。地下室顶板上的消防通道荷载应取考虑覆土的折算面荷。</w:t>
      </w:r>
      <w:bookmarkStart w:id="51" w:name="_Toc407286062"/>
    </w:p>
    <w:p w14:paraId="7AACBC02">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六</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主体结构</w:t>
      </w:r>
      <w:bookmarkEnd w:id="51"/>
    </w:p>
    <w:p w14:paraId="1F0A7DDF">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结构布置应遵循满足建筑使用要求、结构受力合理的原则。</w:t>
      </w:r>
    </w:p>
    <w:p w14:paraId="2E9819D8">
      <w:pPr>
        <w:pStyle w:val="32"/>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高层建筑可以进行板-柱-剪力墙结构、部分框支剪力墙（包括短肢剪力墙）结构、框架-剪力墙结构、剪力墙（包括短肢剪力墙）结构和框架-核心筒结构体系的比选。</w:t>
      </w:r>
    </w:p>
    <w:p w14:paraId="42DCDFAF">
      <w:pPr>
        <w:pStyle w:val="32"/>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高层建筑结构布置不应全部采用短肢剪力墙。</w:t>
      </w:r>
    </w:p>
    <w:p w14:paraId="32BE19C6">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短肢剪力墙和框架柱之间二选一时，应有经济分析比较。</w:t>
      </w:r>
    </w:p>
    <w:p w14:paraId="458D501D">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在布置剪力墙和确定剪力墙截面时宜设置翼缘，尽量满足梁纵筋锚入支座（剪力墙）中的水平长度不小于0.4l</w:t>
      </w:r>
      <w:r>
        <w:rPr>
          <w:rFonts w:hint="eastAsia" w:ascii="仿宋_GB2312" w:hAnsi="仿宋_GB2312" w:eastAsia="仿宋_GB2312" w:cs="仿宋_GB2312"/>
          <w:color w:val="auto"/>
          <w:sz w:val="32"/>
          <w:szCs w:val="32"/>
          <w:highlight w:val="none"/>
          <w:vertAlign w:val="subscript"/>
        </w:rPr>
        <w:t>ab</w:t>
      </w:r>
      <w:r>
        <w:rPr>
          <w:rFonts w:hint="eastAsia" w:ascii="仿宋_GB2312" w:hAnsi="仿宋_GB2312" w:eastAsia="仿宋_GB2312" w:cs="仿宋_GB2312"/>
          <w:color w:val="auto"/>
          <w:sz w:val="32"/>
          <w:szCs w:val="32"/>
          <w:highlight w:val="none"/>
        </w:rPr>
        <w:t>或0.4l</w:t>
      </w:r>
      <w:r>
        <w:rPr>
          <w:rFonts w:hint="eastAsia" w:ascii="仿宋_GB2312" w:hAnsi="仿宋_GB2312" w:eastAsia="仿宋_GB2312" w:cs="仿宋_GB2312"/>
          <w:color w:val="auto"/>
          <w:sz w:val="32"/>
          <w:szCs w:val="32"/>
          <w:highlight w:val="none"/>
          <w:vertAlign w:val="subscript"/>
        </w:rPr>
        <w:t>abE</w:t>
      </w:r>
      <w:r>
        <w:rPr>
          <w:rFonts w:hint="eastAsia" w:ascii="仿宋_GB2312" w:hAnsi="仿宋_GB2312" w:eastAsia="仿宋_GB2312" w:cs="仿宋_GB2312"/>
          <w:color w:val="auto"/>
          <w:sz w:val="32"/>
          <w:szCs w:val="32"/>
          <w:highlight w:val="none"/>
        </w:rPr>
        <w:t>的构造要求。</w:t>
      </w:r>
    </w:p>
    <w:p w14:paraId="08495C48">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尽量控制结构不规则项，避免超限审查；结构的高宽比宜满足《高层建筑混凝土结构技术规程》3.3.2条要求，避免结构含钢量及混凝土量大幅增加。</w:t>
      </w:r>
      <w:bookmarkStart w:id="52" w:name="_Toc407286079"/>
    </w:p>
    <w:p w14:paraId="71DC8B35">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七</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剪力墙</w:t>
      </w:r>
      <w:bookmarkEnd w:id="52"/>
      <w:r>
        <w:rPr>
          <w:rFonts w:hint="eastAsia" w:ascii="仿宋_GB2312" w:hAnsi="仿宋_GB2312" w:eastAsia="仿宋_GB2312" w:cs="仿宋_GB2312"/>
          <w:b w:val="0"/>
          <w:bCs/>
          <w:color w:val="auto"/>
          <w:sz w:val="32"/>
          <w:szCs w:val="32"/>
          <w:highlight w:val="none"/>
          <w:lang w:val="en-US" w:eastAsia="zh-CN"/>
        </w:rPr>
        <w:t>设计</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此条要求用于住宅项目</w:t>
      </w:r>
      <w:r>
        <w:rPr>
          <w:rFonts w:hint="eastAsia" w:ascii="仿宋_GB2312" w:hAnsi="仿宋_GB2312" w:eastAsia="仿宋_GB2312" w:cs="仿宋_GB2312"/>
          <w:b w:val="0"/>
          <w:bCs/>
          <w:color w:val="auto"/>
          <w:sz w:val="32"/>
          <w:szCs w:val="32"/>
          <w:highlight w:val="none"/>
          <w:lang w:eastAsia="zh-CN"/>
        </w:rPr>
        <w:t>）</w:t>
      </w:r>
    </w:p>
    <w:p w14:paraId="162AE138">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 100m以下建筑</w:t>
      </w:r>
      <w:r>
        <w:rPr>
          <w:rFonts w:hint="eastAsia" w:ascii="仿宋_GB2312" w:hAnsi="仿宋_GB2312" w:eastAsia="仿宋_GB2312" w:cs="仿宋_GB2312"/>
          <w:color w:val="auto"/>
          <w:sz w:val="32"/>
          <w:szCs w:val="32"/>
          <w:highlight w:val="none"/>
        </w:rPr>
        <w:t>剪力墙厚度原则上控制为200mm。剪力墙长度原则上大于1600mm（满足超过短肢墙规定）。</w:t>
      </w:r>
      <w:r>
        <w:rPr>
          <w:rFonts w:hint="eastAsia" w:ascii="仿宋_GB2312" w:hAnsi="仿宋_GB2312" w:eastAsia="仿宋_GB2312" w:cs="仿宋_GB2312"/>
          <w:color w:val="auto"/>
          <w:sz w:val="32"/>
          <w:szCs w:val="32"/>
          <w:highlight w:val="none"/>
          <w:lang w:eastAsia="zh-CN"/>
        </w:rPr>
        <w:t>底部</w:t>
      </w:r>
      <w:r>
        <w:rPr>
          <w:rFonts w:hint="eastAsia" w:ascii="仿宋_GB2312" w:hAnsi="仿宋_GB2312" w:eastAsia="仿宋_GB2312" w:cs="仿宋_GB2312"/>
          <w:color w:val="auto"/>
          <w:sz w:val="32"/>
          <w:szCs w:val="32"/>
          <w:highlight w:val="none"/>
        </w:rPr>
        <w:t>加强区优先采用增加墙长度的做法满足墙的轴压比限制。当剪力墙截面大于200mm时，在满足计算及构造的前提下及早收为200</w:t>
      </w:r>
      <w:r>
        <w:rPr>
          <w:rFonts w:hint="eastAsia" w:ascii="仿宋_GB2312" w:hAnsi="仿宋_GB2312" w:eastAsia="仿宋_GB2312" w:cs="仿宋_GB2312"/>
          <w:color w:val="auto"/>
          <w:sz w:val="32"/>
          <w:szCs w:val="32"/>
          <w:highlight w:val="none"/>
          <w:lang w:eastAsia="zh-CN"/>
        </w:rPr>
        <w:t>mm</w:t>
      </w:r>
      <w:r>
        <w:rPr>
          <w:rFonts w:hint="eastAsia" w:ascii="仿宋_GB2312" w:hAnsi="仿宋_GB2312" w:eastAsia="仿宋_GB2312" w:cs="仿宋_GB2312"/>
          <w:color w:val="auto"/>
          <w:sz w:val="32"/>
          <w:szCs w:val="32"/>
          <w:highlight w:val="none"/>
        </w:rPr>
        <w:t>，以减少对使用空间的影响。</w:t>
      </w:r>
    </w:p>
    <w:p w14:paraId="09E3A56D">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剪力墙根据轴压比及结构刚度，二层及以上楼层厚度尽量取200mm；首层按照刚度要求及墙体稳定性验算，厚度可以加厚至250或300mm，中间不设过渡层。</w:t>
      </w:r>
    </w:p>
    <w:p w14:paraId="3AA3D916">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剪力墙翼缘（或框架柱）至窗边间距300mm以内的砖墙，改为剪力墙，方便施工，并且减少剪力墙边砌体产生裂缝的可能性。</w:t>
      </w:r>
    </w:p>
    <w:p w14:paraId="6F921817">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约束（构造）边缘构件纵筋可采用大直径+小直径钢筋搭配布置的方式。一般角点上用大直径，内部尽量小直径</w:t>
      </w:r>
      <w:r>
        <w:rPr>
          <w:rFonts w:hint="eastAsia" w:ascii="仿宋_GB2312" w:hAnsi="仿宋_GB2312" w:eastAsia="仿宋_GB2312" w:cs="仿宋_GB2312"/>
          <w:color w:val="auto"/>
          <w:sz w:val="32"/>
          <w:szCs w:val="32"/>
          <w:highlight w:val="none"/>
          <w:lang w:eastAsia="zh-CN"/>
        </w:rPr>
        <w:t>。</w:t>
      </w:r>
      <w:bookmarkStart w:id="53" w:name="_Toc407286082"/>
    </w:p>
    <w:bookmarkEnd w:id="53"/>
    <w:p w14:paraId="429E6E6E">
      <w:pPr>
        <w:keepNext w:val="0"/>
        <w:keepLines w:val="0"/>
        <w:pageBreakBefore w:val="0"/>
        <w:numPr>
          <w:ilvl w:val="0"/>
          <w:numId w:val="0"/>
        </w:numPr>
        <w:kinsoku/>
        <w:wordWrap/>
        <w:overflowPunct/>
        <w:topLinePunct w:val="0"/>
        <w:autoSpaceDE/>
        <w:autoSpaceDN/>
        <w:bidi w:val="0"/>
        <w:spacing w:before="260" w:beforeLines="50" w:after="100" w:line="360" w:lineRule="auto"/>
        <w:ind w:leftChars="0" w:firstLine="640" w:firstLineChars="200"/>
        <w:textAlignment w:val="auto"/>
        <w:outlineLvl w:val="2"/>
        <w:rPr>
          <w:rFonts w:hint="eastAsia" w:ascii="仿宋_GB2312" w:hAnsi="仿宋_GB2312" w:eastAsia="仿宋_GB2312" w:cs="仿宋_GB2312"/>
          <w:b w:val="0"/>
          <w:bCs/>
          <w:color w:val="auto"/>
          <w:sz w:val="32"/>
          <w:szCs w:val="32"/>
          <w:highlight w:val="none"/>
        </w:rPr>
      </w:pPr>
      <w:bookmarkStart w:id="54" w:name="_Toc407286083"/>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八</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梁</w:t>
      </w:r>
      <w:bookmarkEnd w:id="54"/>
      <w:r>
        <w:rPr>
          <w:rFonts w:hint="eastAsia" w:ascii="仿宋_GB2312" w:hAnsi="仿宋_GB2312" w:eastAsia="仿宋_GB2312" w:cs="仿宋_GB2312"/>
          <w:b w:val="0"/>
          <w:bCs/>
          <w:color w:val="auto"/>
          <w:sz w:val="32"/>
          <w:szCs w:val="32"/>
          <w:highlight w:val="none"/>
          <w:lang w:val="en-US" w:eastAsia="zh-CN"/>
        </w:rPr>
        <w:t>设计</w:t>
      </w:r>
    </w:p>
    <w:p w14:paraId="4E576403">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 若建筑立面有要求时，</w:t>
      </w:r>
      <w:r>
        <w:rPr>
          <w:rFonts w:hint="eastAsia" w:ascii="仿宋_GB2312" w:hAnsi="仿宋_GB2312" w:eastAsia="仿宋_GB2312" w:cs="仿宋_GB2312"/>
          <w:color w:val="auto"/>
          <w:sz w:val="32"/>
          <w:szCs w:val="32"/>
          <w:highlight w:val="none"/>
        </w:rPr>
        <w:t>边梁必须统一高度。</w:t>
      </w:r>
    </w:p>
    <w:p w14:paraId="62D2D439">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梁的合理截面高度可为（1/10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1/20）计算跨度，梁净跨与截面高度之比不宜小于4，梁截面的高宽比不宜大于4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梁的合理配筋率为0.6%~1.5%。</w:t>
      </w:r>
    </w:p>
    <w:p w14:paraId="560912E0">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卫生间板如选择下沉方式，则周边次梁下如果没有砖墙，梁底应平板底。结构梁相交处且梁下无墙时，相交各梁宜设计为等高梁。避免建筑门洞上方出现结构梁。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仅用于住宅</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卫生间四周结构处理应采取砼翻边以杜绝渗漏水的质量缺陷</w:t>
      </w:r>
      <w:r>
        <w:rPr>
          <w:rFonts w:hint="eastAsia" w:ascii="仿宋_GB2312" w:hAnsi="仿宋_GB2312" w:eastAsia="仿宋_GB2312" w:cs="仿宋_GB2312"/>
          <w:color w:val="auto"/>
          <w:sz w:val="32"/>
          <w:szCs w:val="32"/>
          <w:highlight w:val="none"/>
          <w:lang w:eastAsia="zh-CN"/>
        </w:rPr>
        <w:t>。</w:t>
      </w:r>
    </w:p>
    <w:p w14:paraId="7CAEBD1F">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室内间墙宽度小于梁宽时，梁定位应遵循在主要房间一侧梁墙取平的原则。优先顺序为：客厅，餐厅，主卧室，次卧室，内走道，其它空间。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用于住宅</w:t>
      </w:r>
      <w:r>
        <w:rPr>
          <w:rFonts w:hint="eastAsia" w:ascii="仿宋_GB2312" w:hAnsi="仿宋_GB2312" w:eastAsia="仿宋_GB2312" w:cs="仿宋_GB2312"/>
          <w:color w:val="auto"/>
          <w:sz w:val="32"/>
          <w:szCs w:val="32"/>
          <w:highlight w:val="none"/>
          <w:lang w:eastAsia="zh-CN"/>
        </w:rPr>
        <w:t>）</w:t>
      </w:r>
    </w:p>
    <w:p w14:paraId="532419E5">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住宅客厅和饭厅（一体式）之间不应设梁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客厅与餐厅见的大板结构应满足强度与挠度要求，不宜过厚</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用于住宅</w:t>
      </w:r>
      <w:r>
        <w:rPr>
          <w:rFonts w:hint="eastAsia" w:ascii="仿宋_GB2312" w:hAnsi="仿宋_GB2312" w:eastAsia="仿宋_GB2312" w:cs="仿宋_GB2312"/>
          <w:color w:val="auto"/>
          <w:sz w:val="32"/>
          <w:szCs w:val="32"/>
          <w:highlight w:val="none"/>
          <w:lang w:eastAsia="zh-CN"/>
        </w:rPr>
        <w:t>）</w:t>
      </w:r>
    </w:p>
    <w:p w14:paraId="3687E936">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对于跨度较小的框架梁（跨高比6左右），通长面筋可按一边支座较小的取用，以减少不同直径钢筋的搭接。</w:t>
      </w:r>
    </w:p>
    <w:p w14:paraId="329A6BE7">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7. </w:t>
      </w:r>
      <w:r>
        <w:rPr>
          <w:rFonts w:hint="eastAsia" w:ascii="仿宋_GB2312" w:hAnsi="仿宋_GB2312" w:eastAsia="仿宋_GB2312" w:cs="仿宋_GB2312"/>
          <w:color w:val="auto"/>
          <w:sz w:val="32"/>
          <w:szCs w:val="32"/>
          <w:highlight w:val="none"/>
        </w:rPr>
        <w:t>在配筋相同排数和放得下的合理情况下，尽量采用较小直径的钢筋，减少锚固长度和搭接长度的损耗。</w:t>
      </w:r>
    </w:p>
    <w:p w14:paraId="177730D9">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8. </w:t>
      </w:r>
      <w:r>
        <w:rPr>
          <w:rFonts w:hint="eastAsia" w:ascii="仿宋_GB2312" w:hAnsi="仿宋_GB2312" w:eastAsia="仿宋_GB2312" w:cs="仿宋_GB2312"/>
          <w:color w:val="auto"/>
          <w:sz w:val="32"/>
          <w:szCs w:val="32"/>
          <w:highlight w:val="none"/>
        </w:rPr>
        <w:t>框架柱两侧的框架梁梁端弯矩相差较大时，梁面支座钢筋不一定要在支座范围贯通，即支座两侧的梁面钢筋可不同，部分梁面筋可在支座内锚固。应通过比较锚固长度和贯通后长度，选择较经济的方式。</w:t>
      </w:r>
    </w:p>
    <w:p w14:paraId="1E74ED28">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z w:val="32"/>
          <w:szCs w:val="32"/>
          <w:highlight w:val="none"/>
        </w:rPr>
        <w:t>梁的构造腰筋应按梁的腹板高度（有效高度-板厚）计算。</w:t>
      </w:r>
      <w:bookmarkStart w:id="55" w:name="_Toc407286084"/>
    </w:p>
    <w:p w14:paraId="21EEC1A2">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九</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板</w:t>
      </w:r>
      <w:bookmarkEnd w:id="55"/>
      <w:r>
        <w:rPr>
          <w:rFonts w:hint="eastAsia" w:ascii="仿宋_GB2312" w:hAnsi="仿宋_GB2312" w:eastAsia="仿宋_GB2312" w:cs="仿宋_GB2312"/>
          <w:b w:val="0"/>
          <w:bCs/>
          <w:color w:val="auto"/>
          <w:sz w:val="32"/>
          <w:szCs w:val="32"/>
          <w:highlight w:val="none"/>
          <w:lang w:val="en-US" w:eastAsia="zh-CN"/>
        </w:rPr>
        <w:t>设计</w:t>
      </w:r>
    </w:p>
    <w:p w14:paraId="1C8C9836">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除地下室和天面（屋面）等露天或潮湿环境下的楼板，可采用塑性板进行配筋计算。</w:t>
      </w:r>
    </w:p>
    <w:p w14:paraId="1A1621DA">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屋面板不宜小于120mm，面筋采用通长筋+另加筋方式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按板混凝土不裂缝考虑设计</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叠合板厚度不应大于140mm（屋面除外）。</w:t>
      </w:r>
    </w:p>
    <w:p w14:paraId="40ACFFA8">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预埋于结构梁、板里的管线应尽量分开布置，净间距不小于30mm，直径不大于25mm，管中对板中预埋，且不应有叠三层管的情况出现，叠两层管也限于局部交叉点位，以免对结构板造成过大的削弱，管线不能纵向穿梁。当楼板的局部区域布置有大量管线时，须在该区域板面铺设钢丝网。</w:t>
      </w:r>
    </w:p>
    <w:p w14:paraId="364D4BEB">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如果需要双层双向拉通配筋时，拉通钢筋的直径尽量小（满足构造要求即可），另附加钢筋的直径尽量大（钢筋直径相差不得大于2级）。</w:t>
      </w:r>
    </w:p>
    <w:p w14:paraId="3AFFBA0A">
      <w:pPr>
        <w:pStyle w:val="32"/>
        <w:keepNext w:val="0"/>
        <w:keepLines w:val="0"/>
        <w:pageBreakBefore w:val="0"/>
        <w:numPr>
          <w:ilvl w:val="0"/>
          <w:numId w:val="0"/>
        </w:numPr>
        <w:kinsoku/>
        <w:wordWrap/>
        <w:overflowPunct/>
        <w:topLinePunct w:val="0"/>
        <w:autoSpaceDE/>
        <w:autoSpaceDN/>
        <w:bidi w:val="0"/>
        <w:adjustRightInd w:val="0"/>
        <w:spacing w:line="360" w:lineRule="auto"/>
        <w:ind w:leftChars="0" w:right="78" w:rightChars="37"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对于平面凹凸较大、异形大板等应采用有限元补充计算，不得随意放大配筋。</w:t>
      </w:r>
    </w:p>
    <w:p w14:paraId="3D448612">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十</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节点</w:t>
      </w:r>
      <w:r>
        <w:rPr>
          <w:rFonts w:hint="eastAsia" w:ascii="仿宋_GB2312" w:hAnsi="仿宋_GB2312" w:eastAsia="仿宋_GB2312" w:cs="仿宋_GB2312"/>
          <w:b w:val="0"/>
          <w:bCs/>
          <w:color w:val="auto"/>
          <w:sz w:val="32"/>
          <w:szCs w:val="32"/>
          <w:highlight w:val="none"/>
          <w:lang w:val="en-US" w:eastAsia="zh-CN"/>
        </w:rPr>
        <w:t>设计</w:t>
      </w:r>
    </w:p>
    <w:p w14:paraId="282DEBEA">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梁柱节点应为强节点，当梁板混凝土强度与柱混凝土强度相差二级以内时，节点混凝土强度原则上可以采用梁板混凝土强度。对于相差二级及以上时，原则上应采用柱混凝土强度。当在节点区采用设置短钢筋或增加核心区面积（梁加平面腋）的措施后，其混凝土强度可以采用梁板混凝土强度。</w:t>
      </w:r>
    </w:p>
    <w:p w14:paraId="6779388A">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梁墙节点混凝土强度原则上可以采用梁板混凝土强度。</w:t>
      </w:r>
    </w:p>
    <w:p w14:paraId="1AFC5F1F">
      <w:pPr>
        <w:pStyle w:val="32"/>
        <w:keepNext w:val="0"/>
        <w:keepLines w:val="0"/>
        <w:pageBreakBefore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十一</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其它</w:t>
      </w:r>
    </w:p>
    <w:p w14:paraId="109CA4DD">
      <w:pPr>
        <w:pStyle w:val="32"/>
        <w:keepNext w:val="0"/>
        <w:keepLines w:val="0"/>
        <w:pageBreakBefore w:val="0"/>
        <w:numPr>
          <w:ilvl w:val="0"/>
          <w:numId w:val="0"/>
        </w:numPr>
        <w:pBdr>
          <w:bottom w:val="none" w:color="auto" w:sz="0" w:space="0"/>
        </w:pBd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当项目分期出图时，对整个项目应提出统一的结构设计总说明、构造措施及统一做法。</w:t>
      </w:r>
    </w:p>
    <w:p w14:paraId="39DF14F1">
      <w:pPr>
        <w:pStyle w:val="32"/>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所有大于300mm的留洞均应在结构图上标注，应有水平和竖向尺寸标注，且需要相关专业会签确认。</w:t>
      </w:r>
    </w:p>
    <w:p w14:paraId="32D96032">
      <w:pPr>
        <w:pStyle w:val="32"/>
        <w:keepNext w:val="0"/>
        <w:keepLines w:val="0"/>
        <w:pageBreakBefore w:val="0"/>
        <w:widowControl/>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屋面或地下室顶板若采用反梁应在结构平面图纸上注明</w:t>
      </w:r>
      <w:r>
        <w:rPr>
          <w:rFonts w:hint="eastAsia" w:ascii="仿宋_GB2312" w:hAnsi="仿宋_GB2312" w:eastAsia="仿宋_GB2312" w:cs="仿宋_GB2312"/>
          <w:color w:val="auto"/>
          <w:sz w:val="32"/>
          <w:szCs w:val="32"/>
          <w:highlight w:val="none"/>
          <w:lang w:val="en-US" w:eastAsia="zh-CN"/>
        </w:rPr>
        <w:t>梁格之间的排水（或管线）</w:t>
      </w:r>
      <w:r>
        <w:rPr>
          <w:rFonts w:hint="eastAsia" w:ascii="仿宋_GB2312" w:hAnsi="仿宋_GB2312" w:eastAsia="仿宋_GB2312" w:cs="仿宋_GB2312"/>
          <w:color w:val="auto"/>
          <w:sz w:val="32"/>
          <w:szCs w:val="32"/>
          <w:highlight w:val="none"/>
        </w:rPr>
        <w:t>穿孔位置及标高。</w:t>
      </w:r>
    </w:p>
    <w:p w14:paraId="7BE0445C">
      <w:pPr>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在主体施工时尽量予留予埋件，以避免事后打凿砼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特别是与钢结构（构筑物）、</w:t>
      </w:r>
      <w:r>
        <w:rPr>
          <w:rFonts w:hint="eastAsia" w:ascii="仿宋_GB2312" w:hAnsi="仿宋_GB2312" w:eastAsia="仿宋_GB2312" w:cs="仿宋_GB2312"/>
          <w:color w:val="auto"/>
          <w:sz w:val="32"/>
          <w:szCs w:val="32"/>
          <w:highlight w:val="none"/>
        </w:rPr>
        <w:t>大面积通窗、幕墙、楼梯扶手部分、阳台金属栏杆及其它装饰构件等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其中与钢结构、钢构筑物连接的埋件必须预埋</w:t>
      </w:r>
      <w:r>
        <w:rPr>
          <w:rFonts w:hint="eastAsia" w:ascii="仿宋_GB2312" w:hAnsi="仿宋_GB2312" w:eastAsia="仿宋_GB2312" w:cs="仿宋_GB2312"/>
          <w:color w:val="auto"/>
          <w:sz w:val="32"/>
          <w:szCs w:val="32"/>
          <w:highlight w:val="none"/>
        </w:rPr>
        <w:t>。与墙体拉接的钢筋应要求在施工时预埋。</w:t>
      </w:r>
    </w:p>
    <w:p w14:paraId="58A36EA7">
      <w:pPr>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设计采用标准图、通用图时，必须明确设计意图和适用范围，以使设计内容符合实际情况；对所采用的通用构件，设计必须对各类构件的适用范围和注意事项等仔细了解清楚，以避免误用。</w:t>
      </w:r>
    </w:p>
    <w:p w14:paraId="6B58DFB8">
      <w:pPr>
        <w:keepNext w:val="0"/>
        <w:keepLines w:val="0"/>
        <w:pageBreakBefore w:val="0"/>
        <w:numPr>
          <w:ilvl w:val="0"/>
          <w:numId w:val="0"/>
        </w:numPr>
        <w:kinsoku/>
        <w:wordWrap/>
        <w:overflowPunct/>
        <w:topLinePunct w:val="0"/>
        <w:autoSpaceDE/>
        <w:autoSpaceDN/>
        <w:bidi w:val="0"/>
        <w:spacing w:line="360" w:lineRule="auto"/>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 住宅项目的屋面造型，首选混凝土结构，当确实需要做钢结构是，应做好预埋件设计。</w:t>
      </w:r>
    </w:p>
    <w:p w14:paraId="29C983AC">
      <w:pPr>
        <w:pStyle w:val="32"/>
        <w:pageBreakBefore w:val="0"/>
        <w:widowControl/>
        <w:numPr>
          <w:ilvl w:val="0"/>
          <w:numId w:val="0"/>
        </w:numPr>
        <w:kinsoku/>
        <w:wordWrap/>
        <w:overflowPunct/>
        <w:topLinePunct w:val="0"/>
        <w:bidi w:val="0"/>
        <w:spacing w:line="360" w:lineRule="auto"/>
        <w:ind w:leftChars="0"/>
        <w:rPr>
          <w:rFonts w:hint="eastAsia" w:ascii="仿宋_GB2312" w:hAnsi="仿宋_GB2312" w:eastAsia="仿宋_GB2312" w:cs="仿宋_GB2312"/>
          <w:color w:val="auto"/>
          <w:sz w:val="32"/>
          <w:szCs w:val="32"/>
          <w:highlight w:val="none"/>
        </w:rPr>
      </w:pPr>
    </w:p>
    <w:p w14:paraId="5D46DC50">
      <w:pPr>
        <w:pStyle w:val="9"/>
        <w:pageBreakBefore w:val="0"/>
        <w:numPr>
          <w:ilvl w:val="0"/>
          <w:numId w:val="0"/>
        </w:numPr>
        <w:kinsoku/>
        <w:wordWrap/>
        <w:overflowPunct/>
        <w:topLinePunct w:val="0"/>
        <w:bidi w:val="0"/>
        <w:adjustRightInd w:val="0"/>
        <w:snapToGrid w:val="0"/>
        <w:spacing w:after="0" w:line="360" w:lineRule="auto"/>
        <w:ind w:leftChars="0"/>
        <w:jc w:val="center"/>
        <w:textAlignment w:val="auto"/>
        <w:rPr>
          <w:rFonts w:hint="eastAsia" w:ascii="仿宋_GB2312" w:hAnsi="仿宋_GB2312" w:eastAsia="仿宋_GB2312" w:cs="仿宋_GB2312"/>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第四章 电气设计专篇</w:t>
      </w:r>
    </w:p>
    <w:p w14:paraId="168DDA1D">
      <w:pPr>
        <w:pageBreakBefore w:val="0"/>
        <w:widowControl w:val="0"/>
        <w:numPr>
          <w:ilvl w:val="0"/>
          <w:numId w:val="0"/>
        </w:numPr>
        <w:tabs>
          <w:tab w:val="left" w:pos="426"/>
        </w:tabs>
        <w:kinsoku/>
        <w:wordWrap/>
        <w:overflowPunct/>
        <w:topLinePunct w:val="0"/>
        <w:bidi w:val="0"/>
        <w:adjustRightInd w:val="0"/>
        <w:snapToGrid w:val="0"/>
        <w:spacing w:line="360" w:lineRule="auto"/>
        <w:jc w:val="both"/>
        <w:textAlignment w:val="auto"/>
        <w:outlineLvl w:val="4"/>
        <w:rPr>
          <w:rFonts w:hint="eastAsia" w:ascii="仿宋_GB2312" w:hAnsi="仿宋_GB2312" w:eastAsia="仿宋_GB2312" w:cs="仿宋_GB2312"/>
          <w:color w:val="auto"/>
          <w:sz w:val="32"/>
          <w:szCs w:val="32"/>
          <w:highlight w:val="none"/>
        </w:rPr>
      </w:pPr>
    </w:p>
    <w:p w14:paraId="29211E5D">
      <w:pPr>
        <w:pStyle w:val="31"/>
        <w:pageBreakBefore w:val="0"/>
        <w:kinsoku/>
        <w:wordWrap/>
        <w:overflowPunct/>
        <w:topLinePunct w:val="0"/>
        <w:autoSpaceDE w:val="0"/>
        <w:autoSpaceDN w:val="0"/>
        <w:bidi w:val="0"/>
        <w:adjustRightInd w:val="0"/>
        <w:snapToGrid w:val="0"/>
        <w:spacing w:line="360" w:lineRule="auto"/>
        <w:ind w:firstLine="640" w:firstLineChars="200"/>
        <w:jc w:val="left"/>
        <w:textAlignment w:val="center"/>
        <w:rPr>
          <w:rFonts w:hint="eastAsia" w:ascii="仿宋_GB2312" w:hAnsi="仿宋_GB2312" w:eastAsia="仿宋_GB2312" w:cs="仿宋_GB2312"/>
          <w:b/>
          <w:bCs/>
          <w:color w:val="auto"/>
          <w:sz w:val="32"/>
          <w:szCs w:val="32"/>
          <w:highlight w:val="none"/>
        </w:rPr>
      </w:pPr>
      <w:r>
        <w:rPr>
          <w:rFonts w:hint="eastAsia" w:ascii="楷体" w:hAnsi="楷体" w:eastAsia="楷体" w:cs="楷体"/>
          <w:b w:val="0"/>
          <w:bCs/>
          <w:color w:val="auto"/>
          <w:sz w:val="32"/>
          <w:szCs w:val="32"/>
          <w:highlight w:val="none"/>
          <w:lang w:val="en-US" w:eastAsia="zh-CN"/>
        </w:rPr>
        <w:t>第一条</w:t>
      </w:r>
      <w:r>
        <w:rPr>
          <w:rFonts w:hint="eastAsia" w:ascii="仿宋_GB2312" w:hAnsi="仿宋_GB2312" w:eastAsia="仿宋_GB2312" w:cs="仿宋_GB2312"/>
          <w:b w:val="0"/>
          <w:bCs/>
          <w:color w:val="auto"/>
          <w:sz w:val="32"/>
          <w:szCs w:val="32"/>
          <w:highlight w:val="none"/>
          <w:lang w:val="en-US" w:eastAsia="zh-CN"/>
        </w:rPr>
        <w:t xml:space="preserve"> 电气</w:t>
      </w:r>
      <w:r>
        <w:rPr>
          <w:rFonts w:hint="eastAsia" w:ascii="仿宋_GB2312" w:hAnsi="仿宋_GB2312" w:eastAsia="仿宋_GB2312" w:cs="仿宋_GB2312"/>
          <w:b w:val="0"/>
          <w:bCs/>
          <w:color w:val="auto"/>
          <w:sz w:val="32"/>
          <w:szCs w:val="32"/>
          <w:highlight w:val="none"/>
          <w:lang w:eastAsia="zh-CN"/>
        </w:rPr>
        <w:t>专业设计</w:t>
      </w:r>
      <w:r>
        <w:rPr>
          <w:rFonts w:hint="eastAsia" w:ascii="仿宋_GB2312" w:hAnsi="仿宋_GB2312" w:eastAsia="仿宋_GB2312" w:cs="仿宋_GB2312"/>
          <w:b w:val="0"/>
          <w:bCs/>
          <w:color w:val="auto"/>
          <w:sz w:val="32"/>
          <w:szCs w:val="32"/>
          <w:highlight w:val="none"/>
          <w:lang w:val="en-US" w:eastAsia="zh-CN"/>
        </w:rPr>
        <w:t>工作</w:t>
      </w:r>
      <w:r>
        <w:rPr>
          <w:rFonts w:hint="eastAsia" w:ascii="仿宋_GB2312" w:hAnsi="仿宋_GB2312" w:eastAsia="仿宋_GB2312" w:cs="仿宋_GB2312"/>
          <w:b w:val="0"/>
          <w:bCs/>
          <w:color w:val="auto"/>
          <w:sz w:val="32"/>
          <w:szCs w:val="32"/>
          <w:highlight w:val="none"/>
          <w:lang w:eastAsia="zh-CN"/>
        </w:rPr>
        <w:t>内容及要求</w:t>
      </w:r>
    </w:p>
    <w:p w14:paraId="0FDC946A">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lang w:eastAsia="zh-CN"/>
        </w:rPr>
        <w:t>设计内容</w:t>
      </w:r>
    </w:p>
    <w:p w14:paraId="4DFB2D93">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1. </w:t>
      </w:r>
      <w:r>
        <w:rPr>
          <w:rFonts w:hint="eastAsia" w:ascii="仿宋_GB2312" w:hAnsi="仿宋_GB2312" w:eastAsia="仿宋_GB2312" w:cs="仿宋_GB2312"/>
          <w:b w:val="0"/>
          <w:bCs/>
          <w:color w:val="auto"/>
          <w:sz w:val="32"/>
          <w:szCs w:val="32"/>
          <w:highlight w:val="none"/>
        </w:rPr>
        <w:t>完</w:t>
      </w:r>
      <w:r>
        <w:rPr>
          <w:rFonts w:hint="eastAsia" w:ascii="仿宋_GB2312" w:hAnsi="仿宋_GB2312" w:eastAsia="仿宋_GB2312" w:cs="仿宋_GB2312"/>
          <w:color w:val="auto"/>
          <w:sz w:val="32"/>
          <w:szCs w:val="32"/>
          <w:highlight w:val="none"/>
        </w:rPr>
        <w:t>成电气专业各系统的施工图设计。</w:t>
      </w:r>
      <w:r>
        <w:rPr>
          <w:rStyle w:val="30"/>
          <w:rFonts w:hint="eastAsia" w:ascii="仿宋_GB2312" w:hAnsi="仿宋_GB2312" w:eastAsia="仿宋_GB2312" w:cs="仿宋_GB2312"/>
          <w:color w:val="auto"/>
          <w:sz w:val="32"/>
          <w:szCs w:val="32"/>
          <w:highlight w:val="none"/>
          <w:lang w:val="zh-TW"/>
        </w:rPr>
        <w:t>包括：</w:t>
      </w:r>
      <w:r>
        <w:rPr>
          <w:rFonts w:hint="eastAsia" w:ascii="仿宋_GB2312" w:hAnsi="仿宋_GB2312" w:eastAsia="仿宋_GB2312" w:cs="仿宋_GB2312"/>
          <w:bCs/>
          <w:color w:val="auto"/>
          <w:sz w:val="32"/>
          <w:szCs w:val="32"/>
          <w:highlight w:val="none"/>
        </w:rPr>
        <w:t>变配电系统、低压配电系统、电气照明系统</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泛光照明</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、消防应急照明和疏散指示系统、火灾自动报警系统、消防电源监控系统、电气火灾监控系统、防雷及接地系</w:t>
      </w:r>
      <w:r>
        <w:rPr>
          <w:rFonts w:hint="eastAsia" w:ascii="仿宋_GB2312" w:hAnsi="仿宋_GB2312" w:eastAsia="仿宋_GB2312" w:cs="仿宋_GB2312"/>
          <w:bCs/>
          <w:color w:val="auto"/>
          <w:sz w:val="32"/>
          <w:szCs w:val="32"/>
          <w:highlight w:val="none"/>
          <w:lang w:val="en-US" w:eastAsia="zh-CN"/>
        </w:rPr>
        <w:t>统</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lang w:val="en-US" w:eastAsia="zh-CN"/>
        </w:rPr>
        <w:t>手机信号覆盖系统、光纤入户系统、园林配电系</w:t>
      </w:r>
      <w:r>
        <w:rPr>
          <w:rFonts w:hint="eastAsia" w:ascii="仿宋_GB2312" w:hAnsi="仿宋_GB2312" w:eastAsia="仿宋_GB2312" w:cs="仿宋_GB2312"/>
          <w:bCs/>
          <w:color w:val="auto"/>
          <w:sz w:val="32"/>
          <w:szCs w:val="32"/>
          <w:highlight w:val="none"/>
        </w:rPr>
        <w:t>统等内容。</w:t>
      </w:r>
    </w:p>
    <w:p w14:paraId="2C3CAFDF">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bCs/>
          <w:color w:val="auto"/>
          <w:sz w:val="32"/>
          <w:szCs w:val="32"/>
          <w:highlight w:val="none"/>
          <w:lang w:val="en-US" w:eastAsia="zh-CN"/>
        </w:rPr>
        <w:t xml:space="preserve">2. </w:t>
      </w:r>
      <w:r>
        <w:rPr>
          <w:rStyle w:val="30"/>
          <w:rFonts w:hint="eastAsia" w:ascii="仿宋_GB2312" w:hAnsi="仿宋_GB2312" w:eastAsia="仿宋_GB2312" w:cs="仿宋_GB2312"/>
          <w:color w:val="auto"/>
          <w:sz w:val="32"/>
          <w:szCs w:val="32"/>
          <w:highlight w:val="none"/>
          <w:lang w:val="zh-TW"/>
        </w:rPr>
        <w:t>审核建筑泛光照明、室内装饰、智能化、厨房设计、标识标牌系统</w:t>
      </w:r>
      <w:r>
        <w:rPr>
          <w:rStyle w:val="30"/>
          <w:rFonts w:hint="eastAsia" w:ascii="仿宋_GB2312" w:hAnsi="仿宋_GB2312" w:eastAsia="仿宋_GB2312" w:cs="仿宋_GB2312"/>
          <w:color w:val="auto"/>
          <w:sz w:val="32"/>
          <w:szCs w:val="32"/>
          <w:highlight w:val="none"/>
          <w:lang w:val="zh-TW" w:eastAsia="zh-CN"/>
        </w:rPr>
        <w:t>、</w:t>
      </w:r>
      <w:r>
        <w:rPr>
          <w:rStyle w:val="30"/>
          <w:rFonts w:hint="eastAsia" w:ascii="仿宋_GB2312" w:hAnsi="仿宋_GB2312" w:eastAsia="仿宋_GB2312" w:cs="仿宋_GB2312"/>
          <w:color w:val="auto"/>
          <w:sz w:val="32"/>
          <w:szCs w:val="32"/>
          <w:highlight w:val="none"/>
          <w:lang w:val="en-US" w:eastAsia="zh-CN"/>
        </w:rPr>
        <w:t>汽车充电桩、电梯等专业的</w:t>
      </w:r>
      <w:r>
        <w:rPr>
          <w:rStyle w:val="30"/>
          <w:rFonts w:hint="eastAsia" w:ascii="仿宋_GB2312" w:hAnsi="仿宋_GB2312" w:eastAsia="仿宋_GB2312" w:cs="仿宋_GB2312"/>
          <w:color w:val="auto"/>
          <w:sz w:val="32"/>
          <w:szCs w:val="32"/>
          <w:highlight w:val="none"/>
          <w:lang w:val="zh-TW"/>
        </w:rPr>
        <w:t>用电等提资，并根据提资修改及完善电气专业图纸设计。</w:t>
      </w:r>
      <w:r>
        <w:rPr>
          <w:rStyle w:val="30"/>
          <w:rFonts w:hint="eastAsia" w:ascii="仿宋_GB2312" w:hAnsi="仿宋_GB2312" w:eastAsia="仿宋_GB2312" w:cs="仿宋_GB2312"/>
          <w:color w:val="auto"/>
          <w:sz w:val="32"/>
          <w:szCs w:val="32"/>
          <w:highlight w:val="none"/>
        </w:rPr>
        <w:t>根据各专业提资</w:t>
      </w:r>
      <w:r>
        <w:rPr>
          <w:rStyle w:val="30"/>
          <w:rFonts w:hint="eastAsia" w:ascii="仿宋_GB2312" w:hAnsi="仿宋_GB2312" w:eastAsia="仿宋_GB2312" w:cs="仿宋_GB2312"/>
          <w:color w:val="auto"/>
          <w:sz w:val="32"/>
          <w:szCs w:val="32"/>
          <w:highlight w:val="none"/>
          <w:lang w:val="zh-TW"/>
        </w:rPr>
        <w:t>预留用电负荷及相应配电管线，并提供各专业之间的界面划分和接口条件,以满足工程招标和设计报审的要求。</w:t>
      </w:r>
    </w:p>
    <w:p w14:paraId="042057E1">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3. </w:t>
      </w:r>
      <w:r>
        <w:rPr>
          <w:rStyle w:val="30"/>
          <w:rFonts w:hint="eastAsia" w:ascii="仿宋_GB2312" w:hAnsi="仿宋_GB2312" w:eastAsia="仿宋_GB2312" w:cs="仿宋_GB2312"/>
          <w:color w:val="auto"/>
          <w:sz w:val="32"/>
          <w:szCs w:val="32"/>
          <w:highlight w:val="none"/>
          <w:lang w:val="zh-TW"/>
        </w:rPr>
        <w:t>根据甲方各部门提出的审核意见、外审意见及图纸会审意见，在要求时间内完善设计成果。</w:t>
      </w:r>
    </w:p>
    <w:p w14:paraId="7D24FBD8">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4. </w:t>
      </w:r>
      <w:r>
        <w:rPr>
          <w:rStyle w:val="30"/>
          <w:rFonts w:hint="eastAsia" w:ascii="仿宋_GB2312" w:hAnsi="仿宋_GB2312" w:eastAsia="仿宋_GB2312" w:cs="仿宋_GB2312"/>
          <w:color w:val="auto"/>
          <w:sz w:val="32"/>
          <w:szCs w:val="32"/>
          <w:highlight w:val="none"/>
          <w:lang w:val="zh-TW"/>
        </w:rPr>
        <w:t>完成因相关专业调整、设计优化以及因施工需要而产生的设计变更</w:t>
      </w:r>
    </w:p>
    <w:p w14:paraId="1790E793">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lang w:val="zh-TW"/>
        </w:rPr>
        <w:t>完成因装修二次机电</w:t>
      </w:r>
      <w:r>
        <w:rPr>
          <w:rStyle w:val="30"/>
          <w:rFonts w:hint="eastAsia" w:ascii="仿宋_GB2312" w:hAnsi="仿宋_GB2312" w:eastAsia="仿宋_GB2312" w:cs="仿宋_GB2312"/>
          <w:color w:val="auto"/>
          <w:sz w:val="32"/>
          <w:szCs w:val="32"/>
          <w:highlight w:val="none"/>
        </w:rPr>
        <w:t>、施工深化</w:t>
      </w:r>
      <w:r>
        <w:rPr>
          <w:rStyle w:val="30"/>
          <w:rFonts w:hint="eastAsia" w:ascii="仿宋_GB2312" w:hAnsi="仿宋_GB2312" w:eastAsia="仿宋_GB2312" w:cs="仿宋_GB2312"/>
          <w:color w:val="auto"/>
          <w:sz w:val="32"/>
          <w:szCs w:val="32"/>
          <w:highlight w:val="none"/>
          <w:lang w:eastAsia="zh-CN"/>
        </w:rPr>
        <w:t>、</w:t>
      </w:r>
      <w:r>
        <w:rPr>
          <w:rStyle w:val="30"/>
          <w:rFonts w:hint="eastAsia" w:ascii="仿宋_GB2312" w:hAnsi="仿宋_GB2312" w:eastAsia="仿宋_GB2312" w:cs="仿宋_GB2312"/>
          <w:color w:val="auto"/>
          <w:sz w:val="32"/>
          <w:szCs w:val="32"/>
          <w:highlight w:val="none"/>
          <w:lang w:val="en-US" w:eastAsia="zh-CN"/>
        </w:rPr>
        <w:t>设备实际订货功率与设计功率差异等</w:t>
      </w:r>
      <w:r>
        <w:rPr>
          <w:rStyle w:val="30"/>
          <w:rFonts w:hint="eastAsia" w:ascii="仿宋_GB2312" w:hAnsi="仿宋_GB2312" w:eastAsia="仿宋_GB2312" w:cs="仿宋_GB2312"/>
          <w:color w:val="auto"/>
          <w:sz w:val="32"/>
          <w:szCs w:val="32"/>
          <w:highlight w:val="none"/>
        </w:rPr>
        <w:t>专项</w:t>
      </w:r>
      <w:r>
        <w:rPr>
          <w:rStyle w:val="30"/>
          <w:rFonts w:hint="eastAsia" w:ascii="仿宋_GB2312" w:hAnsi="仿宋_GB2312" w:eastAsia="仿宋_GB2312" w:cs="仿宋_GB2312"/>
          <w:color w:val="auto"/>
          <w:sz w:val="32"/>
          <w:szCs w:val="32"/>
          <w:highlight w:val="none"/>
          <w:lang w:val="zh-TW"/>
        </w:rPr>
        <w:t>设计而引起的土建一次电气专业图纸的修改。</w:t>
      </w:r>
    </w:p>
    <w:p w14:paraId="06B02600">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b w:val="0"/>
          <w:bCs/>
          <w:color w:val="auto"/>
          <w:kern w:val="0"/>
          <w:sz w:val="32"/>
          <w:szCs w:val="32"/>
          <w:highlight w:val="none"/>
          <w:lang w:val="zh-TW"/>
        </w:rPr>
      </w:pP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二</w:t>
      </w: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 xml:space="preserve"> </w:t>
      </w:r>
      <w:r>
        <w:rPr>
          <w:rFonts w:hint="eastAsia" w:ascii="仿宋_GB2312" w:hAnsi="仿宋_GB2312" w:eastAsia="仿宋_GB2312" w:cs="仿宋_GB2312"/>
          <w:b w:val="0"/>
          <w:bCs/>
          <w:color w:val="auto"/>
          <w:kern w:val="0"/>
          <w:sz w:val="32"/>
          <w:szCs w:val="32"/>
          <w:highlight w:val="none"/>
          <w:lang w:val="zh-TW"/>
        </w:rPr>
        <w:t>设计要求</w:t>
      </w:r>
    </w:p>
    <w:p w14:paraId="4C94B8B6">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 </w:t>
      </w:r>
      <w:r>
        <w:rPr>
          <w:rStyle w:val="30"/>
          <w:rFonts w:hint="eastAsia" w:ascii="仿宋_GB2312" w:hAnsi="仿宋_GB2312" w:eastAsia="仿宋_GB2312" w:cs="仿宋_GB2312"/>
          <w:color w:val="auto"/>
          <w:sz w:val="32"/>
          <w:szCs w:val="32"/>
          <w:highlight w:val="none"/>
          <w:lang w:val="zh-TW"/>
        </w:rPr>
        <w:t>变配电系统的设计应满足当地供电部门的要求，设计前必须多途径了解当地供电部门的设计要求，并以供电部门的规定为准。</w:t>
      </w:r>
    </w:p>
    <w:p w14:paraId="0E44C6B8">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2. </w:t>
      </w:r>
      <w:r>
        <w:rPr>
          <w:rStyle w:val="30"/>
          <w:rFonts w:hint="eastAsia" w:ascii="仿宋_GB2312" w:hAnsi="仿宋_GB2312" w:eastAsia="仿宋_GB2312" w:cs="仿宋_GB2312"/>
          <w:color w:val="auto"/>
          <w:sz w:val="32"/>
          <w:szCs w:val="32"/>
          <w:highlight w:val="none"/>
          <w:lang w:val="zh-TW"/>
        </w:rPr>
        <w:t>涉及重大质量成本的设计方案须经甲方审批通过后方可实施，审批确定后的方案应严格实施，如有修改应重新报审。</w:t>
      </w:r>
    </w:p>
    <w:p w14:paraId="1DC2ED50">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3. </w:t>
      </w:r>
      <w:r>
        <w:rPr>
          <w:rStyle w:val="30"/>
          <w:rFonts w:hint="eastAsia" w:ascii="仿宋_GB2312" w:hAnsi="仿宋_GB2312" w:eastAsia="仿宋_GB2312" w:cs="仿宋_GB2312"/>
          <w:color w:val="auto"/>
          <w:sz w:val="32"/>
          <w:szCs w:val="32"/>
          <w:highlight w:val="none"/>
          <w:lang w:val="zh-TW"/>
        </w:rPr>
        <w:t>设计说明中要列出用电负荷等级、供电电源、供电形式、照度要求等。</w:t>
      </w:r>
    </w:p>
    <w:p w14:paraId="2B67E668">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4. </w:t>
      </w:r>
      <w:r>
        <w:rPr>
          <w:rStyle w:val="30"/>
          <w:rFonts w:hint="eastAsia" w:ascii="仿宋_GB2312" w:hAnsi="仿宋_GB2312" w:eastAsia="仿宋_GB2312" w:cs="仿宋_GB2312"/>
          <w:color w:val="auto"/>
          <w:sz w:val="32"/>
          <w:szCs w:val="32"/>
          <w:highlight w:val="none"/>
          <w:lang w:val="zh-TW"/>
        </w:rPr>
        <w:t>用电负荷等级应满足国家规范的要求，除甲方提出的明确要求外，不得随意提高用电的负荷等级。</w:t>
      </w:r>
    </w:p>
    <w:p w14:paraId="13CC244D">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lang w:val="zh-TW"/>
        </w:rPr>
        <w:t>柴油发电机组容量、应急时间的选择除满足国家规范的要求之外还应满足甲方提出的要求。</w:t>
      </w:r>
    </w:p>
    <w:p w14:paraId="74C9B3B1">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6. </w:t>
      </w:r>
      <w:r>
        <w:rPr>
          <w:rStyle w:val="30"/>
          <w:rFonts w:hint="eastAsia" w:ascii="仿宋_GB2312" w:hAnsi="仿宋_GB2312" w:eastAsia="仿宋_GB2312" w:cs="仿宋_GB2312"/>
          <w:color w:val="auto"/>
          <w:sz w:val="32"/>
          <w:szCs w:val="32"/>
          <w:highlight w:val="none"/>
          <w:lang w:val="zh-TW"/>
        </w:rPr>
        <w:t>低压配电系统应考虑谐波的影响，并提出谐波治理的措施。</w:t>
      </w:r>
    </w:p>
    <w:p w14:paraId="13634BD4">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7. </w:t>
      </w:r>
      <w:r>
        <w:rPr>
          <w:rStyle w:val="30"/>
          <w:rFonts w:hint="eastAsia" w:ascii="仿宋_GB2312" w:hAnsi="仿宋_GB2312" w:eastAsia="仿宋_GB2312" w:cs="仿宋_GB2312"/>
          <w:color w:val="auto"/>
          <w:sz w:val="32"/>
          <w:szCs w:val="32"/>
          <w:highlight w:val="none"/>
          <w:lang w:val="zh-TW"/>
        </w:rPr>
        <w:t>高、低压配电柜参照</w:t>
      </w:r>
      <w:r>
        <w:rPr>
          <w:rFonts w:hint="eastAsia" w:ascii="仿宋_GB2312" w:hAnsi="仿宋_GB2312" w:eastAsia="仿宋_GB2312" w:cs="仿宋_GB2312"/>
          <w:color w:val="auto"/>
          <w:sz w:val="32"/>
          <w:szCs w:val="32"/>
          <w:highlight w:val="none"/>
        </w:rPr>
        <w:t>国产柜型进行</w:t>
      </w:r>
      <w:r>
        <w:rPr>
          <w:rStyle w:val="30"/>
          <w:rFonts w:hint="eastAsia" w:ascii="仿宋_GB2312" w:hAnsi="仿宋_GB2312" w:eastAsia="仿宋_GB2312" w:cs="仿宋_GB2312"/>
          <w:color w:val="auto"/>
          <w:sz w:val="32"/>
          <w:szCs w:val="32"/>
          <w:highlight w:val="none"/>
          <w:lang w:val="zh-TW"/>
        </w:rPr>
        <w:t>设计，且应符合当地供电部门的要求，同时考虑两台及以上备用柜位置。</w:t>
      </w:r>
    </w:p>
    <w:p w14:paraId="2444DB4E">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8. </w:t>
      </w:r>
      <w:r>
        <w:rPr>
          <w:rStyle w:val="30"/>
          <w:rFonts w:hint="eastAsia" w:ascii="仿宋_GB2312" w:hAnsi="仿宋_GB2312" w:eastAsia="仿宋_GB2312" w:cs="仿宋_GB2312"/>
          <w:color w:val="auto"/>
          <w:sz w:val="32"/>
          <w:szCs w:val="32"/>
          <w:highlight w:val="none"/>
          <w:lang w:val="zh-TW"/>
        </w:rPr>
        <w:t>应考虑变压器、高、低压配电柜、柴油发电机等设备的运输通道，若有吊装孔、后砌墙体等需求时，应和建筑、结构专业协调并在图纸上体现。</w:t>
      </w:r>
    </w:p>
    <w:p w14:paraId="152ECF67">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9. </w:t>
      </w:r>
      <w:r>
        <w:rPr>
          <w:rStyle w:val="30"/>
          <w:rFonts w:hint="eastAsia" w:ascii="仿宋_GB2312" w:hAnsi="仿宋_GB2312" w:eastAsia="仿宋_GB2312" w:cs="仿宋_GB2312"/>
          <w:color w:val="auto"/>
          <w:sz w:val="32"/>
          <w:szCs w:val="32"/>
          <w:highlight w:val="none"/>
          <w:lang w:val="zh-TW"/>
        </w:rPr>
        <w:t>应根据当地电力部门批准的供电方案、电力设计单位意见，配合完善高、低压配电系统。</w:t>
      </w:r>
    </w:p>
    <w:p w14:paraId="131D94B5">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10. </w:t>
      </w:r>
      <w:r>
        <w:rPr>
          <w:rStyle w:val="30"/>
          <w:rFonts w:hint="eastAsia" w:ascii="仿宋_GB2312" w:hAnsi="仿宋_GB2312" w:eastAsia="仿宋_GB2312" w:cs="仿宋_GB2312"/>
          <w:color w:val="auto"/>
          <w:sz w:val="32"/>
          <w:szCs w:val="32"/>
          <w:highlight w:val="none"/>
          <w:lang w:val="zh-TW"/>
        </w:rPr>
        <w:t>应根据建筑泛光照明、室内装饰、智能化、厨房设计、标识标牌系统、充电桩</w:t>
      </w:r>
      <w:r>
        <w:rPr>
          <w:rStyle w:val="30"/>
          <w:rFonts w:hint="eastAsia" w:ascii="仿宋_GB2312" w:hAnsi="仿宋_GB2312" w:eastAsia="仿宋_GB2312" w:cs="仿宋_GB2312"/>
          <w:color w:val="auto"/>
          <w:sz w:val="32"/>
          <w:szCs w:val="32"/>
          <w:highlight w:val="none"/>
          <w:lang w:val="zh-TW" w:eastAsia="zh-CN"/>
        </w:rPr>
        <w:t>、</w:t>
      </w:r>
      <w:r>
        <w:rPr>
          <w:rStyle w:val="30"/>
          <w:rFonts w:hint="eastAsia" w:ascii="仿宋_GB2312" w:hAnsi="仿宋_GB2312" w:eastAsia="仿宋_GB2312" w:cs="仿宋_GB2312"/>
          <w:color w:val="auto"/>
          <w:sz w:val="32"/>
          <w:szCs w:val="32"/>
          <w:highlight w:val="none"/>
          <w:lang w:val="en-US" w:eastAsia="zh-CN"/>
        </w:rPr>
        <w:t>电梯、园林配电</w:t>
      </w:r>
      <w:r>
        <w:rPr>
          <w:rStyle w:val="30"/>
          <w:rFonts w:hint="eastAsia" w:ascii="仿宋_GB2312" w:hAnsi="仿宋_GB2312" w:eastAsia="仿宋_GB2312" w:cs="仿宋_GB2312"/>
          <w:color w:val="auto"/>
          <w:sz w:val="32"/>
          <w:szCs w:val="32"/>
          <w:highlight w:val="none"/>
          <w:lang w:val="zh-TW"/>
        </w:rPr>
        <w:t>等常规和甲方需求的用电提资，预留用电负荷及相应配电管线，并需配电至相应配电总箱。</w:t>
      </w:r>
    </w:p>
    <w:p w14:paraId="25B0DB55">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11. </w:t>
      </w:r>
      <w:r>
        <w:rPr>
          <w:rStyle w:val="30"/>
          <w:rFonts w:hint="eastAsia" w:ascii="仿宋_GB2312" w:hAnsi="仿宋_GB2312" w:eastAsia="仿宋_GB2312" w:cs="仿宋_GB2312"/>
          <w:color w:val="auto"/>
          <w:sz w:val="32"/>
          <w:szCs w:val="32"/>
          <w:highlight w:val="none"/>
          <w:lang w:val="zh-TW"/>
        </w:rPr>
        <w:t>配电干线应合理，敷设方式、敷设部位、路由、材料选型等应表示清楚。电气管线的布置不应影响建筑专业所提出的层高要求，并注意避免与各专业管线冲突。</w:t>
      </w:r>
    </w:p>
    <w:p w14:paraId="1CB49639">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12. </w:t>
      </w:r>
      <w:r>
        <w:rPr>
          <w:rStyle w:val="30"/>
          <w:rFonts w:hint="eastAsia" w:ascii="仿宋_GB2312" w:hAnsi="仿宋_GB2312" w:eastAsia="仿宋_GB2312" w:cs="仿宋_GB2312"/>
          <w:color w:val="auto"/>
          <w:sz w:val="32"/>
          <w:szCs w:val="32"/>
          <w:highlight w:val="none"/>
          <w:lang w:val="zh-TW"/>
        </w:rPr>
        <w:t>各级配电箱，根据发展的可能性留有适当数量的备用回路，一般不低于20%。</w:t>
      </w:r>
      <w:r>
        <w:rPr>
          <w:rStyle w:val="30"/>
          <w:rFonts w:hint="eastAsia" w:ascii="仿宋_GB2312" w:hAnsi="仿宋_GB2312" w:eastAsia="仿宋_GB2312" w:cs="仿宋_GB2312"/>
          <w:color w:val="auto"/>
          <w:sz w:val="32"/>
          <w:szCs w:val="32"/>
          <w:highlight w:val="none"/>
          <w:lang w:val="en-US" w:eastAsia="zh-CN"/>
        </w:rPr>
        <w:t>配电箱、设备控制箱设置在方便检修、日常可以到达位置。</w:t>
      </w:r>
    </w:p>
    <w:p w14:paraId="222B4A3D">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13. </w:t>
      </w:r>
      <w:r>
        <w:rPr>
          <w:rStyle w:val="30"/>
          <w:rFonts w:hint="eastAsia" w:ascii="仿宋_GB2312" w:hAnsi="仿宋_GB2312" w:eastAsia="仿宋_GB2312" w:cs="仿宋_GB2312"/>
          <w:color w:val="auto"/>
          <w:sz w:val="32"/>
          <w:szCs w:val="32"/>
          <w:highlight w:val="none"/>
          <w:lang w:val="zh-TW"/>
        </w:rPr>
        <w:t>变电所、开闭所、柴油发电机房、配电间、封闭式楼梯间、仓库、储物间、工具间、备用设备房、维修间、垃圾房、空调机房、风机房、水泵房等无二次装修区域电气照明应设计到位。其余区域由二次装修深化，但需对二次装修深化的相关要求做出说明。</w:t>
      </w:r>
    </w:p>
    <w:p w14:paraId="0B6CCC38">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14. </w:t>
      </w:r>
      <w:r>
        <w:rPr>
          <w:rStyle w:val="30"/>
          <w:rFonts w:hint="eastAsia" w:ascii="仿宋_GB2312" w:hAnsi="仿宋_GB2312" w:eastAsia="仿宋_GB2312" w:cs="仿宋_GB2312"/>
          <w:color w:val="auto"/>
          <w:sz w:val="32"/>
          <w:szCs w:val="32"/>
          <w:highlight w:val="none"/>
          <w:lang w:val="zh-TW"/>
        </w:rPr>
        <w:t>照明设计应合理，需考虑不同功能分区、不同时段等多种控制模式的要求。</w:t>
      </w:r>
    </w:p>
    <w:p w14:paraId="12DF80F4">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15. </w:t>
      </w:r>
      <w:r>
        <w:rPr>
          <w:rStyle w:val="30"/>
          <w:rFonts w:hint="eastAsia" w:ascii="仿宋_GB2312" w:hAnsi="仿宋_GB2312" w:eastAsia="仿宋_GB2312" w:cs="仿宋_GB2312"/>
          <w:color w:val="auto"/>
          <w:sz w:val="32"/>
          <w:szCs w:val="32"/>
          <w:highlight w:val="none"/>
          <w:lang w:val="zh-TW"/>
        </w:rPr>
        <w:t>应按规范设计应急照明。二次装修场所应急照明灯具型式、布置位置由二次装修深化设计确定。</w:t>
      </w:r>
    </w:p>
    <w:p w14:paraId="425A5107">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16. </w:t>
      </w:r>
      <w:r>
        <w:rPr>
          <w:rStyle w:val="30"/>
          <w:rFonts w:hint="eastAsia" w:ascii="仿宋_GB2312" w:hAnsi="仿宋_GB2312" w:eastAsia="仿宋_GB2312" w:cs="仿宋_GB2312"/>
          <w:color w:val="auto"/>
          <w:sz w:val="32"/>
          <w:szCs w:val="32"/>
          <w:highlight w:val="none"/>
          <w:lang w:val="zh-TW"/>
        </w:rPr>
        <w:t>风机盘管、温控开关及线路设计到位，二次装修场所风机盘管、温控开关由二次装修设计定位。</w:t>
      </w:r>
    </w:p>
    <w:p w14:paraId="48957E2C">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17. </w:t>
      </w:r>
      <w:r>
        <w:rPr>
          <w:rStyle w:val="30"/>
          <w:rFonts w:hint="eastAsia" w:ascii="仿宋_GB2312" w:hAnsi="仿宋_GB2312" w:eastAsia="仿宋_GB2312" w:cs="仿宋_GB2312"/>
          <w:color w:val="auto"/>
          <w:sz w:val="32"/>
          <w:szCs w:val="32"/>
          <w:highlight w:val="none"/>
          <w:lang w:val="zh-TW"/>
        </w:rPr>
        <w:t>防雷与接地设计以通过当地相关部门验收为准。</w:t>
      </w:r>
    </w:p>
    <w:p w14:paraId="38CDF193">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18. </w:t>
      </w:r>
      <w:r>
        <w:rPr>
          <w:rStyle w:val="30"/>
          <w:rFonts w:hint="eastAsia" w:ascii="仿宋_GB2312" w:hAnsi="仿宋_GB2312" w:eastAsia="仿宋_GB2312" w:cs="仿宋_GB2312"/>
          <w:color w:val="auto"/>
          <w:sz w:val="32"/>
          <w:szCs w:val="32"/>
          <w:highlight w:val="none"/>
          <w:lang w:val="zh-TW"/>
        </w:rPr>
        <w:t>应按规范设置火灾自动报警系统。</w:t>
      </w:r>
    </w:p>
    <w:p w14:paraId="0F0D65A3">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19. </w:t>
      </w:r>
      <w:r>
        <w:rPr>
          <w:rStyle w:val="30"/>
          <w:rFonts w:hint="eastAsia" w:ascii="仿宋_GB2312" w:hAnsi="仿宋_GB2312" w:eastAsia="仿宋_GB2312" w:cs="仿宋_GB2312"/>
          <w:color w:val="auto"/>
          <w:sz w:val="32"/>
          <w:szCs w:val="32"/>
          <w:highlight w:val="none"/>
          <w:lang w:val="zh-TW"/>
        </w:rPr>
        <w:t>电气火灾监控系统监测点应设在非消防负荷低压柜出线、无变电房的单体在配电总箱进线处。</w:t>
      </w:r>
    </w:p>
    <w:p w14:paraId="0EE94445">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20. </w:t>
      </w:r>
      <w:r>
        <w:rPr>
          <w:rStyle w:val="30"/>
          <w:rFonts w:hint="eastAsia" w:ascii="仿宋_GB2312" w:hAnsi="仿宋_GB2312" w:eastAsia="仿宋_GB2312" w:cs="仿宋_GB2312"/>
          <w:color w:val="auto"/>
          <w:sz w:val="32"/>
          <w:szCs w:val="32"/>
          <w:highlight w:val="none"/>
          <w:lang w:val="zh-TW"/>
        </w:rPr>
        <w:t>消防电源监控系统监测点应设在消防设备双电源切换装置进线端，且仅监测电压，无需监测电流。工程所在地消防部门有要求的按照当地要求执行。</w:t>
      </w:r>
    </w:p>
    <w:p w14:paraId="23FDB9DA">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21. </w:t>
      </w:r>
      <w:r>
        <w:rPr>
          <w:rStyle w:val="30"/>
          <w:rFonts w:hint="eastAsia" w:ascii="仿宋_GB2312" w:hAnsi="仿宋_GB2312" w:eastAsia="仿宋_GB2312" w:cs="仿宋_GB2312"/>
          <w:color w:val="auto"/>
          <w:sz w:val="32"/>
          <w:szCs w:val="32"/>
          <w:highlight w:val="none"/>
          <w:lang w:val="zh-TW"/>
        </w:rPr>
        <w:t>对于各类型的用电提资，会根据项目进度存在多次提资的情况。应根据每次提资的用电量，及时修改图纸，不得影响施工进度</w:t>
      </w:r>
      <w:r>
        <w:rPr>
          <w:rStyle w:val="30"/>
          <w:rFonts w:hint="eastAsia" w:ascii="仿宋_GB2312" w:hAnsi="仿宋_GB2312" w:eastAsia="仿宋_GB2312" w:cs="仿宋_GB2312"/>
          <w:color w:val="auto"/>
          <w:sz w:val="32"/>
          <w:szCs w:val="32"/>
          <w:highlight w:val="none"/>
        </w:rPr>
        <w:t>。</w:t>
      </w:r>
    </w:p>
    <w:p w14:paraId="4A1D0A96">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22. </w:t>
      </w:r>
      <w:r>
        <w:rPr>
          <w:rStyle w:val="30"/>
          <w:rFonts w:hint="eastAsia" w:ascii="仿宋_GB2312" w:hAnsi="仿宋_GB2312" w:eastAsia="仿宋_GB2312" w:cs="仿宋_GB2312"/>
          <w:color w:val="auto"/>
          <w:sz w:val="32"/>
          <w:szCs w:val="32"/>
          <w:highlight w:val="none"/>
          <w:lang w:val="zh-TW"/>
        </w:rPr>
        <w:t>电气系统应与建筑、结构、给排水、暖通、智能化专业之间进行充分相互协调，不应出现遗漏和偏差。</w:t>
      </w:r>
    </w:p>
    <w:p w14:paraId="5532A0A6">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23. </w:t>
      </w:r>
      <w:r>
        <w:rPr>
          <w:rFonts w:hint="eastAsia" w:ascii="仿宋_GB2312" w:hAnsi="仿宋_GB2312" w:eastAsia="仿宋_GB2312" w:cs="仿宋_GB2312"/>
          <w:color w:val="auto"/>
          <w:sz w:val="32"/>
          <w:szCs w:val="32"/>
          <w:highlight w:val="none"/>
        </w:rPr>
        <w:t>应符合《建筑工程设计文件编制深度的规定》、《电气制图标准》的要求。</w:t>
      </w:r>
    </w:p>
    <w:p w14:paraId="0B4CC873">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设计</w:t>
      </w:r>
      <w:r>
        <w:rPr>
          <w:rFonts w:hint="eastAsia" w:ascii="仿宋_GB2312" w:hAnsi="仿宋_GB2312" w:eastAsia="仿宋_GB2312" w:cs="仿宋_GB2312"/>
          <w:b w:val="0"/>
          <w:bCs/>
          <w:color w:val="auto"/>
          <w:sz w:val="32"/>
          <w:szCs w:val="32"/>
          <w:highlight w:val="none"/>
        </w:rPr>
        <w:t>成果要求</w:t>
      </w:r>
    </w:p>
    <w:p w14:paraId="1E5D8012">
      <w:pPr>
        <w:pStyle w:val="32"/>
        <w:pageBreakBefore w:val="0"/>
        <w:widowControl/>
        <w:numPr>
          <w:ilvl w:val="0"/>
          <w:numId w:val="0"/>
        </w:numPr>
        <w:tabs>
          <w:tab w:val="left" w:pos="0"/>
          <w:tab w:val="left" w:pos="567"/>
        </w:tabs>
        <w:kinsoku/>
        <w:wordWrap/>
        <w:overflowPunct/>
        <w:topLinePunct w:val="0"/>
        <w:autoSpaceDE w:val="0"/>
        <w:autoSpaceDN w:val="0"/>
        <w:bidi w:val="0"/>
        <w:adjustRightInd w:val="0"/>
        <w:snapToGrid w:val="0"/>
        <w:spacing w:line="360" w:lineRule="auto"/>
        <w:ind w:leftChars="0"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1. </w:t>
      </w:r>
      <w:r>
        <w:rPr>
          <w:rFonts w:hint="eastAsia" w:ascii="仿宋_GB2312" w:hAnsi="仿宋_GB2312" w:eastAsia="仿宋_GB2312" w:cs="仿宋_GB2312"/>
          <w:bCs/>
          <w:color w:val="auto"/>
          <w:sz w:val="32"/>
          <w:szCs w:val="32"/>
          <w:highlight w:val="none"/>
        </w:rPr>
        <w:t>提供本专业全套电气施工图纸（电子文件PDF及CAD文件），包括但不限于：图纸目录、设计说明、材料清单、变配电系统图（含高低压系统图和电力监测系统图）、</w:t>
      </w:r>
      <w:r>
        <w:rPr>
          <w:rFonts w:hint="eastAsia" w:ascii="仿宋_GB2312" w:hAnsi="仿宋_GB2312" w:eastAsia="仿宋_GB2312" w:cs="仿宋_GB2312"/>
          <w:color w:val="auto"/>
          <w:sz w:val="32"/>
          <w:szCs w:val="32"/>
          <w:highlight w:val="none"/>
          <w:lang w:val="zh-TW"/>
        </w:rPr>
        <w:t>火灾自动报警系统图、</w:t>
      </w:r>
      <w:r>
        <w:rPr>
          <w:rFonts w:hint="eastAsia" w:ascii="仿宋_GB2312" w:hAnsi="仿宋_GB2312" w:eastAsia="仿宋_GB2312" w:cs="仿宋_GB2312"/>
          <w:bCs/>
          <w:color w:val="auto"/>
          <w:sz w:val="32"/>
          <w:szCs w:val="32"/>
          <w:highlight w:val="none"/>
        </w:rPr>
        <w:t>开闭所设计图、变配电站设计图、柴油发电机房设计图、各层平面图及各系统图（含防雷平面图）、各配电间电井详图、主要设备的安装布置图、二次控制和原理图、手孔井和入户管等大样图、管线穿线技术要求和接线原理等。提供土建施工所需要的所有预留预埋条件图。</w:t>
      </w:r>
    </w:p>
    <w:p w14:paraId="24A86100">
      <w:pPr>
        <w:pageBreakBefore w:val="0"/>
        <w:widowControl/>
        <w:numPr>
          <w:ilvl w:val="0"/>
          <w:numId w:val="0"/>
        </w:numPr>
        <w:tabs>
          <w:tab w:val="left" w:pos="426"/>
          <w:tab w:val="left" w:pos="567"/>
        </w:tabs>
        <w:kinsoku/>
        <w:wordWrap/>
        <w:overflowPunct/>
        <w:topLinePunct w:val="0"/>
        <w:autoSpaceDE w:val="0"/>
        <w:autoSpaceDN w:val="0"/>
        <w:bidi w:val="0"/>
        <w:adjustRightInd w:val="0"/>
        <w:snapToGrid w:val="0"/>
        <w:spacing w:line="360" w:lineRule="auto"/>
        <w:ind w:leftChars="0"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2. </w:t>
      </w:r>
      <w:r>
        <w:rPr>
          <w:rFonts w:hint="eastAsia" w:ascii="仿宋_GB2312" w:hAnsi="仿宋_GB2312" w:eastAsia="仿宋_GB2312" w:cs="仿宋_GB2312"/>
          <w:bCs/>
          <w:color w:val="auto"/>
          <w:sz w:val="32"/>
          <w:szCs w:val="32"/>
          <w:highlight w:val="none"/>
        </w:rPr>
        <w:t>电气计算书：用电设备负荷计算；变压器、柴油发电机选型计算；典型回路电压损失计算；系统短路电流计算；大型设备（如大型空调机组等）启动压降计算；防雷类别的选取或计算；典型场所照度值和照明功率密度值计算等。</w:t>
      </w:r>
    </w:p>
    <w:p w14:paraId="0D1101CE">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firstLine="640" w:firstLineChars="200"/>
        <w:textAlignment w:val="auto"/>
        <w:outlineLvl w:val="4"/>
        <w:rPr>
          <w:rFonts w:hint="eastAsia" w:ascii="仿宋_GB2312" w:hAnsi="仿宋_GB2312" w:eastAsia="仿宋_GB2312" w:cs="仿宋_GB2312"/>
          <w:color w:val="auto"/>
          <w:sz w:val="32"/>
          <w:szCs w:val="32"/>
          <w:highlight w:val="none"/>
          <w:lang w:val="en-US" w:eastAsia="zh-CN"/>
        </w:rPr>
      </w:pPr>
      <w:r>
        <w:rPr>
          <w:rFonts w:hint="eastAsia" w:ascii="楷体" w:hAnsi="楷体" w:eastAsia="楷体" w:cs="楷体"/>
          <w:color w:val="auto"/>
          <w:sz w:val="32"/>
          <w:szCs w:val="32"/>
          <w:highlight w:val="none"/>
          <w:lang w:val="en-US" w:eastAsia="zh-CN"/>
        </w:rPr>
        <w:t>第二条</w:t>
      </w:r>
      <w:r>
        <w:rPr>
          <w:rFonts w:hint="eastAsia" w:ascii="仿宋_GB2312" w:hAnsi="仿宋_GB2312" w:eastAsia="仿宋_GB2312" w:cs="仿宋_GB2312"/>
          <w:color w:val="auto"/>
          <w:sz w:val="32"/>
          <w:szCs w:val="32"/>
          <w:highlight w:val="none"/>
          <w:lang w:val="en-US" w:eastAsia="zh-CN"/>
        </w:rPr>
        <w:t xml:space="preserve"> 电气设计技术要求</w:t>
      </w:r>
      <w:bookmarkStart w:id="56" w:name="_Toc536454478"/>
    </w:p>
    <w:bookmarkEnd w:id="56"/>
    <w:p w14:paraId="4499B93D">
      <w:pPr>
        <w:pageBreakBefore w:val="0"/>
        <w:numPr>
          <w:ilvl w:val="0"/>
          <w:numId w:val="0"/>
        </w:numPr>
        <w:kinsoku/>
        <w:wordWrap/>
        <w:overflowPunct/>
        <w:topLinePunct w:val="0"/>
        <w:bidi w:val="0"/>
        <w:snapToGrid w:val="0"/>
        <w:spacing w:line="360" w:lineRule="auto"/>
        <w:ind w:firstLine="640" w:firstLineChars="200"/>
        <w:rPr>
          <w:rFonts w:hint="eastAsia" w:ascii="仿宋_GB2312" w:hAnsi="仿宋_GB2312" w:eastAsia="仿宋_GB2312" w:cs="仿宋_GB2312"/>
          <w:b w:val="0"/>
          <w:bCs w:val="0"/>
          <w:color w:val="auto"/>
          <w:sz w:val="32"/>
          <w:szCs w:val="32"/>
          <w:highlight w:val="none"/>
        </w:rPr>
      </w:pPr>
      <w:bookmarkStart w:id="57" w:name="_Toc536454480"/>
      <w:bookmarkStart w:id="58" w:name="_Toc213670315"/>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10KV变配电系统</w:t>
      </w:r>
      <w:bookmarkEnd w:id="57"/>
      <w:bookmarkEnd w:id="58"/>
    </w:p>
    <w:p w14:paraId="2B141A2F">
      <w:pPr>
        <w:pageBreakBefore w:val="0"/>
        <w:numPr>
          <w:ilvl w:val="0"/>
          <w:numId w:val="9"/>
        </w:numPr>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10KV电源引自</w:t>
      </w:r>
      <w:r>
        <w:rPr>
          <w:rFonts w:hint="eastAsia" w:ascii="仿宋_GB2312" w:hAnsi="仿宋_GB2312" w:eastAsia="仿宋_GB2312" w:cs="仿宋_GB2312"/>
          <w:color w:val="auto"/>
          <w:sz w:val="32"/>
          <w:szCs w:val="32"/>
          <w:highlight w:val="none"/>
          <w:u w:val="single"/>
        </w:rPr>
        <w:t xml:space="preserve"> 罗涌 </w:t>
      </w:r>
      <w:r>
        <w:rPr>
          <w:rFonts w:hint="eastAsia" w:ascii="仿宋_GB2312" w:hAnsi="仿宋_GB2312" w:eastAsia="仿宋_GB2312" w:cs="仿宋_GB2312"/>
          <w:color w:val="auto"/>
          <w:sz w:val="32"/>
          <w:szCs w:val="32"/>
          <w:highlight w:val="none"/>
        </w:rPr>
        <w:t>变电站（以供电局最终批复答复书为准）。</w:t>
      </w:r>
    </w:p>
    <w:p w14:paraId="3EB1EE7D">
      <w:pPr>
        <w:pageBreakBefore w:val="0"/>
        <w:numPr>
          <w:ilvl w:val="0"/>
          <w:numId w:val="9"/>
        </w:numPr>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10KV电源方案：</w:t>
      </w:r>
      <w:r>
        <w:rPr>
          <w:rFonts w:hint="eastAsia" w:ascii="仿宋_GB2312" w:hAnsi="仿宋_GB2312" w:eastAsia="仿宋_GB2312" w:cs="仿宋_GB2312"/>
          <w:color w:val="auto"/>
          <w:sz w:val="32"/>
          <w:szCs w:val="32"/>
          <w:highlight w:val="none"/>
          <w:u w:val="single"/>
        </w:rPr>
        <w:t>各住宅公变高压配电系统采用单母线环网供电方式，当环中任一点发生故障，只要断开故障点两侧负荷开关，即可恢复非故障部分的供电</w:t>
      </w:r>
      <w:r>
        <w:rPr>
          <w:rFonts w:hint="eastAsia" w:ascii="仿宋_GB2312" w:hAnsi="仿宋_GB2312" w:eastAsia="仿宋_GB2312" w:cs="仿宋_GB2312"/>
          <w:color w:val="auto"/>
          <w:sz w:val="32"/>
          <w:szCs w:val="32"/>
          <w:highlight w:val="none"/>
        </w:rPr>
        <w:t>。</w:t>
      </w:r>
      <w:bookmarkStart w:id="59" w:name="_Toc536454481"/>
    </w:p>
    <w:p w14:paraId="28BCFB58">
      <w:pPr>
        <w:pageBreakBefore w:val="0"/>
        <w:numPr>
          <w:ilvl w:val="0"/>
          <w:numId w:val="0"/>
        </w:numPr>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二</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供电方案</w:t>
      </w:r>
      <w:bookmarkEnd w:id="59"/>
    </w:p>
    <w:p w14:paraId="328CA8B3">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供电电源：本工程地块采用一路10kV市政电源供电，线路从就近市政区域变电站延室外市政道路引入</w:t>
      </w:r>
      <w:r>
        <w:rPr>
          <w:rFonts w:hint="eastAsia" w:ascii="仿宋_GB2312" w:hAnsi="仿宋_GB2312" w:eastAsia="仿宋_GB2312" w:cs="仿宋_GB2312"/>
          <w:color w:val="auto"/>
          <w:sz w:val="32"/>
          <w:szCs w:val="32"/>
          <w:highlight w:val="none"/>
          <w:lang w:eastAsia="zh-CN"/>
        </w:rPr>
        <w:t>。</w:t>
      </w:r>
    </w:p>
    <w:p w14:paraId="0FA5B967">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应急电源：</w:t>
      </w:r>
      <w:r>
        <w:rPr>
          <w:rFonts w:hint="eastAsia" w:ascii="仿宋_GB2312" w:hAnsi="仿宋_GB2312" w:eastAsia="仿宋_GB2312" w:cs="仿宋_GB2312"/>
          <w:color w:val="auto"/>
          <w:sz w:val="32"/>
          <w:szCs w:val="32"/>
          <w:highlight w:val="none"/>
          <w:u w:val="single"/>
        </w:rPr>
        <w:t>本工程拟采用2台额定功率为900k</w:t>
      </w:r>
      <w:r>
        <w:rPr>
          <w:rFonts w:hint="eastAsia" w:ascii="仿宋_GB2312" w:hAnsi="仿宋_GB2312" w:eastAsia="仿宋_GB2312" w:cs="仿宋_GB2312"/>
          <w:color w:val="auto"/>
          <w:sz w:val="32"/>
          <w:szCs w:val="32"/>
          <w:highlight w:val="none"/>
          <w:u w:val="single"/>
          <w:lang w:val="en-US" w:eastAsia="zh-CN"/>
        </w:rPr>
        <w:t>W</w:t>
      </w:r>
      <w:r>
        <w:rPr>
          <w:rFonts w:hint="eastAsia" w:ascii="仿宋_GB2312" w:hAnsi="仿宋_GB2312" w:eastAsia="仿宋_GB2312" w:cs="仿宋_GB2312"/>
          <w:color w:val="auto"/>
          <w:sz w:val="32"/>
          <w:szCs w:val="32"/>
          <w:highlight w:val="none"/>
          <w:u w:val="single"/>
        </w:rPr>
        <w:t>（1125kVA）柴油发电机组作为市电停电后的备用</w:t>
      </w:r>
      <w:r>
        <w:rPr>
          <w:rFonts w:hint="eastAsia" w:ascii="仿宋_GB2312" w:hAnsi="仿宋_GB2312" w:eastAsia="仿宋_GB2312" w:cs="仿宋_GB2312"/>
          <w:color w:val="auto"/>
          <w:sz w:val="32"/>
          <w:szCs w:val="32"/>
          <w:highlight w:val="none"/>
          <w:u w:val="single"/>
          <w:lang w:val="en-US" w:eastAsia="zh-CN"/>
        </w:rPr>
        <w:t>及应急</w:t>
      </w:r>
      <w:r>
        <w:rPr>
          <w:rFonts w:hint="eastAsia" w:ascii="仿宋_GB2312" w:hAnsi="仿宋_GB2312" w:eastAsia="仿宋_GB2312" w:cs="仿宋_GB2312"/>
          <w:color w:val="auto"/>
          <w:sz w:val="32"/>
          <w:szCs w:val="32"/>
          <w:highlight w:val="none"/>
          <w:u w:val="single"/>
        </w:rPr>
        <w:t>电源，机组容量满足全部消防用电负荷、以及全部或部分需发电机确保的一、二级负荷的需求</w:t>
      </w:r>
      <w:r>
        <w:rPr>
          <w:rFonts w:hint="eastAsia" w:ascii="仿宋_GB2312" w:hAnsi="仿宋_GB2312" w:eastAsia="仿宋_GB2312" w:cs="仿宋_GB2312"/>
          <w:color w:val="auto"/>
          <w:sz w:val="32"/>
          <w:szCs w:val="32"/>
          <w:highlight w:val="none"/>
          <w:u w:val="single"/>
          <w:lang w:eastAsia="zh-CN"/>
        </w:rPr>
        <w:t>。</w:t>
      </w:r>
      <w:bookmarkStart w:id="60" w:name="_Toc536454482"/>
      <w:r>
        <w:rPr>
          <w:rFonts w:hint="eastAsia" w:ascii="仿宋_GB2312" w:hAnsi="仿宋_GB2312" w:eastAsia="仿宋_GB2312" w:cs="仿宋_GB2312"/>
          <w:color w:val="auto"/>
          <w:sz w:val="32"/>
          <w:szCs w:val="32"/>
          <w:highlight w:val="none"/>
          <w:u w:val="single"/>
          <w:lang w:eastAsia="zh-CN"/>
        </w:rPr>
        <w:t>（以施工图实际计算结果为准）</w:t>
      </w:r>
    </w:p>
    <w:p w14:paraId="555669B5">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系统设计要求</w:t>
      </w:r>
      <w:bookmarkEnd w:id="60"/>
    </w:p>
    <w:p w14:paraId="395CC144">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1. </w:t>
      </w:r>
      <w:r>
        <w:rPr>
          <w:rFonts w:hint="eastAsia" w:ascii="仿宋_GB2312" w:hAnsi="仿宋_GB2312" w:eastAsia="仿宋_GB2312" w:cs="仿宋_GB2312"/>
          <w:b w:val="0"/>
          <w:bCs/>
          <w:color w:val="auto"/>
          <w:sz w:val="32"/>
          <w:szCs w:val="32"/>
          <w:highlight w:val="none"/>
        </w:rPr>
        <w:t>设计指标</w:t>
      </w:r>
    </w:p>
    <w:p w14:paraId="31D87B67">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vertAlign w:val="superscript"/>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住宅用电负荷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u w:val="single"/>
        </w:rPr>
        <w:t>以建筑面积为准，S≤60㎡按6kW/户；60＜S≤90㎡按8kW/户；90＜S≤140㎡按10kW/户；当单套住宅建筑面积大于140㎡时，超出的建筑面积可按30～40W/㎡计算用电负荷。</w:t>
      </w:r>
    </w:p>
    <w:p w14:paraId="75313928">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地下车库</w:t>
      </w:r>
      <w:r>
        <w:rPr>
          <w:rFonts w:hint="eastAsia" w:ascii="仿宋_GB2312" w:hAnsi="仿宋_GB2312" w:eastAsia="仿宋_GB2312" w:cs="仿宋_GB2312"/>
          <w:color w:val="auto"/>
          <w:sz w:val="32"/>
          <w:szCs w:val="32"/>
          <w:highlight w:val="none"/>
          <w:lang w:val="en-US" w:eastAsia="zh-CN"/>
        </w:rPr>
        <w:t>用电</w:t>
      </w:r>
      <w:r>
        <w:rPr>
          <w:rFonts w:hint="eastAsia" w:ascii="仿宋_GB2312" w:hAnsi="仿宋_GB2312" w:eastAsia="仿宋_GB2312" w:cs="仿宋_GB2312"/>
          <w:color w:val="auto"/>
          <w:sz w:val="32"/>
          <w:szCs w:val="32"/>
          <w:highlight w:val="none"/>
        </w:rPr>
        <w:t>负荷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15</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W/m</w:t>
      </w:r>
      <w:r>
        <w:rPr>
          <w:rFonts w:hint="eastAsia" w:ascii="仿宋_GB2312" w:hAnsi="仿宋_GB2312" w:eastAsia="仿宋_GB2312" w:cs="仿宋_GB2312"/>
          <w:color w:val="auto"/>
          <w:sz w:val="32"/>
          <w:szCs w:val="32"/>
          <w:highlight w:val="none"/>
          <w:vertAlign w:val="superscript"/>
        </w:rPr>
        <w:t xml:space="preserve">2 </w:t>
      </w:r>
    </w:p>
    <w:p w14:paraId="060104C1">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公建配套</w:t>
      </w:r>
      <w:r>
        <w:rPr>
          <w:rFonts w:hint="eastAsia" w:ascii="仿宋_GB2312" w:hAnsi="仿宋_GB2312" w:eastAsia="仿宋_GB2312" w:cs="仿宋_GB2312"/>
          <w:color w:val="auto"/>
          <w:sz w:val="32"/>
          <w:szCs w:val="32"/>
          <w:highlight w:val="none"/>
        </w:rPr>
        <w:t>用电负荷：</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100</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W/m</w:t>
      </w:r>
      <w:r>
        <w:rPr>
          <w:rFonts w:hint="eastAsia" w:ascii="仿宋_GB2312" w:hAnsi="仿宋_GB2312" w:eastAsia="仿宋_GB2312" w:cs="仿宋_GB2312"/>
          <w:color w:val="auto"/>
          <w:sz w:val="32"/>
          <w:szCs w:val="32"/>
          <w:highlight w:val="none"/>
          <w:vertAlign w:val="superscript"/>
        </w:rPr>
        <w:t>2</w:t>
      </w:r>
      <w:r>
        <w:rPr>
          <w:rFonts w:hint="eastAsia" w:ascii="仿宋_GB2312" w:hAnsi="仿宋_GB2312" w:eastAsia="仿宋_GB2312" w:cs="仿宋_GB2312"/>
          <w:color w:val="auto"/>
          <w:sz w:val="32"/>
          <w:szCs w:val="32"/>
          <w:highlight w:val="none"/>
        </w:rPr>
        <w:t xml:space="preserve"> </w:t>
      </w:r>
    </w:p>
    <w:p w14:paraId="05F265CD">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餐饮商铺</w:t>
      </w:r>
      <w:r>
        <w:rPr>
          <w:rFonts w:hint="eastAsia" w:ascii="仿宋_GB2312" w:hAnsi="仿宋_GB2312" w:eastAsia="仿宋_GB2312" w:cs="仿宋_GB2312"/>
          <w:color w:val="auto"/>
          <w:sz w:val="32"/>
          <w:szCs w:val="32"/>
          <w:highlight w:val="none"/>
        </w:rPr>
        <w:t>用电负荷：</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300</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W/m</w:t>
      </w:r>
      <w:r>
        <w:rPr>
          <w:rFonts w:hint="eastAsia" w:ascii="仿宋_GB2312" w:hAnsi="仿宋_GB2312" w:eastAsia="仿宋_GB2312" w:cs="仿宋_GB2312"/>
          <w:color w:val="auto"/>
          <w:sz w:val="32"/>
          <w:szCs w:val="32"/>
          <w:highlight w:val="none"/>
          <w:vertAlign w:val="superscript"/>
        </w:rPr>
        <w:t>2</w:t>
      </w:r>
      <w:r>
        <w:rPr>
          <w:rFonts w:hint="eastAsia" w:ascii="仿宋_GB2312" w:hAnsi="仿宋_GB2312" w:eastAsia="仿宋_GB2312" w:cs="仿宋_GB2312"/>
          <w:color w:val="auto"/>
          <w:sz w:val="32"/>
          <w:szCs w:val="32"/>
          <w:highlight w:val="none"/>
          <w:vertAlign w:val="baseline"/>
          <w:lang w:eastAsia="zh-CN"/>
        </w:rPr>
        <w:t>（</w:t>
      </w:r>
      <w:r>
        <w:rPr>
          <w:rFonts w:hint="eastAsia" w:ascii="仿宋_GB2312" w:hAnsi="仿宋_GB2312" w:eastAsia="仿宋_GB2312" w:cs="仿宋_GB2312"/>
          <w:color w:val="auto"/>
          <w:sz w:val="32"/>
          <w:szCs w:val="32"/>
          <w:highlight w:val="none"/>
          <w:vertAlign w:val="baseline"/>
          <w:lang w:val="en-US" w:eastAsia="zh-CN"/>
        </w:rPr>
        <w:t>有燃气</w:t>
      </w:r>
      <w:r>
        <w:rPr>
          <w:rFonts w:hint="eastAsia" w:ascii="仿宋_GB2312" w:hAnsi="仿宋_GB2312" w:eastAsia="仿宋_GB2312" w:cs="仿宋_GB2312"/>
          <w:color w:val="auto"/>
          <w:sz w:val="32"/>
          <w:szCs w:val="32"/>
          <w:highlight w:val="none"/>
          <w:vertAlign w:val="baseline"/>
          <w:lang w:eastAsia="zh-CN"/>
        </w:rPr>
        <w:t>）；</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500</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W/m</w:t>
      </w:r>
      <w:r>
        <w:rPr>
          <w:rFonts w:hint="eastAsia" w:ascii="仿宋_GB2312" w:hAnsi="仿宋_GB2312" w:eastAsia="仿宋_GB2312" w:cs="仿宋_GB2312"/>
          <w:color w:val="auto"/>
          <w:sz w:val="32"/>
          <w:szCs w:val="32"/>
          <w:highlight w:val="none"/>
          <w:vertAlign w:val="superscript"/>
        </w:rPr>
        <w:t>2</w:t>
      </w:r>
      <w:r>
        <w:rPr>
          <w:rFonts w:hint="eastAsia" w:ascii="仿宋_GB2312" w:hAnsi="仿宋_GB2312" w:eastAsia="仿宋_GB2312" w:cs="仿宋_GB2312"/>
          <w:color w:val="auto"/>
          <w:sz w:val="32"/>
          <w:szCs w:val="32"/>
          <w:highlight w:val="none"/>
          <w:vertAlign w:val="baseline"/>
          <w:lang w:eastAsia="zh-CN"/>
        </w:rPr>
        <w:t>（</w:t>
      </w:r>
      <w:r>
        <w:rPr>
          <w:rFonts w:hint="eastAsia" w:ascii="仿宋_GB2312" w:hAnsi="仿宋_GB2312" w:eastAsia="仿宋_GB2312" w:cs="仿宋_GB2312"/>
          <w:color w:val="auto"/>
          <w:sz w:val="32"/>
          <w:szCs w:val="32"/>
          <w:highlight w:val="none"/>
          <w:vertAlign w:val="baseline"/>
          <w:lang w:val="en-US" w:eastAsia="zh-CN"/>
        </w:rPr>
        <w:t>无燃气</w:t>
      </w:r>
      <w:r>
        <w:rPr>
          <w:rFonts w:hint="eastAsia" w:ascii="仿宋_GB2312" w:hAnsi="仿宋_GB2312" w:eastAsia="仿宋_GB2312" w:cs="仿宋_GB2312"/>
          <w:color w:val="auto"/>
          <w:sz w:val="32"/>
          <w:szCs w:val="32"/>
          <w:highlight w:val="none"/>
          <w:vertAlign w:val="baseline"/>
          <w:lang w:eastAsia="zh-CN"/>
        </w:rPr>
        <w:t>）</w:t>
      </w:r>
    </w:p>
    <w:p w14:paraId="001E913E">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2. </w:t>
      </w:r>
      <w:r>
        <w:rPr>
          <w:rFonts w:hint="eastAsia" w:ascii="仿宋_GB2312" w:hAnsi="仿宋_GB2312" w:eastAsia="仿宋_GB2312" w:cs="仿宋_GB2312"/>
          <w:b w:val="0"/>
          <w:bCs/>
          <w:color w:val="auto"/>
          <w:sz w:val="32"/>
          <w:szCs w:val="32"/>
          <w:highlight w:val="none"/>
        </w:rPr>
        <w:t>灯具、光源</w:t>
      </w:r>
    </w:p>
    <w:p w14:paraId="7FEEBE6E">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精装区域：</w:t>
      </w:r>
      <w:r>
        <w:rPr>
          <w:rFonts w:hint="eastAsia" w:ascii="仿宋_GB2312" w:hAnsi="仿宋_GB2312" w:eastAsia="仿宋_GB2312" w:cs="仿宋_GB2312"/>
          <w:color w:val="auto"/>
          <w:sz w:val="32"/>
          <w:szCs w:val="32"/>
          <w:highlight w:val="none"/>
          <w:u w:val="single"/>
        </w:rPr>
        <w:t>以精装图为准</w:t>
      </w:r>
    </w:p>
    <w:p w14:paraId="74957DD7">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楼梯间：</w:t>
      </w:r>
      <w:r>
        <w:rPr>
          <w:rFonts w:hint="eastAsia" w:ascii="仿宋_GB2312" w:hAnsi="仿宋_GB2312" w:eastAsia="仿宋_GB2312" w:cs="仿宋_GB2312"/>
          <w:color w:val="auto"/>
          <w:sz w:val="32"/>
          <w:szCs w:val="32"/>
          <w:highlight w:val="none"/>
          <w:u w:val="single"/>
        </w:rPr>
        <w:t xml:space="preserve">  节能吸顶灯  </w:t>
      </w:r>
    </w:p>
    <w:p w14:paraId="2F71926B">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地下车库：</w:t>
      </w:r>
      <w:r>
        <w:rPr>
          <w:rFonts w:hint="eastAsia" w:ascii="仿宋_GB2312" w:hAnsi="仿宋_GB2312" w:eastAsia="仿宋_GB2312" w:cs="仿宋_GB2312"/>
          <w:color w:val="auto"/>
          <w:sz w:val="32"/>
          <w:szCs w:val="32"/>
          <w:highlight w:val="none"/>
          <w:u w:val="single"/>
        </w:rPr>
        <w:t xml:space="preserve">  三分之一智能双亮度LED灯、三分之二荧光灯（或LED灯）</w:t>
      </w:r>
    </w:p>
    <w:p w14:paraId="3767BC0E">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设备机房：</w:t>
      </w:r>
      <w:r>
        <w:rPr>
          <w:rFonts w:hint="eastAsia" w:ascii="仿宋_GB2312" w:hAnsi="仿宋_GB2312" w:eastAsia="仿宋_GB2312" w:cs="仿宋_GB2312"/>
          <w:color w:val="auto"/>
          <w:sz w:val="32"/>
          <w:szCs w:val="32"/>
          <w:highlight w:val="none"/>
          <w:u w:val="single"/>
        </w:rPr>
        <w:t xml:space="preserve">  荧光灯（或LED灯）、发电机油箱间为防爆灯  </w:t>
      </w:r>
    </w:p>
    <w:p w14:paraId="3212052E">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u w:val="none"/>
          <w:lang w:val="en-US" w:eastAsia="zh-CN"/>
        </w:rPr>
        <w:t xml:space="preserve">3. </w:t>
      </w:r>
      <w:r>
        <w:rPr>
          <w:rFonts w:hint="eastAsia" w:ascii="仿宋_GB2312" w:hAnsi="仿宋_GB2312" w:eastAsia="仿宋_GB2312" w:cs="仿宋_GB2312"/>
          <w:b w:val="0"/>
          <w:bCs/>
          <w:color w:val="auto"/>
          <w:sz w:val="32"/>
          <w:szCs w:val="32"/>
          <w:highlight w:val="none"/>
        </w:rPr>
        <w:t>示范区照明照度</w:t>
      </w:r>
    </w:p>
    <w:p w14:paraId="08B2BDF6">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办公室：</w:t>
      </w:r>
      <w:r>
        <w:rPr>
          <w:rFonts w:hint="eastAsia" w:ascii="仿宋_GB2312" w:hAnsi="仿宋_GB2312" w:eastAsia="仿宋_GB2312" w:cs="仿宋_GB2312"/>
          <w:color w:val="auto"/>
          <w:sz w:val="32"/>
          <w:szCs w:val="32"/>
          <w:highlight w:val="none"/>
          <w:u w:val="single"/>
        </w:rPr>
        <w:t xml:space="preserve"> 300 </w:t>
      </w:r>
      <w:r>
        <w:rPr>
          <w:rFonts w:hint="eastAsia" w:ascii="仿宋_GB2312" w:hAnsi="仿宋_GB2312" w:eastAsia="仿宋_GB2312" w:cs="仿宋_GB2312"/>
          <w:color w:val="auto"/>
          <w:sz w:val="32"/>
          <w:szCs w:val="32"/>
          <w:highlight w:val="none"/>
        </w:rPr>
        <w:t>lx</w:t>
      </w:r>
    </w:p>
    <w:p w14:paraId="2DC2A908">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走廊、梯间：</w:t>
      </w:r>
      <w:r>
        <w:rPr>
          <w:rFonts w:hint="eastAsia" w:ascii="仿宋_GB2312" w:hAnsi="仿宋_GB2312" w:eastAsia="仿宋_GB2312" w:cs="仿宋_GB2312"/>
          <w:color w:val="auto"/>
          <w:sz w:val="32"/>
          <w:szCs w:val="32"/>
          <w:highlight w:val="none"/>
          <w:u w:val="single"/>
        </w:rPr>
        <w:t xml:space="preserve"> 100 </w:t>
      </w:r>
      <w:r>
        <w:rPr>
          <w:rFonts w:hint="eastAsia" w:ascii="仿宋_GB2312" w:hAnsi="仿宋_GB2312" w:eastAsia="仿宋_GB2312" w:cs="仿宋_GB2312"/>
          <w:color w:val="auto"/>
          <w:sz w:val="32"/>
          <w:szCs w:val="32"/>
          <w:highlight w:val="none"/>
        </w:rPr>
        <w:t>lx</w:t>
      </w:r>
    </w:p>
    <w:p w14:paraId="0A480FD8">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4. </w:t>
      </w:r>
      <w:r>
        <w:rPr>
          <w:rFonts w:hint="eastAsia" w:ascii="仿宋_GB2312" w:hAnsi="仿宋_GB2312" w:eastAsia="仿宋_GB2312" w:cs="仿宋_GB2312"/>
          <w:b w:val="0"/>
          <w:bCs/>
          <w:color w:val="auto"/>
          <w:sz w:val="32"/>
          <w:szCs w:val="32"/>
          <w:highlight w:val="none"/>
        </w:rPr>
        <w:t>照明配电控制方式</w:t>
      </w:r>
    </w:p>
    <w:p w14:paraId="4D65A6EB">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首层大堂及电梯厅：</w:t>
      </w:r>
      <w:r>
        <w:rPr>
          <w:rFonts w:hint="eastAsia" w:ascii="仿宋_GB2312" w:hAnsi="仿宋_GB2312" w:eastAsia="仿宋_GB2312" w:cs="仿宋_GB2312"/>
          <w:color w:val="auto"/>
          <w:sz w:val="32"/>
          <w:szCs w:val="32"/>
          <w:highlight w:val="none"/>
          <w:u w:val="single"/>
        </w:rPr>
        <w:t xml:space="preserve"> 开关箱留一个非时控回路、一至两个时控回路，具体以精装图为准  </w:t>
      </w:r>
    </w:p>
    <w:p w14:paraId="04FA19C4">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标准层电梯厅：</w:t>
      </w:r>
      <w:r>
        <w:rPr>
          <w:rFonts w:hint="eastAsia" w:ascii="仿宋_GB2312" w:hAnsi="仿宋_GB2312" w:eastAsia="仿宋_GB2312" w:cs="仿宋_GB2312"/>
          <w:color w:val="auto"/>
          <w:sz w:val="32"/>
          <w:szCs w:val="32"/>
          <w:highlight w:val="none"/>
          <w:u w:val="single"/>
        </w:rPr>
        <w:t xml:space="preserve"> 一个时控回路、一个红外控制回路  </w:t>
      </w:r>
    </w:p>
    <w:p w14:paraId="69A437BB">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楼梯间：</w:t>
      </w:r>
      <w:r>
        <w:rPr>
          <w:rFonts w:hint="eastAsia" w:ascii="仿宋_GB2312" w:hAnsi="仿宋_GB2312" w:eastAsia="仿宋_GB2312" w:cs="仿宋_GB2312"/>
          <w:color w:val="auto"/>
          <w:sz w:val="32"/>
          <w:szCs w:val="32"/>
          <w:highlight w:val="none"/>
          <w:u w:val="single"/>
        </w:rPr>
        <w:t xml:space="preserve"> 红外控制</w:t>
      </w:r>
    </w:p>
    <w:p w14:paraId="3CE886FA">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地下停车场：</w:t>
      </w:r>
      <w:r>
        <w:rPr>
          <w:rFonts w:hint="eastAsia" w:ascii="仿宋_GB2312" w:hAnsi="仿宋_GB2312" w:eastAsia="仿宋_GB2312" w:cs="仿宋_GB2312"/>
          <w:color w:val="auto"/>
          <w:sz w:val="32"/>
          <w:szCs w:val="32"/>
          <w:highlight w:val="none"/>
          <w:u w:val="single"/>
        </w:rPr>
        <w:t xml:space="preserve"> 智能双亮度LED灯由配电箱微断开关控制（常明）、其余时间控制  </w:t>
      </w:r>
    </w:p>
    <w:p w14:paraId="3F5A4C7F">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其它公共照明：</w:t>
      </w:r>
      <w:r>
        <w:rPr>
          <w:rFonts w:hint="eastAsia" w:ascii="仿宋_GB2312" w:hAnsi="仿宋_GB2312" w:eastAsia="仿宋_GB2312" w:cs="仿宋_GB2312"/>
          <w:color w:val="auto"/>
          <w:sz w:val="32"/>
          <w:szCs w:val="32"/>
          <w:highlight w:val="none"/>
          <w:u w:val="single"/>
        </w:rPr>
        <w:t xml:space="preserve"> 时间控制  </w:t>
      </w:r>
    </w:p>
    <w:p w14:paraId="70F1C801">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val="en-US" w:eastAsia="zh-CN"/>
        </w:rPr>
        <w:t xml:space="preserve">5. </w:t>
      </w:r>
      <w:r>
        <w:rPr>
          <w:rFonts w:hint="eastAsia" w:ascii="仿宋_GB2312" w:hAnsi="仿宋_GB2312" w:eastAsia="仿宋_GB2312" w:cs="仿宋_GB2312"/>
          <w:b w:val="0"/>
          <w:bCs/>
          <w:color w:val="auto"/>
          <w:sz w:val="32"/>
          <w:szCs w:val="32"/>
          <w:highlight w:val="none"/>
        </w:rPr>
        <w:t>供电局收费计量表设置</w:t>
      </w:r>
    </w:p>
    <w:p w14:paraId="7DFB6D9B">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住宅用电计量表设置：</w:t>
      </w:r>
      <w:r>
        <w:rPr>
          <w:rFonts w:hint="eastAsia" w:ascii="仿宋_GB2312" w:hAnsi="仿宋_GB2312" w:eastAsia="仿宋_GB2312" w:cs="仿宋_GB2312"/>
          <w:color w:val="auto"/>
          <w:sz w:val="32"/>
          <w:szCs w:val="32"/>
          <w:highlight w:val="none"/>
          <w:u w:val="single"/>
        </w:rPr>
        <w:t>低压计量，一户一表，分户计量，计量表具由供电部门确定</w:t>
      </w:r>
      <w:r>
        <w:rPr>
          <w:rFonts w:hint="eastAsia" w:ascii="仿宋_GB2312" w:hAnsi="仿宋_GB2312" w:eastAsia="仿宋_GB2312" w:cs="仿宋_GB2312"/>
          <w:color w:val="auto"/>
          <w:sz w:val="32"/>
          <w:szCs w:val="32"/>
          <w:highlight w:val="none"/>
          <w:u w:val="single"/>
          <w:lang w:eastAsia="zh-CN"/>
        </w:rPr>
        <w:t>。</w:t>
      </w:r>
    </w:p>
    <w:p w14:paraId="40C0BABC">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商铺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物业、公建配套</w:t>
      </w:r>
      <w:r>
        <w:rPr>
          <w:rFonts w:hint="eastAsia" w:ascii="仿宋_GB2312" w:hAnsi="仿宋_GB2312" w:eastAsia="仿宋_GB2312" w:cs="仿宋_GB2312"/>
          <w:color w:val="auto"/>
          <w:sz w:val="32"/>
          <w:szCs w:val="32"/>
          <w:highlight w:val="none"/>
        </w:rPr>
        <w:t>用电计量表设置：</w:t>
      </w:r>
      <w:r>
        <w:rPr>
          <w:rFonts w:hint="eastAsia" w:ascii="仿宋_GB2312" w:hAnsi="仿宋_GB2312" w:eastAsia="仿宋_GB2312" w:cs="仿宋_GB2312"/>
          <w:color w:val="auto"/>
          <w:sz w:val="32"/>
          <w:szCs w:val="32"/>
          <w:highlight w:val="none"/>
          <w:lang w:val="en-US" w:eastAsia="zh-CN"/>
        </w:rPr>
        <w:t>低压计量，一户一表。</w:t>
      </w:r>
    </w:p>
    <w:p w14:paraId="3C98F102">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充电桩用电计量表设置：</w:t>
      </w:r>
      <w:r>
        <w:rPr>
          <w:rFonts w:hint="eastAsia" w:ascii="仿宋_GB2312" w:hAnsi="仿宋_GB2312" w:eastAsia="仿宋_GB2312" w:cs="仿宋_GB2312"/>
          <w:color w:val="auto"/>
          <w:sz w:val="32"/>
          <w:szCs w:val="32"/>
          <w:highlight w:val="none"/>
          <w:u w:val="single"/>
        </w:rPr>
        <w:t xml:space="preserve">  一户一表（后期安装） </w:t>
      </w:r>
      <w:r>
        <w:rPr>
          <w:rFonts w:hint="eastAsia" w:ascii="仿宋_GB2312" w:hAnsi="仿宋_GB2312" w:eastAsia="仿宋_GB2312" w:cs="仿宋_GB2312"/>
          <w:color w:val="auto"/>
          <w:sz w:val="32"/>
          <w:szCs w:val="32"/>
          <w:highlight w:val="none"/>
        </w:rPr>
        <w:t>。</w:t>
      </w:r>
    </w:p>
    <w:p w14:paraId="69A81ABC">
      <w:pPr>
        <w:pageBreakBefore w:val="0"/>
        <w:kinsoku/>
        <w:wordWrap/>
        <w:overflowPunct/>
        <w:topLinePunct w:val="0"/>
        <w:bidi w:val="0"/>
        <w:snapToGrid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其它用电计量表设置：</w:t>
      </w:r>
      <w:r>
        <w:rPr>
          <w:rFonts w:hint="eastAsia" w:ascii="仿宋_GB2312" w:hAnsi="仿宋_GB2312" w:eastAsia="仿宋_GB2312" w:cs="仿宋_GB2312"/>
          <w:color w:val="auto"/>
          <w:sz w:val="32"/>
          <w:szCs w:val="32"/>
          <w:highlight w:val="none"/>
          <w:u w:val="single"/>
        </w:rPr>
        <w:t xml:space="preserve">  除以上回路外，低压配电柜每回路安装智能电测仪表 </w:t>
      </w:r>
      <w:r>
        <w:rPr>
          <w:rFonts w:hint="eastAsia" w:ascii="仿宋_GB2312" w:hAnsi="仿宋_GB2312" w:eastAsia="仿宋_GB2312" w:cs="仿宋_GB2312"/>
          <w:color w:val="auto"/>
          <w:sz w:val="32"/>
          <w:szCs w:val="32"/>
          <w:highlight w:val="none"/>
        </w:rPr>
        <w:t>。</w:t>
      </w:r>
    </w:p>
    <w:p w14:paraId="7EF79E9A">
      <w:pPr>
        <w:pageBreakBefore w:val="0"/>
        <w:numPr>
          <w:ilvl w:val="0"/>
          <w:numId w:val="0"/>
        </w:numPr>
        <w:kinsoku/>
        <w:wordWrap/>
        <w:overflowPunct/>
        <w:topLinePunct w:val="0"/>
        <w:bidi w:val="0"/>
        <w:snapToGrid w:val="0"/>
        <w:spacing w:line="360" w:lineRule="auto"/>
        <w:rPr>
          <w:rFonts w:hint="eastAsia" w:ascii="仿宋_GB2312" w:hAnsi="仿宋_GB2312" w:eastAsia="仿宋_GB2312" w:cs="仿宋_GB2312"/>
          <w:color w:val="auto"/>
          <w:sz w:val="32"/>
          <w:szCs w:val="32"/>
          <w:highlight w:val="none"/>
        </w:rPr>
      </w:pPr>
    </w:p>
    <w:p w14:paraId="6ACCC204">
      <w:pPr>
        <w:pStyle w:val="9"/>
        <w:pageBreakBefore w:val="0"/>
        <w:numPr>
          <w:ilvl w:val="0"/>
          <w:numId w:val="0"/>
        </w:numPr>
        <w:kinsoku/>
        <w:wordWrap/>
        <w:overflowPunct/>
        <w:topLinePunct w:val="0"/>
        <w:bidi w:val="0"/>
        <w:adjustRightInd w:val="0"/>
        <w:snapToGrid w:val="0"/>
        <w:spacing w:after="0" w:line="360" w:lineRule="auto"/>
        <w:ind w:leftChars="0"/>
        <w:jc w:val="center"/>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第五章 给排水设计专篇</w:t>
      </w:r>
    </w:p>
    <w:p w14:paraId="553E1902">
      <w:pPr>
        <w:pStyle w:val="9"/>
        <w:pageBreakBefore w:val="0"/>
        <w:tabs>
          <w:tab w:val="left" w:pos="697"/>
        </w:tabs>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楷体" w:hAnsi="楷体" w:eastAsia="楷体" w:cs="楷体"/>
          <w:b w:val="0"/>
          <w:bCs/>
          <w:color w:val="auto"/>
          <w:sz w:val="32"/>
          <w:szCs w:val="32"/>
          <w:highlight w:val="none"/>
          <w:lang w:val="en-US" w:eastAsia="zh-CN"/>
        </w:rPr>
        <w:t>第一条</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rPr>
        <w:t>给排水专业</w:t>
      </w:r>
      <w:r>
        <w:rPr>
          <w:rFonts w:hint="eastAsia" w:ascii="仿宋_GB2312" w:hAnsi="仿宋_GB2312" w:eastAsia="仿宋_GB2312" w:cs="仿宋_GB2312"/>
          <w:b w:val="0"/>
          <w:bCs/>
          <w:color w:val="auto"/>
          <w:sz w:val="32"/>
          <w:szCs w:val="32"/>
          <w:highlight w:val="none"/>
          <w:lang w:eastAsia="zh-CN"/>
        </w:rPr>
        <w:t>设计要求及内容</w:t>
      </w:r>
    </w:p>
    <w:p w14:paraId="3F95DAC7">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lang w:eastAsia="zh-CN"/>
        </w:rPr>
        <w:t>设计内容</w:t>
      </w:r>
    </w:p>
    <w:p w14:paraId="7084A132">
      <w:pPr>
        <w:pStyle w:val="31"/>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完成给排水专业施工图设计，包括：给水系统（冷、热水）、排水系统（污、废、雨水）、消防系统（含消火栓、自动喷水灭火、大空间智能灭火、气体灭火、灭火器等系统）。</w:t>
      </w:r>
    </w:p>
    <w:p w14:paraId="17DAED73">
      <w:pPr>
        <w:pStyle w:val="31"/>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负责审核</w:t>
      </w:r>
      <w:r>
        <w:rPr>
          <w:rStyle w:val="30"/>
          <w:rFonts w:hint="eastAsia" w:ascii="仿宋_GB2312" w:hAnsi="仿宋_GB2312" w:eastAsia="仿宋_GB2312" w:cs="仿宋_GB2312"/>
          <w:color w:val="auto"/>
          <w:sz w:val="32"/>
          <w:szCs w:val="32"/>
          <w:highlight w:val="none"/>
          <w:lang w:val="zh-TW"/>
        </w:rPr>
        <w:t>室内装饰、暖通空调用水排水</w:t>
      </w:r>
      <w:r>
        <w:rPr>
          <w:rFonts w:hint="eastAsia" w:ascii="仿宋_GB2312" w:hAnsi="仿宋_GB2312" w:eastAsia="仿宋_GB2312" w:cs="仿宋_GB2312"/>
          <w:color w:val="auto"/>
          <w:sz w:val="32"/>
          <w:szCs w:val="32"/>
          <w:highlight w:val="none"/>
        </w:rPr>
        <w:t>等提资并根据提资修改给排水专业图纸设计。</w:t>
      </w:r>
    </w:p>
    <w:p w14:paraId="3DCF932D">
      <w:pPr>
        <w:pStyle w:val="31"/>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负责审核厨房设计等</w:t>
      </w:r>
      <w:r>
        <w:rPr>
          <w:rFonts w:hint="eastAsia" w:ascii="仿宋_GB2312" w:hAnsi="仿宋_GB2312" w:eastAsia="仿宋_GB2312" w:cs="仿宋_GB2312"/>
          <w:color w:val="auto"/>
          <w:sz w:val="32"/>
          <w:szCs w:val="32"/>
          <w:highlight w:val="none"/>
          <w:lang w:val="en-US" w:eastAsia="zh-CN"/>
        </w:rPr>
        <w:t>涉及到用水量较大</w:t>
      </w:r>
      <w:r>
        <w:rPr>
          <w:rFonts w:hint="eastAsia" w:ascii="仿宋_GB2312" w:hAnsi="仿宋_GB2312" w:eastAsia="仿宋_GB2312" w:cs="仿宋_GB2312"/>
          <w:color w:val="auto"/>
          <w:sz w:val="32"/>
          <w:szCs w:val="32"/>
          <w:highlight w:val="none"/>
        </w:rPr>
        <w:t>专业提资并根据提资修改给排水专业图纸设计。</w:t>
      </w:r>
    </w:p>
    <w:p w14:paraId="071B4507">
      <w:pPr>
        <w:pStyle w:val="31"/>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4. </w:t>
      </w:r>
      <w:r>
        <w:rPr>
          <w:rStyle w:val="30"/>
          <w:rFonts w:hint="eastAsia" w:ascii="仿宋_GB2312" w:hAnsi="仿宋_GB2312" w:eastAsia="仿宋_GB2312" w:cs="仿宋_GB2312"/>
          <w:color w:val="auto"/>
          <w:sz w:val="32"/>
          <w:szCs w:val="32"/>
          <w:highlight w:val="none"/>
          <w:lang w:val="zh-TW"/>
        </w:rPr>
        <w:t>根据甲方提出的审核意见、外审意见及图纸会审意见，在要求时间内完善设计成果。</w:t>
      </w:r>
    </w:p>
    <w:p w14:paraId="70EC1426">
      <w:pPr>
        <w:pStyle w:val="31"/>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rPr>
        <w:t>完成因相关专业调整、设计优化以及因施工需要而产生的设计变更。</w:t>
      </w:r>
    </w:p>
    <w:p w14:paraId="3FE4272D">
      <w:pPr>
        <w:pStyle w:val="31"/>
        <w:pageBreakBefore w:val="0"/>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b/>
          <w:bCs/>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6. </w:t>
      </w:r>
      <w:r>
        <w:rPr>
          <w:rStyle w:val="30"/>
          <w:rFonts w:hint="eastAsia" w:ascii="仿宋_GB2312" w:hAnsi="仿宋_GB2312" w:eastAsia="仿宋_GB2312" w:cs="仿宋_GB2312"/>
          <w:color w:val="auto"/>
          <w:sz w:val="32"/>
          <w:szCs w:val="32"/>
          <w:highlight w:val="none"/>
        </w:rPr>
        <w:t>完成因装修二次机电</w:t>
      </w:r>
      <w:r>
        <w:rPr>
          <w:rStyle w:val="30"/>
          <w:rFonts w:hint="eastAsia" w:ascii="仿宋_GB2312" w:hAnsi="仿宋_GB2312" w:eastAsia="仿宋_GB2312" w:cs="仿宋_GB2312"/>
          <w:color w:val="auto"/>
          <w:sz w:val="32"/>
          <w:szCs w:val="32"/>
          <w:highlight w:val="none"/>
          <w:lang w:eastAsia="zh-CN"/>
        </w:rPr>
        <w:t>、施工深化及专项</w:t>
      </w:r>
      <w:r>
        <w:rPr>
          <w:rStyle w:val="30"/>
          <w:rFonts w:hint="eastAsia" w:ascii="仿宋_GB2312" w:hAnsi="仿宋_GB2312" w:eastAsia="仿宋_GB2312" w:cs="仿宋_GB2312"/>
          <w:color w:val="auto"/>
          <w:sz w:val="32"/>
          <w:szCs w:val="32"/>
          <w:highlight w:val="none"/>
        </w:rPr>
        <w:t>设计而引起的土建一次给排水专业图纸的修改</w:t>
      </w:r>
      <w:r>
        <w:rPr>
          <w:rStyle w:val="30"/>
          <w:rFonts w:hint="eastAsia" w:ascii="仿宋_GB2312" w:hAnsi="仿宋_GB2312" w:eastAsia="仿宋_GB2312" w:cs="仿宋_GB2312"/>
          <w:color w:val="auto"/>
          <w:sz w:val="32"/>
          <w:szCs w:val="32"/>
          <w:highlight w:val="none"/>
          <w:lang w:eastAsia="zh-CN"/>
        </w:rPr>
        <w:t>。</w:t>
      </w:r>
    </w:p>
    <w:p w14:paraId="16C562E8">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b w:val="0"/>
          <w:bCs/>
          <w:color w:val="auto"/>
          <w:kern w:val="0"/>
          <w:sz w:val="32"/>
          <w:szCs w:val="32"/>
          <w:highlight w:val="none"/>
          <w:lang w:val="zh-TW"/>
        </w:rPr>
      </w:pP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二</w:t>
      </w: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 xml:space="preserve"> </w:t>
      </w:r>
      <w:r>
        <w:rPr>
          <w:rFonts w:hint="eastAsia" w:ascii="仿宋_GB2312" w:hAnsi="仿宋_GB2312" w:eastAsia="仿宋_GB2312" w:cs="仿宋_GB2312"/>
          <w:b w:val="0"/>
          <w:bCs/>
          <w:color w:val="auto"/>
          <w:kern w:val="0"/>
          <w:sz w:val="32"/>
          <w:szCs w:val="32"/>
          <w:highlight w:val="none"/>
          <w:lang w:val="zh-TW"/>
        </w:rPr>
        <w:t>设计要求</w:t>
      </w:r>
    </w:p>
    <w:p w14:paraId="1F37341D">
      <w:pPr>
        <w:pStyle w:val="9"/>
        <w:pageBreakBefore w:val="0"/>
        <w:numPr>
          <w:ilvl w:val="0"/>
          <w:numId w:val="0"/>
        </w:numPr>
        <w:kinsoku/>
        <w:wordWrap/>
        <w:overflowPunct/>
        <w:topLinePunct w:val="0"/>
        <w:bidi w:val="0"/>
        <w:adjustRightInd w:val="0"/>
        <w:snapToGrid w:val="0"/>
        <w:spacing w:after="0"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给排水及消防系统的设计应根据工程所在地自来水公司</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消防部门</w:t>
      </w:r>
      <w:r>
        <w:rPr>
          <w:rFonts w:hint="eastAsia" w:ascii="仿宋_GB2312" w:hAnsi="仿宋_GB2312" w:eastAsia="仿宋_GB2312" w:cs="仿宋_GB2312"/>
          <w:color w:val="auto"/>
          <w:sz w:val="32"/>
          <w:szCs w:val="32"/>
          <w:highlight w:val="none"/>
          <w:lang w:eastAsia="zh-CN"/>
        </w:rPr>
        <w:t>、环保部门、绿建等相关政府部门的设计要求。</w:t>
      </w:r>
    </w:p>
    <w:p w14:paraId="53E00115">
      <w:pPr>
        <w:pStyle w:val="9"/>
        <w:pageBreakBefore w:val="0"/>
        <w:numPr>
          <w:ilvl w:val="0"/>
          <w:numId w:val="0"/>
        </w:numPr>
        <w:kinsoku/>
        <w:wordWrap/>
        <w:overflowPunct/>
        <w:topLinePunct w:val="0"/>
        <w:bidi w:val="0"/>
        <w:adjustRightInd w:val="0"/>
        <w:snapToGrid w:val="0"/>
        <w:spacing w:after="0"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涉及重大质量成本的设计方案须经甲方审批通过后方可实施，审批确定后的方案应严格实施，如有修改且达到甲方成本控制要求应重新报审。</w:t>
      </w:r>
    </w:p>
    <w:p w14:paraId="127385EC">
      <w:pPr>
        <w:pStyle w:val="9"/>
        <w:pageBreakBefore w:val="0"/>
        <w:numPr>
          <w:ilvl w:val="0"/>
          <w:numId w:val="0"/>
        </w:numPr>
        <w:kinsoku/>
        <w:wordWrap/>
        <w:overflowPunct/>
        <w:topLinePunct w:val="0"/>
        <w:bidi w:val="0"/>
        <w:adjustRightInd w:val="0"/>
        <w:snapToGrid w:val="0"/>
        <w:spacing w:after="0"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rPr>
        <w:t>所有设备选型、阀门、管材等材质应符合甲方要求，当地相关部门有要求时以当地要求为准。</w:t>
      </w:r>
    </w:p>
    <w:p w14:paraId="251357BA">
      <w:pPr>
        <w:pStyle w:val="9"/>
        <w:pageBreakBefore w:val="0"/>
        <w:numPr>
          <w:ilvl w:val="0"/>
          <w:numId w:val="0"/>
        </w:numPr>
        <w:kinsoku/>
        <w:wordWrap/>
        <w:overflowPunct/>
        <w:topLinePunct w:val="0"/>
        <w:bidi w:val="0"/>
        <w:adjustRightInd w:val="0"/>
        <w:snapToGrid w:val="0"/>
        <w:spacing w:after="0"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配合甲方各阶段给排水专业报审工作，并根据审核意见完善各阶段图纸设计。</w:t>
      </w:r>
    </w:p>
    <w:p w14:paraId="5F76F91E">
      <w:pPr>
        <w:pStyle w:val="38"/>
        <w:pageBreakBefore w:val="0"/>
        <w:numPr>
          <w:ilvl w:val="0"/>
          <w:numId w:val="0"/>
        </w:numPr>
        <w:tabs>
          <w:tab w:val="left" w:pos="426"/>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lang w:val="zh-TW"/>
        </w:rPr>
        <w:t>应考虑水处理设备的运输通道，若有吊装孔、后砌墙体等需要时，应和建筑、结构专业协调并在图纸上体现。</w:t>
      </w:r>
    </w:p>
    <w:p w14:paraId="5775BCD3">
      <w:pPr>
        <w:pStyle w:val="9"/>
        <w:pageBreakBefore w:val="0"/>
        <w:numPr>
          <w:ilvl w:val="0"/>
          <w:numId w:val="0"/>
        </w:numPr>
        <w:kinsoku/>
        <w:wordWrap/>
        <w:overflowPunct/>
        <w:topLinePunct w:val="0"/>
        <w:bidi w:val="0"/>
        <w:adjustRightInd w:val="0"/>
        <w:snapToGrid w:val="0"/>
        <w:spacing w:after="0"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审核厨房设计等</w:t>
      </w:r>
      <w:r>
        <w:rPr>
          <w:rFonts w:hint="eastAsia" w:ascii="仿宋_GB2312" w:hAnsi="仿宋_GB2312" w:eastAsia="仿宋_GB2312" w:cs="仿宋_GB2312"/>
          <w:color w:val="auto"/>
          <w:sz w:val="32"/>
          <w:szCs w:val="32"/>
          <w:highlight w:val="none"/>
          <w:lang w:val="en-US" w:eastAsia="zh-CN"/>
        </w:rPr>
        <w:t>涉及到用水量较大</w:t>
      </w:r>
      <w:r>
        <w:rPr>
          <w:rFonts w:hint="eastAsia" w:ascii="仿宋_GB2312" w:hAnsi="仿宋_GB2312" w:eastAsia="仿宋_GB2312" w:cs="仿宋_GB2312"/>
          <w:color w:val="auto"/>
          <w:sz w:val="32"/>
          <w:szCs w:val="32"/>
          <w:highlight w:val="none"/>
        </w:rPr>
        <w:t>专业提资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根据提资要求复核所需水量、水压，预留给排水管线及套管。</w:t>
      </w:r>
    </w:p>
    <w:p w14:paraId="4537745B">
      <w:pPr>
        <w:pStyle w:val="9"/>
        <w:pageBreakBefore w:val="0"/>
        <w:numPr>
          <w:ilvl w:val="0"/>
          <w:numId w:val="0"/>
        </w:numPr>
        <w:kinsoku/>
        <w:wordWrap/>
        <w:overflowPunct/>
        <w:topLinePunct w:val="0"/>
        <w:bidi w:val="0"/>
        <w:adjustRightInd w:val="0"/>
        <w:snapToGrid w:val="0"/>
        <w:spacing w:after="0"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7. </w:t>
      </w:r>
      <w:r>
        <w:rPr>
          <w:rFonts w:hint="eastAsia" w:ascii="仿宋_GB2312" w:hAnsi="仿宋_GB2312" w:eastAsia="仿宋_GB2312" w:cs="仿宋_GB2312"/>
          <w:color w:val="auto"/>
          <w:sz w:val="32"/>
          <w:szCs w:val="32"/>
          <w:highlight w:val="none"/>
        </w:rPr>
        <w:t>根据</w:t>
      </w:r>
      <w:r>
        <w:rPr>
          <w:rStyle w:val="30"/>
          <w:rFonts w:hint="eastAsia" w:ascii="仿宋_GB2312" w:hAnsi="仿宋_GB2312" w:eastAsia="仿宋_GB2312" w:cs="仿宋_GB2312"/>
          <w:color w:val="auto"/>
          <w:sz w:val="32"/>
          <w:szCs w:val="32"/>
          <w:highlight w:val="none"/>
        </w:rPr>
        <w:t>室内装饰、暖通空调、电气等专业的提资</w:t>
      </w:r>
      <w:r>
        <w:rPr>
          <w:rFonts w:hint="eastAsia" w:ascii="仿宋_GB2312" w:hAnsi="仿宋_GB2312" w:eastAsia="仿宋_GB2312" w:cs="仿宋_GB2312"/>
          <w:color w:val="auto"/>
          <w:sz w:val="32"/>
          <w:szCs w:val="32"/>
          <w:highlight w:val="none"/>
        </w:rPr>
        <w:t>复核所需水量、水压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预留给排水点位。</w:t>
      </w:r>
    </w:p>
    <w:p w14:paraId="7BCAFEC2">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bookmarkStart w:id="61" w:name="_Hlk35104368"/>
      <w:r>
        <w:rPr>
          <w:rStyle w:val="30"/>
          <w:rFonts w:hint="eastAsia" w:ascii="仿宋_GB2312" w:hAnsi="仿宋_GB2312" w:eastAsia="仿宋_GB2312" w:cs="仿宋_GB2312"/>
          <w:color w:val="auto"/>
          <w:sz w:val="32"/>
          <w:szCs w:val="32"/>
          <w:highlight w:val="none"/>
          <w:lang w:val="en-US" w:eastAsia="zh-CN"/>
        </w:rPr>
        <w:t xml:space="preserve">8. </w:t>
      </w:r>
      <w:r>
        <w:rPr>
          <w:rStyle w:val="30"/>
          <w:rFonts w:hint="eastAsia" w:ascii="仿宋_GB2312" w:hAnsi="仿宋_GB2312" w:eastAsia="仿宋_GB2312" w:cs="仿宋_GB2312"/>
          <w:color w:val="auto"/>
          <w:sz w:val="32"/>
          <w:szCs w:val="32"/>
          <w:highlight w:val="none"/>
          <w:lang w:val="zh-TW" w:eastAsia="zh-TW"/>
        </w:rPr>
        <w:t>给排水</w:t>
      </w:r>
      <w:r>
        <w:rPr>
          <w:rStyle w:val="30"/>
          <w:rFonts w:hint="eastAsia" w:ascii="仿宋_GB2312" w:hAnsi="仿宋_GB2312" w:eastAsia="仿宋_GB2312" w:cs="仿宋_GB2312"/>
          <w:color w:val="auto"/>
          <w:sz w:val="32"/>
          <w:szCs w:val="32"/>
          <w:highlight w:val="none"/>
          <w:lang w:val="zh-TW"/>
        </w:rPr>
        <w:t>专业设计应与建筑、结构、电气、暖通、智能化专业之间进行充分相互协调，不应出现遗漏和偏差。</w:t>
      </w:r>
    </w:p>
    <w:bookmarkEnd w:id="61"/>
    <w:p w14:paraId="35E4D116">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9. </w:t>
      </w:r>
      <w:r>
        <w:rPr>
          <w:rFonts w:hint="eastAsia" w:ascii="仿宋_GB2312" w:hAnsi="仿宋_GB2312" w:eastAsia="仿宋_GB2312" w:cs="仿宋_GB2312"/>
          <w:color w:val="auto"/>
          <w:sz w:val="32"/>
          <w:szCs w:val="32"/>
          <w:highlight w:val="none"/>
        </w:rPr>
        <w:t>应符合《建筑工程设计文件编制深度的规定》、《给排水制图标准》的要求。</w:t>
      </w:r>
    </w:p>
    <w:p w14:paraId="4823AD66">
      <w:pPr>
        <w:pStyle w:val="38"/>
        <w:pageBreakBefore w:val="0"/>
        <w:numPr>
          <w:ilvl w:val="0"/>
          <w:numId w:val="0"/>
        </w:numPr>
        <w:tabs>
          <w:tab w:val="left" w:pos="567"/>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10.如室外条件允许，室外雨水、污水管道的坡度可适当放大。</w:t>
      </w:r>
    </w:p>
    <w:p w14:paraId="66C84A15">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成果要求</w:t>
      </w:r>
    </w:p>
    <w:p w14:paraId="34DCC29B">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1. </w:t>
      </w:r>
      <w:r>
        <w:rPr>
          <w:rStyle w:val="30"/>
          <w:rFonts w:hint="eastAsia" w:ascii="仿宋_GB2312" w:hAnsi="仿宋_GB2312" w:eastAsia="仿宋_GB2312" w:cs="仿宋_GB2312"/>
          <w:bCs/>
          <w:color w:val="auto"/>
          <w:sz w:val="32"/>
          <w:szCs w:val="32"/>
          <w:highlight w:val="none"/>
          <w:lang w:val="zh-TW"/>
        </w:rPr>
        <w:t>提供本专业全套给排水施工图纸（电子文件</w:t>
      </w:r>
      <w:r>
        <w:rPr>
          <w:rStyle w:val="30"/>
          <w:rFonts w:hint="eastAsia" w:ascii="仿宋_GB2312" w:hAnsi="仿宋_GB2312" w:eastAsia="仿宋_GB2312" w:cs="仿宋_GB2312"/>
          <w:bCs/>
          <w:color w:val="auto"/>
          <w:sz w:val="32"/>
          <w:szCs w:val="32"/>
          <w:highlight w:val="none"/>
          <w:lang w:val="zh-TW" w:eastAsia="zh-TW"/>
        </w:rPr>
        <w:t>PDF</w:t>
      </w:r>
      <w:r>
        <w:rPr>
          <w:rStyle w:val="30"/>
          <w:rFonts w:hint="eastAsia" w:ascii="仿宋_GB2312" w:hAnsi="仿宋_GB2312" w:eastAsia="仿宋_GB2312" w:cs="仿宋_GB2312"/>
          <w:bCs/>
          <w:color w:val="auto"/>
          <w:sz w:val="32"/>
          <w:szCs w:val="32"/>
          <w:highlight w:val="none"/>
          <w:lang w:val="zh-TW"/>
        </w:rPr>
        <w:t>及</w:t>
      </w:r>
      <w:r>
        <w:rPr>
          <w:rStyle w:val="30"/>
          <w:rFonts w:hint="eastAsia" w:ascii="仿宋_GB2312" w:hAnsi="仿宋_GB2312" w:eastAsia="仿宋_GB2312" w:cs="仿宋_GB2312"/>
          <w:bCs/>
          <w:color w:val="auto"/>
          <w:sz w:val="32"/>
          <w:szCs w:val="32"/>
          <w:highlight w:val="none"/>
          <w:lang w:val="zh-TW" w:eastAsia="zh-TW"/>
        </w:rPr>
        <w:t>CAD</w:t>
      </w:r>
      <w:r>
        <w:rPr>
          <w:rStyle w:val="30"/>
          <w:rFonts w:hint="eastAsia" w:ascii="仿宋_GB2312" w:hAnsi="仿宋_GB2312" w:eastAsia="仿宋_GB2312" w:cs="仿宋_GB2312"/>
          <w:bCs/>
          <w:color w:val="auto"/>
          <w:sz w:val="32"/>
          <w:szCs w:val="32"/>
          <w:highlight w:val="none"/>
          <w:lang w:val="zh-TW"/>
        </w:rPr>
        <w:t>文件），包括但不限于：图纸目录、设计说明、各层平面图及各系统图等；</w:t>
      </w:r>
    </w:p>
    <w:p w14:paraId="31E006DA">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2. </w:t>
      </w:r>
      <w:r>
        <w:rPr>
          <w:rStyle w:val="30"/>
          <w:rFonts w:hint="eastAsia" w:ascii="仿宋_GB2312" w:hAnsi="仿宋_GB2312" w:eastAsia="仿宋_GB2312" w:cs="仿宋_GB2312"/>
          <w:bCs/>
          <w:color w:val="auto"/>
          <w:sz w:val="32"/>
          <w:szCs w:val="32"/>
          <w:highlight w:val="none"/>
          <w:lang w:val="zh-TW"/>
        </w:rPr>
        <w:t>给排水</w:t>
      </w:r>
      <w:r>
        <w:rPr>
          <w:rStyle w:val="30"/>
          <w:rFonts w:hint="eastAsia" w:ascii="仿宋_GB2312" w:hAnsi="仿宋_GB2312" w:eastAsia="仿宋_GB2312" w:cs="仿宋_GB2312"/>
          <w:bCs/>
          <w:color w:val="auto"/>
          <w:sz w:val="32"/>
          <w:szCs w:val="32"/>
          <w:highlight w:val="none"/>
          <w:lang w:val="zh-TW" w:eastAsia="zh-TW"/>
        </w:rPr>
        <w:t>计算书</w:t>
      </w:r>
      <w:r>
        <w:rPr>
          <w:rStyle w:val="30"/>
          <w:rFonts w:hint="eastAsia" w:ascii="仿宋_GB2312" w:hAnsi="仿宋_GB2312" w:eastAsia="仿宋_GB2312" w:cs="仿宋_GB2312"/>
          <w:bCs/>
          <w:color w:val="auto"/>
          <w:sz w:val="32"/>
          <w:szCs w:val="32"/>
          <w:highlight w:val="none"/>
          <w:lang w:val="zh-TW"/>
        </w:rPr>
        <w:t>：负荷计算书、水力计算书、消防类计算书、设备选型计算书等。</w:t>
      </w:r>
    </w:p>
    <w:p w14:paraId="332D8DD6">
      <w:pPr>
        <w:pStyle w:val="38"/>
        <w:pageBreakBefore w:val="0"/>
        <w:numPr>
          <w:ilvl w:val="0"/>
          <w:numId w:val="0"/>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p>
    <w:p w14:paraId="33418FCA">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leftChars="0" w:firstLine="640" w:firstLineChars="200"/>
        <w:textAlignment w:val="auto"/>
        <w:outlineLvl w:val="4"/>
        <w:rPr>
          <w:rFonts w:hint="eastAsia" w:ascii="仿宋_GB2312" w:hAnsi="仿宋_GB2312" w:eastAsia="仿宋_GB2312" w:cs="仿宋_GB2312"/>
          <w:color w:val="auto"/>
          <w:sz w:val="32"/>
          <w:szCs w:val="32"/>
          <w:highlight w:val="none"/>
          <w:lang w:val="en-US" w:eastAsia="zh-CN"/>
        </w:rPr>
      </w:pPr>
      <w:r>
        <w:rPr>
          <w:rFonts w:hint="eastAsia" w:ascii="楷体" w:hAnsi="楷体" w:eastAsia="楷体" w:cs="楷体"/>
          <w:color w:val="auto"/>
          <w:sz w:val="32"/>
          <w:szCs w:val="32"/>
          <w:highlight w:val="none"/>
          <w:lang w:val="en-US" w:eastAsia="zh-CN"/>
        </w:rPr>
        <w:t>第二条</w:t>
      </w:r>
      <w:r>
        <w:rPr>
          <w:rFonts w:hint="eastAsia" w:ascii="仿宋_GB2312" w:hAnsi="仿宋_GB2312" w:eastAsia="仿宋_GB2312" w:cs="仿宋_GB2312"/>
          <w:color w:val="auto"/>
          <w:sz w:val="32"/>
          <w:szCs w:val="32"/>
          <w:highlight w:val="none"/>
          <w:lang w:val="en-US" w:eastAsia="zh-CN"/>
        </w:rPr>
        <w:t xml:space="preserve"> 给排水设计技术要求</w:t>
      </w:r>
    </w:p>
    <w:p w14:paraId="73E96C4E">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设计指标</w:t>
      </w:r>
    </w:p>
    <w:p w14:paraId="4DA1014E">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给排水量及管网压力按国家规定的有关指标并结合</w:t>
      </w:r>
      <w:r>
        <w:rPr>
          <w:rFonts w:hint="eastAsia" w:ascii="仿宋_GB2312" w:hAnsi="仿宋_GB2312" w:eastAsia="仿宋_GB2312" w:cs="仿宋_GB2312"/>
          <w:color w:val="auto"/>
          <w:sz w:val="32"/>
          <w:szCs w:val="32"/>
          <w:highlight w:val="none"/>
          <w:lang w:val="en-US" w:eastAsia="zh-CN"/>
        </w:rPr>
        <w:t>广州</w:t>
      </w:r>
      <w:r>
        <w:rPr>
          <w:rFonts w:hint="eastAsia" w:ascii="仿宋_GB2312" w:hAnsi="仿宋_GB2312" w:eastAsia="仿宋_GB2312" w:cs="仿宋_GB2312"/>
          <w:color w:val="auto"/>
          <w:sz w:val="32"/>
          <w:szCs w:val="32"/>
          <w:highlight w:val="none"/>
        </w:rPr>
        <w:t>市当地实际情况进行计算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市政管道压力满足</w:t>
      </w:r>
      <w:r>
        <w:rPr>
          <w:rFonts w:hint="eastAsia" w:ascii="仿宋_GB2312" w:hAnsi="仿宋_GB2312" w:eastAsia="仿宋_GB2312" w:cs="仿宋_GB2312"/>
          <w:color w:val="auto"/>
          <w:sz w:val="32"/>
          <w:szCs w:val="32"/>
          <w:highlight w:val="none"/>
          <w:lang w:val="en-US" w:eastAsia="zh-CN"/>
        </w:rPr>
        <w:t>广州</w:t>
      </w:r>
      <w:r>
        <w:rPr>
          <w:rFonts w:hint="eastAsia" w:ascii="仿宋_GB2312" w:hAnsi="仿宋_GB2312" w:eastAsia="仿宋_GB2312" w:cs="仿宋_GB2312"/>
          <w:color w:val="auto"/>
          <w:sz w:val="32"/>
          <w:szCs w:val="32"/>
          <w:highlight w:val="none"/>
        </w:rPr>
        <w:t>市的自来水相关技术值。</w:t>
      </w:r>
    </w:p>
    <w:p w14:paraId="74FBF657">
      <w:pPr>
        <w:pageBreakBefore w:val="0"/>
        <w:numPr>
          <w:ilvl w:val="0"/>
          <w:numId w:val="1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设计注意事项</w:t>
      </w:r>
    </w:p>
    <w:p w14:paraId="12DCA022">
      <w:pPr>
        <w:pageBreakBefore w:val="0"/>
        <w:numPr>
          <w:ilvl w:val="0"/>
          <w:numId w:val="11"/>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系统部分</w:t>
      </w:r>
    </w:p>
    <w:p w14:paraId="1D6570D7">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生活供水系统的垂直分区应综合考虑供水安全和经济运行的要求，应做出系统分区和水泵组设置情况的设计方案供我司审核。</w:t>
      </w:r>
    </w:p>
    <w:p w14:paraId="49D8D87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水管井要有详细的平面布置图，保证管井的大小合适，满足水表集中设置，每层各个水表间集中抄表处设计排水地漏，高层楼层内分区供水的给水立管要分别增加检修阀门，并且满足</w:t>
      </w:r>
      <w:r>
        <w:rPr>
          <w:rFonts w:hint="eastAsia" w:ascii="仿宋_GB2312" w:hAnsi="仿宋_GB2312" w:eastAsia="仿宋_GB2312" w:cs="仿宋_GB2312"/>
          <w:color w:val="auto"/>
          <w:sz w:val="32"/>
          <w:szCs w:val="32"/>
          <w:highlight w:val="none"/>
          <w:lang w:val="en-US" w:eastAsia="zh-CN"/>
        </w:rPr>
        <w:t>广州</w:t>
      </w:r>
      <w:r>
        <w:rPr>
          <w:rFonts w:hint="eastAsia" w:ascii="仿宋_GB2312" w:hAnsi="仿宋_GB2312" w:eastAsia="仿宋_GB2312" w:cs="仿宋_GB2312"/>
          <w:color w:val="auto"/>
          <w:sz w:val="32"/>
          <w:szCs w:val="32"/>
          <w:highlight w:val="none"/>
        </w:rPr>
        <w:t>市的相关设计规定。</w:t>
      </w:r>
    </w:p>
    <w:p w14:paraId="7D2D9E07">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排水系统雨、污分流。</w:t>
      </w:r>
    </w:p>
    <w:p w14:paraId="11010495">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商业、办公供水与生活供水分开设计与计量，各类商业、办公供水点设计单独供水立管要细化并设计集中抄表。</w:t>
      </w:r>
    </w:p>
    <w:p w14:paraId="699B436C">
      <w:pPr>
        <w:pageBreakBefore w:val="0"/>
        <w:kinsoku/>
        <w:wordWrap/>
        <w:overflowPunct/>
        <w:topLinePunct w:val="0"/>
        <w:bidi w:val="0"/>
        <w:spacing w:line="360" w:lineRule="auto"/>
        <w:ind w:firstLine="0" w:firstLineChars="0"/>
        <w:rPr>
          <w:rFonts w:hint="eastAsia" w:ascii="仿宋_GB2312" w:hAnsi="仿宋_GB2312" w:eastAsia="仿宋_GB2312" w:cs="仿宋_GB2312"/>
          <w:color w:val="auto"/>
          <w:sz w:val="32"/>
          <w:szCs w:val="32"/>
          <w:highlight w:val="none"/>
        </w:rPr>
      </w:pPr>
    </w:p>
    <w:p w14:paraId="1B41F1D1">
      <w:pPr>
        <w:pageBreakBefore w:val="0"/>
        <w:numPr>
          <w:ilvl w:val="0"/>
          <w:numId w:val="11"/>
        </w:numPr>
        <w:kinsoku/>
        <w:wordWrap/>
        <w:overflowPunct/>
        <w:topLinePunct w:val="0"/>
        <w:bidi w:val="0"/>
        <w:spacing w:line="360" w:lineRule="auto"/>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室外部分</w:t>
      </w:r>
    </w:p>
    <w:p w14:paraId="472D847D">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接驳市政自来水水源，不同性质用水分路设置水表，水表组的位置要与室外环境相协调；水表井应根据自来水公司标准合理设置。</w:t>
      </w:r>
    </w:p>
    <w:p w14:paraId="2BDB27DF">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室外的给水井、污水井、雨水井尽量避免设计在花园内、</w:t>
      </w:r>
      <w:r>
        <w:rPr>
          <w:rFonts w:hint="eastAsia" w:ascii="仿宋_GB2312" w:hAnsi="仿宋_GB2312" w:eastAsia="仿宋_GB2312" w:cs="仿宋_GB2312"/>
          <w:color w:val="auto"/>
          <w:sz w:val="32"/>
          <w:szCs w:val="32"/>
          <w:highlight w:val="none"/>
          <w:lang w:val="en-US" w:eastAsia="zh-CN"/>
        </w:rPr>
        <w:t>园区（小区）</w:t>
      </w:r>
      <w:r>
        <w:rPr>
          <w:rFonts w:hint="eastAsia" w:ascii="仿宋_GB2312" w:hAnsi="仿宋_GB2312" w:eastAsia="仿宋_GB2312" w:cs="仿宋_GB2312"/>
          <w:color w:val="auto"/>
          <w:sz w:val="32"/>
          <w:szCs w:val="32"/>
          <w:highlight w:val="none"/>
        </w:rPr>
        <w:t>道路上、住宅单元的入口处等主要公共地段，可考虑设计在绿化带上。在满足规范的前提下尽可能的少设检查井。同类型的管线，相距不远时，可综合利用管井。</w:t>
      </w:r>
    </w:p>
    <w:p w14:paraId="11DEF4A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雨、污</w:t>
      </w:r>
      <w:r>
        <w:rPr>
          <w:rFonts w:hint="default" w:ascii="仿宋_GB2312" w:hAnsi="仿宋_GB2312" w:eastAsia="仿宋_GB2312" w:cs="仿宋_GB2312"/>
          <w:color w:val="auto"/>
          <w:sz w:val="32"/>
          <w:szCs w:val="32"/>
          <w:highlight w:val="none"/>
          <w:u w:val="none"/>
          <w:lang w:val="en-US"/>
        </w:rPr>
        <w:t>分</w:t>
      </w:r>
      <w:r>
        <w:rPr>
          <w:rFonts w:hint="eastAsia" w:ascii="仿宋_GB2312" w:hAnsi="仿宋_GB2312" w:eastAsia="仿宋_GB2312" w:cs="仿宋_GB2312"/>
          <w:color w:val="auto"/>
          <w:sz w:val="32"/>
          <w:szCs w:val="32"/>
          <w:highlight w:val="none"/>
        </w:rPr>
        <w:t>流，室内粪便污水</w:t>
      </w:r>
      <w:r>
        <w:rPr>
          <w:rFonts w:hint="eastAsia" w:ascii="仿宋_GB2312" w:hAnsi="仿宋_GB2312" w:eastAsia="仿宋_GB2312" w:cs="仿宋_GB2312"/>
          <w:color w:val="auto"/>
          <w:sz w:val="32"/>
          <w:szCs w:val="32"/>
          <w:highlight w:val="none"/>
          <w:u w:val="none"/>
        </w:rPr>
        <w:t>需</w:t>
      </w:r>
      <w:r>
        <w:rPr>
          <w:rFonts w:hint="eastAsia" w:ascii="仿宋_GB2312" w:hAnsi="仿宋_GB2312" w:eastAsia="仿宋_GB2312" w:cs="仿宋_GB2312"/>
          <w:color w:val="auto"/>
          <w:sz w:val="32"/>
          <w:szCs w:val="32"/>
          <w:highlight w:val="none"/>
        </w:rPr>
        <w:t>经化粪池处理，公共食堂厨房含油污水需经隔油池处理。</w:t>
      </w:r>
    </w:p>
    <w:p w14:paraId="330F24B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室外消火栓闸阀井尽量不要放在道路或人行道上；</w:t>
      </w:r>
    </w:p>
    <w:p w14:paraId="0980FEF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总图设计时应考虑水景用水的容量，并考虑水景溢流和放空排水点。</w:t>
      </w:r>
    </w:p>
    <w:p w14:paraId="7EE36BF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室外给排水水管与电力电缆、弱电电缆以及煤气管等保持规范要求的安全距离。</w:t>
      </w:r>
    </w:p>
    <w:p w14:paraId="1AA41DEB">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设计园林绿化的灌溉用水应根据成本要求确定采用人工或自动浇灌方式，在总图上每隔一定距离设置绿化浇灌龙头（设置在绿化带内暗箱埋地安装）。</w:t>
      </w:r>
    </w:p>
    <w:p w14:paraId="1BEA929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注意绿化低洼处、较低架空层的排水处理。</w:t>
      </w:r>
    </w:p>
    <w:p w14:paraId="55BFDC92">
      <w:pPr>
        <w:pageBreakBefore w:val="0"/>
        <w:pBdr>
          <w:bottom w:val="none" w:color="auto" w:sz="0" w:space="0"/>
        </w:pBd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注意优先考虑园林浇水采用蓄水池内的水，并注意蓄水池的合理位置和大小容量。</w:t>
      </w:r>
    </w:p>
    <w:p w14:paraId="60969D00">
      <w:pPr>
        <w:pageBreakBefore w:val="0"/>
        <w:numPr>
          <w:ilvl w:val="0"/>
          <w:numId w:val="11"/>
        </w:numPr>
        <w:kinsoku/>
        <w:wordWrap/>
        <w:overflowPunct/>
        <w:topLinePunct w:val="0"/>
        <w:bidi w:val="0"/>
        <w:spacing w:line="360" w:lineRule="auto"/>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建筑公共部分</w:t>
      </w:r>
    </w:p>
    <w:p w14:paraId="4E97312F">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门厅内不允许明装任何排水立管和管道。</w:t>
      </w:r>
    </w:p>
    <w:p w14:paraId="574539D8">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室内消火栓箱必须暗装，地下室根据情况尽量暗装。</w:t>
      </w:r>
    </w:p>
    <w:p w14:paraId="6A6F56D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高层水表安装在水井内，并画出水表的安装大样图，注明水表的安装尺寸及规格型号，遵守</w:t>
      </w:r>
      <w:r>
        <w:rPr>
          <w:rFonts w:hint="eastAsia" w:ascii="仿宋_GB2312" w:hAnsi="仿宋_GB2312" w:eastAsia="仿宋_GB2312" w:cs="仿宋_GB2312"/>
          <w:color w:val="auto"/>
          <w:sz w:val="32"/>
          <w:szCs w:val="32"/>
          <w:highlight w:val="none"/>
          <w:lang w:val="en-US" w:eastAsia="zh-CN"/>
        </w:rPr>
        <w:t>广州</w:t>
      </w:r>
      <w:r>
        <w:rPr>
          <w:rFonts w:hint="eastAsia" w:ascii="仿宋_GB2312" w:hAnsi="仿宋_GB2312" w:eastAsia="仿宋_GB2312" w:cs="仿宋_GB2312"/>
          <w:color w:val="auto"/>
          <w:sz w:val="32"/>
          <w:szCs w:val="32"/>
          <w:highlight w:val="none"/>
        </w:rPr>
        <w:t>市的自来水相关规定，给水入户管沿地面暗敷。</w:t>
      </w:r>
    </w:p>
    <w:p w14:paraId="65A1B295">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消防环管应注意不应影响公共走道层高。</w:t>
      </w:r>
    </w:p>
    <w:p w14:paraId="487CE237">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穿梁或剪力墙开洞位置详细标注在给排水图中，并应在结构图中标注。</w:t>
      </w:r>
    </w:p>
    <w:p w14:paraId="5E33CFE0">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屋面斜天面应有组织排水，注意分水线设置，保证立管在建筑物的凹槽内，并尽量减少立管数量。</w:t>
      </w:r>
    </w:p>
    <w:p w14:paraId="290B155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室内给水管道优先布置天花内。</w:t>
      </w:r>
    </w:p>
    <w:p w14:paraId="35618B68">
      <w:pPr>
        <w:pageBreakBefore w:val="0"/>
        <w:numPr>
          <w:ilvl w:val="0"/>
          <w:numId w:val="0"/>
        </w:numPr>
        <w:kinsoku/>
        <w:wordWrap/>
        <w:overflowPunct/>
        <w:topLinePunct w:val="0"/>
        <w:bidi w:val="0"/>
        <w:spacing w:line="360" w:lineRule="auto"/>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rPr>
        <w:t>裙房部分</w:t>
      </w:r>
    </w:p>
    <w:p w14:paraId="2A1A4EBF">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注意裙房屋面的汇水面积还需考虑立面的受雨面面积。</w:t>
      </w:r>
    </w:p>
    <w:p w14:paraId="1A975B68">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裙房屋面的雨水应单独设置立管排放，排水立管合理敷设。</w:t>
      </w:r>
    </w:p>
    <w:p w14:paraId="42E90C4D">
      <w:pPr>
        <w:pageBreakBefore w:val="0"/>
        <w:numPr>
          <w:ilvl w:val="0"/>
          <w:numId w:val="0"/>
        </w:numPr>
        <w:kinsoku/>
        <w:wordWrap/>
        <w:overflowPunct/>
        <w:topLinePunct w:val="0"/>
        <w:bidi w:val="0"/>
        <w:spacing w:line="360" w:lineRule="auto"/>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住宅、商业、办公部分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即塔楼部分</w:t>
      </w:r>
      <w:r>
        <w:rPr>
          <w:rFonts w:hint="eastAsia" w:ascii="仿宋_GB2312" w:hAnsi="仿宋_GB2312" w:eastAsia="仿宋_GB2312" w:cs="仿宋_GB2312"/>
          <w:color w:val="auto"/>
          <w:sz w:val="32"/>
          <w:szCs w:val="32"/>
          <w:highlight w:val="none"/>
          <w:lang w:eastAsia="zh-CN"/>
        </w:rPr>
        <w:t>）</w:t>
      </w:r>
    </w:p>
    <w:p w14:paraId="4B8E84E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明确户内所需设计的给水点的数量和位置要求。</w:t>
      </w:r>
    </w:p>
    <w:p w14:paraId="156D86DD">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空调冷凝水排水的设计要充分考虑安装使用的可行性，避免造成排水不畅；要注意排水出户管标高与出户排水井标高的关系，两部分设计要衔接一致。</w:t>
      </w:r>
    </w:p>
    <w:p w14:paraId="753AF85A">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商业、办公管道井内应考虑排水措施及照明，管井的空间大小应考虑维修及抄表方便，水管井内考虑防水要求。给水支管的敷设应考虑维修方便及不易于被损坏。</w:t>
      </w:r>
    </w:p>
    <w:p w14:paraId="67C787E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地下室部分</w:t>
      </w:r>
    </w:p>
    <w:p w14:paraId="6CAAEAF0">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地下室设消防水池和泵房，消防泵房宜设直接通往室外出口，水池溢流在采取卫生措施后直接排至小区雨水管系，同时水池溢流应有信息反馈至管理用房。</w:t>
      </w:r>
    </w:p>
    <w:p w14:paraId="5597EE0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给排水应与通风、电气等专业仔细协调，确保地下室通道及车位高度大于2200mm。</w:t>
      </w:r>
    </w:p>
    <w:p w14:paraId="605FB89E">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地下室给排水应与各个设备专业密切配合。</w:t>
      </w:r>
    </w:p>
    <w:p w14:paraId="33FBE410">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 消防系统</w:t>
      </w:r>
    </w:p>
    <w:p w14:paraId="7DF1096D">
      <w:pPr>
        <w:pStyle w:val="3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1</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气体灭火系统要求</w:t>
      </w:r>
    </w:p>
    <w:p w14:paraId="3774F6E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下列部位设计气体灭火系统：</w:t>
      </w:r>
      <w:r>
        <w:rPr>
          <w:rFonts w:hint="eastAsia" w:ascii="仿宋_GB2312" w:hAnsi="仿宋_GB2312" w:eastAsia="仿宋_GB2312" w:cs="仿宋_GB2312"/>
          <w:color w:val="auto"/>
          <w:sz w:val="32"/>
          <w:szCs w:val="32"/>
          <w:highlight w:val="none"/>
          <w:u w:val="single"/>
        </w:rPr>
        <w:t>柴油发电机房、高层建筑的变压器房、高压配电房、低压配电房。</w:t>
      </w:r>
      <w:r>
        <w:rPr>
          <w:rFonts w:hint="eastAsia" w:ascii="仿宋_GB2312" w:hAnsi="仿宋_GB2312" w:eastAsia="仿宋_GB2312" w:cs="仿宋_GB2312"/>
          <w:color w:val="auto"/>
          <w:sz w:val="32"/>
          <w:szCs w:val="32"/>
          <w:highlight w:val="none"/>
        </w:rPr>
        <w:t>气体灭火系统选择</w:t>
      </w:r>
      <w:r>
        <w:rPr>
          <w:rFonts w:hint="eastAsia" w:ascii="仿宋_GB2312" w:hAnsi="仿宋_GB2312" w:eastAsia="仿宋_GB2312" w:cs="仿宋_GB2312"/>
          <w:color w:val="auto"/>
          <w:sz w:val="32"/>
          <w:szCs w:val="32"/>
          <w:highlight w:val="none"/>
          <w:u w:val="single"/>
        </w:rPr>
        <w:t>七氟丙烷柜式</w:t>
      </w:r>
      <w:r>
        <w:rPr>
          <w:rFonts w:hint="eastAsia" w:ascii="仿宋_GB2312" w:hAnsi="仿宋_GB2312" w:eastAsia="仿宋_GB2312" w:cs="仿宋_GB2312"/>
          <w:color w:val="auto"/>
          <w:sz w:val="32"/>
          <w:szCs w:val="32"/>
          <w:highlight w:val="none"/>
        </w:rPr>
        <w:t>系统。</w:t>
      </w:r>
      <w:bookmarkStart w:id="62" w:name="_Toc402705297"/>
    </w:p>
    <w:bookmarkEnd w:id="62"/>
    <w:p w14:paraId="474F4046">
      <w:pPr>
        <w:pStyle w:val="3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2</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阀门要求</w:t>
      </w:r>
    </w:p>
    <w:p w14:paraId="7C1F2B2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埋地管道的阀门宜采用带启闭刻度的暗杆闸阀，当设置在阀门井内时可采用耐腐蚀的明杆闸阀；室内架空管道的阀门宜采用蝶阀、明杆闸阀或带启闭刻度的暗杆闸阀等；室外架空管道宜采用带启闭刻度的暗杆闸阀或耐腐蚀的明杆闸阀。</w:t>
      </w:r>
    </w:p>
    <w:p w14:paraId="51DB87D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highlight w:val="none"/>
          <w:lang w:val="zh-TW" w:eastAsia="zh-TW"/>
        </w:rPr>
      </w:pPr>
    </w:p>
    <w:p w14:paraId="3982A994">
      <w:pPr>
        <w:pStyle w:val="9"/>
        <w:pageBreakBefore w:val="0"/>
        <w:numPr>
          <w:ilvl w:val="0"/>
          <w:numId w:val="0"/>
        </w:numPr>
        <w:kinsoku/>
        <w:wordWrap/>
        <w:overflowPunct/>
        <w:topLinePunct w:val="0"/>
        <w:bidi w:val="0"/>
        <w:adjustRightInd w:val="0"/>
        <w:snapToGrid w:val="0"/>
        <w:spacing w:after="0" w:line="360" w:lineRule="auto"/>
        <w:jc w:val="center"/>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第六章 暖通设计专篇</w:t>
      </w:r>
    </w:p>
    <w:p w14:paraId="3A3B8594">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楷体" w:hAnsi="楷体" w:eastAsia="楷体" w:cs="楷体"/>
          <w:b w:val="0"/>
          <w:bCs/>
          <w:color w:val="auto"/>
          <w:sz w:val="32"/>
          <w:szCs w:val="32"/>
          <w:highlight w:val="none"/>
          <w:lang w:val="en-US" w:eastAsia="zh-CN"/>
        </w:rPr>
        <w:t>第一条</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lang w:eastAsia="zh-CN"/>
        </w:rPr>
        <w:t>暖通专业设计要求及内容</w:t>
      </w:r>
    </w:p>
    <w:p w14:paraId="753D14EB">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lang w:eastAsia="zh-CN"/>
        </w:rPr>
        <w:t>设计内容</w:t>
      </w:r>
    </w:p>
    <w:p w14:paraId="33655344">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rPr>
        <w:t>完成</w:t>
      </w:r>
      <w:r>
        <w:rPr>
          <w:rFonts w:hint="eastAsia" w:ascii="仿宋_GB2312" w:hAnsi="仿宋_GB2312" w:eastAsia="仿宋_GB2312" w:cs="仿宋_GB2312"/>
          <w:color w:val="auto"/>
          <w:sz w:val="32"/>
          <w:szCs w:val="32"/>
          <w:highlight w:val="none"/>
          <w:lang w:val="en-US" w:eastAsia="zh-CN"/>
        </w:rPr>
        <w:t>本项目</w:t>
      </w:r>
      <w:r>
        <w:rPr>
          <w:rFonts w:hint="eastAsia" w:ascii="仿宋_GB2312" w:hAnsi="仿宋_GB2312" w:eastAsia="仿宋_GB2312" w:cs="仿宋_GB2312"/>
          <w:color w:val="auto"/>
          <w:sz w:val="32"/>
          <w:szCs w:val="32"/>
          <w:highlight w:val="none"/>
        </w:rPr>
        <w:t>各功能区的</w:t>
      </w:r>
      <w:r>
        <w:rPr>
          <w:rStyle w:val="30"/>
          <w:rFonts w:hint="eastAsia" w:ascii="仿宋_GB2312" w:hAnsi="仿宋_GB2312" w:eastAsia="仿宋_GB2312" w:cs="仿宋_GB2312"/>
          <w:bCs/>
          <w:color w:val="auto"/>
          <w:sz w:val="32"/>
          <w:szCs w:val="32"/>
          <w:highlight w:val="none"/>
          <w:lang w:val="zh-TW"/>
        </w:rPr>
        <w:t>采暖、空调、通风系统及防排烟系统的</w:t>
      </w:r>
      <w:r>
        <w:rPr>
          <w:rFonts w:hint="eastAsia" w:ascii="仿宋_GB2312" w:hAnsi="仿宋_GB2312" w:eastAsia="仿宋_GB2312" w:cs="仿宋_GB2312"/>
          <w:color w:val="auto"/>
          <w:sz w:val="32"/>
          <w:szCs w:val="32"/>
          <w:highlight w:val="none"/>
        </w:rPr>
        <w:t>施工图</w:t>
      </w:r>
      <w:r>
        <w:rPr>
          <w:rStyle w:val="30"/>
          <w:rFonts w:hint="eastAsia" w:ascii="仿宋_GB2312" w:hAnsi="仿宋_GB2312" w:eastAsia="仿宋_GB2312" w:cs="仿宋_GB2312"/>
          <w:bCs/>
          <w:color w:val="auto"/>
          <w:sz w:val="32"/>
          <w:szCs w:val="32"/>
          <w:highlight w:val="none"/>
          <w:lang w:val="zh-TW"/>
        </w:rPr>
        <w:t>设计。</w:t>
      </w:r>
    </w:p>
    <w:p w14:paraId="2798485F">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2. </w:t>
      </w:r>
      <w:r>
        <w:rPr>
          <w:rStyle w:val="30"/>
          <w:rFonts w:hint="eastAsia" w:ascii="仿宋_GB2312" w:hAnsi="仿宋_GB2312" w:eastAsia="仿宋_GB2312" w:cs="仿宋_GB2312"/>
          <w:bCs/>
          <w:color w:val="auto"/>
          <w:sz w:val="32"/>
          <w:szCs w:val="32"/>
          <w:highlight w:val="none"/>
          <w:lang w:val="zh-TW"/>
        </w:rPr>
        <w:t>完成单体热力入户管道位置、尺寸、标高、预留预埋等设计工作，并将冷热负荷、入户管道等信息提资给总图单位，配合其完成能源中心室外管网及入户管道接驳工作。</w:t>
      </w:r>
    </w:p>
    <w:p w14:paraId="54099C04">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3. </w:t>
      </w:r>
      <w:r>
        <w:rPr>
          <w:rStyle w:val="30"/>
          <w:rFonts w:hint="eastAsia" w:ascii="仿宋_GB2312" w:hAnsi="仿宋_GB2312" w:eastAsia="仿宋_GB2312" w:cs="仿宋_GB2312"/>
          <w:bCs/>
          <w:color w:val="auto"/>
          <w:sz w:val="32"/>
          <w:szCs w:val="32"/>
          <w:highlight w:val="none"/>
          <w:lang w:val="zh-TW"/>
        </w:rPr>
        <w:t>负责单体内厨房区通风、空调、排油烟及防排烟系统</w:t>
      </w:r>
      <w:r>
        <w:rPr>
          <w:rStyle w:val="30"/>
          <w:rFonts w:hint="eastAsia" w:ascii="仿宋_GB2312" w:hAnsi="仿宋_GB2312" w:eastAsia="仿宋_GB2312" w:cs="仿宋_GB2312"/>
          <w:bCs/>
          <w:color w:val="auto"/>
          <w:sz w:val="32"/>
          <w:szCs w:val="32"/>
          <w:highlight w:val="none"/>
          <w:lang w:val="zh-TW" w:eastAsia="zh-CN"/>
        </w:rPr>
        <w:t>、</w:t>
      </w:r>
      <w:r>
        <w:rPr>
          <w:rStyle w:val="30"/>
          <w:rFonts w:hint="eastAsia" w:ascii="仿宋_GB2312" w:hAnsi="仿宋_GB2312" w:eastAsia="仿宋_GB2312" w:cs="仿宋_GB2312"/>
          <w:bCs/>
          <w:color w:val="auto"/>
          <w:sz w:val="32"/>
          <w:szCs w:val="32"/>
          <w:highlight w:val="none"/>
          <w:lang w:val="en-US" w:eastAsia="zh-CN"/>
        </w:rPr>
        <w:t>柴油发电机房</w:t>
      </w:r>
      <w:r>
        <w:rPr>
          <w:rStyle w:val="30"/>
          <w:rFonts w:hint="eastAsia" w:ascii="仿宋_GB2312" w:hAnsi="仿宋_GB2312" w:eastAsia="仿宋_GB2312" w:cs="仿宋_GB2312"/>
          <w:bCs/>
          <w:color w:val="auto"/>
          <w:sz w:val="32"/>
          <w:szCs w:val="32"/>
          <w:highlight w:val="none"/>
          <w:lang w:val="zh-TW"/>
        </w:rPr>
        <w:t>的一次管线设计，并配合厨房</w:t>
      </w:r>
      <w:r>
        <w:rPr>
          <w:rStyle w:val="30"/>
          <w:rFonts w:hint="eastAsia" w:ascii="仿宋_GB2312" w:hAnsi="仿宋_GB2312" w:eastAsia="仿宋_GB2312" w:cs="仿宋_GB2312"/>
          <w:bCs/>
          <w:color w:val="auto"/>
          <w:sz w:val="32"/>
          <w:szCs w:val="32"/>
          <w:highlight w:val="none"/>
          <w:lang w:val="zh-TW" w:eastAsia="zh-CN"/>
        </w:rPr>
        <w:t>、</w:t>
      </w:r>
      <w:r>
        <w:rPr>
          <w:rStyle w:val="30"/>
          <w:rFonts w:hint="eastAsia" w:ascii="仿宋_GB2312" w:hAnsi="仿宋_GB2312" w:eastAsia="仿宋_GB2312" w:cs="仿宋_GB2312"/>
          <w:bCs/>
          <w:color w:val="auto"/>
          <w:sz w:val="32"/>
          <w:szCs w:val="32"/>
          <w:highlight w:val="none"/>
          <w:lang w:val="en-US" w:eastAsia="zh-CN"/>
        </w:rPr>
        <w:t>柴发</w:t>
      </w:r>
      <w:r>
        <w:rPr>
          <w:rStyle w:val="30"/>
          <w:rFonts w:hint="eastAsia" w:ascii="仿宋_GB2312" w:hAnsi="仿宋_GB2312" w:eastAsia="仿宋_GB2312" w:cs="仿宋_GB2312"/>
          <w:bCs/>
          <w:color w:val="auto"/>
          <w:sz w:val="32"/>
          <w:szCs w:val="32"/>
          <w:highlight w:val="none"/>
          <w:lang w:val="zh-TW"/>
        </w:rPr>
        <w:t>的提资修改暖通专业施工图设计。</w:t>
      </w:r>
    </w:p>
    <w:p w14:paraId="7B28FBDA">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4. </w:t>
      </w:r>
      <w:r>
        <w:rPr>
          <w:rStyle w:val="30"/>
          <w:rFonts w:hint="eastAsia" w:ascii="仿宋_GB2312" w:hAnsi="仿宋_GB2312" w:eastAsia="仿宋_GB2312" w:cs="仿宋_GB2312"/>
          <w:bCs/>
          <w:color w:val="auto"/>
          <w:sz w:val="32"/>
          <w:szCs w:val="32"/>
          <w:highlight w:val="none"/>
          <w:lang w:val="zh-TW"/>
        </w:rPr>
        <w:t>负责燃气系统配合专业设计院进行预留路由、预埋套管等设计内容。</w:t>
      </w:r>
    </w:p>
    <w:p w14:paraId="2AEFFBAE">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5. </w:t>
      </w:r>
      <w:r>
        <w:rPr>
          <w:rStyle w:val="30"/>
          <w:rFonts w:hint="eastAsia" w:ascii="仿宋_GB2312" w:hAnsi="仿宋_GB2312" w:eastAsia="仿宋_GB2312" w:cs="仿宋_GB2312"/>
          <w:bCs/>
          <w:color w:val="auto"/>
          <w:sz w:val="32"/>
          <w:szCs w:val="32"/>
          <w:highlight w:val="none"/>
          <w:lang w:val="zh-TW"/>
        </w:rPr>
        <w:t>根据甲方</w:t>
      </w:r>
      <w:r>
        <w:rPr>
          <w:rStyle w:val="30"/>
          <w:rFonts w:hint="eastAsia" w:ascii="仿宋_GB2312" w:hAnsi="仿宋_GB2312" w:eastAsia="仿宋_GB2312" w:cs="仿宋_GB2312"/>
          <w:color w:val="auto"/>
          <w:sz w:val="32"/>
          <w:szCs w:val="32"/>
          <w:highlight w:val="none"/>
          <w:lang w:val="zh-TW"/>
        </w:rPr>
        <w:t>各部门</w:t>
      </w:r>
      <w:r>
        <w:rPr>
          <w:rStyle w:val="30"/>
          <w:rFonts w:hint="eastAsia" w:ascii="仿宋_GB2312" w:hAnsi="仿宋_GB2312" w:eastAsia="仿宋_GB2312" w:cs="仿宋_GB2312"/>
          <w:bCs/>
          <w:color w:val="auto"/>
          <w:sz w:val="32"/>
          <w:szCs w:val="32"/>
          <w:highlight w:val="none"/>
          <w:lang w:val="zh-TW"/>
        </w:rPr>
        <w:t>提出的审核意见</w:t>
      </w:r>
      <w:r>
        <w:rPr>
          <w:rStyle w:val="30"/>
          <w:rFonts w:hint="eastAsia" w:ascii="仿宋_GB2312" w:hAnsi="仿宋_GB2312" w:eastAsia="仿宋_GB2312" w:cs="仿宋_GB2312"/>
          <w:color w:val="auto"/>
          <w:sz w:val="32"/>
          <w:szCs w:val="32"/>
          <w:highlight w:val="none"/>
          <w:lang w:val="zh-TW"/>
        </w:rPr>
        <w:t>、外审意见及图纸会审意见</w:t>
      </w:r>
      <w:r>
        <w:rPr>
          <w:rStyle w:val="30"/>
          <w:rFonts w:hint="eastAsia" w:ascii="仿宋_GB2312" w:hAnsi="仿宋_GB2312" w:eastAsia="仿宋_GB2312" w:cs="仿宋_GB2312"/>
          <w:bCs/>
          <w:color w:val="auto"/>
          <w:sz w:val="32"/>
          <w:szCs w:val="32"/>
          <w:highlight w:val="none"/>
          <w:lang w:val="zh-TW"/>
        </w:rPr>
        <w:t>，在要求时间内完善</w:t>
      </w:r>
      <w:r>
        <w:rPr>
          <w:rStyle w:val="30"/>
          <w:rFonts w:hint="eastAsia" w:ascii="仿宋_GB2312" w:hAnsi="仿宋_GB2312" w:eastAsia="仿宋_GB2312" w:cs="仿宋_GB2312"/>
          <w:color w:val="auto"/>
          <w:sz w:val="32"/>
          <w:szCs w:val="32"/>
          <w:highlight w:val="none"/>
          <w:lang w:val="zh-TW"/>
        </w:rPr>
        <w:t>设计成果</w:t>
      </w:r>
      <w:r>
        <w:rPr>
          <w:rStyle w:val="30"/>
          <w:rFonts w:hint="eastAsia" w:ascii="仿宋_GB2312" w:hAnsi="仿宋_GB2312" w:eastAsia="仿宋_GB2312" w:cs="仿宋_GB2312"/>
          <w:bCs/>
          <w:color w:val="auto"/>
          <w:sz w:val="32"/>
          <w:szCs w:val="32"/>
          <w:highlight w:val="none"/>
          <w:lang w:val="zh-TW"/>
        </w:rPr>
        <w:t>。</w:t>
      </w:r>
    </w:p>
    <w:p w14:paraId="4208EEC4">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6. </w:t>
      </w:r>
      <w:r>
        <w:rPr>
          <w:rStyle w:val="30"/>
          <w:rFonts w:hint="eastAsia" w:ascii="仿宋_GB2312" w:hAnsi="仿宋_GB2312" w:eastAsia="仿宋_GB2312" w:cs="仿宋_GB2312"/>
          <w:bCs/>
          <w:color w:val="auto"/>
          <w:sz w:val="32"/>
          <w:szCs w:val="32"/>
          <w:highlight w:val="none"/>
          <w:lang w:val="zh-TW"/>
        </w:rPr>
        <w:t>完成因相关专业调整、设计优化以及因施工需要而产生的设计变更。</w:t>
      </w:r>
    </w:p>
    <w:p w14:paraId="43B17875">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7. </w:t>
      </w:r>
      <w:r>
        <w:rPr>
          <w:rStyle w:val="30"/>
          <w:rFonts w:hint="eastAsia" w:ascii="仿宋_GB2312" w:hAnsi="仿宋_GB2312" w:eastAsia="仿宋_GB2312" w:cs="仿宋_GB2312"/>
          <w:bCs/>
          <w:color w:val="auto"/>
          <w:sz w:val="32"/>
          <w:szCs w:val="32"/>
          <w:highlight w:val="none"/>
          <w:lang w:val="zh-TW"/>
        </w:rPr>
        <w:t>完成因装修二次机电</w:t>
      </w:r>
      <w:r>
        <w:rPr>
          <w:rStyle w:val="30"/>
          <w:rFonts w:hint="eastAsia" w:ascii="仿宋_GB2312" w:hAnsi="仿宋_GB2312" w:eastAsia="仿宋_GB2312" w:cs="仿宋_GB2312"/>
          <w:color w:val="auto"/>
          <w:sz w:val="32"/>
          <w:szCs w:val="32"/>
          <w:highlight w:val="none"/>
        </w:rPr>
        <w:t>、施工深化及专项</w:t>
      </w:r>
      <w:r>
        <w:rPr>
          <w:rStyle w:val="30"/>
          <w:rFonts w:hint="eastAsia" w:ascii="仿宋_GB2312" w:hAnsi="仿宋_GB2312" w:eastAsia="仿宋_GB2312" w:cs="仿宋_GB2312"/>
          <w:bCs/>
          <w:color w:val="auto"/>
          <w:sz w:val="32"/>
          <w:szCs w:val="32"/>
          <w:highlight w:val="none"/>
          <w:lang w:val="zh-TW"/>
        </w:rPr>
        <w:t>设计而引起的土建一次暖通专业图纸的修改。</w:t>
      </w:r>
    </w:p>
    <w:p w14:paraId="2C9A49AF">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8. 对于有多个空调系统的方案可选的项目，需有相应的技术、经济分析。</w:t>
      </w:r>
    </w:p>
    <w:p w14:paraId="1E584B55">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b w:val="0"/>
          <w:bCs/>
          <w:color w:val="auto"/>
          <w:kern w:val="0"/>
          <w:sz w:val="32"/>
          <w:szCs w:val="32"/>
          <w:highlight w:val="none"/>
          <w:lang w:val="zh-TW"/>
        </w:rPr>
      </w:pP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二</w:t>
      </w: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 xml:space="preserve"> </w:t>
      </w:r>
      <w:r>
        <w:rPr>
          <w:rFonts w:hint="eastAsia" w:ascii="仿宋_GB2312" w:hAnsi="仿宋_GB2312" w:eastAsia="仿宋_GB2312" w:cs="仿宋_GB2312"/>
          <w:b w:val="0"/>
          <w:bCs/>
          <w:color w:val="auto"/>
          <w:kern w:val="0"/>
          <w:sz w:val="32"/>
          <w:szCs w:val="32"/>
          <w:highlight w:val="none"/>
          <w:lang w:val="zh-TW"/>
        </w:rPr>
        <w:t>设计要求</w:t>
      </w:r>
    </w:p>
    <w:p w14:paraId="3178C8DA">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1. 对于项目内的</w:t>
      </w:r>
      <w:r>
        <w:rPr>
          <w:rStyle w:val="30"/>
          <w:rFonts w:hint="eastAsia" w:ascii="仿宋_GB2312" w:hAnsi="仿宋_GB2312" w:eastAsia="仿宋_GB2312" w:cs="仿宋_GB2312"/>
          <w:bCs/>
          <w:color w:val="auto"/>
          <w:sz w:val="32"/>
          <w:szCs w:val="32"/>
          <w:highlight w:val="none"/>
          <w:lang w:val="zh-TW"/>
        </w:rPr>
        <w:t>高大空间，应考虑采用分层空调以利于节能。</w:t>
      </w:r>
    </w:p>
    <w:p w14:paraId="71F9457A">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应在建筑、结构、暖通图纸上表达出较大的风管预留洞口。</w:t>
      </w:r>
    </w:p>
    <w:p w14:paraId="2A6F013B">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Fonts w:hint="eastAsia" w:ascii="仿宋_GB2312" w:hAnsi="仿宋_GB2312" w:eastAsia="仿宋_GB2312" w:cs="仿宋_GB2312"/>
          <w:color w:val="auto"/>
          <w:sz w:val="32"/>
          <w:szCs w:val="32"/>
          <w:highlight w:val="none"/>
          <w:lang w:val="en-US" w:eastAsia="zh-CN"/>
        </w:rPr>
        <w:t xml:space="preserve">3. </w:t>
      </w:r>
      <w:r>
        <w:rPr>
          <w:rStyle w:val="30"/>
          <w:rFonts w:hint="eastAsia" w:ascii="仿宋_GB2312" w:hAnsi="仿宋_GB2312" w:eastAsia="仿宋_GB2312" w:cs="仿宋_GB2312"/>
          <w:bCs/>
          <w:color w:val="auto"/>
          <w:sz w:val="32"/>
          <w:szCs w:val="32"/>
          <w:highlight w:val="none"/>
          <w:lang w:val="zh-TW"/>
        </w:rPr>
        <w:t>屋面的风机、空调室外机等设备和出屋面管井</w:t>
      </w:r>
      <w:r>
        <w:rPr>
          <w:rStyle w:val="30"/>
          <w:rFonts w:hint="eastAsia" w:ascii="仿宋_GB2312" w:hAnsi="仿宋_GB2312" w:eastAsia="仿宋_GB2312" w:cs="仿宋_GB2312"/>
          <w:bCs/>
          <w:color w:val="auto"/>
          <w:sz w:val="32"/>
          <w:szCs w:val="32"/>
          <w:highlight w:val="none"/>
          <w:lang w:val="zh-TW" w:eastAsia="zh-CN"/>
        </w:rPr>
        <w:t>、</w:t>
      </w:r>
      <w:r>
        <w:rPr>
          <w:rStyle w:val="30"/>
          <w:rFonts w:hint="eastAsia" w:ascii="仿宋_GB2312" w:hAnsi="仿宋_GB2312" w:eastAsia="仿宋_GB2312" w:cs="仿宋_GB2312"/>
          <w:bCs/>
          <w:color w:val="auto"/>
          <w:sz w:val="32"/>
          <w:szCs w:val="32"/>
          <w:highlight w:val="none"/>
          <w:lang w:val="zh-TW"/>
        </w:rPr>
        <w:t>屋面设备基础也应反映在建筑、结构图纸上。</w:t>
      </w:r>
    </w:p>
    <w:p w14:paraId="1BA53FE7">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4. </w:t>
      </w:r>
      <w:r>
        <w:rPr>
          <w:rStyle w:val="30"/>
          <w:rFonts w:hint="eastAsia" w:ascii="仿宋_GB2312" w:hAnsi="仿宋_GB2312" w:eastAsia="仿宋_GB2312" w:cs="仿宋_GB2312"/>
          <w:bCs/>
          <w:color w:val="auto"/>
          <w:sz w:val="32"/>
          <w:szCs w:val="32"/>
          <w:highlight w:val="none"/>
          <w:lang w:val="zh-TW"/>
        </w:rPr>
        <w:t>应重视暖通专业消声降噪等设计措施，满足甲方或甲方指定的声学顾问（如有）对各个功能区室内噪音的声学要求，消声降噪措施应包含机房、设备、管道、风口等所有相关方面的降噪措施。</w:t>
      </w:r>
    </w:p>
    <w:p w14:paraId="2CCB5F8B">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5. </w:t>
      </w:r>
      <w:r>
        <w:rPr>
          <w:rStyle w:val="30"/>
          <w:rFonts w:hint="eastAsia" w:ascii="仿宋_GB2312" w:hAnsi="仿宋_GB2312" w:eastAsia="仿宋_GB2312" w:cs="仿宋_GB2312"/>
          <w:bCs/>
          <w:color w:val="auto"/>
          <w:sz w:val="32"/>
          <w:szCs w:val="32"/>
          <w:highlight w:val="none"/>
          <w:lang w:val="zh-TW"/>
        </w:rPr>
        <w:t>设备设计选型需按照甲方提供的当年集采品牌及型号进行</w:t>
      </w:r>
      <w:r>
        <w:rPr>
          <w:rStyle w:val="30"/>
          <w:rFonts w:hint="eastAsia" w:ascii="仿宋_GB2312" w:hAnsi="仿宋_GB2312" w:eastAsia="仿宋_GB2312" w:cs="仿宋_GB2312"/>
          <w:bCs/>
          <w:color w:val="auto"/>
          <w:sz w:val="32"/>
          <w:szCs w:val="32"/>
          <w:highlight w:val="none"/>
          <w:lang w:val="zh-TW" w:eastAsia="zh-CN"/>
        </w:rPr>
        <w:t>（</w:t>
      </w:r>
      <w:r>
        <w:rPr>
          <w:rStyle w:val="30"/>
          <w:rFonts w:hint="eastAsia" w:ascii="仿宋_GB2312" w:hAnsi="仿宋_GB2312" w:eastAsia="仿宋_GB2312" w:cs="仿宋_GB2312"/>
          <w:bCs/>
          <w:color w:val="auto"/>
          <w:sz w:val="32"/>
          <w:szCs w:val="32"/>
          <w:highlight w:val="none"/>
          <w:lang w:val="en-US" w:eastAsia="zh-CN"/>
        </w:rPr>
        <w:t>如有集采</w:t>
      </w:r>
      <w:r>
        <w:rPr>
          <w:rStyle w:val="30"/>
          <w:rFonts w:hint="eastAsia" w:ascii="仿宋_GB2312" w:hAnsi="仿宋_GB2312" w:eastAsia="仿宋_GB2312" w:cs="仿宋_GB2312"/>
          <w:bCs/>
          <w:color w:val="auto"/>
          <w:sz w:val="32"/>
          <w:szCs w:val="32"/>
          <w:highlight w:val="none"/>
          <w:lang w:val="zh-TW" w:eastAsia="zh-CN"/>
        </w:rPr>
        <w:t>）</w:t>
      </w:r>
      <w:r>
        <w:rPr>
          <w:rStyle w:val="30"/>
          <w:rFonts w:hint="eastAsia" w:ascii="仿宋_GB2312" w:hAnsi="仿宋_GB2312" w:eastAsia="仿宋_GB2312" w:cs="仿宋_GB2312"/>
          <w:bCs/>
          <w:color w:val="auto"/>
          <w:sz w:val="32"/>
          <w:szCs w:val="32"/>
          <w:highlight w:val="none"/>
          <w:lang w:val="zh-TW"/>
        </w:rPr>
        <w:t>。</w:t>
      </w:r>
    </w:p>
    <w:p w14:paraId="7047AE27">
      <w:pPr>
        <w:pStyle w:val="38"/>
        <w:pageBreakBefore w:val="0"/>
        <w:numPr>
          <w:ilvl w:val="0"/>
          <w:numId w:val="0"/>
        </w:numPr>
        <w:tabs>
          <w:tab w:val="left" w:pos="420"/>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6. </w:t>
      </w:r>
      <w:r>
        <w:rPr>
          <w:rStyle w:val="30"/>
          <w:rFonts w:hint="eastAsia" w:ascii="仿宋_GB2312" w:hAnsi="仿宋_GB2312" w:eastAsia="仿宋_GB2312" w:cs="仿宋_GB2312"/>
          <w:bCs/>
          <w:color w:val="auto"/>
          <w:sz w:val="32"/>
          <w:szCs w:val="32"/>
          <w:highlight w:val="none"/>
          <w:lang w:val="zh-TW"/>
        </w:rPr>
        <w:t>柴油发电机房设计应根据设备厂家提资完善通风系统的设计条件。</w:t>
      </w:r>
    </w:p>
    <w:p w14:paraId="1CE61651">
      <w:pPr>
        <w:pStyle w:val="38"/>
        <w:pageBreakBefore w:val="0"/>
        <w:numPr>
          <w:ilvl w:val="0"/>
          <w:numId w:val="0"/>
        </w:numPr>
        <w:tabs>
          <w:tab w:val="left" w:pos="420"/>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7. </w:t>
      </w:r>
      <w:r>
        <w:rPr>
          <w:rStyle w:val="30"/>
          <w:rFonts w:hint="eastAsia" w:ascii="仿宋_GB2312" w:hAnsi="仿宋_GB2312" w:eastAsia="仿宋_GB2312" w:cs="仿宋_GB2312"/>
          <w:bCs/>
          <w:color w:val="auto"/>
          <w:sz w:val="32"/>
          <w:szCs w:val="32"/>
          <w:highlight w:val="none"/>
          <w:lang w:val="zh-TW"/>
        </w:rPr>
        <w:t>暖通专业设计应与建筑、结构、电气、给排水、智能化专业之间进行充分相互协调，不应出现遗漏和偏差。</w:t>
      </w:r>
    </w:p>
    <w:p w14:paraId="1FF2B45A">
      <w:pPr>
        <w:pStyle w:val="38"/>
        <w:pageBreakBefore w:val="0"/>
        <w:numPr>
          <w:ilvl w:val="0"/>
          <w:numId w:val="0"/>
        </w:numPr>
        <w:tabs>
          <w:tab w:val="left" w:pos="420"/>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8. </w:t>
      </w:r>
      <w:r>
        <w:rPr>
          <w:rStyle w:val="30"/>
          <w:rFonts w:hint="eastAsia" w:ascii="仿宋_GB2312" w:hAnsi="仿宋_GB2312" w:eastAsia="仿宋_GB2312" w:cs="仿宋_GB2312"/>
          <w:bCs/>
          <w:color w:val="auto"/>
          <w:sz w:val="32"/>
          <w:szCs w:val="32"/>
          <w:highlight w:val="none"/>
          <w:lang w:val="zh-TW"/>
        </w:rPr>
        <w:t>应符合《建筑工程设计文件编制深度的规定》、《暖通空调制图标准》的要求。</w:t>
      </w:r>
    </w:p>
    <w:p w14:paraId="4DE644B2">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设计</w:t>
      </w:r>
      <w:r>
        <w:rPr>
          <w:rFonts w:hint="eastAsia" w:ascii="仿宋_GB2312" w:hAnsi="仿宋_GB2312" w:eastAsia="仿宋_GB2312" w:cs="仿宋_GB2312"/>
          <w:b w:val="0"/>
          <w:bCs/>
          <w:color w:val="auto"/>
          <w:sz w:val="32"/>
          <w:szCs w:val="32"/>
          <w:highlight w:val="none"/>
        </w:rPr>
        <w:t>成果要求</w:t>
      </w:r>
    </w:p>
    <w:p w14:paraId="77A17C66">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1. </w:t>
      </w:r>
      <w:r>
        <w:rPr>
          <w:rStyle w:val="30"/>
          <w:rFonts w:hint="eastAsia" w:ascii="仿宋_GB2312" w:hAnsi="仿宋_GB2312" w:eastAsia="仿宋_GB2312" w:cs="仿宋_GB2312"/>
          <w:bCs/>
          <w:color w:val="auto"/>
          <w:sz w:val="32"/>
          <w:szCs w:val="32"/>
          <w:highlight w:val="none"/>
          <w:lang w:val="zh-TW"/>
        </w:rPr>
        <w:t>提供本专业全套暖通施工图纸（电子文件PDF及CAD文件），包括：图纸目录、设计说明、材料清单、各层平面图及各系统图、设备机房详图、各机电管井详图、主要设备的安装布置图、控制原理图、管线综合剖面图及大样图；</w:t>
      </w:r>
    </w:p>
    <w:p w14:paraId="5798EFEF">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bCs/>
          <w:color w:val="auto"/>
          <w:sz w:val="32"/>
          <w:szCs w:val="32"/>
          <w:highlight w:val="none"/>
          <w:lang w:val="zh-TW"/>
        </w:rPr>
      </w:pPr>
      <w:r>
        <w:rPr>
          <w:rStyle w:val="30"/>
          <w:rFonts w:hint="eastAsia" w:ascii="仿宋_GB2312" w:hAnsi="仿宋_GB2312" w:eastAsia="仿宋_GB2312" w:cs="仿宋_GB2312"/>
          <w:bCs/>
          <w:color w:val="auto"/>
          <w:sz w:val="32"/>
          <w:szCs w:val="32"/>
          <w:highlight w:val="none"/>
          <w:lang w:val="en-US" w:eastAsia="zh-CN"/>
        </w:rPr>
        <w:t xml:space="preserve">2. </w:t>
      </w:r>
      <w:r>
        <w:rPr>
          <w:rStyle w:val="30"/>
          <w:rFonts w:hint="eastAsia" w:ascii="仿宋_GB2312" w:hAnsi="仿宋_GB2312" w:eastAsia="仿宋_GB2312" w:cs="仿宋_GB2312"/>
          <w:bCs/>
          <w:color w:val="auto"/>
          <w:sz w:val="32"/>
          <w:szCs w:val="32"/>
          <w:highlight w:val="none"/>
          <w:lang w:val="zh-TW"/>
        </w:rPr>
        <w:t>暖通计算书：负荷计算书、水力计算书、消防类计算书、设备选型计算书等。</w:t>
      </w:r>
    </w:p>
    <w:p w14:paraId="195AA482">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textAlignment w:val="auto"/>
        <w:outlineLvl w:val="4"/>
        <w:rPr>
          <w:rFonts w:hint="eastAsia" w:ascii="仿宋_GB2312" w:hAnsi="仿宋_GB2312" w:eastAsia="仿宋_GB2312" w:cs="仿宋_GB2312"/>
          <w:color w:val="auto"/>
          <w:sz w:val="32"/>
          <w:szCs w:val="32"/>
          <w:highlight w:val="none"/>
          <w:lang w:val="en-US" w:eastAsia="zh-CN"/>
        </w:rPr>
      </w:pPr>
    </w:p>
    <w:p w14:paraId="4D2C4CF8">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firstLine="640" w:firstLineChars="200"/>
        <w:textAlignment w:val="auto"/>
        <w:outlineLvl w:val="4"/>
        <w:rPr>
          <w:rFonts w:hint="eastAsia" w:ascii="仿宋_GB2312" w:hAnsi="仿宋_GB2312" w:eastAsia="仿宋_GB2312" w:cs="仿宋_GB2312"/>
          <w:b/>
          <w:color w:val="auto"/>
          <w:sz w:val="32"/>
          <w:szCs w:val="32"/>
          <w:highlight w:val="none"/>
        </w:rPr>
      </w:pPr>
      <w:r>
        <w:rPr>
          <w:rFonts w:hint="eastAsia" w:ascii="楷体" w:hAnsi="楷体" w:eastAsia="楷体" w:cs="楷体"/>
          <w:color w:val="auto"/>
          <w:sz w:val="32"/>
          <w:szCs w:val="32"/>
          <w:highlight w:val="none"/>
          <w:lang w:val="en-US" w:eastAsia="zh-CN"/>
        </w:rPr>
        <w:t>第二条</w:t>
      </w:r>
      <w:r>
        <w:rPr>
          <w:rFonts w:hint="eastAsia" w:ascii="仿宋_GB2312" w:hAnsi="仿宋_GB2312" w:eastAsia="仿宋_GB2312" w:cs="仿宋_GB2312"/>
          <w:color w:val="auto"/>
          <w:sz w:val="32"/>
          <w:szCs w:val="32"/>
          <w:highlight w:val="none"/>
          <w:lang w:val="en-US" w:eastAsia="zh-CN"/>
        </w:rPr>
        <w:t xml:space="preserve"> 暖通设计技术要求</w:t>
      </w:r>
      <w:bookmarkStart w:id="63" w:name="_Toc536454486"/>
    </w:p>
    <w:bookmarkEnd w:id="63"/>
    <w:p w14:paraId="4120CD80">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firstLine="640" w:firstLineChars="200"/>
        <w:textAlignment w:val="auto"/>
        <w:outlineLvl w:val="4"/>
        <w:rPr>
          <w:rFonts w:hint="eastAsia" w:ascii="仿宋_GB2312" w:hAnsi="仿宋_GB2312" w:eastAsia="仿宋_GB2312" w:cs="仿宋_GB2312"/>
          <w:b w:val="0"/>
          <w:bCs w:val="0"/>
          <w:color w:val="auto"/>
          <w:sz w:val="32"/>
          <w:szCs w:val="32"/>
          <w:highlight w:val="none"/>
        </w:rPr>
      </w:pPr>
      <w:bookmarkStart w:id="64" w:name="_Toc536454488"/>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设计要求</w:t>
      </w:r>
      <w:bookmarkEnd w:id="64"/>
    </w:p>
    <w:p w14:paraId="5F0B5771">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firstLine="640" w:firstLineChars="200"/>
        <w:textAlignment w:val="auto"/>
        <w:outlineLvl w:val="4"/>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 空调</w:t>
      </w:r>
      <w:r>
        <w:rPr>
          <w:rFonts w:hint="eastAsia" w:ascii="仿宋_GB2312" w:hAnsi="仿宋_GB2312" w:eastAsia="仿宋_GB2312" w:cs="仿宋_GB2312"/>
          <w:b w:val="0"/>
          <w:bCs w:val="0"/>
          <w:color w:val="auto"/>
          <w:sz w:val="32"/>
          <w:szCs w:val="32"/>
          <w:highlight w:val="none"/>
        </w:rPr>
        <w:t>通风</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排烟系统</w:t>
      </w:r>
    </w:p>
    <w:p w14:paraId="29B3ACFB">
      <w:pPr>
        <w:keepNext w:val="0"/>
        <w:keepLines w:val="0"/>
        <w:pageBreakBefore w:val="0"/>
        <w:numPr>
          <w:ilvl w:val="0"/>
          <w:numId w:val="0"/>
        </w:numPr>
        <w:tabs>
          <w:tab w:val="left" w:pos="426"/>
        </w:tabs>
        <w:kinsoku/>
        <w:wordWrap/>
        <w:overflowPunct/>
        <w:topLinePunct w:val="0"/>
        <w:autoSpaceDE/>
        <w:autoSpaceDN/>
        <w:bidi w:val="0"/>
        <w:adjustRightInd w:val="0"/>
        <w:snapToGrid w:val="0"/>
        <w:spacing w:line="360" w:lineRule="auto"/>
        <w:ind w:firstLine="640" w:firstLineChars="200"/>
        <w:textAlignment w:val="auto"/>
        <w:outlineLvl w:val="4"/>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设计范围及指标</w:t>
      </w:r>
    </w:p>
    <w:p w14:paraId="2D94851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设计范围通风应按合同规定和规范要求的设计范围进行设计。</w:t>
      </w:r>
    </w:p>
    <w:p w14:paraId="58A53D0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设计指标通风负荷量按国家规定的有关指标并结合</w:t>
      </w:r>
      <w:r>
        <w:rPr>
          <w:rFonts w:hint="eastAsia" w:ascii="仿宋_GB2312" w:hAnsi="仿宋_GB2312" w:eastAsia="仿宋_GB2312" w:cs="仿宋_GB2312"/>
          <w:color w:val="auto"/>
          <w:sz w:val="32"/>
          <w:szCs w:val="32"/>
          <w:highlight w:val="none"/>
          <w:lang w:val="en-US" w:eastAsia="zh-CN"/>
        </w:rPr>
        <w:t>广州</w:t>
      </w:r>
      <w:r>
        <w:rPr>
          <w:rFonts w:hint="eastAsia" w:ascii="仿宋_GB2312" w:hAnsi="仿宋_GB2312" w:eastAsia="仿宋_GB2312" w:cs="仿宋_GB2312"/>
          <w:color w:val="auto"/>
          <w:sz w:val="32"/>
          <w:szCs w:val="32"/>
          <w:highlight w:val="none"/>
        </w:rPr>
        <w:t>市地区实际情况进行计算。</w:t>
      </w:r>
    </w:p>
    <w:p w14:paraId="0A47274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rPr>
        <w:t>设计注意事项</w:t>
      </w:r>
    </w:p>
    <w:p w14:paraId="0C9447E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空调通风部分</w:t>
      </w:r>
    </w:p>
    <w:p w14:paraId="561E0AB7">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按国家相关规定计算风量等指标。</w:t>
      </w:r>
    </w:p>
    <w:p w14:paraId="3791D3E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外墙空调冷凝管应考虑业主安装空调时如何连接空调冷凝水管。</w:t>
      </w:r>
    </w:p>
    <w:p w14:paraId="05FE4AA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室内空调冷凝排水如需通过其它房间再接至冷凝管时，不宜连接过长，因为管道过长时，坡度、避梁、穿剪力墙等因素造成难以施工和控制，应按就近连接的原则，在附近增加冷凝管或和邻近的卫生间接通。</w:t>
      </w:r>
    </w:p>
    <w:p w14:paraId="76C0A570">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④ </w:t>
      </w:r>
      <w:r>
        <w:rPr>
          <w:rFonts w:hint="eastAsia" w:ascii="仿宋_GB2312" w:hAnsi="仿宋_GB2312" w:eastAsia="仿宋_GB2312" w:cs="仿宋_GB2312"/>
          <w:color w:val="auto"/>
          <w:sz w:val="32"/>
          <w:szCs w:val="32"/>
          <w:highlight w:val="none"/>
        </w:rPr>
        <w:t>客厅柜式空调的洞应高出地面30cm，避免在踢脚线上开洞。</w:t>
      </w:r>
    </w:p>
    <w:p w14:paraId="4D3B1DAC">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⑤ </w:t>
      </w:r>
      <w:r>
        <w:rPr>
          <w:rFonts w:hint="eastAsia" w:ascii="仿宋_GB2312" w:hAnsi="仿宋_GB2312" w:eastAsia="仿宋_GB2312" w:cs="仿宋_GB2312"/>
          <w:color w:val="auto"/>
          <w:sz w:val="32"/>
          <w:szCs w:val="32"/>
          <w:highlight w:val="none"/>
        </w:rPr>
        <w:t>风管穿梁、穿剪力墙开洞位置应详细标注在图中，并要求同时标注在结构图中。一经确定，不能随意修改，特别是柱、梁的空调预留洞，如果修改，机械开孔对结构影响比较严重（还有对装修的质量隐患），设计要注意此部分修改。</w:t>
      </w:r>
    </w:p>
    <w:p w14:paraId="7360E980">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⑥ </w:t>
      </w:r>
      <w:r>
        <w:rPr>
          <w:rFonts w:hint="eastAsia" w:ascii="仿宋_GB2312" w:hAnsi="仿宋_GB2312" w:eastAsia="仿宋_GB2312" w:cs="仿宋_GB2312"/>
          <w:color w:val="auto"/>
          <w:sz w:val="32"/>
          <w:szCs w:val="32"/>
          <w:highlight w:val="none"/>
        </w:rPr>
        <w:t>通风应与给排水、电气等专业仔细协调，确保地下室通道高度大于2200mm。</w:t>
      </w:r>
    </w:p>
    <w:p w14:paraId="1D8C25A8">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⑦ </w:t>
      </w:r>
      <w:r>
        <w:rPr>
          <w:rFonts w:hint="eastAsia" w:ascii="仿宋_GB2312" w:hAnsi="仿宋_GB2312" w:eastAsia="仿宋_GB2312" w:cs="仿宋_GB2312"/>
          <w:color w:val="auto"/>
          <w:sz w:val="32"/>
          <w:szCs w:val="32"/>
          <w:highlight w:val="none"/>
        </w:rPr>
        <w:t>楼梯间及电梯前室正压送风井要标明内部抹灰（随砌随抹）等做法，确保不漏风。</w:t>
      </w:r>
    </w:p>
    <w:p w14:paraId="3C1BBB12">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⑧ </w:t>
      </w:r>
      <w:r>
        <w:rPr>
          <w:rFonts w:hint="eastAsia" w:ascii="仿宋_GB2312" w:hAnsi="仿宋_GB2312" w:eastAsia="仿宋_GB2312" w:cs="仿宋_GB2312"/>
          <w:color w:val="auto"/>
          <w:sz w:val="32"/>
          <w:szCs w:val="32"/>
          <w:highlight w:val="none"/>
        </w:rPr>
        <w:t>屋顶冷却塔、大型设备间，必要时提交操作平台图纸。</w:t>
      </w:r>
    </w:p>
    <w:p w14:paraId="3D380A9D">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⑨ </w:t>
      </w:r>
      <w:r>
        <w:rPr>
          <w:rFonts w:hint="eastAsia" w:ascii="仿宋_GB2312" w:hAnsi="仿宋_GB2312" w:eastAsia="仿宋_GB2312" w:cs="仿宋_GB2312"/>
          <w:color w:val="auto"/>
          <w:sz w:val="32"/>
          <w:szCs w:val="32"/>
          <w:highlight w:val="none"/>
        </w:rPr>
        <w:t>厨房、卫生间排风</w:t>
      </w:r>
    </w:p>
    <w:p w14:paraId="14BCED5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备可由外墙排风条件的卫生间，考虑在外墙预留防雨弯头，直接排出室外；不具备由外墙直接排放条件的卫生间设置排风道至屋面统一排放。厨房油烟设置统一烟道排至室外。所有出屋面的排风井道应与建筑专业核对管道具体位置及出屋顶的详细做法。</w:t>
      </w:r>
    </w:p>
    <w:p w14:paraId="7D5A5B09">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⑩ </w:t>
      </w:r>
      <w:r>
        <w:rPr>
          <w:rFonts w:hint="eastAsia" w:ascii="仿宋_GB2312" w:hAnsi="仿宋_GB2312" w:eastAsia="仿宋_GB2312" w:cs="仿宋_GB2312"/>
          <w:color w:val="auto"/>
          <w:sz w:val="32"/>
          <w:szCs w:val="32"/>
          <w:highlight w:val="none"/>
        </w:rPr>
        <w:t>地下车库、设备房防排烟通风</w:t>
      </w:r>
    </w:p>
    <w:p w14:paraId="65C0431F">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地下车库需按规范要求做防排烟设计，并同时考虑平时通排风问题。为保证设备房的正常运行，考虑通风换气设计。地下车库排烟通风设计时需考虑车库层高要求，尽量减少风管所占层高。</w:t>
      </w:r>
      <w:r>
        <w:rPr>
          <w:rFonts w:hint="eastAsia" w:ascii="仿宋_GB2312" w:hAnsi="仿宋_GB2312" w:eastAsia="仿宋_GB2312" w:cs="仿宋_GB2312"/>
          <w:color w:val="auto"/>
          <w:sz w:val="32"/>
          <w:szCs w:val="32"/>
          <w:highlight w:val="none"/>
          <w:lang w:val="en-US" w:eastAsia="zh-CN"/>
        </w:rPr>
        <w:t>同类、无干扰的设备集中设置，避免设置较多机房。</w:t>
      </w:r>
    </w:p>
    <w:p w14:paraId="68A5C26F">
      <w:pPr>
        <w:pageBreakBefore w:val="0"/>
        <w:kinsoku/>
        <w:wordWrap/>
        <w:overflowPunct/>
        <w:topLinePunct w:val="0"/>
        <w:bidi w:val="0"/>
        <w:spacing w:line="360" w:lineRule="auto"/>
        <w:rPr>
          <w:rFonts w:hint="eastAsia" w:ascii="仿宋_GB2312" w:hAnsi="仿宋_GB2312" w:eastAsia="仿宋_GB2312" w:cs="仿宋_GB2312"/>
          <w:bCs/>
          <w:color w:val="auto"/>
          <w:sz w:val="32"/>
          <w:szCs w:val="32"/>
          <w:highlight w:val="none"/>
          <w:lang w:val="zh-TW"/>
        </w:rPr>
      </w:pPr>
    </w:p>
    <w:p w14:paraId="073127BC">
      <w:pPr>
        <w:pStyle w:val="9"/>
        <w:pageBreakBefore w:val="0"/>
        <w:numPr>
          <w:ilvl w:val="0"/>
          <w:numId w:val="0"/>
        </w:numPr>
        <w:kinsoku/>
        <w:wordWrap/>
        <w:overflowPunct/>
        <w:topLinePunct w:val="0"/>
        <w:bidi w:val="0"/>
        <w:adjustRightInd w:val="0"/>
        <w:snapToGrid w:val="0"/>
        <w:spacing w:after="0" w:line="360" w:lineRule="auto"/>
        <w:ind w:leftChars="0"/>
        <w:jc w:val="center"/>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第七章 智能化设计专篇</w:t>
      </w:r>
    </w:p>
    <w:p w14:paraId="782FDBEF">
      <w:pPr>
        <w:pStyle w:val="31"/>
        <w:pageBreakBefore w:val="0"/>
        <w:kinsoku/>
        <w:wordWrap/>
        <w:overflowPunct/>
        <w:topLinePunct w:val="0"/>
        <w:autoSpaceDE w:val="0"/>
        <w:autoSpaceDN w:val="0"/>
        <w:bidi w:val="0"/>
        <w:adjustRightInd w:val="0"/>
        <w:snapToGrid w:val="0"/>
        <w:spacing w:line="360" w:lineRule="auto"/>
        <w:ind w:firstLine="640" w:firstLineChars="200"/>
        <w:jc w:val="left"/>
        <w:textAlignment w:val="center"/>
        <w:rPr>
          <w:rFonts w:hint="eastAsia" w:ascii="仿宋_GB2312" w:hAnsi="仿宋_GB2312" w:eastAsia="仿宋_GB2312" w:cs="仿宋_GB2312"/>
          <w:b w:val="0"/>
          <w:bCs w:val="0"/>
          <w:color w:val="auto"/>
          <w:sz w:val="32"/>
          <w:szCs w:val="32"/>
          <w:highlight w:val="none"/>
          <w:lang w:val="zh-TW"/>
        </w:rPr>
      </w:pPr>
      <w:r>
        <w:rPr>
          <w:rStyle w:val="30"/>
          <w:rFonts w:hint="eastAsia" w:ascii="楷体" w:hAnsi="楷体" w:eastAsia="楷体" w:cs="楷体"/>
          <w:b w:val="0"/>
          <w:bCs w:val="0"/>
          <w:color w:val="auto"/>
          <w:sz w:val="32"/>
          <w:szCs w:val="32"/>
          <w:highlight w:val="none"/>
          <w:lang w:val="en-US" w:eastAsia="zh-CN"/>
        </w:rPr>
        <w:t>第一条</w:t>
      </w:r>
      <w:r>
        <w:rPr>
          <w:rStyle w:val="30"/>
          <w:rFonts w:hint="eastAsia" w:ascii="仿宋_GB2312" w:hAnsi="仿宋_GB2312" w:eastAsia="仿宋_GB2312" w:cs="仿宋_GB2312"/>
          <w:b w:val="0"/>
          <w:bCs w:val="0"/>
          <w:color w:val="auto"/>
          <w:sz w:val="32"/>
          <w:szCs w:val="32"/>
          <w:highlight w:val="none"/>
          <w:lang w:val="en-US" w:eastAsia="zh-CN"/>
        </w:rPr>
        <w:t xml:space="preserve"> </w:t>
      </w:r>
      <w:r>
        <w:rPr>
          <w:rStyle w:val="30"/>
          <w:rFonts w:hint="eastAsia" w:ascii="仿宋_GB2312" w:hAnsi="仿宋_GB2312" w:eastAsia="仿宋_GB2312" w:cs="仿宋_GB2312"/>
          <w:b w:val="0"/>
          <w:bCs w:val="0"/>
          <w:color w:val="auto"/>
          <w:sz w:val="32"/>
          <w:szCs w:val="32"/>
          <w:highlight w:val="none"/>
          <w:lang w:val="zh-TW"/>
        </w:rPr>
        <w:t>智能化专业</w:t>
      </w:r>
      <w:r>
        <w:rPr>
          <w:rFonts w:hint="eastAsia" w:ascii="仿宋_GB2312" w:hAnsi="仿宋_GB2312" w:eastAsia="仿宋_GB2312" w:cs="仿宋_GB2312"/>
          <w:b w:val="0"/>
          <w:bCs w:val="0"/>
          <w:color w:val="auto"/>
          <w:sz w:val="32"/>
          <w:szCs w:val="32"/>
          <w:highlight w:val="none"/>
        </w:rPr>
        <w:t>设计要求及内容</w:t>
      </w:r>
    </w:p>
    <w:p w14:paraId="4A4B843E">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）设计内容</w:t>
      </w:r>
    </w:p>
    <w:p w14:paraId="7DE3FF8E">
      <w:pPr>
        <w:pStyle w:val="38"/>
        <w:pageBreakBefore w:val="0"/>
        <w:numPr>
          <w:ilvl w:val="0"/>
          <w:numId w:val="0"/>
        </w:numPr>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zh-TW"/>
        </w:rPr>
      </w:pPr>
      <w:r>
        <w:rPr>
          <w:rStyle w:val="30"/>
          <w:rFonts w:hint="eastAsia" w:ascii="仿宋_GB2312" w:hAnsi="仿宋_GB2312" w:eastAsia="仿宋_GB2312" w:cs="仿宋_GB2312"/>
          <w:color w:val="auto"/>
          <w:sz w:val="32"/>
          <w:szCs w:val="32"/>
          <w:highlight w:val="none"/>
          <w:lang w:val="en-US" w:eastAsia="zh-CN"/>
        </w:rPr>
        <w:t xml:space="preserve">1. </w:t>
      </w:r>
      <w:r>
        <w:rPr>
          <w:rStyle w:val="30"/>
          <w:rFonts w:hint="eastAsia" w:ascii="仿宋_GB2312" w:hAnsi="仿宋_GB2312" w:eastAsia="仿宋_GB2312" w:cs="仿宋_GB2312"/>
          <w:color w:val="auto"/>
          <w:sz w:val="32"/>
          <w:szCs w:val="32"/>
          <w:highlight w:val="none"/>
          <w:lang w:val="zh-TW"/>
        </w:rPr>
        <w:t>完成</w:t>
      </w:r>
      <w:r>
        <w:rPr>
          <w:rStyle w:val="30"/>
          <w:rFonts w:hint="eastAsia" w:ascii="仿宋_GB2312" w:hAnsi="仿宋_GB2312" w:eastAsia="仿宋_GB2312" w:cs="仿宋_GB2312"/>
          <w:color w:val="auto"/>
          <w:sz w:val="32"/>
          <w:szCs w:val="32"/>
          <w:highlight w:val="none"/>
          <w:lang w:val="en-US" w:eastAsia="zh-CN"/>
        </w:rPr>
        <w:t>项目</w:t>
      </w:r>
      <w:r>
        <w:rPr>
          <w:rStyle w:val="30"/>
          <w:rFonts w:hint="eastAsia" w:ascii="仿宋_GB2312" w:hAnsi="仿宋_GB2312" w:eastAsia="仿宋_GB2312" w:cs="仿宋_GB2312"/>
          <w:color w:val="auto"/>
          <w:sz w:val="32"/>
          <w:szCs w:val="32"/>
          <w:highlight w:val="none"/>
          <w:lang w:val="zh-TW"/>
        </w:rPr>
        <w:t>智能化各子系统施工图设计，包含设计说明、系统图、平面图、必要的控制原理图、大样图、主要设备材料表（不得注明厂家/品牌）。</w:t>
      </w:r>
    </w:p>
    <w:p w14:paraId="027C4E9B">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2. </w:t>
      </w:r>
      <w:r>
        <w:rPr>
          <w:rFonts w:hint="eastAsia" w:ascii="仿宋_GB2312" w:hAnsi="仿宋_GB2312" w:eastAsia="仿宋_GB2312" w:cs="仿宋_GB2312"/>
          <w:bCs/>
          <w:color w:val="auto"/>
          <w:sz w:val="32"/>
          <w:szCs w:val="32"/>
          <w:highlight w:val="none"/>
        </w:rPr>
        <w:t>配合建筑、结构等专业设计，完成消防分控中心和各单体弱电（间、井）等智能化设备用房提资文件。</w:t>
      </w:r>
    </w:p>
    <w:p w14:paraId="4FEDDC90">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3. </w:t>
      </w:r>
      <w:r>
        <w:rPr>
          <w:rFonts w:hint="eastAsia" w:ascii="仿宋_GB2312" w:hAnsi="仿宋_GB2312" w:eastAsia="仿宋_GB2312" w:cs="仿宋_GB2312"/>
          <w:bCs/>
          <w:color w:val="auto"/>
          <w:sz w:val="32"/>
          <w:szCs w:val="32"/>
          <w:highlight w:val="none"/>
        </w:rPr>
        <w:t>配合建筑泛光照明、室内装饰、厨房设计等需求提资，明确各专业设计施工界面划分，明确预留网络接口类型、数量及布点原则，完成相关智能化设备网络及管槽敷设设计。</w:t>
      </w:r>
    </w:p>
    <w:p w14:paraId="50576999">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4. </w:t>
      </w:r>
      <w:r>
        <w:rPr>
          <w:rFonts w:hint="eastAsia" w:ascii="仿宋_GB2312" w:hAnsi="仿宋_GB2312" w:eastAsia="仿宋_GB2312" w:cs="仿宋_GB2312"/>
          <w:bCs/>
          <w:color w:val="auto"/>
          <w:sz w:val="32"/>
          <w:szCs w:val="32"/>
          <w:highlight w:val="none"/>
        </w:rPr>
        <w:t>配合机电专业设计，完成智能化专业提资文件，明确智能化专业与各机电专业之间的设计施工界面划分，明确智能化系统与各机电系统之间的监控方式、接口类型及网络协议等，完成相关智能化设备网络及管槽敷设设计。</w:t>
      </w:r>
    </w:p>
    <w:p w14:paraId="3FFB3E5B">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5. </w:t>
      </w:r>
      <w:r>
        <w:rPr>
          <w:rFonts w:hint="eastAsia" w:ascii="仿宋_GB2312" w:hAnsi="仿宋_GB2312" w:eastAsia="仿宋_GB2312" w:cs="仿宋_GB2312"/>
          <w:bCs/>
          <w:color w:val="auto"/>
          <w:sz w:val="32"/>
          <w:szCs w:val="32"/>
          <w:highlight w:val="none"/>
        </w:rPr>
        <w:t xml:space="preserve">配合BIM和其它专业完成室内管线综合图纸，并根据管综成果完善智能化专业图纸。 </w:t>
      </w:r>
    </w:p>
    <w:p w14:paraId="04EDC2E5">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6. </w:t>
      </w:r>
      <w:r>
        <w:rPr>
          <w:rFonts w:hint="eastAsia" w:ascii="仿宋_GB2312" w:hAnsi="仿宋_GB2312" w:eastAsia="仿宋_GB2312" w:cs="仿宋_GB2312"/>
          <w:bCs/>
          <w:color w:val="auto"/>
          <w:sz w:val="32"/>
          <w:szCs w:val="32"/>
          <w:highlight w:val="none"/>
        </w:rPr>
        <w:t>提供配合图纸报审、招标、图纸会审、竣工验收等必要的技术服务。</w:t>
      </w:r>
    </w:p>
    <w:p w14:paraId="6084B5FD">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7. </w:t>
      </w:r>
      <w:r>
        <w:rPr>
          <w:rFonts w:hint="eastAsia" w:ascii="仿宋_GB2312" w:hAnsi="仿宋_GB2312" w:eastAsia="仿宋_GB2312" w:cs="仿宋_GB2312"/>
          <w:bCs/>
          <w:color w:val="auto"/>
          <w:sz w:val="32"/>
          <w:szCs w:val="32"/>
          <w:highlight w:val="none"/>
        </w:rPr>
        <w:t>根据甲方提出的审核意见，在要求时间内完善设计成果。</w:t>
      </w:r>
    </w:p>
    <w:p w14:paraId="76AEBB64">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8. </w:t>
      </w:r>
      <w:r>
        <w:rPr>
          <w:rFonts w:hint="eastAsia" w:ascii="仿宋_GB2312" w:hAnsi="仿宋_GB2312" w:eastAsia="仿宋_GB2312" w:cs="仿宋_GB2312"/>
          <w:bCs/>
          <w:color w:val="auto"/>
          <w:sz w:val="32"/>
          <w:szCs w:val="32"/>
          <w:highlight w:val="none"/>
        </w:rPr>
        <w:t>完成因相关专业调整、设计优化以及因施工需要而产生的设计变更。</w:t>
      </w:r>
    </w:p>
    <w:p w14:paraId="6169702C">
      <w:pPr>
        <w:pStyle w:val="33"/>
        <w:pageBreakBefore w:val="0"/>
        <w:widowControl/>
        <w:numPr>
          <w:ilvl w:val="0"/>
          <w:numId w:val="0"/>
        </w:numPr>
        <w:kinsoku/>
        <w:wordWrap/>
        <w:overflowPunct/>
        <w:topLinePunct w:val="0"/>
        <w:bidi w:val="0"/>
        <w:adjustRightInd w:val="0"/>
        <w:snapToGrid w:val="0"/>
        <w:spacing w:line="360" w:lineRule="auto"/>
        <w:ind w:leftChars="0"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lang w:val="en-US" w:eastAsia="zh-CN"/>
        </w:rPr>
        <w:t xml:space="preserve">9. </w:t>
      </w:r>
      <w:r>
        <w:rPr>
          <w:rFonts w:hint="eastAsia" w:ascii="仿宋_GB2312" w:hAnsi="仿宋_GB2312" w:eastAsia="仿宋_GB2312" w:cs="仿宋_GB2312"/>
          <w:bCs/>
          <w:color w:val="auto"/>
          <w:sz w:val="32"/>
          <w:szCs w:val="32"/>
          <w:highlight w:val="none"/>
        </w:rPr>
        <w:t>完成因装修二次机电</w:t>
      </w:r>
      <w:r>
        <w:rPr>
          <w:rStyle w:val="30"/>
          <w:rFonts w:hint="eastAsia" w:ascii="仿宋_GB2312" w:hAnsi="仿宋_GB2312" w:eastAsia="仿宋_GB2312" w:cs="仿宋_GB2312"/>
          <w:color w:val="auto"/>
          <w:sz w:val="32"/>
          <w:szCs w:val="32"/>
          <w:highlight w:val="none"/>
        </w:rPr>
        <w:t>、施工深化及专项</w:t>
      </w:r>
      <w:r>
        <w:rPr>
          <w:rFonts w:hint="eastAsia" w:ascii="仿宋_GB2312" w:hAnsi="仿宋_GB2312" w:eastAsia="仿宋_GB2312" w:cs="仿宋_GB2312"/>
          <w:bCs/>
          <w:color w:val="auto"/>
          <w:sz w:val="32"/>
          <w:szCs w:val="32"/>
          <w:highlight w:val="none"/>
        </w:rPr>
        <w:t>设计而引起的土建一次智能化专业图纸的修改。</w:t>
      </w:r>
    </w:p>
    <w:p w14:paraId="793E40CF">
      <w:pPr>
        <w:pStyle w:val="29"/>
        <w:pageBreakBefore w:val="0"/>
        <w:tabs>
          <w:tab w:val="left" w:pos="0"/>
        </w:tabs>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b w:val="0"/>
          <w:bCs/>
          <w:color w:val="auto"/>
          <w:kern w:val="0"/>
          <w:sz w:val="32"/>
          <w:szCs w:val="32"/>
          <w:highlight w:val="none"/>
          <w:lang w:val="zh-TW"/>
        </w:rPr>
      </w:pP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en-US" w:eastAsia="zh-CN"/>
        </w:rPr>
        <w:t>二</w:t>
      </w:r>
      <w:r>
        <w:rPr>
          <w:rFonts w:hint="eastAsia" w:ascii="仿宋_GB2312" w:hAnsi="仿宋_GB2312" w:eastAsia="仿宋_GB2312" w:cs="仿宋_GB2312"/>
          <w:b w:val="0"/>
          <w:bCs/>
          <w:color w:val="auto"/>
          <w:kern w:val="0"/>
          <w:sz w:val="32"/>
          <w:szCs w:val="32"/>
          <w:highlight w:val="none"/>
          <w:lang w:val="zh-TW" w:eastAsia="zh-CN"/>
        </w:rPr>
        <w:t>）</w:t>
      </w:r>
      <w:r>
        <w:rPr>
          <w:rFonts w:hint="eastAsia" w:ascii="仿宋_GB2312" w:hAnsi="仿宋_GB2312" w:eastAsia="仿宋_GB2312" w:cs="仿宋_GB2312"/>
          <w:b w:val="0"/>
          <w:bCs/>
          <w:color w:val="auto"/>
          <w:kern w:val="0"/>
          <w:sz w:val="32"/>
          <w:szCs w:val="32"/>
          <w:highlight w:val="none"/>
          <w:lang w:val="zh-TW"/>
        </w:rPr>
        <w:t>设计要求</w:t>
      </w:r>
    </w:p>
    <w:p w14:paraId="2EA3AE5B">
      <w:pPr>
        <w:pStyle w:val="38"/>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1. </w:t>
      </w:r>
      <w:r>
        <w:rPr>
          <w:rStyle w:val="30"/>
          <w:rFonts w:hint="eastAsia" w:ascii="仿宋_GB2312" w:hAnsi="仿宋_GB2312" w:eastAsia="仿宋_GB2312" w:cs="仿宋_GB2312"/>
          <w:color w:val="auto"/>
          <w:sz w:val="32"/>
          <w:szCs w:val="32"/>
          <w:highlight w:val="none"/>
        </w:rPr>
        <w:t>智能化系统设计依据包含以下内容：国家标准、地区标准、行业规范；甲方内部设计标准及规范；甲方提供的有关资料，如提资文件、会审纪要和审核意见及回复等。</w:t>
      </w:r>
    </w:p>
    <w:p w14:paraId="72F54B5B">
      <w:pPr>
        <w:pStyle w:val="38"/>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2. </w:t>
      </w:r>
      <w:r>
        <w:rPr>
          <w:rStyle w:val="30"/>
          <w:rFonts w:hint="eastAsia" w:ascii="仿宋_GB2312" w:hAnsi="仿宋_GB2312" w:eastAsia="仿宋_GB2312" w:cs="仿宋_GB2312"/>
          <w:color w:val="auto"/>
          <w:sz w:val="32"/>
          <w:szCs w:val="32"/>
          <w:highlight w:val="none"/>
        </w:rPr>
        <w:t>智能化专业应与建筑、结构、给排水、暖通、电气等专业之间进行充分相互协调，不应出现遗漏和偏差。</w:t>
      </w:r>
    </w:p>
    <w:p w14:paraId="60E3A5C4">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3. </w:t>
      </w:r>
      <w:r>
        <w:rPr>
          <w:rStyle w:val="30"/>
          <w:rFonts w:hint="eastAsia" w:ascii="仿宋_GB2312" w:hAnsi="仿宋_GB2312" w:eastAsia="仿宋_GB2312" w:cs="仿宋_GB2312"/>
          <w:color w:val="auto"/>
          <w:sz w:val="32"/>
          <w:szCs w:val="32"/>
          <w:highlight w:val="none"/>
        </w:rPr>
        <w:t>各阶段设计成果应符合国家建设部《建筑工程设计文件编制深度的规定》的有关要求。</w:t>
      </w:r>
    </w:p>
    <w:p w14:paraId="03B78F50">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4. </w:t>
      </w:r>
      <w:r>
        <w:rPr>
          <w:rStyle w:val="30"/>
          <w:rFonts w:hint="eastAsia" w:ascii="仿宋_GB2312" w:hAnsi="仿宋_GB2312" w:eastAsia="仿宋_GB2312" w:cs="仿宋_GB2312"/>
          <w:color w:val="auto"/>
          <w:sz w:val="32"/>
          <w:szCs w:val="32"/>
          <w:highlight w:val="none"/>
        </w:rPr>
        <w:t>设计说明应明确智能化各系统功能需求、系统架构、设置标准；应明确施工工艺要求。</w:t>
      </w:r>
    </w:p>
    <w:p w14:paraId="1A53C5C0">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rPr>
        <w:t>系统图应清晰表达系统结构、主要设备的数量和类型、设备之间的连接方式、线缆类型及规格、图例。</w:t>
      </w:r>
    </w:p>
    <w:p w14:paraId="2EAAF6DB">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6. </w:t>
      </w:r>
      <w:r>
        <w:rPr>
          <w:rStyle w:val="30"/>
          <w:rFonts w:hint="eastAsia" w:ascii="仿宋_GB2312" w:hAnsi="仿宋_GB2312" w:eastAsia="仿宋_GB2312" w:cs="仿宋_GB2312"/>
          <w:color w:val="auto"/>
          <w:sz w:val="32"/>
          <w:szCs w:val="32"/>
          <w:highlight w:val="none"/>
        </w:rPr>
        <w:t>平面图应包括设备位置、线缆管槽路由、线型、管槽规格、敷设方式、设备材料表（图例、安装方式、安装高度、设备数量、线缆数量）。</w:t>
      </w:r>
    </w:p>
    <w:p w14:paraId="4AA92FBD">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7. </w:t>
      </w:r>
      <w:r>
        <w:rPr>
          <w:rStyle w:val="30"/>
          <w:rFonts w:hint="eastAsia" w:ascii="仿宋_GB2312" w:hAnsi="仿宋_GB2312" w:eastAsia="仿宋_GB2312" w:cs="仿宋_GB2312"/>
          <w:color w:val="auto"/>
          <w:sz w:val="32"/>
          <w:szCs w:val="32"/>
          <w:highlight w:val="none"/>
        </w:rPr>
        <w:t>智能化的各类主干桥架（网络及控制线缆桥架、音频线缆桥架、射频线缆桥架等）应经过管线综合检查，不应出现桥架规格不合理、桥架碰撞等设计问题。</w:t>
      </w:r>
    </w:p>
    <w:p w14:paraId="61DCEE30">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8. </w:t>
      </w:r>
      <w:r>
        <w:rPr>
          <w:rStyle w:val="30"/>
          <w:rFonts w:hint="eastAsia" w:ascii="仿宋_GB2312" w:hAnsi="仿宋_GB2312" w:eastAsia="仿宋_GB2312" w:cs="仿宋_GB2312"/>
          <w:color w:val="auto"/>
          <w:sz w:val="32"/>
          <w:szCs w:val="32"/>
          <w:highlight w:val="none"/>
        </w:rPr>
        <w:t>应能清晰反应土建设计单位与智能化专业施工单位的施工界面，智能化平面图中的地下、混凝土中的预埋管线与其他敷设方式管线须有明显区别，并在施工说明中加以描述。</w:t>
      </w:r>
    </w:p>
    <w:p w14:paraId="746ECE5D">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9. </w:t>
      </w:r>
      <w:r>
        <w:rPr>
          <w:rStyle w:val="30"/>
          <w:rFonts w:hint="eastAsia" w:ascii="仿宋_GB2312" w:hAnsi="仿宋_GB2312" w:eastAsia="仿宋_GB2312" w:cs="仿宋_GB2312"/>
          <w:color w:val="auto"/>
          <w:sz w:val="32"/>
          <w:szCs w:val="32"/>
          <w:highlight w:val="none"/>
        </w:rPr>
        <w:t>机房工程图纸应包含空间分隔、装修、配电、防雷接地、消防、照明、机柜布置等信息。</w:t>
      </w:r>
    </w:p>
    <w:p w14:paraId="2F2C0C11">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10. </w:t>
      </w:r>
      <w:r>
        <w:rPr>
          <w:rStyle w:val="30"/>
          <w:rFonts w:hint="eastAsia" w:ascii="仿宋_GB2312" w:hAnsi="仿宋_GB2312" w:eastAsia="仿宋_GB2312" w:cs="仿宋_GB2312"/>
          <w:color w:val="auto"/>
          <w:sz w:val="32"/>
          <w:szCs w:val="32"/>
          <w:highlight w:val="none"/>
        </w:rPr>
        <w:t>视频安防监控系统存储容量和UPS系统容量估算应提供相关计算书。</w:t>
      </w:r>
    </w:p>
    <w:p w14:paraId="3805E826">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11. </w:t>
      </w:r>
      <w:r>
        <w:rPr>
          <w:rStyle w:val="30"/>
          <w:rFonts w:hint="eastAsia" w:ascii="仿宋_GB2312" w:hAnsi="仿宋_GB2312" w:eastAsia="仿宋_GB2312" w:cs="仿宋_GB2312"/>
          <w:color w:val="auto"/>
          <w:sz w:val="32"/>
          <w:szCs w:val="32"/>
          <w:highlight w:val="none"/>
        </w:rPr>
        <w:t>设备材料表应包含主要技术参数，不应注明厂家及品牌。</w:t>
      </w:r>
    </w:p>
    <w:p w14:paraId="383511F0">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12. </w:t>
      </w:r>
      <w:r>
        <w:rPr>
          <w:rStyle w:val="30"/>
          <w:rFonts w:hint="eastAsia" w:ascii="仿宋_GB2312" w:hAnsi="仿宋_GB2312" w:eastAsia="仿宋_GB2312" w:cs="仿宋_GB2312"/>
          <w:color w:val="auto"/>
          <w:sz w:val="32"/>
          <w:szCs w:val="32"/>
          <w:highlight w:val="none"/>
        </w:rPr>
        <w:t>结合智能化系统设计方案，提出设备选型建议，分阶段完成智能化工程部分的投资估算、投资概算及投资预算文件。</w:t>
      </w:r>
    </w:p>
    <w:p w14:paraId="649334E9">
      <w:pPr>
        <w:pStyle w:val="38"/>
        <w:pageBreakBefore w:val="0"/>
        <w:numPr>
          <w:ilvl w:val="0"/>
          <w:numId w:val="0"/>
        </w:numPr>
        <w:tabs>
          <w:tab w:val="left" w:pos="709"/>
        </w:tabs>
        <w:kinsoku/>
        <w:wordWrap/>
        <w:overflowPunct/>
        <w:topLinePunct w:val="0"/>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13. </w:t>
      </w:r>
      <w:r>
        <w:rPr>
          <w:rStyle w:val="30"/>
          <w:rFonts w:hint="eastAsia" w:ascii="仿宋_GB2312" w:hAnsi="仿宋_GB2312" w:eastAsia="仿宋_GB2312" w:cs="仿宋_GB2312"/>
          <w:color w:val="auto"/>
          <w:sz w:val="32"/>
          <w:szCs w:val="32"/>
          <w:highlight w:val="none"/>
        </w:rPr>
        <w:t>调整相关区域的智能化末端点位数量、位置，完成智能化新增需求（如有）设计。</w:t>
      </w:r>
    </w:p>
    <w:p w14:paraId="442131C7">
      <w:pPr>
        <w:pStyle w:val="9"/>
        <w:pageBreakBefore w:val="0"/>
        <w:kinsoku/>
        <w:wordWrap/>
        <w:overflowPunct/>
        <w:topLinePunct w:val="0"/>
        <w:bidi w:val="0"/>
        <w:adjustRightInd w:val="0"/>
        <w:snapToGrid w:val="0"/>
        <w:spacing w:after="0" w:line="360" w:lineRule="auto"/>
        <w:ind w:left="0" w:leftChars="0" w:firstLine="640" w:firstLineChars="200"/>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三</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成果要求</w:t>
      </w:r>
    </w:p>
    <w:p w14:paraId="337AF597">
      <w:pPr>
        <w:pageBreakBefore w:val="0"/>
        <w:kinsoku/>
        <w:wordWrap/>
        <w:overflowPunct/>
        <w:topLinePunct w:val="0"/>
        <w:bidi w:val="0"/>
        <w:adjustRightInd w:val="0"/>
        <w:snapToGrid w:val="0"/>
        <w:spacing w:line="360" w:lineRule="auto"/>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设计成果应包括但不限于以下内容：</w:t>
      </w:r>
    </w:p>
    <w:p w14:paraId="0B9B5493">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图纸封面、目录。</w:t>
      </w:r>
    </w:p>
    <w:p w14:paraId="014BD465">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设计总说明（含对施工的要求）。</w:t>
      </w:r>
    </w:p>
    <w:p w14:paraId="38C020A6">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系统图、原理图.</w:t>
      </w:r>
    </w:p>
    <w:p w14:paraId="277892F2">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室内平面图、管槽敷设图.</w:t>
      </w:r>
    </w:p>
    <w:p w14:paraId="6D8734C1">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弱电设备用房详图、弱电井详图以及其他各系统关键部位的详图等。</w:t>
      </w:r>
    </w:p>
    <w:p w14:paraId="730D56FB">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UPS计算书、视频监控存储计算书。</w:t>
      </w:r>
    </w:p>
    <w:p w14:paraId="6F234849">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设备的安装图和基础图等。</w:t>
      </w:r>
    </w:p>
    <w:p w14:paraId="6C5DB6E0">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楼控点表、设备点表、设备及材料表（不得注明厂家/品牌）。</w:t>
      </w:r>
    </w:p>
    <w:p w14:paraId="220D846F">
      <w:pPr>
        <w:pStyle w:val="38"/>
        <w:pageBreakBefore w:val="0"/>
        <w:numPr>
          <w:ilvl w:val="0"/>
          <w:numId w:val="12"/>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rPr>
        <w:t>工程量清单和投资概算表（包括主要性能参数、数量、系统造价）。</w:t>
      </w:r>
    </w:p>
    <w:p w14:paraId="37F5CF5D">
      <w:pPr>
        <w:pStyle w:val="38"/>
        <w:pageBreakBefore w:val="0"/>
        <w:numPr>
          <w:ilvl w:val="0"/>
          <w:numId w:val="13"/>
        </w:numPr>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智能化设计技术要求</w:t>
      </w:r>
      <w:bookmarkStart w:id="65" w:name="_Toc536454492"/>
    </w:p>
    <w:bookmarkEnd w:id="65"/>
    <w:p w14:paraId="72A60E6C">
      <w:pPr>
        <w:pageBreakBefore w:val="0"/>
        <w:numPr>
          <w:ilvl w:val="0"/>
          <w:numId w:val="0"/>
        </w:numPr>
        <w:tabs>
          <w:tab w:val="left" w:pos="525"/>
          <w:tab w:val="left" w:pos="987"/>
        </w:tabs>
        <w:kinsoku/>
        <w:wordWrap/>
        <w:overflowPunct/>
        <w:topLinePunct w:val="0"/>
        <w:bidi w:val="0"/>
        <w:spacing w:before="260" w:beforeLines="50" w:after="100" w:line="360" w:lineRule="auto"/>
        <w:ind w:leftChars="-200" w:firstLine="640" w:firstLineChars="200"/>
        <w:outlineLvl w:val="1"/>
        <w:rPr>
          <w:rFonts w:hint="eastAsia" w:ascii="仿宋_GB2312" w:hAnsi="仿宋_GB2312" w:eastAsia="仿宋_GB2312" w:cs="仿宋_GB2312"/>
          <w:b w:val="0"/>
          <w:bCs/>
          <w:color w:val="auto"/>
          <w:sz w:val="32"/>
          <w:szCs w:val="32"/>
          <w:highlight w:val="none"/>
        </w:rPr>
      </w:pPr>
      <w:bookmarkStart w:id="66" w:name="_Toc536454494"/>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一</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设计要求</w:t>
      </w:r>
      <w:bookmarkEnd w:id="66"/>
      <w:bookmarkStart w:id="67" w:name="_Toc536454495"/>
      <w:bookmarkStart w:id="68" w:name="_Toc210050839"/>
      <w:bookmarkStart w:id="69" w:name="_Toc265221456"/>
    </w:p>
    <w:p w14:paraId="2EDB2ADD">
      <w:pPr>
        <w:pageBreakBefore w:val="0"/>
        <w:numPr>
          <w:ilvl w:val="0"/>
          <w:numId w:val="0"/>
        </w:numPr>
        <w:tabs>
          <w:tab w:val="left" w:pos="525"/>
          <w:tab w:val="left" w:pos="987"/>
        </w:tabs>
        <w:kinsoku/>
        <w:wordWrap/>
        <w:overflowPunct/>
        <w:topLinePunct w:val="0"/>
        <w:bidi w:val="0"/>
        <w:spacing w:before="260" w:beforeLines="50" w:after="100" w:line="360" w:lineRule="auto"/>
        <w:ind w:left="-1" w:leftChars="0" w:firstLine="640" w:firstLineChars="200"/>
        <w:outlineLvl w:val="1"/>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 xml:space="preserve">1. </w:t>
      </w:r>
      <w:bookmarkEnd w:id="67"/>
      <w:r>
        <w:rPr>
          <w:rFonts w:hint="eastAsia" w:ascii="仿宋_GB2312" w:hAnsi="仿宋_GB2312" w:eastAsia="仿宋_GB2312" w:cs="仿宋_GB2312"/>
          <w:b w:val="0"/>
          <w:bCs/>
          <w:color w:val="auto"/>
          <w:sz w:val="32"/>
          <w:szCs w:val="32"/>
          <w:highlight w:val="none"/>
          <w:lang w:val="en-US" w:eastAsia="zh-CN"/>
        </w:rPr>
        <w:t>住宅区域</w:t>
      </w:r>
    </w:p>
    <w:p w14:paraId="246988D4">
      <w:pPr>
        <w:pageBreakBefore w:val="0"/>
        <w:numPr>
          <w:ilvl w:val="0"/>
          <w:numId w:val="0"/>
        </w:numPr>
        <w:tabs>
          <w:tab w:val="left" w:pos="525"/>
          <w:tab w:val="left" w:pos="987"/>
        </w:tabs>
        <w:kinsoku/>
        <w:wordWrap/>
        <w:overflowPunct/>
        <w:topLinePunct w:val="0"/>
        <w:bidi w:val="0"/>
        <w:spacing w:before="260" w:beforeLines="50" w:after="100" w:line="360" w:lineRule="auto"/>
        <w:ind w:left="-1" w:leftChars="0" w:firstLine="640" w:firstLineChars="200"/>
        <w:outlineLvl w:val="1"/>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1</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 xml:space="preserve"> </w:t>
      </w:r>
      <w:r>
        <w:rPr>
          <w:rFonts w:hint="eastAsia" w:ascii="仿宋_GB2312" w:hAnsi="仿宋_GB2312" w:eastAsia="仿宋_GB2312" w:cs="仿宋_GB2312"/>
          <w:b w:val="0"/>
          <w:bCs/>
          <w:color w:val="auto"/>
          <w:sz w:val="32"/>
          <w:szCs w:val="32"/>
          <w:highlight w:val="none"/>
        </w:rPr>
        <w:t>安全防范系统——出入口控制系统</w:t>
      </w:r>
    </w:p>
    <w:p w14:paraId="1313ABCC">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门禁单元位置：</w:t>
      </w:r>
    </w:p>
    <w:p w14:paraId="72568C85">
      <w:pPr>
        <w:pageBreakBefore w:val="0"/>
        <w:numPr>
          <w:ilvl w:val="0"/>
          <w:numId w:val="14"/>
        </w:numPr>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常规布置[适用范围]：</w:t>
      </w:r>
      <w:r>
        <w:rPr>
          <w:rFonts w:hint="eastAsia" w:ascii="仿宋_GB2312" w:hAnsi="仿宋_GB2312" w:eastAsia="仿宋_GB2312" w:cs="仿宋_GB2312"/>
          <w:color w:val="auto"/>
          <w:sz w:val="32"/>
          <w:szCs w:val="32"/>
          <w:highlight w:val="none"/>
          <w:u w:val="single"/>
        </w:rPr>
        <w:t>园区出入口、地下室非机动车出入口、监控中心出入口</w:t>
      </w:r>
      <w:r>
        <w:rPr>
          <w:rFonts w:hint="eastAsia" w:ascii="仿宋_GB2312" w:hAnsi="仿宋_GB2312" w:eastAsia="仿宋_GB2312" w:cs="仿宋_GB2312"/>
          <w:color w:val="auto"/>
          <w:sz w:val="32"/>
          <w:szCs w:val="32"/>
          <w:highlight w:val="none"/>
          <w:u w:val="single"/>
          <w:lang w:eastAsia="zh-CN"/>
        </w:rPr>
        <w:t>（</w:t>
      </w:r>
      <w:r>
        <w:rPr>
          <w:rFonts w:hint="eastAsia" w:ascii="仿宋_GB2312" w:hAnsi="仿宋_GB2312" w:eastAsia="仿宋_GB2312" w:cs="仿宋_GB2312"/>
          <w:color w:val="auto"/>
          <w:sz w:val="32"/>
          <w:szCs w:val="32"/>
          <w:highlight w:val="none"/>
          <w:u w:val="single"/>
          <w:lang w:val="en-US" w:eastAsia="zh-CN"/>
        </w:rPr>
        <w:t>以上采用读卡器</w:t>
      </w:r>
      <w:r>
        <w:rPr>
          <w:rFonts w:hint="eastAsia" w:ascii="仿宋_GB2312" w:hAnsi="仿宋_GB2312" w:eastAsia="仿宋_GB2312" w:cs="仿宋_GB2312"/>
          <w:color w:val="auto"/>
          <w:sz w:val="32"/>
          <w:szCs w:val="32"/>
          <w:highlight w:val="none"/>
          <w:u w:val="single"/>
          <w:lang w:eastAsia="zh-CN"/>
        </w:rPr>
        <w:t>）</w:t>
      </w:r>
    </w:p>
    <w:p w14:paraId="4A67C40A">
      <w:pPr>
        <w:pageBreakBefore w:val="0"/>
        <w:numPr>
          <w:ilvl w:val="0"/>
          <w:numId w:val="0"/>
        </w:numPr>
        <w:kinsoku/>
        <w:wordWrap/>
        <w:overflowPunct/>
        <w:topLinePunct w:val="0"/>
        <w:bidi w:val="0"/>
        <w:spacing w:line="360" w:lineRule="auto"/>
        <w:ind w:firstLine="1280" w:firstLineChars="4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u w:val="single"/>
        </w:rPr>
        <w:t>住宅楼栋出入口</w:t>
      </w:r>
      <w:r>
        <w:rPr>
          <w:rFonts w:hint="eastAsia" w:ascii="仿宋_GB2312" w:hAnsi="仿宋_GB2312" w:eastAsia="仿宋_GB2312" w:cs="仿宋_GB2312"/>
          <w:color w:val="auto"/>
          <w:sz w:val="32"/>
          <w:szCs w:val="32"/>
          <w:highlight w:val="none"/>
          <w:u w:val="single"/>
          <w:lang w:eastAsia="zh-CN"/>
        </w:rPr>
        <w:t>（</w:t>
      </w:r>
      <w:r>
        <w:rPr>
          <w:rFonts w:hint="eastAsia" w:ascii="仿宋_GB2312" w:hAnsi="仿宋_GB2312" w:eastAsia="仿宋_GB2312" w:cs="仿宋_GB2312"/>
          <w:color w:val="auto"/>
          <w:sz w:val="32"/>
          <w:szCs w:val="32"/>
          <w:highlight w:val="none"/>
          <w:u w:val="single"/>
          <w:lang w:val="en-US" w:eastAsia="zh-CN"/>
        </w:rPr>
        <w:t>采用门口单元机</w:t>
      </w:r>
      <w:r>
        <w:rPr>
          <w:rFonts w:hint="eastAsia" w:ascii="仿宋_GB2312" w:hAnsi="仿宋_GB2312" w:eastAsia="仿宋_GB2312" w:cs="仿宋_GB2312"/>
          <w:color w:val="auto"/>
          <w:sz w:val="32"/>
          <w:szCs w:val="32"/>
          <w:highlight w:val="none"/>
          <w:u w:val="single"/>
          <w:lang w:eastAsia="zh-CN"/>
        </w:rPr>
        <w:t>）</w:t>
      </w:r>
    </w:p>
    <w:p w14:paraId="3878CA9D">
      <w:pPr>
        <w:pageBreakBefore w:val="0"/>
        <w:numPr>
          <w:ilvl w:val="0"/>
          <w:numId w:val="14"/>
        </w:numPr>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加强布置[适用范围]：</w:t>
      </w:r>
      <w:r>
        <w:rPr>
          <w:rFonts w:hint="eastAsia" w:ascii="仿宋_GB2312" w:hAnsi="仿宋_GB2312" w:eastAsia="仿宋_GB2312" w:cs="仿宋_GB2312"/>
          <w:color w:val="auto"/>
          <w:sz w:val="32"/>
          <w:szCs w:val="32"/>
          <w:highlight w:val="none"/>
          <w:u w:val="single"/>
        </w:rPr>
        <w:t>住宅裙塔楼转换层出入口、天台出入口</w:t>
      </w:r>
    </w:p>
    <w:p w14:paraId="6947652B">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进门形式：</w:t>
      </w:r>
    </w:p>
    <w:p w14:paraId="56C9C6BC">
      <w:pPr>
        <w:pageBreakBefore w:val="0"/>
        <w:numPr>
          <w:ilvl w:val="0"/>
          <w:numId w:val="15"/>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rPr>
        <w:t>刷卡、道闸[适用范围]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u w:val="single"/>
          <w:lang w:val="en-US" w:eastAsia="zh-CN"/>
        </w:rPr>
        <w:t>园区入口</w:t>
      </w:r>
    </w:p>
    <w:p w14:paraId="50E8EB82">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b. </w:t>
      </w:r>
      <w:r>
        <w:rPr>
          <w:rFonts w:hint="eastAsia" w:ascii="仿宋_GB2312" w:hAnsi="仿宋_GB2312" w:eastAsia="仿宋_GB2312" w:cs="仿宋_GB2312"/>
          <w:color w:val="auto"/>
          <w:sz w:val="32"/>
          <w:szCs w:val="32"/>
          <w:highlight w:val="none"/>
        </w:rPr>
        <w:t>刷卡、电磁锁[适用范围]：</w:t>
      </w:r>
      <w:r>
        <w:rPr>
          <w:rFonts w:hint="eastAsia" w:ascii="仿宋_GB2312" w:hAnsi="仿宋_GB2312" w:eastAsia="仿宋_GB2312" w:cs="仿宋_GB2312"/>
          <w:color w:val="auto"/>
          <w:sz w:val="32"/>
          <w:szCs w:val="32"/>
          <w:highlight w:val="none"/>
          <w:u w:val="single"/>
          <w:lang w:val="en-US" w:eastAsia="zh-CN"/>
        </w:rPr>
        <w:t>住宅楼栋</w:t>
      </w:r>
    </w:p>
    <w:p w14:paraId="041DF1ED">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c. </w:t>
      </w:r>
      <w:r>
        <w:rPr>
          <w:rFonts w:hint="eastAsia" w:ascii="仿宋_GB2312" w:hAnsi="仿宋_GB2312" w:eastAsia="仿宋_GB2312" w:cs="仿宋_GB2312"/>
          <w:color w:val="auto"/>
          <w:sz w:val="32"/>
          <w:szCs w:val="32"/>
          <w:highlight w:val="none"/>
        </w:rPr>
        <w:t>刷卡电梯[适用范围]：</w:t>
      </w:r>
      <w:r>
        <w:rPr>
          <w:rFonts w:hint="eastAsia" w:ascii="仿宋_GB2312" w:hAnsi="仿宋_GB2312" w:eastAsia="仿宋_GB2312" w:cs="仿宋_GB2312"/>
          <w:color w:val="auto"/>
          <w:sz w:val="32"/>
          <w:szCs w:val="32"/>
          <w:highlight w:val="none"/>
          <w:u w:val="single"/>
        </w:rPr>
        <w:t>本项目不适用</w:t>
      </w:r>
    </w:p>
    <w:p w14:paraId="73D12638">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出门形式</w:t>
      </w:r>
    </w:p>
    <w:p w14:paraId="1CD102E7">
      <w:pPr>
        <w:pageBreakBefore w:val="0"/>
        <w:kinsoku/>
        <w:wordWrap/>
        <w:overflowPunct/>
        <w:topLinePunct w:val="0"/>
        <w:bidi w:val="0"/>
        <w:spacing w:before="130" w:beforeLines="25"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刷卡、电磁锁 [适用范围]：</w:t>
      </w:r>
      <w:r>
        <w:rPr>
          <w:rFonts w:hint="eastAsia" w:ascii="仿宋_GB2312" w:hAnsi="仿宋_GB2312" w:eastAsia="仿宋_GB2312" w:cs="仿宋_GB2312"/>
          <w:color w:val="auto"/>
          <w:sz w:val="32"/>
          <w:szCs w:val="32"/>
          <w:highlight w:val="none"/>
          <w:u w:val="single"/>
          <w:lang w:val="en-US" w:eastAsia="zh-CN"/>
        </w:rPr>
        <w:t>园区出口</w:t>
      </w:r>
    </w:p>
    <w:p w14:paraId="088AEEFA">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出门按钮、电磁锁[适用范围]：</w:t>
      </w:r>
      <w:r>
        <w:rPr>
          <w:rFonts w:hint="eastAsia" w:ascii="仿宋_GB2312" w:hAnsi="仿宋_GB2312" w:eastAsia="仿宋_GB2312" w:cs="仿宋_GB2312"/>
          <w:color w:val="auto"/>
          <w:sz w:val="32"/>
          <w:szCs w:val="32"/>
          <w:highlight w:val="none"/>
          <w:u w:val="single"/>
          <w:lang w:val="en-US" w:eastAsia="zh-CN"/>
        </w:rPr>
        <w:t>住宅楼栋</w:t>
      </w:r>
    </w:p>
    <w:p w14:paraId="0917DFE4">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④ </w:t>
      </w:r>
      <w:r>
        <w:rPr>
          <w:rFonts w:hint="eastAsia" w:ascii="仿宋_GB2312" w:hAnsi="仿宋_GB2312" w:eastAsia="仿宋_GB2312" w:cs="仿宋_GB2312"/>
          <w:color w:val="auto"/>
          <w:sz w:val="32"/>
          <w:szCs w:val="32"/>
          <w:highlight w:val="none"/>
        </w:rPr>
        <w:t>访客管理形式</w:t>
      </w:r>
    </w:p>
    <w:p w14:paraId="0C1FED2F">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访客不持卡[适用范围]：</w:t>
      </w:r>
      <w:r>
        <w:rPr>
          <w:rFonts w:hint="eastAsia" w:ascii="仿宋_GB2312" w:hAnsi="仿宋_GB2312" w:eastAsia="仿宋_GB2312" w:cs="仿宋_GB2312"/>
          <w:color w:val="auto"/>
          <w:sz w:val="32"/>
          <w:szCs w:val="32"/>
          <w:highlight w:val="none"/>
          <w:u w:val="single"/>
          <w:lang w:val="en-US" w:eastAsia="zh-CN"/>
        </w:rPr>
        <w:t>本项目</w:t>
      </w:r>
      <w:r>
        <w:rPr>
          <w:rFonts w:hint="eastAsia" w:ascii="仿宋_GB2312" w:hAnsi="仿宋_GB2312" w:eastAsia="仿宋_GB2312" w:cs="仿宋_GB2312"/>
          <w:color w:val="auto"/>
          <w:sz w:val="32"/>
          <w:szCs w:val="32"/>
          <w:highlight w:val="none"/>
        </w:rPr>
        <w:t xml:space="preserve"> </w:t>
      </w:r>
    </w:p>
    <w:p w14:paraId="2187E8DE">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访客持卡[适用范围]：</w:t>
      </w:r>
      <w:r>
        <w:rPr>
          <w:rFonts w:hint="eastAsia" w:ascii="仿宋_GB2312" w:hAnsi="仿宋_GB2312" w:eastAsia="仿宋_GB2312" w:cs="仿宋_GB2312"/>
          <w:color w:val="auto"/>
          <w:sz w:val="32"/>
          <w:szCs w:val="32"/>
          <w:highlight w:val="none"/>
          <w:u w:val="single"/>
        </w:rPr>
        <w:t>不适用</w:t>
      </w:r>
    </w:p>
    <w:p w14:paraId="65627BC4">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⑤ </w:t>
      </w:r>
      <w:r>
        <w:rPr>
          <w:rFonts w:hint="eastAsia" w:ascii="仿宋_GB2312" w:hAnsi="仿宋_GB2312" w:eastAsia="仿宋_GB2312" w:cs="仿宋_GB2312"/>
          <w:color w:val="auto"/>
          <w:sz w:val="32"/>
          <w:szCs w:val="32"/>
          <w:highlight w:val="none"/>
        </w:rPr>
        <w:t>消防联动模式</w:t>
      </w:r>
    </w:p>
    <w:p w14:paraId="18936802">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消防确认时电气开关脱扣，供电电源关闭[适用范围]：</w:t>
      </w:r>
      <w:r>
        <w:rPr>
          <w:rFonts w:hint="eastAsia" w:ascii="仿宋_GB2312" w:hAnsi="仿宋_GB2312" w:eastAsia="仿宋_GB2312" w:cs="仿宋_GB2312"/>
          <w:color w:val="auto"/>
          <w:sz w:val="32"/>
          <w:szCs w:val="32"/>
          <w:highlight w:val="none"/>
          <w:u w:val="single"/>
          <w:lang w:val="en-US" w:eastAsia="zh-CN"/>
        </w:rPr>
        <w:t>住宅楼栋</w:t>
      </w:r>
    </w:p>
    <w:p w14:paraId="0B34AE66">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b. </w:t>
      </w:r>
      <w:r>
        <w:rPr>
          <w:rFonts w:hint="eastAsia" w:ascii="仿宋_GB2312" w:hAnsi="仿宋_GB2312" w:eastAsia="仿宋_GB2312" w:cs="仿宋_GB2312"/>
          <w:color w:val="auto"/>
          <w:sz w:val="32"/>
          <w:szCs w:val="32"/>
          <w:highlight w:val="none"/>
        </w:rPr>
        <w:t>消防联动门禁控制器，控制供电电源关闭[适用范围]：</w:t>
      </w:r>
      <w:r>
        <w:rPr>
          <w:rFonts w:hint="eastAsia" w:ascii="仿宋_GB2312" w:hAnsi="仿宋_GB2312" w:eastAsia="仿宋_GB2312" w:cs="仿宋_GB2312"/>
          <w:color w:val="auto"/>
          <w:sz w:val="32"/>
          <w:szCs w:val="32"/>
          <w:highlight w:val="none"/>
          <w:u w:val="single"/>
        </w:rPr>
        <w:t>不适用</w:t>
      </w:r>
    </w:p>
    <w:p w14:paraId="67629774">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⑥ </w:t>
      </w:r>
      <w:r>
        <w:rPr>
          <w:rFonts w:hint="eastAsia" w:ascii="仿宋_GB2312" w:hAnsi="仿宋_GB2312" w:eastAsia="仿宋_GB2312" w:cs="仿宋_GB2312"/>
          <w:color w:val="auto"/>
          <w:sz w:val="32"/>
          <w:szCs w:val="32"/>
          <w:highlight w:val="none"/>
        </w:rPr>
        <w:t>卡片类型</w:t>
      </w:r>
    </w:p>
    <w:p w14:paraId="5F4DB960">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a. </w:t>
      </w:r>
      <w:r>
        <w:rPr>
          <w:rFonts w:hint="eastAsia" w:ascii="仿宋_GB2312" w:hAnsi="仿宋_GB2312" w:eastAsia="仿宋_GB2312" w:cs="仿宋_GB2312"/>
          <w:color w:val="auto"/>
          <w:sz w:val="32"/>
          <w:szCs w:val="32"/>
          <w:highlight w:val="none"/>
        </w:rPr>
        <w:t>非接触式逻辑加密IC卡[适用范围]：</w:t>
      </w:r>
      <w:r>
        <w:rPr>
          <w:rFonts w:hint="eastAsia" w:ascii="仿宋_GB2312" w:hAnsi="仿宋_GB2312" w:eastAsia="仿宋_GB2312" w:cs="仿宋_GB2312"/>
          <w:color w:val="auto"/>
          <w:sz w:val="32"/>
          <w:szCs w:val="32"/>
          <w:highlight w:val="none"/>
          <w:u w:val="single"/>
          <w:lang w:val="en-US" w:eastAsia="zh-CN"/>
        </w:rPr>
        <w:t>本项目</w:t>
      </w:r>
      <w:r>
        <w:rPr>
          <w:rFonts w:hint="eastAsia" w:ascii="仿宋_GB2312" w:hAnsi="仿宋_GB2312" w:eastAsia="仿宋_GB2312" w:cs="仿宋_GB2312"/>
          <w:color w:val="auto"/>
          <w:sz w:val="32"/>
          <w:szCs w:val="32"/>
          <w:highlight w:val="none"/>
        </w:rPr>
        <w:t xml:space="preserve"> </w:t>
      </w:r>
    </w:p>
    <w:p w14:paraId="003B8CDA">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b. </w:t>
      </w:r>
      <w:r>
        <w:rPr>
          <w:rFonts w:hint="eastAsia" w:ascii="仿宋_GB2312" w:hAnsi="仿宋_GB2312" w:eastAsia="仿宋_GB2312" w:cs="仿宋_GB2312"/>
          <w:color w:val="auto"/>
          <w:sz w:val="32"/>
          <w:szCs w:val="32"/>
          <w:highlight w:val="none"/>
        </w:rPr>
        <w:t>非接触式智能IC卡[适用范围]：</w:t>
      </w:r>
      <w:r>
        <w:rPr>
          <w:rFonts w:hint="eastAsia" w:ascii="仿宋_GB2312" w:hAnsi="仿宋_GB2312" w:eastAsia="仿宋_GB2312" w:cs="仿宋_GB2312"/>
          <w:color w:val="auto"/>
          <w:sz w:val="32"/>
          <w:szCs w:val="32"/>
          <w:highlight w:val="none"/>
          <w:u w:val="single"/>
        </w:rPr>
        <w:t>不适用</w:t>
      </w:r>
    </w:p>
    <w:p w14:paraId="2EA5E564">
      <w:pPr>
        <w:pageBreakBefore w:val="0"/>
        <w:kinsoku/>
        <w:wordWrap/>
        <w:overflowPunct/>
        <w:topLinePunct w:val="0"/>
        <w:bidi w:val="0"/>
        <w:spacing w:line="360" w:lineRule="auto"/>
        <w:ind w:firstLine="156" w:firstLineChars="49"/>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2</w:t>
      </w:r>
      <w:r>
        <w:rPr>
          <w:rFonts w:hint="eastAsia" w:ascii="仿宋_GB2312" w:hAnsi="仿宋_GB2312" w:eastAsia="仿宋_GB2312" w:cs="仿宋_GB2312"/>
          <w:b w:val="0"/>
          <w:bCs/>
          <w:color w:val="auto"/>
          <w:sz w:val="32"/>
          <w:szCs w:val="32"/>
          <w:highlight w:val="none"/>
        </w:rPr>
        <w:t>）安全防范系统——周界防越报警系统</w:t>
      </w:r>
    </w:p>
    <w:p w14:paraId="197D88F7">
      <w:pPr>
        <w:pageBreakBefore w:val="0"/>
        <w:kinsoku/>
        <w:wordWrap/>
        <w:overflowPunct/>
        <w:topLinePunct w:val="0"/>
        <w:bidi w:val="0"/>
        <w:spacing w:line="360" w:lineRule="auto"/>
        <w:ind w:firstLine="265" w:firstLineChars="8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防区设置：每</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u w:val="single"/>
          <w:lang w:val="en-US" w:eastAsia="zh-CN"/>
        </w:rPr>
        <w:t>150</w:t>
      </w:r>
      <w:r>
        <w:rPr>
          <w:rFonts w:hint="eastAsia" w:ascii="仿宋_GB2312" w:hAnsi="仿宋_GB2312" w:eastAsia="仿宋_GB2312" w:cs="仿宋_GB2312"/>
          <w:color w:val="auto"/>
          <w:sz w:val="32"/>
          <w:szCs w:val="32"/>
          <w:highlight w:val="none"/>
          <w:u w:val="single"/>
        </w:rPr>
        <w:t xml:space="preserve">  </w:t>
      </w:r>
      <w:r>
        <w:rPr>
          <w:rFonts w:hint="eastAsia" w:ascii="仿宋_GB2312" w:hAnsi="仿宋_GB2312" w:eastAsia="仿宋_GB2312" w:cs="仿宋_GB2312"/>
          <w:color w:val="auto"/>
          <w:sz w:val="32"/>
          <w:szCs w:val="32"/>
          <w:highlight w:val="none"/>
        </w:rPr>
        <w:t>m设置一个防区</w:t>
      </w:r>
    </w:p>
    <w:p w14:paraId="472F2451">
      <w:pPr>
        <w:pageBreakBefore w:val="0"/>
        <w:kinsoku/>
        <w:wordWrap/>
        <w:overflowPunct/>
        <w:topLinePunct w:val="0"/>
        <w:bidi w:val="0"/>
        <w:spacing w:line="360" w:lineRule="auto"/>
        <w:ind w:firstLine="265" w:firstLineChars="83"/>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报警形式：</w:t>
      </w:r>
      <w:r>
        <w:rPr>
          <w:rFonts w:hint="eastAsia" w:ascii="仿宋_GB2312" w:hAnsi="仿宋_GB2312" w:eastAsia="仿宋_GB2312" w:cs="仿宋_GB2312"/>
          <w:color w:val="auto"/>
          <w:sz w:val="32"/>
          <w:szCs w:val="32"/>
          <w:highlight w:val="none"/>
          <w:u w:val="single"/>
          <w:lang w:val="en-US" w:eastAsia="zh-CN"/>
        </w:rPr>
        <w:t>红外对射、电子围栏、摄像机智能分析（按照项目情况选取）</w:t>
      </w:r>
    </w:p>
    <w:p w14:paraId="195F24BD">
      <w:pPr>
        <w:pageBreakBefore w:val="0"/>
        <w:kinsoku/>
        <w:wordWrap/>
        <w:overflowPunct/>
        <w:topLinePunct w:val="0"/>
        <w:bidi w:val="0"/>
        <w:spacing w:line="360" w:lineRule="auto"/>
        <w:ind w:firstLine="265" w:firstLineChars="8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防越报警：</w:t>
      </w:r>
    </w:p>
    <w:p w14:paraId="47A7D1A7">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自动反击并发出报警信号[适用范围]：</w:t>
      </w:r>
      <w:r>
        <w:rPr>
          <w:rFonts w:hint="eastAsia" w:ascii="仿宋_GB2312" w:hAnsi="仿宋_GB2312" w:eastAsia="仿宋_GB2312" w:cs="仿宋_GB2312"/>
          <w:color w:val="auto"/>
          <w:sz w:val="32"/>
          <w:szCs w:val="32"/>
          <w:highlight w:val="none"/>
          <w:u w:val="single"/>
        </w:rPr>
        <w:t>本项目</w:t>
      </w:r>
    </w:p>
    <w:p w14:paraId="661933ED">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电子地图[适用范围]：</w:t>
      </w:r>
      <w:r>
        <w:rPr>
          <w:rFonts w:hint="eastAsia" w:ascii="仿宋_GB2312" w:hAnsi="仿宋_GB2312" w:eastAsia="仿宋_GB2312" w:cs="仿宋_GB2312"/>
          <w:color w:val="auto"/>
          <w:sz w:val="32"/>
          <w:szCs w:val="32"/>
          <w:highlight w:val="none"/>
          <w:u w:val="single"/>
        </w:rPr>
        <w:t>不适用</w:t>
      </w:r>
    </w:p>
    <w:p w14:paraId="29C2CF05">
      <w:pPr>
        <w:pageBreakBefore w:val="0"/>
        <w:kinsoku/>
        <w:wordWrap/>
        <w:overflowPunct/>
        <w:topLinePunct w:val="0"/>
        <w:bidi w:val="0"/>
        <w:spacing w:line="360" w:lineRule="auto"/>
        <w:ind w:firstLine="265" w:firstLineChars="83"/>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系统联动要求</w:t>
      </w:r>
    </w:p>
    <w:p w14:paraId="58D5B449">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灯光警告[适用范围]：</w:t>
      </w:r>
      <w:r>
        <w:rPr>
          <w:rFonts w:hint="eastAsia" w:ascii="仿宋_GB2312" w:hAnsi="仿宋_GB2312" w:eastAsia="仿宋_GB2312" w:cs="仿宋_GB2312"/>
          <w:color w:val="auto"/>
          <w:sz w:val="32"/>
          <w:szCs w:val="32"/>
          <w:highlight w:val="none"/>
          <w:u w:val="single"/>
        </w:rPr>
        <w:t>本项目</w:t>
      </w:r>
    </w:p>
    <w:p w14:paraId="2D09110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与周界视频监控系统联动[适用范围]：</w:t>
      </w:r>
      <w:r>
        <w:rPr>
          <w:rFonts w:hint="eastAsia" w:ascii="仿宋_GB2312" w:hAnsi="仿宋_GB2312" w:eastAsia="仿宋_GB2312" w:cs="仿宋_GB2312"/>
          <w:color w:val="auto"/>
          <w:sz w:val="32"/>
          <w:szCs w:val="32"/>
          <w:highlight w:val="none"/>
          <w:u w:val="single"/>
        </w:rPr>
        <w:t>不适用</w:t>
      </w:r>
    </w:p>
    <w:p w14:paraId="78CDEBCD">
      <w:pPr>
        <w:pageBreakBefore w:val="0"/>
        <w:kinsoku/>
        <w:wordWrap/>
        <w:overflowPunct/>
        <w:topLinePunct w:val="0"/>
        <w:bidi w:val="0"/>
        <w:spacing w:line="360" w:lineRule="auto"/>
        <w:ind w:firstLine="156" w:firstLineChars="49"/>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3</w:t>
      </w:r>
      <w:r>
        <w:rPr>
          <w:rFonts w:hint="eastAsia" w:ascii="仿宋_GB2312" w:hAnsi="仿宋_GB2312" w:eastAsia="仿宋_GB2312" w:cs="仿宋_GB2312"/>
          <w:b w:val="0"/>
          <w:bCs/>
          <w:color w:val="auto"/>
          <w:sz w:val="32"/>
          <w:szCs w:val="32"/>
          <w:highlight w:val="none"/>
        </w:rPr>
        <w:t>）安全防范系统——视频监控系统</w:t>
      </w:r>
    </w:p>
    <w:p w14:paraId="0832906C">
      <w:pPr>
        <w:pageBreakBefore w:val="0"/>
        <w:kinsoku/>
        <w:wordWrap/>
        <w:overflowPunct/>
        <w:topLinePunct w:val="0"/>
        <w:bidi w:val="0"/>
        <w:spacing w:line="360" w:lineRule="auto"/>
        <w:ind w:firstLine="796" w:firstLineChars="24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摄像机设置范围：</w:t>
      </w:r>
    </w:p>
    <w:p w14:paraId="65959BFC">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常规布置[适用范围]：</w:t>
      </w:r>
      <w:r>
        <w:rPr>
          <w:rFonts w:hint="eastAsia" w:ascii="仿宋_GB2312" w:hAnsi="仿宋_GB2312" w:eastAsia="仿宋_GB2312" w:cs="仿宋_GB2312"/>
          <w:color w:val="auto"/>
          <w:sz w:val="32"/>
          <w:szCs w:val="32"/>
          <w:highlight w:val="none"/>
          <w:u w:val="single"/>
        </w:rPr>
        <w:t>小区出入口、地下车库出入口、停车场、住宅大堂电梯前室、住宅塔楼地下室出入口、电梯轿厢区域</w:t>
      </w:r>
    </w:p>
    <w:p w14:paraId="15DB49F1">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加强布置[适用范围]：</w:t>
      </w:r>
      <w:r>
        <w:rPr>
          <w:rFonts w:hint="eastAsia" w:ascii="仿宋_GB2312" w:hAnsi="仿宋_GB2312" w:eastAsia="仿宋_GB2312" w:cs="仿宋_GB2312"/>
          <w:color w:val="auto"/>
          <w:sz w:val="32"/>
          <w:szCs w:val="32"/>
          <w:highlight w:val="none"/>
          <w:u w:val="single"/>
        </w:rPr>
        <w:t>小区周界、小区交通要道、重要机房出入口</w:t>
      </w:r>
    </w:p>
    <w:p w14:paraId="4BE918D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c. </w:t>
      </w:r>
      <w:r>
        <w:rPr>
          <w:rFonts w:hint="eastAsia" w:ascii="仿宋_GB2312" w:hAnsi="仿宋_GB2312" w:eastAsia="仿宋_GB2312" w:cs="仿宋_GB2312"/>
          <w:color w:val="auto"/>
          <w:sz w:val="32"/>
          <w:szCs w:val="32"/>
          <w:highlight w:val="none"/>
        </w:rPr>
        <w:t>特殊布置[适用范围]：</w:t>
      </w:r>
      <w:r>
        <w:rPr>
          <w:rFonts w:hint="eastAsia" w:ascii="仿宋_GB2312" w:hAnsi="仿宋_GB2312" w:eastAsia="仿宋_GB2312" w:cs="仿宋_GB2312"/>
          <w:color w:val="auto"/>
          <w:sz w:val="32"/>
          <w:szCs w:val="32"/>
          <w:highlight w:val="none"/>
          <w:u w:val="single"/>
        </w:rPr>
        <w:t>物业收费处、客服前台（只录不监）</w:t>
      </w:r>
    </w:p>
    <w:p w14:paraId="29BC4BC5">
      <w:pPr>
        <w:pageBreakBefore w:val="0"/>
        <w:kinsoku/>
        <w:wordWrap/>
        <w:overflowPunct/>
        <w:topLinePunct w:val="0"/>
        <w:bidi w:val="0"/>
        <w:spacing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4</w:t>
      </w:r>
      <w:r>
        <w:rPr>
          <w:rFonts w:hint="eastAsia" w:ascii="仿宋_GB2312" w:hAnsi="仿宋_GB2312" w:eastAsia="仿宋_GB2312" w:cs="仿宋_GB2312"/>
          <w:b w:val="0"/>
          <w:bCs/>
          <w:color w:val="auto"/>
          <w:sz w:val="32"/>
          <w:szCs w:val="32"/>
          <w:highlight w:val="none"/>
        </w:rPr>
        <w:t>）安全防范系统——电子巡更系统</w:t>
      </w:r>
    </w:p>
    <w:p w14:paraId="1FE810F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巡更点位设置范围：</w:t>
      </w:r>
    </w:p>
    <w:p w14:paraId="7AAC292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常规布置：</w:t>
      </w:r>
      <w:r>
        <w:rPr>
          <w:rFonts w:hint="eastAsia" w:ascii="仿宋_GB2312" w:hAnsi="仿宋_GB2312" w:eastAsia="仿宋_GB2312" w:cs="仿宋_GB2312"/>
          <w:color w:val="auto"/>
          <w:sz w:val="32"/>
          <w:szCs w:val="32"/>
          <w:highlight w:val="none"/>
          <w:u w:val="single"/>
        </w:rPr>
        <w:t>配电房、水泵房、停车场、住宅天台、住宅楼层（每五层）、小区安全死角</w:t>
      </w:r>
    </w:p>
    <w:p w14:paraId="4DD462DB">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加强布置：</w:t>
      </w:r>
      <w:r>
        <w:rPr>
          <w:rFonts w:hint="eastAsia" w:ascii="仿宋_GB2312" w:hAnsi="仿宋_GB2312" w:eastAsia="仿宋_GB2312" w:cs="仿宋_GB2312"/>
          <w:color w:val="auto"/>
          <w:sz w:val="32"/>
          <w:szCs w:val="32"/>
          <w:highlight w:val="none"/>
          <w:u w:val="single"/>
        </w:rPr>
        <w:t>小区出入口、住宅楼层（每层）</w:t>
      </w:r>
    </w:p>
    <w:p w14:paraId="2E539BE4">
      <w:pPr>
        <w:pageBreakBefore w:val="0"/>
        <w:kinsoku/>
        <w:wordWrap/>
        <w:overflowPunct/>
        <w:topLinePunct w:val="0"/>
        <w:bidi w:val="0"/>
        <w:spacing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5</w:t>
      </w:r>
      <w:r>
        <w:rPr>
          <w:rFonts w:hint="eastAsia" w:ascii="仿宋_GB2312" w:hAnsi="仿宋_GB2312" w:eastAsia="仿宋_GB2312" w:cs="仿宋_GB2312"/>
          <w:b w:val="0"/>
          <w:bCs/>
          <w:color w:val="auto"/>
          <w:sz w:val="32"/>
          <w:szCs w:val="32"/>
          <w:highlight w:val="none"/>
        </w:rPr>
        <w:t>）安全防范系统——可视对讲系统</w:t>
      </w:r>
    </w:p>
    <w:p w14:paraId="07C4827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集成功能：</w:t>
      </w:r>
    </w:p>
    <w:p w14:paraId="6FF60E67">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彩色可视对讲</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集成家用火灾报警系统</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集成家居智能化控制系统</w:t>
      </w:r>
    </w:p>
    <w:p w14:paraId="26E1E37F">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rPr>
        <w:t xml:space="preserve"> 对讲门口机设置：</w:t>
      </w:r>
    </w:p>
    <w:p w14:paraId="5A481EEB">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围墙机</w:t>
      </w:r>
      <w:r>
        <w:rPr>
          <w:rFonts w:hint="eastAsia" w:ascii="仿宋_GB2312" w:hAnsi="仿宋_GB2312" w:eastAsia="仿宋_GB2312" w:cs="仿宋_GB2312"/>
          <w:color w:val="auto"/>
          <w:sz w:val="32"/>
          <w:szCs w:val="32"/>
          <w:highlight w:val="none"/>
        </w:rPr>
        <w:t>[适用范围]：</w:t>
      </w:r>
      <w:r>
        <w:rPr>
          <w:rFonts w:hint="eastAsia" w:ascii="仿宋_GB2312" w:hAnsi="仿宋_GB2312" w:eastAsia="仿宋_GB2312" w:cs="仿宋_GB2312"/>
          <w:color w:val="auto"/>
          <w:sz w:val="32"/>
          <w:szCs w:val="32"/>
          <w:highlight w:val="none"/>
          <w:u w:val="single"/>
        </w:rPr>
        <w:t>不适用</w:t>
      </w:r>
    </w:p>
    <w:p w14:paraId="729F5828">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单元门口机</w:t>
      </w:r>
      <w:r>
        <w:rPr>
          <w:rFonts w:hint="eastAsia" w:ascii="仿宋_GB2312" w:hAnsi="仿宋_GB2312" w:eastAsia="仿宋_GB2312" w:cs="仿宋_GB2312"/>
          <w:color w:val="auto"/>
          <w:sz w:val="32"/>
          <w:szCs w:val="32"/>
          <w:highlight w:val="none"/>
        </w:rPr>
        <w:t>[适用范围]：</w:t>
      </w:r>
      <w:r>
        <w:rPr>
          <w:rFonts w:hint="eastAsia" w:ascii="仿宋_GB2312" w:hAnsi="仿宋_GB2312" w:eastAsia="仿宋_GB2312" w:cs="仿宋_GB2312"/>
          <w:color w:val="auto"/>
          <w:sz w:val="32"/>
          <w:szCs w:val="32"/>
          <w:highlight w:val="none"/>
          <w:u w:val="single"/>
        </w:rPr>
        <w:t>首层单元门、地下室单元门</w:t>
      </w:r>
    </w:p>
    <w:p w14:paraId="38459072">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住户门口机[适用范围]：</w:t>
      </w:r>
      <w:r>
        <w:rPr>
          <w:rFonts w:hint="eastAsia" w:ascii="仿宋_GB2312" w:hAnsi="仿宋_GB2312" w:eastAsia="仿宋_GB2312" w:cs="仿宋_GB2312"/>
          <w:color w:val="auto"/>
          <w:sz w:val="32"/>
          <w:szCs w:val="32"/>
          <w:highlight w:val="none"/>
          <w:u w:val="single"/>
        </w:rPr>
        <w:t>不适用</w:t>
      </w:r>
    </w:p>
    <w:p w14:paraId="1D51A0B2">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室内分机设置：</w:t>
      </w:r>
    </w:p>
    <w:p w14:paraId="796263D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客厅门口[适用范围]：</w:t>
      </w:r>
      <w:r>
        <w:rPr>
          <w:rFonts w:hint="eastAsia" w:ascii="仿宋_GB2312" w:hAnsi="仿宋_GB2312" w:eastAsia="仿宋_GB2312" w:cs="仿宋_GB2312"/>
          <w:color w:val="auto"/>
          <w:sz w:val="32"/>
          <w:szCs w:val="32"/>
          <w:highlight w:val="none"/>
          <w:u w:val="single"/>
        </w:rPr>
        <w:t>所有住宅</w:t>
      </w:r>
      <w:r>
        <w:rPr>
          <w:rFonts w:hint="eastAsia" w:ascii="仿宋_GB2312" w:hAnsi="仿宋_GB2312" w:eastAsia="仿宋_GB2312" w:cs="仿宋_GB2312"/>
          <w:color w:val="auto"/>
          <w:sz w:val="32"/>
          <w:szCs w:val="32"/>
          <w:highlight w:val="none"/>
        </w:rPr>
        <w:t xml:space="preserve"> </w:t>
      </w:r>
    </w:p>
    <w:p w14:paraId="49DF9AB6">
      <w:pPr>
        <w:pageBreakBefore w:val="0"/>
        <w:numPr>
          <w:ilvl w:val="0"/>
          <w:numId w:val="16"/>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sz w:val="32"/>
          <w:szCs w:val="32"/>
          <w:highlight w:val="none"/>
        </w:rPr>
        <w:t>小区通信信息网络系统——小区通信网络系统</w:t>
      </w:r>
    </w:p>
    <w:p w14:paraId="7DE13C43">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固话数量</w:t>
      </w:r>
    </w:p>
    <w:p w14:paraId="47E4613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数量应满足住户、物业管理、商业配套、公建配套等需求</w:t>
      </w:r>
    </w:p>
    <w:p w14:paraId="276B8C5A">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机房的设置需要满足任何一家营运商的接入，并应与配套公建共用。</w:t>
      </w:r>
    </w:p>
    <w:p w14:paraId="53A6F96D">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移动信号覆盖[适用范围]：</w:t>
      </w:r>
      <w:r>
        <w:rPr>
          <w:rFonts w:hint="eastAsia" w:ascii="仿宋_GB2312" w:hAnsi="仿宋_GB2312" w:eastAsia="仿宋_GB2312" w:cs="仿宋_GB2312"/>
          <w:color w:val="auto"/>
          <w:sz w:val="32"/>
          <w:szCs w:val="32"/>
          <w:highlight w:val="none"/>
          <w:u w:val="single"/>
        </w:rPr>
        <w:t>全小区（不含电梯轿箱内）</w:t>
      </w:r>
    </w:p>
    <w:p w14:paraId="1440D881">
      <w:pPr>
        <w:pageBreakBefore w:val="0"/>
        <w:numPr>
          <w:ilvl w:val="0"/>
          <w:numId w:val="16"/>
        </w:numPr>
        <w:kinsoku/>
        <w:wordWrap/>
        <w:overflowPunct/>
        <w:topLinePunct w:val="0"/>
        <w:bidi w:val="0"/>
        <w:spacing w:line="360" w:lineRule="auto"/>
        <w:ind w:left="0" w:leftChars="0"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小区通信信息网络系统——公共信息发布系统</w:t>
      </w:r>
    </w:p>
    <w:p w14:paraId="3B92F301">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信息发布点位置：</w:t>
      </w:r>
    </w:p>
    <w:p w14:paraId="454EFA39">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常规布置[适用范围]：</w:t>
      </w:r>
      <w:r>
        <w:rPr>
          <w:rFonts w:hint="eastAsia" w:ascii="仿宋_GB2312" w:hAnsi="仿宋_GB2312" w:eastAsia="仿宋_GB2312" w:cs="仿宋_GB2312"/>
          <w:color w:val="auto"/>
          <w:sz w:val="32"/>
          <w:szCs w:val="32"/>
          <w:highlight w:val="none"/>
          <w:u w:val="single"/>
        </w:rPr>
        <w:t>住宅大堂电梯前室、会所大堂</w:t>
      </w:r>
    </w:p>
    <w:p w14:paraId="57A0A13F">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 xml:space="preserve">加强布置[适用范围]： </w:t>
      </w:r>
      <w:r>
        <w:rPr>
          <w:rFonts w:hint="eastAsia" w:ascii="仿宋_GB2312" w:hAnsi="仿宋_GB2312" w:eastAsia="仿宋_GB2312" w:cs="仿宋_GB2312"/>
          <w:color w:val="auto"/>
          <w:sz w:val="32"/>
          <w:szCs w:val="32"/>
          <w:highlight w:val="none"/>
          <w:u w:val="single"/>
        </w:rPr>
        <w:t>电梯轿箱</w:t>
      </w:r>
    </w:p>
    <w:p w14:paraId="75446015">
      <w:pPr>
        <w:pageBreakBefore w:val="0"/>
        <w:kinsoku/>
        <w:wordWrap/>
        <w:overflowPunct/>
        <w:topLinePunct w:val="0"/>
        <w:bidi w:val="0"/>
        <w:spacing w:line="360" w:lineRule="auto"/>
        <w:ind w:left="0" w:leftChars="0"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 xml:space="preserve">发布点LCD显示屏[适用范围]： </w:t>
      </w:r>
      <w:r>
        <w:rPr>
          <w:rFonts w:hint="eastAsia" w:ascii="仿宋_GB2312" w:hAnsi="仿宋_GB2312" w:eastAsia="仿宋_GB2312" w:cs="仿宋_GB2312"/>
          <w:color w:val="auto"/>
          <w:sz w:val="32"/>
          <w:szCs w:val="32"/>
          <w:highlight w:val="none"/>
          <w:u w:val="single"/>
        </w:rPr>
        <w:t>不安装设备，仅预留点位电源及管线</w:t>
      </w:r>
    </w:p>
    <w:p w14:paraId="0EDF8B3F">
      <w:pPr>
        <w:pageBreakBefore w:val="0"/>
        <w:kinsoku/>
        <w:wordWrap/>
        <w:overflowPunct/>
        <w:topLinePunct w:val="0"/>
        <w:bidi w:val="0"/>
        <w:spacing w:line="360" w:lineRule="auto"/>
        <w:ind w:left="0" w:leftChars="0"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8</w:t>
      </w:r>
      <w:r>
        <w:rPr>
          <w:rFonts w:hint="eastAsia" w:ascii="仿宋_GB2312" w:hAnsi="仿宋_GB2312" w:eastAsia="仿宋_GB2312" w:cs="仿宋_GB2312"/>
          <w:b w:val="0"/>
          <w:bCs/>
          <w:color w:val="auto"/>
          <w:sz w:val="32"/>
          <w:szCs w:val="32"/>
          <w:highlight w:val="none"/>
        </w:rPr>
        <w:t>）车场管理系统——车场收费管理系统</w:t>
      </w:r>
    </w:p>
    <w:p w14:paraId="6C3AE5A4">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 xml:space="preserve"> 管理形式</w:t>
      </w:r>
    </w:p>
    <w:p w14:paraId="4C0DDFE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业主</w:t>
      </w:r>
      <w:r>
        <w:rPr>
          <w:rFonts w:hint="eastAsia" w:ascii="仿宋_GB2312" w:hAnsi="仿宋_GB2312" w:eastAsia="仿宋_GB2312" w:cs="仿宋_GB2312"/>
          <w:color w:val="auto"/>
          <w:sz w:val="32"/>
          <w:szCs w:val="32"/>
          <w:highlight w:val="none"/>
          <w:lang w:val="en-US" w:eastAsia="zh-CN"/>
        </w:rPr>
        <w:t>车牌识别</w:t>
      </w:r>
      <w:r>
        <w:rPr>
          <w:rFonts w:hint="eastAsia" w:ascii="仿宋_GB2312" w:hAnsi="仿宋_GB2312" w:eastAsia="仿宋_GB2312" w:cs="仿宋_GB2312"/>
          <w:color w:val="auto"/>
          <w:sz w:val="32"/>
          <w:szCs w:val="32"/>
          <w:highlight w:val="none"/>
        </w:rPr>
        <w:t>[适用范围]：</w:t>
      </w:r>
      <w:r>
        <w:rPr>
          <w:rFonts w:hint="eastAsia" w:ascii="仿宋_GB2312" w:hAnsi="仿宋_GB2312" w:eastAsia="仿宋_GB2312" w:cs="仿宋_GB2312"/>
          <w:color w:val="auto"/>
          <w:sz w:val="32"/>
          <w:szCs w:val="32"/>
          <w:highlight w:val="none"/>
          <w:u w:val="single"/>
          <w:lang w:val="en-US" w:eastAsia="zh-CN"/>
        </w:rPr>
        <w:t>本项目</w:t>
      </w:r>
    </w:p>
    <w:p w14:paraId="34D48D8B">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访客持临时卡[适用范围]：</w:t>
      </w:r>
      <w:r>
        <w:rPr>
          <w:rFonts w:hint="eastAsia" w:ascii="仿宋_GB2312" w:hAnsi="仿宋_GB2312" w:eastAsia="仿宋_GB2312" w:cs="仿宋_GB2312"/>
          <w:color w:val="auto"/>
          <w:sz w:val="32"/>
          <w:szCs w:val="32"/>
          <w:highlight w:val="none"/>
          <w:u w:val="single"/>
          <w:lang w:val="en-US" w:eastAsia="zh-CN"/>
        </w:rPr>
        <w:t>本项目</w:t>
      </w:r>
    </w:p>
    <w:p w14:paraId="1D796804">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远距离有源IC卡[适用范围]：</w:t>
      </w:r>
      <w:r>
        <w:rPr>
          <w:rFonts w:hint="eastAsia" w:ascii="仿宋_GB2312" w:hAnsi="仿宋_GB2312" w:eastAsia="仿宋_GB2312" w:cs="仿宋_GB2312"/>
          <w:color w:val="auto"/>
          <w:sz w:val="32"/>
          <w:szCs w:val="32"/>
          <w:highlight w:val="none"/>
          <w:u w:val="single"/>
        </w:rPr>
        <w:t>不适用</w:t>
      </w:r>
    </w:p>
    <w:p w14:paraId="356FC4BB">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图像识别[适用范围]：</w:t>
      </w:r>
      <w:r>
        <w:rPr>
          <w:rFonts w:hint="eastAsia" w:ascii="仿宋_GB2312" w:hAnsi="仿宋_GB2312" w:eastAsia="仿宋_GB2312" w:cs="仿宋_GB2312"/>
          <w:color w:val="auto"/>
          <w:sz w:val="32"/>
          <w:szCs w:val="32"/>
          <w:highlight w:val="none"/>
          <w:u w:val="single"/>
        </w:rPr>
        <w:t>仅提供出入图像对比功能，不控制开闸</w:t>
      </w:r>
    </w:p>
    <w:p w14:paraId="5B5108F2">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剩余车位显示[适用范围]：</w:t>
      </w:r>
      <w:r>
        <w:rPr>
          <w:rFonts w:hint="eastAsia" w:ascii="仿宋_GB2312" w:hAnsi="仿宋_GB2312" w:eastAsia="仿宋_GB2312" w:cs="仿宋_GB2312"/>
          <w:color w:val="auto"/>
          <w:sz w:val="32"/>
          <w:szCs w:val="32"/>
          <w:highlight w:val="none"/>
          <w:u w:val="single"/>
        </w:rPr>
        <w:t>不适用</w:t>
      </w:r>
      <w:r>
        <w:rPr>
          <w:rFonts w:hint="eastAsia" w:ascii="仿宋_GB2312" w:hAnsi="仿宋_GB2312" w:eastAsia="仿宋_GB2312" w:cs="仿宋_GB2312"/>
          <w:color w:val="auto"/>
          <w:sz w:val="32"/>
          <w:szCs w:val="32"/>
          <w:highlight w:val="none"/>
        </w:rPr>
        <w:t xml:space="preserve"> </w:t>
      </w:r>
    </w:p>
    <w:p w14:paraId="2348BAA6">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④ </w:t>
      </w:r>
      <w:r>
        <w:rPr>
          <w:rFonts w:hint="eastAsia" w:ascii="仿宋_GB2312" w:hAnsi="仿宋_GB2312" w:eastAsia="仿宋_GB2312" w:cs="仿宋_GB2312"/>
          <w:color w:val="auto"/>
          <w:sz w:val="32"/>
          <w:szCs w:val="32"/>
          <w:highlight w:val="none"/>
        </w:rPr>
        <w:t>入口机自动发卡[适用范围]：</w:t>
      </w:r>
      <w:r>
        <w:rPr>
          <w:rFonts w:hint="eastAsia" w:ascii="仿宋_GB2312" w:hAnsi="仿宋_GB2312" w:eastAsia="仿宋_GB2312" w:cs="仿宋_GB2312"/>
          <w:color w:val="auto"/>
          <w:sz w:val="32"/>
          <w:szCs w:val="32"/>
          <w:highlight w:val="none"/>
          <w:u w:val="single"/>
          <w:lang w:val="en-US" w:eastAsia="zh-CN"/>
        </w:rPr>
        <w:t>本项目</w:t>
      </w:r>
    </w:p>
    <w:p w14:paraId="6BA70671">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⑤ </w:t>
      </w:r>
      <w:r>
        <w:rPr>
          <w:rFonts w:hint="eastAsia" w:ascii="仿宋_GB2312" w:hAnsi="仿宋_GB2312" w:eastAsia="仿宋_GB2312" w:cs="仿宋_GB2312"/>
          <w:color w:val="auto"/>
          <w:sz w:val="32"/>
          <w:szCs w:val="32"/>
          <w:highlight w:val="none"/>
        </w:rPr>
        <w:t>出口机自动收卡[适用范围]：</w:t>
      </w:r>
      <w:r>
        <w:rPr>
          <w:rFonts w:hint="eastAsia" w:ascii="仿宋_GB2312" w:hAnsi="仿宋_GB2312" w:eastAsia="仿宋_GB2312" w:cs="仿宋_GB2312"/>
          <w:color w:val="auto"/>
          <w:sz w:val="32"/>
          <w:szCs w:val="32"/>
          <w:highlight w:val="none"/>
          <w:u w:val="single"/>
        </w:rPr>
        <w:t>不适用</w:t>
      </w:r>
    </w:p>
    <w:p w14:paraId="0BC49149">
      <w:pPr>
        <w:pageBreakBefore w:val="0"/>
        <w:kinsoku/>
        <w:wordWrap/>
        <w:overflowPunct/>
        <w:topLinePunct w:val="0"/>
        <w:bidi w:val="0"/>
        <w:spacing w:line="360" w:lineRule="auto"/>
        <w:ind w:firstLine="582" w:firstLineChars="182"/>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9</w:t>
      </w:r>
      <w:r>
        <w:rPr>
          <w:rFonts w:hint="eastAsia" w:ascii="仿宋_GB2312" w:hAnsi="仿宋_GB2312" w:eastAsia="仿宋_GB2312" w:cs="仿宋_GB2312"/>
          <w:b w:val="0"/>
          <w:bCs/>
          <w:color w:val="auto"/>
          <w:sz w:val="32"/>
          <w:szCs w:val="32"/>
          <w:highlight w:val="none"/>
        </w:rPr>
        <w:t>）物业管理智能化系统——设备监控系统</w:t>
      </w:r>
    </w:p>
    <w:p w14:paraId="7BD2D863">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水池、水箱、重要集水井水位报警[适用范围]：</w:t>
      </w:r>
      <w:r>
        <w:rPr>
          <w:rFonts w:hint="eastAsia" w:ascii="仿宋_GB2312" w:hAnsi="仿宋_GB2312" w:eastAsia="仿宋_GB2312" w:cs="仿宋_GB2312"/>
          <w:color w:val="auto"/>
          <w:sz w:val="32"/>
          <w:szCs w:val="32"/>
          <w:highlight w:val="none"/>
          <w:u w:val="single"/>
          <w:lang w:val="en-US" w:eastAsia="zh-CN"/>
        </w:rPr>
        <w:t>本项目（建议采用成套系统）</w:t>
      </w:r>
    </w:p>
    <w:p w14:paraId="1C284B6D">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电梯五方通话[适用范围]：</w:t>
      </w:r>
      <w:r>
        <w:rPr>
          <w:rFonts w:hint="eastAsia" w:ascii="仿宋_GB2312" w:hAnsi="仿宋_GB2312" w:eastAsia="仿宋_GB2312" w:cs="仿宋_GB2312"/>
          <w:color w:val="auto"/>
          <w:sz w:val="32"/>
          <w:szCs w:val="32"/>
          <w:highlight w:val="none"/>
          <w:u w:val="single"/>
          <w:lang w:val="en-US" w:eastAsia="zh-CN"/>
        </w:rPr>
        <w:t>本项目（若电梯厂家提供则无此项）</w:t>
      </w:r>
    </w:p>
    <w:p w14:paraId="5AC46E20">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电梯远程监控系统[适用范围]：</w:t>
      </w:r>
      <w:r>
        <w:rPr>
          <w:rFonts w:hint="eastAsia" w:ascii="仿宋_GB2312" w:hAnsi="仿宋_GB2312" w:eastAsia="仿宋_GB2312" w:cs="仿宋_GB2312"/>
          <w:color w:val="auto"/>
          <w:sz w:val="32"/>
          <w:szCs w:val="32"/>
          <w:highlight w:val="none"/>
          <w:u w:val="single"/>
        </w:rPr>
        <w:t>不适用</w:t>
      </w:r>
    </w:p>
    <w:p w14:paraId="3127555E">
      <w:pPr>
        <w:pageBreakBefore w:val="0"/>
        <w:kinsoku/>
        <w:wordWrap/>
        <w:overflowPunct/>
        <w:topLinePunct w:val="0"/>
        <w:bidi w:val="0"/>
        <w:spacing w:line="360" w:lineRule="auto"/>
        <w:ind w:firstLine="582" w:firstLineChars="182"/>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10</w:t>
      </w:r>
      <w:r>
        <w:rPr>
          <w:rFonts w:hint="eastAsia" w:ascii="仿宋_GB2312" w:hAnsi="仿宋_GB2312" w:eastAsia="仿宋_GB2312" w:cs="仿宋_GB2312"/>
          <w:b w:val="0"/>
          <w:bCs/>
          <w:color w:val="auto"/>
          <w:sz w:val="32"/>
          <w:szCs w:val="32"/>
          <w:highlight w:val="none"/>
        </w:rPr>
        <w:t>）物业管理智能化系统——集中抄表系统</w:t>
      </w:r>
    </w:p>
    <w:p w14:paraId="5C337302">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按项目所在地供水、供电、燃气、热力职能部门要求，尽量不设或由相关职能部门自行设置。</w:t>
      </w:r>
    </w:p>
    <w:p w14:paraId="7C45F4D2">
      <w:pPr>
        <w:pageBreakBefore w:val="0"/>
        <w:kinsoku/>
        <w:wordWrap/>
        <w:overflowPunct/>
        <w:topLinePunct w:val="0"/>
        <w:bidi w:val="0"/>
        <w:spacing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12</w:t>
      </w:r>
      <w:r>
        <w:rPr>
          <w:rFonts w:hint="eastAsia" w:ascii="仿宋_GB2312" w:hAnsi="仿宋_GB2312" w:eastAsia="仿宋_GB2312" w:cs="仿宋_GB2312"/>
          <w:b w:val="0"/>
          <w:bCs/>
          <w:color w:val="auto"/>
          <w:sz w:val="32"/>
          <w:szCs w:val="32"/>
          <w:highlight w:val="none"/>
        </w:rPr>
        <w:t>）配套辅助工程——供电系统</w:t>
      </w:r>
    </w:p>
    <w:p w14:paraId="1CCFB25D">
      <w:pPr>
        <w:pageBreakBefore w:val="0"/>
        <w:kinsoku/>
        <w:wordWrap/>
        <w:overflowPunct/>
        <w:topLinePunct w:val="0"/>
        <w:bidi w:val="0"/>
        <w:spacing w:line="360" w:lineRule="auto"/>
        <w:ind w:left="734" w:leftChars="304" w:hanging="96" w:hangingChars="3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集中供电[适用范围]：</w:t>
      </w:r>
      <w:r>
        <w:rPr>
          <w:rFonts w:hint="eastAsia" w:ascii="仿宋_GB2312" w:hAnsi="仿宋_GB2312" w:eastAsia="仿宋_GB2312" w:cs="仿宋_GB2312"/>
          <w:color w:val="auto"/>
          <w:sz w:val="32"/>
          <w:szCs w:val="32"/>
          <w:highlight w:val="none"/>
          <w:u w:val="single"/>
        </w:rPr>
        <w:t>监控中心，采用双独立电源回路供电，末端自动切换</w:t>
      </w:r>
    </w:p>
    <w:p w14:paraId="5829C589">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分散供电[适用范围]：</w:t>
      </w:r>
      <w:r>
        <w:rPr>
          <w:rFonts w:hint="eastAsia" w:ascii="仿宋_GB2312" w:hAnsi="仿宋_GB2312" w:eastAsia="仿宋_GB2312" w:cs="仿宋_GB2312"/>
          <w:color w:val="auto"/>
          <w:sz w:val="32"/>
          <w:szCs w:val="32"/>
          <w:highlight w:val="none"/>
          <w:u w:val="single"/>
        </w:rPr>
        <w:t>分散式设备</w:t>
      </w:r>
    </w:p>
    <w:p w14:paraId="617DD5E0">
      <w:pPr>
        <w:pageBreakBefore w:val="0"/>
        <w:kinsoku/>
        <w:wordWrap/>
        <w:overflowPunct/>
        <w:topLinePunct w:val="0"/>
        <w:bidi w:val="0"/>
        <w:spacing w:before="130" w:beforeLines="25"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 xml:space="preserve">③ </w:t>
      </w:r>
      <w:r>
        <w:rPr>
          <w:rFonts w:hint="eastAsia" w:ascii="仿宋_GB2312" w:hAnsi="仿宋_GB2312" w:eastAsia="仿宋_GB2312" w:cs="仿宋_GB2312"/>
          <w:color w:val="auto"/>
          <w:sz w:val="32"/>
          <w:szCs w:val="32"/>
          <w:highlight w:val="none"/>
        </w:rPr>
        <w:t>UPS [适用范围]：</w:t>
      </w:r>
      <w:r>
        <w:rPr>
          <w:rFonts w:hint="eastAsia" w:ascii="仿宋_GB2312" w:hAnsi="仿宋_GB2312" w:eastAsia="仿宋_GB2312" w:cs="仿宋_GB2312"/>
          <w:color w:val="auto"/>
          <w:sz w:val="32"/>
          <w:szCs w:val="32"/>
          <w:highlight w:val="none"/>
          <w:u w:val="single"/>
        </w:rPr>
        <w:t>停车场收费管理电脑，10分钟</w:t>
      </w:r>
    </w:p>
    <w:p w14:paraId="24BB06DC">
      <w:pPr>
        <w:pageBreakBefore w:val="0"/>
        <w:kinsoku/>
        <w:wordWrap/>
        <w:overflowPunct/>
        <w:topLinePunct w:val="0"/>
        <w:bidi w:val="0"/>
        <w:spacing w:before="130" w:beforeLines="25"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13</w:t>
      </w:r>
      <w:r>
        <w:rPr>
          <w:rFonts w:hint="eastAsia" w:ascii="仿宋_GB2312" w:hAnsi="仿宋_GB2312" w:eastAsia="仿宋_GB2312" w:cs="仿宋_GB2312"/>
          <w:b w:val="0"/>
          <w:bCs/>
          <w:color w:val="auto"/>
          <w:sz w:val="32"/>
          <w:szCs w:val="32"/>
          <w:highlight w:val="none"/>
        </w:rPr>
        <w:t>）配套辅助工程——防雷系统</w:t>
      </w:r>
    </w:p>
    <w:p w14:paraId="13B97487">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① </w:t>
      </w:r>
      <w:r>
        <w:rPr>
          <w:rFonts w:hint="eastAsia" w:ascii="仿宋_GB2312" w:hAnsi="仿宋_GB2312" w:eastAsia="仿宋_GB2312" w:cs="仿宋_GB2312"/>
          <w:color w:val="auto"/>
          <w:sz w:val="32"/>
          <w:szCs w:val="32"/>
          <w:highlight w:val="none"/>
        </w:rPr>
        <w:t>防雷</w:t>
      </w:r>
    </w:p>
    <w:p w14:paraId="006389F1">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浪涌保护[适用范围]：</w:t>
      </w:r>
      <w:r>
        <w:rPr>
          <w:rFonts w:hint="eastAsia" w:ascii="仿宋_GB2312" w:hAnsi="仿宋_GB2312" w:eastAsia="仿宋_GB2312" w:cs="仿宋_GB2312"/>
          <w:color w:val="auto"/>
          <w:sz w:val="32"/>
          <w:szCs w:val="32"/>
          <w:highlight w:val="none"/>
          <w:u w:val="single"/>
        </w:rPr>
        <w:t>监控中心配电箱</w:t>
      </w:r>
    </w:p>
    <w:p w14:paraId="1AC0E6E3">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线路浪涌保护[适用范围]：</w:t>
      </w:r>
      <w:r>
        <w:rPr>
          <w:rFonts w:hint="eastAsia" w:ascii="仿宋_GB2312" w:hAnsi="仿宋_GB2312" w:eastAsia="仿宋_GB2312" w:cs="仿宋_GB2312"/>
          <w:color w:val="auto"/>
          <w:sz w:val="32"/>
          <w:szCs w:val="32"/>
          <w:highlight w:val="none"/>
          <w:u w:val="single"/>
        </w:rPr>
        <w:t>室外引入监控中心的线缆</w:t>
      </w:r>
    </w:p>
    <w:p w14:paraId="6EEC1032">
      <w:pPr>
        <w:pageBreakBefore w:val="0"/>
        <w:kinsoku/>
        <w:wordWrap/>
        <w:overflowPunct/>
        <w:topLinePunct w:val="0"/>
        <w:bidi w:val="0"/>
        <w:spacing w:line="360" w:lineRule="auto"/>
        <w:ind w:firstLine="582" w:firstLineChars="18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② </w:t>
      </w:r>
      <w:r>
        <w:rPr>
          <w:rFonts w:hint="eastAsia" w:ascii="仿宋_GB2312" w:hAnsi="仿宋_GB2312" w:eastAsia="仿宋_GB2312" w:cs="仿宋_GB2312"/>
          <w:color w:val="auto"/>
          <w:sz w:val="32"/>
          <w:szCs w:val="32"/>
          <w:highlight w:val="none"/>
        </w:rPr>
        <w:t>接地</w:t>
      </w:r>
    </w:p>
    <w:p w14:paraId="00F8B87B">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建筑联合接地[适用范围]：</w:t>
      </w:r>
      <w:r>
        <w:rPr>
          <w:rFonts w:hint="eastAsia" w:ascii="仿宋_GB2312" w:hAnsi="仿宋_GB2312" w:eastAsia="仿宋_GB2312" w:cs="仿宋_GB2312"/>
          <w:color w:val="auto"/>
          <w:sz w:val="32"/>
          <w:szCs w:val="32"/>
          <w:highlight w:val="none"/>
          <w:u w:val="single"/>
        </w:rPr>
        <w:t>室内设备</w:t>
      </w:r>
    </w:p>
    <w:p w14:paraId="4FEE70AC">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独立接地[适用范围]：</w:t>
      </w:r>
      <w:r>
        <w:rPr>
          <w:rFonts w:hint="eastAsia" w:ascii="仿宋_GB2312" w:hAnsi="仿宋_GB2312" w:eastAsia="仿宋_GB2312" w:cs="仿宋_GB2312"/>
          <w:color w:val="auto"/>
          <w:sz w:val="32"/>
          <w:szCs w:val="32"/>
          <w:highlight w:val="none"/>
          <w:u w:val="single"/>
        </w:rPr>
        <w:t>室外分散式设备</w:t>
      </w:r>
    </w:p>
    <w:p w14:paraId="02A78099">
      <w:pPr>
        <w:pageBreakBefore w:val="0"/>
        <w:kinsoku/>
        <w:wordWrap/>
        <w:overflowPunct/>
        <w:topLinePunct w:val="0"/>
        <w:bidi w:val="0"/>
        <w:spacing w:line="360" w:lineRule="auto"/>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14</w:t>
      </w:r>
      <w:r>
        <w:rPr>
          <w:rFonts w:hint="eastAsia" w:ascii="仿宋_GB2312" w:hAnsi="仿宋_GB2312" w:eastAsia="仿宋_GB2312" w:cs="仿宋_GB2312"/>
          <w:b w:val="0"/>
          <w:bCs/>
          <w:color w:val="auto"/>
          <w:sz w:val="32"/>
          <w:szCs w:val="32"/>
          <w:highlight w:val="none"/>
        </w:rPr>
        <w:t>）户内通信信息网络系统——有线电视系统</w:t>
      </w:r>
    </w:p>
    <w:p w14:paraId="4F8211D0">
      <w:pPr>
        <w:pageBreakBefore w:val="0"/>
        <w:kinsoku/>
        <w:wordWrap/>
        <w:overflowPunct/>
        <w:topLinePunct w:val="0"/>
        <w:bidi w:val="0"/>
        <w:spacing w:line="360" w:lineRule="auto"/>
        <w:ind w:firstLine="796" w:firstLineChars="24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布点位置：客厅[适用范围]：</w:t>
      </w:r>
      <w:r>
        <w:rPr>
          <w:rFonts w:hint="eastAsia" w:ascii="仿宋_GB2312" w:hAnsi="仿宋_GB2312" w:eastAsia="仿宋_GB2312" w:cs="仿宋_GB2312"/>
          <w:color w:val="auto"/>
          <w:sz w:val="32"/>
          <w:szCs w:val="32"/>
          <w:highlight w:val="none"/>
          <w:u w:val="single"/>
        </w:rPr>
        <w:t>本项目</w:t>
      </w:r>
    </w:p>
    <w:p w14:paraId="0CE125DA">
      <w:pPr>
        <w:pageBreakBefore w:val="0"/>
        <w:kinsoku/>
        <w:wordWrap/>
        <w:overflowPunct/>
        <w:topLinePunct w:val="0"/>
        <w:bidi w:val="0"/>
        <w:spacing w:line="360" w:lineRule="auto"/>
        <w:ind w:firstLine="2240" w:firstLineChars="7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主卧[适用范围]：</w:t>
      </w:r>
      <w:r>
        <w:rPr>
          <w:rFonts w:hint="eastAsia" w:ascii="仿宋_GB2312" w:hAnsi="仿宋_GB2312" w:eastAsia="仿宋_GB2312" w:cs="仿宋_GB2312"/>
          <w:color w:val="auto"/>
          <w:sz w:val="32"/>
          <w:szCs w:val="32"/>
          <w:highlight w:val="none"/>
          <w:u w:val="single"/>
        </w:rPr>
        <w:t>本项目</w:t>
      </w:r>
    </w:p>
    <w:p w14:paraId="49641918">
      <w:pPr>
        <w:pageBreakBefore w:val="0"/>
        <w:kinsoku/>
        <w:wordWrap/>
        <w:overflowPunct/>
        <w:topLinePunct w:val="0"/>
        <w:bidi w:val="0"/>
        <w:spacing w:line="360" w:lineRule="auto"/>
        <w:ind w:firstLine="640" w:firstLineChars="20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15</w:t>
      </w:r>
      <w:r>
        <w:rPr>
          <w:rFonts w:hint="eastAsia" w:ascii="仿宋_GB2312" w:hAnsi="仿宋_GB2312" w:eastAsia="仿宋_GB2312" w:cs="仿宋_GB2312"/>
          <w:b w:val="0"/>
          <w:bCs/>
          <w:color w:val="auto"/>
          <w:sz w:val="32"/>
          <w:szCs w:val="32"/>
          <w:highlight w:val="none"/>
        </w:rPr>
        <w:t>）户内通信信息网络系统——固话系统</w:t>
      </w:r>
      <w:bookmarkEnd w:id="68"/>
      <w:bookmarkEnd w:id="69"/>
    </w:p>
    <w:p w14:paraId="3E04EAA5">
      <w:pPr>
        <w:pageBreakBefore w:val="0"/>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布点位置： 客厅[适用范围]：</w:t>
      </w:r>
      <w:r>
        <w:rPr>
          <w:rFonts w:hint="eastAsia" w:ascii="仿宋_GB2312" w:hAnsi="仿宋_GB2312" w:eastAsia="仿宋_GB2312" w:cs="仿宋_GB2312"/>
          <w:color w:val="auto"/>
          <w:sz w:val="32"/>
          <w:szCs w:val="32"/>
          <w:highlight w:val="none"/>
          <w:u w:val="single"/>
          <w:lang w:val="en-US" w:eastAsia="zh-CN"/>
        </w:rPr>
        <w:t>本</w:t>
      </w:r>
      <w:r>
        <w:rPr>
          <w:rFonts w:hint="eastAsia" w:ascii="仿宋_GB2312" w:hAnsi="仿宋_GB2312" w:eastAsia="仿宋_GB2312" w:cs="仿宋_GB2312"/>
          <w:color w:val="auto"/>
          <w:sz w:val="32"/>
          <w:szCs w:val="32"/>
          <w:highlight w:val="none"/>
          <w:u w:val="single"/>
        </w:rPr>
        <w:t>项目</w:t>
      </w:r>
    </w:p>
    <w:p w14:paraId="30C27862">
      <w:pPr>
        <w:pageBreakBefore w:val="0"/>
        <w:kinsoku/>
        <w:wordWrap/>
        <w:overflowPunct/>
        <w:topLinePunct w:val="0"/>
        <w:bidi w:val="0"/>
        <w:spacing w:line="360" w:lineRule="auto"/>
        <w:ind w:firstLine="2176" w:firstLineChars="68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主卧[适用范围]：</w:t>
      </w:r>
      <w:r>
        <w:rPr>
          <w:rFonts w:hint="eastAsia" w:ascii="仿宋_GB2312" w:hAnsi="仿宋_GB2312" w:eastAsia="仿宋_GB2312" w:cs="仿宋_GB2312"/>
          <w:color w:val="auto"/>
          <w:sz w:val="32"/>
          <w:szCs w:val="32"/>
          <w:highlight w:val="none"/>
          <w:u w:val="single"/>
        </w:rPr>
        <w:t>不适用</w:t>
      </w:r>
    </w:p>
    <w:p w14:paraId="7DAF76A1">
      <w:pPr>
        <w:pageBreakBefore w:val="0"/>
        <w:numPr>
          <w:ilvl w:val="0"/>
          <w:numId w:val="17"/>
        </w:numPr>
        <w:kinsoku/>
        <w:wordWrap/>
        <w:overflowPunct/>
        <w:topLinePunct w:val="0"/>
        <w:bidi w:val="0"/>
        <w:spacing w:line="360" w:lineRule="auto"/>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户内通信信息网络系统——网络系统</w:t>
      </w:r>
    </w:p>
    <w:p w14:paraId="5B12AA2F">
      <w:pPr>
        <w:pageBreakBefore w:val="0"/>
        <w:numPr>
          <w:ilvl w:val="0"/>
          <w:numId w:val="0"/>
        </w:numPr>
        <w:kinsoku/>
        <w:wordWrap/>
        <w:overflowPunct/>
        <w:topLinePunct w:val="0"/>
        <w:bidi w:val="0"/>
        <w:spacing w:line="360" w:lineRule="auto"/>
        <w:ind w:firstLine="640" w:firstLineChars="2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布点位置：客厅[适用范围]：</w:t>
      </w:r>
      <w:r>
        <w:rPr>
          <w:rFonts w:hint="eastAsia" w:ascii="仿宋_GB2312" w:hAnsi="仿宋_GB2312" w:eastAsia="仿宋_GB2312" w:cs="仿宋_GB2312"/>
          <w:color w:val="auto"/>
          <w:sz w:val="32"/>
          <w:szCs w:val="32"/>
          <w:highlight w:val="none"/>
          <w:u w:val="single"/>
        </w:rPr>
        <w:t>电视位</w:t>
      </w:r>
    </w:p>
    <w:p w14:paraId="3E4C54EB">
      <w:pPr>
        <w:pageBreakBefore w:val="0"/>
        <w:kinsoku/>
        <w:wordWrap/>
        <w:overflowPunct/>
        <w:topLinePunct w:val="0"/>
        <w:bidi w:val="0"/>
        <w:spacing w:line="360" w:lineRule="auto"/>
        <w:ind w:firstLine="1920" w:firstLineChars="600"/>
        <w:rPr>
          <w:rFonts w:hint="eastAsia" w:ascii="仿宋_GB2312" w:hAnsi="仿宋_GB2312" w:eastAsia="仿宋_GB2312" w:cs="仿宋_GB2312"/>
          <w:color w:val="auto"/>
          <w:sz w:val="32"/>
          <w:szCs w:val="32"/>
          <w:highlight w:val="none"/>
          <w:u w:val="single"/>
        </w:rPr>
      </w:pPr>
      <w:r>
        <w:rPr>
          <w:rFonts w:hint="eastAsia" w:ascii="仿宋_GB2312" w:hAnsi="仿宋_GB2312" w:eastAsia="仿宋_GB2312" w:cs="仿宋_GB2312"/>
          <w:color w:val="auto"/>
          <w:sz w:val="32"/>
          <w:szCs w:val="32"/>
          <w:highlight w:val="none"/>
        </w:rPr>
        <w:t>主卧[适用范围]：</w:t>
      </w:r>
      <w:r>
        <w:rPr>
          <w:rFonts w:hint="eastAsia" w:ascii="仿宋_GB2312" w:hAnsi="仿宋_GB2312" w:eastAsia="仿宋_GB2312" w:cs="仿宋_GB2312"/>
          <w:color w:val="auto"/>
          <w:sz w:val="32"/>
          <w:szCs w:val="32"/>
          <w:highlight w:val="none"/>
          <w:u w:val="single"/>
        </w:rPr>
        <w:t>电视位</w:t>
      </w:r>
      <w:bookmarkStart w:id="70" w:name="_Toc265221468"/>
      <w:bookmarkStart w:id="71" w:name="_Toc210050881"/>
    </w:p>
    <w:bookmarkEnd w:id="70"/>
    <w:bookmarkEnd w:id="71"/>
    <w:p w14:paraId="71730364">
      <w:pPr>
        <w:pageBreakBefore w:val="0"/>
        <w:numPr>
          <w:ilvl w:val="0"/>
          <w:numId w:val="0"/>
        </w:numPr>
        <w:kinsoku/>
        <w:wordWrap/>
        <w:overflowPunct/>
        <w:topLinePunct w:val="0"/>
        <w:bidi w:val="0"/>
        <w:spacing w:line="360" w:lineRule="auto"/>
        <w:ind w:leftChars="200"/>
        <w:rPr>
          <w:rFonts w:hint="default" w:ascii="仿宋_GB2312" w:hAnsi="仿宋_GB2312" w:eastAsia="仿宋_GB2312" w:cs="仿宋_GB2312"/>
          <w:color w:val="auto"/>
          <w:sz w:val="32"/>
          <w:szCs w:val="32"/>
          <w:highlight w:val="none"/>
          <w:u w:val="single"/>
          <w:lang w:val="en-US" w:eastAsia="zh-CN"/>
        </w:rPr>
      </w:pPr>
    </w:p>
    <w:p w14:paraId="29D23715">
      <w:pPr>
        <w:pStyle w:val="38"/>
        <w:pageBreakBefore w:val="0"/>
        <w:numPr>
          <w:ilvl w:val="0"/>
          <w:numId w:val="0"/>
        </w:numPr>
        <w:kinsoku/>
        <w:wordWrap/>
        <w:overflowPunct/>
        <w:topLinePunct w:val="0"/>
        <w:bidi w:val="0"/>
        <w:adjustRightInd w:val="0"/>
        <w:snapToGrid w:val="0"/>
        <w:spacing w:line="360" w:lineRule="auto"/>
        <w:ind w:leftChars="0"/>
        <w:rPr>
          <w:rFonts w:hint="eastAsia" w:ascii="仿宋_GB2312" w:hAnsi="仿宋_GB2312" w:eastAsia="仿宋_GB2312" w:cs="仿宋_GB2312"/>
          <w:color w:val="auto"/>
          <w:sz w:val="32"/>
          <w:szCs w:val="32"/>
          <w:highlight w:val="none"/>
          <w:lang w:val="en-US" w:eastAsia="zh-CN"/>
        </w:rPr>
      </w:pPr>
    </w:p>
    <w:p w14:paraId="63230024">
      <w:pPr>
        <w:pStyle w:val="38"/>
        <w:pageBreakBefore w:val="0"/>
        <w:numPr>
          <w:ilvl w:val="0"/>
          <w:numId w:val="0"/>
        </w:numPr>
        <w:kinsoku/>
        <w:wordWrap/>
        <w:overflowPunct/>
        <w:topLinePunct w:val="0"/>
        <w:bidi w:val="0"/>
        <w:adjustRightInd w:val="0"/>
        <w:snapToGrid w:val="0"/>
        <w:spacing w:line="360" w:lineRule="auto"/>
        <w:ind w:leftChars="0"/>
        <w:rPr>
          <w:rFonts w:hint="eastAsia" w:ascii="仿宋_GB2312" w:hAnsi="仿宋_GB2312" w:eastAsia="仿宋_GB2312" w:cs="仿宋_GB2312"/>
          <w:bCs/>
          <w:color w:val="auto"/>
          <w:sz w:val="32"/>
          <w:szCs w:val="32"/>
          <w:highlight w:val="none"/>
          <w:lang w:val="zh-TW"/>
        </w:rPr>
      </w:pPr>
    </w:p>
    <w:p w14:paraId="47C04017">
      <w:pPr>
        <w:pStyle w:val="9"/>
        <w:pageBreakBefore w:val="0"/>
        <w:numPr>
          <w:ilvl w:val="0"/>
          <w:numId w:val="0"/>
        </w:numPr>
        <w:kinsoku/>
        <w:wordWrap/>
        <w:overflowPunct/>
        <w:topLinePunct w:val="0"/>
        <w:bidi w:val="0"/>
        <w:adjustRightInd w:val="0"/>
        <w:snapToGrid w:val="0"/>
        <w:spacing w:after="0" w:line="360" w:lineRule="auto"/>
        <w:ind w:leftChars="0"/>
        <w:jc w:val="center"/>
        <w:textAlignment w:val="auto"/>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第八章 BIM设计专篇</w:t>
      </w:r>
    </w:p>
    <w:p w14:paraId="1268D490">
      <w:pPr>
        <w:pStyle w:val="4"/>
        <w:keepNext w:val="0"/>
        <w:keepLines w:val="0"/>
        <w:pageBreakBefore w:val="0"/>
        <w:tabs>
          <w:tab w:val="left" w:pos="567"/>
        </w:tabs>
        <w:kinsoku/>
        <w:wordWrap/>
        <w:overflowPunct/>
        <w:topLinePunct w:val="0"/>
        <w:bidi w:val="0"/>
        <w:snapToGrid w:val="0"/>
        <w:spacing w:before="0" w:after="0" w:line="360" w:lineRule="auto"/>
        <w:ind w:firstLine="640" w:firstLineChars="200"/>
        <w:rPr>
          <w:rFonts w:hint="eastAsia" w:ascii="仿宋_GB2312" w:hAnsi="仿宋_GB2312" w:eastAsia="仿宋_GB2312" w:cs="仿宋_GB2312"/>
          <w:b w:val="0"/>
          <w:bCs w:val="0"/>
          <w:color w:val="auto"/>
          <w:sz w:val="32"/>
          <w:szCs w:val="32"/>
          <w:highlight w:val="none"/>
        </w:rPr>
      </w:pPr>
      <w:r>
        <w:rPr>
          <w:rFonts w:hint="eastAsia" w:ascii="楷体" w:hAnsi="楷体" w:eastAsia="楷体" w:cs="楷体"/>
          <w:b w:val="0"/>
          <w:bCs w:val="0"/>
          <w:color w:val="auto"/>
          <w:sz w:val="32"/>
          <w:szCs w:val="32"/>
          <w:highlight w:val="none"/>
          <w:lang w:val="en-US" w:eastAsia="zh-CN"/>
        </w:rPr>
        <w:t>第一条</w:t>
      </w:r>
      <w:r>
        <w:rPr>
          <w:rFonts w:hint="eastAsia" w:ascii="仿宋_GB2312" w:hAnsi="仿宋_GB2312" w:eastAsia="仿宋_GB2312" w:cs="仿宋_GB2312"/>
          <w:b w:val="0"/>
          <w:bCs w:val="0"/>
          <w:color w:val="auto"/>
          <w:sz w:val="32"/>
          <w:szCs w:val="32"/>
          <w:highlight w:val="none"/>
          <w:lang w:val="en-US" w:eastAsia="zh-CN"/>
        </w:rPr>
        <w:t xml:space="preserve"> </w:t>
      </w:r>
      <w:r>
        <w:rPr>
          <w:rFonts w:hint="eastAsia" w:ascii="仿宋_GB2312" w:hAnsi="仿宋_GB2312" w:eastAsia="仿宋_GB2312" w:cs="仿宋_GB2312"/>
          <w:b w:val="0"/>
          <w:bCs w:val="0"/>
          <w:color w:val="auto"/>
          <w:sz w:val="32"/>
          <w:szCs w:val="32"/>
          <w:highlight w:val="none"/>
        </w:rPr>
        <w:t>BIM专业设计内容</w:t>
      </w:r>
    </w:p>
    <w:p w14:paraId="384A65B1">
      <w:pPr>
        <w:pageBreakBefore w:val="0"/>
        <w:kinsoku/>
        <w:wordWrap/>
        <w:overflowPunct/>
        <w:topLinePunct w:val="0"/>
        <w:bidi w:val="0"/>
        <w:snapToGrid w:val="0"/>
        <w:spacing w:line="360" w:lineRule="auto"/>
        <w:ind w:firstLine="640" w:firstLineChars="200"/>
        <w:rPr>
          <w:rFonts w:hint="eastAsia" w:ascii="仿宋_GB2312" w:hAnsi="仿宋_GB2312" w:eastAsia="仿宋_GB2312" w:cs="仿宋_GB2312"/>
          <w:color w:val="auto"/>
          <w:sz w:val="32"/>
          <w:szCs w:val="32"/>
          <w:highlight w:val="none"/>
          <w:lang w:eastAsia="zh-TW"/>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设计</w:t>
      </w:r>
      <w:r>
        <w:rPr>
          <w:rFonts w:hint="eastAsia" w:ascii="仿宋_GB2312" w:hAnsi="仿宋_GB2312" w:eastAsia="仿宋_GB2312" w:cs="仿宋_GB2312"/>
          <w:color w:val="auto"/>
          <w:sz w:val="32"/>
          <w:szCs w:val="32"/>
          <w:highlight w:val="none"/>
          <w:lang w:eastAsia="zh-TW"/>
        </w:rPr>
        <w:t>内容</w:t>
      </w:r>
    </w:p>
    <w:p w14:paraId="07531856">
      <w:pPr>
        <w:pStyle w:val="6"/>
        <w:keepNext w:val="0"/>
        <w:keepLines w:val="0"/>
        <w:pageBreakBefore w:val="0"/>
        <w:tabs>
          <w:tab w:val="left" w:pos="0"/>
        </w:tabs>
        <w:kinsoku/>
        <w:wordWrap/>
        <w:overflowPunct/>
        <w:topLinePunct w:val="0"/>
        <w:bidi w:val="0"/>
        <w:spacing w:before="0" w:after="0" w:line="360" w:lineRule="auto"/>
        <w:ind w:firstLine="640" w:firstLineChars="200"/>
        <w:jc w:val="left"/>
        <w:rPr>
          <w:rFonts w:hint="eastAsia" w:ascii="仿宋_GB2312" w:hAnsi="仿宋_GB2312" w:eastAsia="仿宋_GB2312" w:cs="仿宋_GB2312"/>
          <w:b w:val="0"/>
          <w:color w:val="auto"/>
          <w:sz w:val="32"/>
          <w:szCs w:val="32"/>
          <w:highlight w:val="none"/>
        </w:rPr>
      </w:pPr>
      <w:r>
        <w:rPr>
          <w:rStyle w:val="30"/>
          <w:rFonts w:hint="eastAsia" w:ascii="仿宋_GB2312" w:hAnsi="仿宋_GB2312" w:eastAsia="仿宋_GB2312" w:cs="仿宋_GB2312"/>
          <w:b w:val="0"/>
          <w:color w:val="auto"/>
          <w:sz w:val="32"/>
          <w:szCs w:val="32"/>
          <w:highlight w:val="none"/>
        </w:rPr>
        <w:t>设计范围内的全专业模型的整合、搭建、优化、更新，主要内容见以下（但不限于以下）：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99"/>
        <w:gridCol w:w="5924"/>
      </w:tblGrid>
      <w:tr w14:paraId="3BAA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04" w:type="dxa"/>
            <w:noWrap/>
            <w:vAlign w:val="center"/>
          </w:tcPr>
          <w:p w14:paraId="077015D3">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专业</w:t>
            </w:r>
          </w:p>
        </w:tc>
        <w:tc>
          <w:tcPr>
            <w:tcW w:w="1499" w:type="dxa"/>
            <w:vAlign w:val="center"/>
          </w:tcPr>
          <w:p w14:paraId="521A0A43">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工作内容</w:t>
            </w:r>
          </w:p>
        </w:tc>
        <w:tc>
          <w:tcPr>
            <w:tcW w:w="5924" w:type="dxa"/>
            <w:vAlign w:val="center"/>
          </w:tcPr>
          <w:p w14:paraId="670830B5">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内容描述</w:t>
            </w:r>
          </w:p>
        </w:tc>
      </w:tr>
      <w:tr w14:paraId="0B287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04" w:type="dxa"/>
            <w:vAlign w:val="center"/>
          </w:tcPr>
          <w:p w14:paraId="41803C42">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建筑</w:t>
            </w:r>
          </w:p>
        </w:tc>
        <w:tc>
          <w:tcPr>
            <w:tcW w:w="1499" w:type="dxa"/>
            <w:vAlign w:val="center"/>
          </w:tcPr>
          <w:p w14:paraId="7A8A29C8">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建筑空间</w:t>
            </w:r>
          </w:p>
        </w:tc>
        <w:tc>
          <w:tcPr>
            <w:tcW w:w="5924" w:type="dxa"/>
          </w:tcPr>
          <w:p w14:paraId="3D1D50F8">
            <w:pPr>
              <w:pStyle w:val="7"/>
              <w:keepNext w:val="0"/>
              <w:keepLines w:val="0"/>
              <w:pageBreakBefore w:val="0"/>
              <w:numPr>
                <w:ilvl w:val="5"/>
                <w:numId w:val="18"/>
              </w:numPr>
              <w:tabs>
                <w:tab w:val="left" w:pos="0"/>
                <w:tab w:val="left" w:pos="36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需要表达标高、轴网、墙体、门窗、楼梯、扶梯、雨篷、台阶、车道、管井等所有建筑构件尺寸信息。</w:t>
            </w:r>
          </w:p>
          <w:p w14:paraId="7D43C424">
            <w:pPr>
              <w:pStyle w:val="7"/>
              <w:keepNext w:val="0"/>
              <w:keepLines w:val="0"/>
              <w:pageBreakBefore w:val="0"/>
              <w:numPr>
                <w:ilvl w:val="5"/>
                <w:numId w:val="18"/>
              </w:numPr>
              <w:tabs>
                <w:tab w:val="left" w:pos="0"/>
                <w:tab w:val="left" w:pos="36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需要表达天窗、百叶、坡道等其他建筑构件尺寸信息。</w:t>
            </w:r>
          </w:p>
          <w:p w14:paraId="1042DEAD">
            <w:pPr>
              <w:pStyle w:val="7"/>
              <w:keepNext w:val="0"/>
              <w:keepLines w:val="0"/>
              <w:pageBreakBefore w:val="0"/>
              <w:numPr>
                <w:ilvl w:val="5"/>
                <w:numId w:val="18"/>
              </w:numPr>
              <w:tabs>
                <w:tab w:val="left" w:pos="0"/>
                <w:tab w:val="left" w:pos="36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需要表达栏杆、扶手、功能性构件等建筑构件尺寸信息。</w:t>
            </w:r>
          </w:p>
          <w:p w14:paraId="07CDC4E6">
            <w:pPr>
              <w:pStyle w:val="7"/>
              <w:keepNext w:val="0"/>
              <w:keepLines w:val="0"/>
              <w:pageBreakBefore w:val="0"/>
              <w:numPr>
                <w:ilvl w:val="5"/>
                <w:numId w:val="18"/>
              </w:numPr>
              <w:tabs>
                <w:tab w:val="left" w:pos="0"/>
                <w:tab w:val="left" w:pos="36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需要表达墙定位、墙厚、门洞尺寸及定位、墙机电留洞尺寸等尺寸信息。</w:t>
            </w:r>
          </w:p>
          <w:p w14:paraId="5B807BF9">
            <w:pPr>
              <w:pStyle w:val="7"/>
              <w:keepNext w:val="0"/>
              <w:keepLines w:val="0"/>
              <w:pageBreakBefore w:val="0"/>
              <w:numPr>
                <w:ilvl w:val="5"/>
                <w:numId w:val="18"/>
              </w:numPr>
              <w:tabs>
                <w:tab w:val="left" w:pos="0"/>
                <w:tab w:val="left" w:pos="36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需要表达门窗的分类、规格尺寸、门的开启方向、防火卷帘、卷帘与机电管线的关系。</w:t>
            </w:r>
          </w:p>
          <w:p w14:paraId="0E9BB1A1">
            <w:pPr>
              <w:pStyle w:val="7"/>
              <w:keepNext w:val="0"/>
              <w:keepLines w:val="0"/>
              <w:pageBreakBefore w:val="0"/>
              <w:numPr>
                <w:ilvl w:val="5"/>
                <w:numId w:val="18"/>
              </w:numPr>
              <w:tabs>
                <w:tab w:val="left" w:pos="0"/>
                <w:tab w:val="left" w:pos="36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需要表达各类分区及房间的功能、名称、编号、面积等信息。</w:t>
            </w:r>
          </w:p>
        </w:tc>
      </w:tr>
      <w:tr w14:paraId="410A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704" w:type="dxa"/>
            <w:vAlign w:val="center"/>
          </w:tcPr>
          <w:p w14:paraId="46B15501">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结构</w:t>
            </w:r>
          </w:p>
        </w:tc>
        <w:tc>
          <w:tcPr>
            <w:tcW w:w="1499" w:type="dxa"/>
            <w:vAlign w:val="center"/>
          </w:tcPr>
          <w:p w14:paraId="6F989F67">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结构构件、钢结构等</w:t>
            </w:r>
          </w:p>
        </w:tc>
        <w:tc>
          <w:tcPr>
            <w:tcW w:w="5924" w:type="dxa"/>
          </w:tcPr>
          <w:p w14:paraId="64D95483">
            <w:pPr>
              <w:pStyle w:val="7"/>
              <w:keepNext w:val="0"/>
              <w:keepLines w:val="0"/>
              <w:pageBreakBefore w:val="0"/>
              <w:numPr>
                <w:ilvl w:val="5"/>
                <w:numId w:val="19"/>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桩基础、筏形基础、独立基础、垫层、节点等结构构件尺寸信息。</w:t>
            </w:r>
          </w:p>
          <w:p w14:paraId="21BFB8E9">
            <w:pPr>
              <w:pStyle w:val="7"/>
              <w:keepNext w:val="0"/>
              <w:keepLines w:val="0"/>
              <w:pageBreakBefore w:val="0"/>
              <w:numPr>
                <w:ilvl w:val="5"/>
                <w:numId w:val="19"/>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梁、柱、板、剪力墙、楼板开洞、剪力墙开洞、楼梯、节点（包括且不限于女儿墙、出屋面管井洞口）等结构构件尺寸、材料信息。</w:t>
            </w:r>
          </w:p>
          <w:p w14:paraId="00D0B0BB">
            <w:pPr>
              <w:pStyle w:val="7"/>
              <w:keepNext w:val="0"/>
              <w:keepLines w:val="0"/>
              <w:pageBreakBefore w:val="0"/>
              <w:numPr>
                <w:ilvl w:val="5"/>
                <w:numId w:val="19"/>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对钢结构BIM模型进行搭建、优化、更新。</w:t>
            </w:r>
          </w:p>
        </w:tc>
      </w:tr>
      <w:tr w14:paraId="32AD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9" w:hRule="atLeast"/>
          <w:jc w:val="center"/>
        </w:trPr>
        <w:tc>
          <w:tcPr>
            <w:tcW w:w="704" w:type="dxa"/>
            <w:vAlign w:val="center"/>
          </w:tcPr>
          <w:p w14:paraId="44DBBF7B">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机电</w:t>
            </w:r>
          </w:p>
        </w:tc>
        <w:tc>
          <w:tcPr>
            <w:tcW w:w="1499" w:type="dxa"/>
            <w:vAlign w:val="center"/>
          </w:tcPr>
          <w:p w14:paraId="7D4C671D">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rPr>
            </w:pPr>
            <w:r>
              <w:rPr>
                <w:rStyle w:val="30"/>
                <w:rFonts w:hint="eastAsia" w:ascii="仿宋_GB2312" w:hAnsi="仿宋_GB2312" w:eastAsia="仿宋_GB2312" w:cs="仿宋_GB2312"/>
                <w:color w:val="auto"/>
                <w:sz w:val="24"/>
                <w:szCs w:val="24"/>
                <w:highlight w:val="none"/>
              </w:rPr>
              <w:t>机电管线管线及设备，主要专业：一次机电（空调、采暖、给排水、消防、电气、智能化等）、燃气、水处理</w:t>
            </w:r>
          </w:p>
        </w:tc>
        <w:tc>
          <w:tcPr>
            <w:tcW w:w="5924" w:type="dxa"/>
          </w:tcPr>
          <w:p w14:paraId="252AE771">
            <w:pPr>
              <w:pStyle w:val="7"/>
              <w:keepNext w:val="0"/>
              <w:keepLines w:val="0"/>
              <w:pageBreakBefore w:val="0"/>
              <w:numPr>
                <w:ilvl w:val="5"/>
                <w:numId w:val="20"/>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机电各专业的所有管道及桥架，并进行管线综合（电气、智能化专业的线缆线管、管径小于DN50的喷淋管道除外）。</w:t>
            </w:r>
          </w:p>
          <w:p w14:paraId="2475F596">
            <w:pPr>
              <w:pStyle w:val="7"/>
              <w:keepNext w:val="0"/>
              <w:keepLines w:val="0"/>
              <w:pageBreakBefore w:val="0"/>
              <w:numPr>
                <w:ilvl w:val="5"/>
                <w:numId w:val="18"/>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机电各专业的设备及基础。</w:t>
            </w:r>
          </w:p>
          <w:p w14:paraId="5F668755">
            <w:pPr>
              <w:pStyle w:val="7"/>
              <w:keepNext w:val="0"/>
              <w:keepLines w:val="0"/>
              <w:pageBreakBefore w:val="0"/>
              <w:numPr>
                <w:ilvl w:val="5"/>
                <w:numId w:val="18"/>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机电各专业附件及末端（包括消火栓、喷淋、风口、音响、灯具、阀门等）。</w:t>
            </w:r>
          </w:p>
          <w:p w14:paraId="44B77F72">
            <w:pPr>
              <w:pStyle w:val="7"/>
              <w:keepNext w:val="0"/>
              <w:keepLines w:val="0"/>
              <w:pageBreakBefore w:val="0"/>
              <w:numPr>
                <w:ilvl w:val="5"/>
                <w:numId w:val="18"/>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机电各专业管道的规格、厚度、坡度、管材、保温、连接方式等。</w:t>
            </w:r>
          </w:p>
          <w:p w14:paraId="415F41CB">
            <w:pPr>
              <w:pStyle w:val="7"/>
              <w:keepNext w:val="0"/>
              <w:keepLines w:val="0"/>
              <w:pageBreakBefore w:val="0"/>
              <w:numPr>
                <w:ilvl w:val="5"/>
                <w:numId w:val="18"/>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机电管综排布满足设计、施工要求，实现管综设计施工一体化。</w:t>
            </w:r>
          </w:p>
          <w:p w14:paraId="742D6E9F">
            <w:pPr>
              <w:pStyle w:val="7"/>
              <w:keepNext w:val="0"/>
              <w:keepLines w:val="0"/>
              <w:pageBreakBefore w:val="0"/>
              <w:numPr>
                <w:ilvl w:val="5"/>
                <w:numId w:val="18"/>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设备机房BIM设计及优化。</w:t>
            </w:r>
          </w:p>
          <w:p w14:paraId="6DAB92BF">
            <w:pPr>
              <w:pStyle w:val="7"/>
              <w:keepNext w:val="0"/>
              <w:keepLines w:val="0"/>
              <w:pageBreakBefore w:val="0"/>
              <w:numPr>
                <w:ilvl w:val="5"/>
                <w:numId w:val="18"/>
              </w:numPr>
              <w:tabs>
                <w:tab w:val="left" w:pos="0"/>
              </w:tabs>
              <w:kinsoku/>
              <w:wordWrap/>
              <w:overflowPunct/>
              <w:topLinePunct w:val="0"/>
              <w:bidi w:val="0"/>
              <w:spacing w:before="0" w:after="0" w:line="360" w:lineRule="auto"/>
              <w:rPr>
                <w:rFonts w:hint="eastAsia" w:ascii="仿宋_GB2312" w:hAnsi="仿宋_GB2312" w:eastAsia="仿宋_GB2312" w:cs="仿宋_GB2312"/>
                <w:b w:val="0"/>
                <w:bCs w:val="0"/>
                <w:color w:val="auto"/>
                <w:kern w:val="2"/>
                <w:sz w:val="24"/>
                <w:szCs w:val="24"/>
                <w:highlight w:val="none"/>
              </w:rPr>
            </w:pPr>
            <w:r>
              <w:rPr>
                <w:rStyle w:val="30"/>
                <w:rFonts w:hint="eastAsia" w:ascii="仿宋_GB2312" w:hAnsi="仿宋_GB2312" w:eastAsia="仿宋_GB2312" w:cs="仿宋_GB2312"/>
                <w:b w:val="0"/>
                <w:bCs w:val="0"/>
                <w:color w:val="auto"/>
                <w:kern w:val="2"/>
                <w:sz w:val="24"/>
                <w:szCs w:val="24"/>
                <w:highlight w:val="none"/>
              </w:rPr>
              <w:t>可以通过管综模型生成管综平面图和剖面图。</w:t>
            </w:r>
          </w:p>
        </w:tc>
      </w:tr>
      <w:tr w14:paraId="5898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9" w:hRule="atLeast"/>
          <w:jc w:val="center"/>
        </w:trPr>
        <w:tc>
          <w:tcPr>
            <w:tcW w:w="704" w:type="dxa"/>
            <w:vAlign w:val="center"/>
          </w:tcPr>
          <w:p w14:paraId="6B432A48">
            <w:pPr>
              <w:pageBreakBefore w:val="0"/>
              <w:kinsoku/>
              <w:wordWrap/>
              <w:overflowPunct/>
              <w:topLinePunct w:val="0"/>
              <w:bidi w:val="0"/>
              <w:spacing w:line="360" w:lineRule="auto"/>
              <w:rPr>
                <w:rFonts w:hint="eastAsia" w:ascii="仿宋_GB2312" w:hAnsi="仿宋_GB2312" w:eastAsia="仿宋_GB2312" w:cs="仿宋_GB2312"/>
                <w:color w:val="auto"/>
                <w:sz w:val="24"/>
                <w:szCs w:val="24"/>
                <w:highlight w:val="none"/>
                <w:lang w:val="en-US" w:eastAsia="zh-CN"/>
              </w:rPr>
            </w:pPr>
            <w:r>
              <w:rPr>
                <w:rStyle w:val="30"/>
                <w:rFonts w:hint="eastAsia" w:ascii="仿宋_GB2312" w:hAnsi="仿宋_GB2312" w:eastAsia="仿宋_GB2312" w:cs="仿宋_GB2312"/>
                <w:color w:val="auto"/>
                <w:sz w:val="24"/>
                <w:szCs w:val="24"/>
                <w:highlight w:val="none"/>
                <w:lang w:val="en-US" w:eastAsia="zh-CN"/>
              </w:rPr>
              <w:t>幕墙</w:t>
            </w:r>
          </w:p>
        </w:tc>
        <w:tc>
          <w:tcPr>
            <w:tcW w:w="1499" w:type="dxa"/>
            <w:vAlign w:val="center"/>
          </w:tcPr>
          <w:p w14:paraId="6B7FE455">
            <w:pPr>
              <w:pageBreakBefore w:val="0"/>
              <w:kinsoku/>
              <w:wordWrap/>
              <w:overflowPunct/>
              <w:topLinePunct w:val="0"/>
              <w:bidi w:val="0"/>
              <w:spacing w:line="360" w:lineRule="auto"/>
              <w:rPr>
                <w:rFonts w:hint="default" w:ascii="仿宋_GB2312" w:hAnsi="仿宋_GB2312" w:eastAsia="仿宋_GB2312" w:cs="仿宋_GB2312"/>
                <w:color w:val="auto"/>
                <w:sz w:val="24"/>
                <w:szCs w:val="24"/>
                <w:highlight w:val="none"/>
                <w:lang w:val="en-US" w:eastAsia="zh-CN"/>
              </w:rPr>
            </w:pPr>
            <w:r>
              <w:rPr>
                <w:rStyle w:val="30"/>
                <w:rFonts w:hint="eastAsia" w:ascii="仿宋_GB2312" w:hAnsi="仿宋_GB2312" w:eastAsia="仿宋_GB2312" w:cs="仿宋_GB2312"/>
                <w:color w:val="auto"/>
                <w:sz w:val="24"/>
                <w:szCs w:val="24"/>
                <w:highlight w:val="none"/>
                <w:lang w:val="en-US" w:eastAsia="zh-CN"/>
              </w:rPr>
              <w:t>幕墙系统、雨棚、与幕墙相关泛光照明、擦窗机等</w:t>
            </w:r>
          </w:p>
        </w:tc>
        <w:tc>
          <w:tcPr>
            <w:tcW w:w="5924" w:type="dxa"/>
          </w:tcPr>
          <w:p w14:paraId="1DD65FE5">
            <w:pPr>
              <w:numPr>
                <w:ilvl w:val="0"/>
                <w:numId w:val="21"/>
              </w:numPr>
              <w:spacing w:line="360" w:lineRule="auto"/>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color w:val="auto"/>
                <w:sz w:val="24"/>
                <w:szCs w:val="24"/>
                <w:highlight w:val="none"/>
              </w:rPr>
              <w:t>玻璃幕墙设计（含横竖龙骨）；铝板或者钢板幕墙</w:t>
            </w:r>
            <w:r>
              <w:rPr>
                <w:rFonts w:ascii="仿宋_GB2312" w:hAnsi="仿宋_GB2312" w:eastAsia="仿宋_GB2312" w:cs="仿宋_GB2312"/>
                <w:color w:val="auto"/>
                <w:sz w:val="24"/>
                <w:szCs w:val="24"/>
                <w:highlight w:val="none"/>
              </w:rPr>
              <w:t>(含龙骨背后钢结构及相关辅助构件)</w:t>
            </w:r>
            <w:r>
              <w:rPr>
                <w:rFonts w:hint="eastAsia" w:ascii="仿宋_GB2312" w:hAnsi="仿宋_GB2312" w:eastAsia="仿宋_GB2312" w:cs="仿宋_GB2312"/>
                <w:color w:val="auto"/>
                <w:sz w:val="24"/>
                <w:szCs w:val="24"/>
                <w:highlight w:val="none"/>
              </w:rPr>
              <w:t>；</w:t>
            </w:r>
            <w:r>
              <w:rPr>
                <w:rFonts w:ascii="仿宋_GB2312" w:hAnsi="仿宋_GB2312" w:eastAsia="仿宋_GB2312" w:cs="仿宋_GB2312"/>
                <w:color w:val="auto"/>
                <w:sz w:val="24"/>
                <w:szCs w:val="24"/>
                <w:highlight w:val="none"/>
              </w:rPr>
              <w:t>石材幕墙(含龙骨背后钢结构及相关辅助构件)</w:t>
            </w:r>
            <w:r>
              <w:rPr>
                <w:rFonts w:hint="eastAsia" w:ascii="仿宋_GB2312" w:hAnsi="仿宋_GB2312" w:eastAsia="仿宋_GB2312" w:cs="仿宋_GB2312"/>
                <w:color w:val="auto"/>
                <w:sz w:val="24"/>
                <w:szCs w:val="24"/>
                <w:highlight w:val="none"/>
              </w:rPr>
              <w:t>；</w:t>
            </w:r>
          </w:p>
          <w:p w14:paraId="3C88C06E">
            <w:pPr>
              <w:numPr>
                <w:ilvl w:val="0"/>
                <w:numId w:val="21"/>
              </w:numPr>
              <w:spacing w:line="360" w:lineRule="auto"/>
              <w:rPr>
                <w:rFonts w:hint="eastAsia" w:ascii="仿宋_GB2312" w:hAnsi="仿宋_GB2312" w:eastAsia="仿宋_GB2312" w:cs="仿宋_GB2312"/>
                <w:b w:val="0"/>
                <w:bCs w:val="0"/>
                <w:color w:val="auto"/>
                <w:kern w:val="2"/>
                <w:sz w:val="24"/>
                <w:szCs w:val="24"/>
                <w:highlight w:val="none"/>
              </w:rPr>
            </w:pPr>
            <w:r>
              <w:rPr>
                <w:rFonts w:ascii="仿宋_GB2312" w:hAnsi="仿宋_GB2312" w:eastAsia="仿宋_GB2312" w:cs="仿宋_GB2312"/>
                <w:color w:val="auto"/>
                <w:sz w:val="24"/>
                <w:szCs w:val="24"/>
                <w:highlight w:val="none"/>
              </w:rPr>
              <w:t>玻璃采光天窗(含钢结构及相关辅助构件)</w:t>
            </w:r>
            <w:r>
              <w:rPr>
                <w:rFonts w:hint="eastAsia" w:ascii="仿宋_GB2312" w:hAnsi="仿宋_GB2312" w:eastAsia="仿宋_GB2312" w:cs="仿宋_GB2312"/>
                <w:color w:val="auto"/>
                <w:sz w:val="24"/>
                <w:szCs w:val="24"/>
                <w:highlight w:val="none"/>
              </w:rPr>
              <w:t>；</w:t>
            </w:r>
            <w:r>
              <w:rPr>
                <w:rFonts w:ascii="仿宋_GB2312" w:hAnsi="仿宋_GB2312" w:eastAsia="仿宋_GB2312" w:cs="仿宋_GB2312"/>
                <w:color w:val="auto"/>
                <w:sz w:val="24"/>
                <w:szCs w:val="24"/>
                <w:highlight w:val="none"/>
              </w:rPr>
              <w:t>入口雨蓬(含钢结构及相关辅助构件</w:t>
            </w:r>
            <w:r>
              <w:rPr>
                <w:rFonts w:hint="eastAsia" w:ascii="仿宋_GB2312" w:hAnsi="仿宋_GB2312" w:eastAsia="仿宋_GB2312" w:cs="仿宋_GB2312"/>
                <w:color w:val="auto"/>
                <w:sz w:val="24"/>
                <w:szCs w:val="24"/>
                <w:highlight w:val="none"/>
              </w:rPr>
              <w:t>)；</w:t>
            </w:r>
            <w:r>
              <w:rPr>
                <w:rFonts w:ascii="仿宋_GB2312" w:hAnsi="仿宋_GB2312" w:eastAsia="仿宋_GB2312" w:cs="仿宋_GB2312"/>
                <w:color w:val="auto"/>
                <w:sz w:val="24"/>
                <w:szCs w:val="24"/>
                <w:highlight w:val="none"/>
              </w:rPr>
              <w:t>铝合金格栅、</w:t>
            </w:r>
            <w:r>
              <w:rPr>
                <w:rFonts w:hint="eastAsia" w:ascii="仿宋_GB2312" w:hAnsi="仿宋_GB2312" w:eastAsia="仿宋_GB2312" w:cs="仿宋_GB2312"/>
                <w:color w:val="auto"/>
                <w:sz w:val="24"/>
                <w:szCs w:val="24"/>
                <w:highlight w:val="none"/>
              </w:rPr>
              <w:t>百叶；</w:t>
            </w:r>
            <w:r>
              <w:rPr>
                <w:rFonts w:ascii="仿宋_GB2312" w:hAnsi="仿宋_GB2312" w:eastAsia="仿宋_GB2312" w:cs="仿宋_GB2312"/>
                <w:color w:val="auto"/>
                <w:sz w:val="24"/>
                <w:szCs w:val="24"/>
                <w:highlight w:val="none"/>
              </w:rPr>
              <w:t>室外栏杆、栏</w:t>
            </w:r>
            <w:r>
              <w:rPr>
                <w:rFonts w:hint="eastAsia" w:ascii="仿宋_GB2312" w:hAnsi="仿宋_GB2312" w:eastAsia="仿宋_GB2312" w:cs="仿宋_GB2312"/>
                <w:color w:val="auto"/>
                <w:sz w:val="24"/>
                <w:szCs w:val="24"/>
                <w:highlight w:val="none"/>
              </w:rPr>
              <w:t>板；</w:t>
            </w:r>
          </w:p>
          <w:p w14:paraId="5361D7D2">
            <w:pPr>
              <w:numPr>
                <w:ilvl w:val="0"/>
                <w:numId w:val="21"/>
              </w:numPr>
              <w:spacing w:line="360" w:lineRule="auto"/>
              <w:rPr>
                <w:rFonts w:hint="eastAsia" w:ascii="仿宋_GB2312" w:hAnsi="仿宋_GB2312" w:eastAsia="仿宋_GB2312" w:cs="仿宋_GB2312"/>
                <w:b w:val="0"/>
                <w:bCs w:val="0"/>
                <w:color w:val="auto"/>
                <w:kern w:val="2"/>
                <w:sz w:val="24"/>
                <w:szCs w:val="24"/>
                <w:highlight w:val="none"/>
              </w:rPr>
            </w:pPr>
            <w:r>
              <w:rPr>
                <w:rFonts w:ascii="仿宋_GB2312" w:hAnsi="仿宋_GB2312" w:eastAsia="仿宋_GB2312" w:cs="仿宋_GB2312"/>
                <w:color w:val="auto"/>
                <w:sz w:val="24"/>
                <w:szCs w:val="24"/>
                <w:highlight w:val="none"/>
              </w:rPr>
              <w:t>所有与幕墙相关的钢结</w:t>
            </w:r>
            <w:r>
              <w:rPr>
                <w:rFonts w:hint="eastAsia" w:ascii="仿宋_GB2312" w:hAnsi="仿宋_GB2312" w:eastAsia="仿宋_GB2312" w:cs="仿宋_GB2312"/>
                <w:color w:val="auto"/>
                <w:sz w:val="24"/>
                <w:szCs w:val="24"/>
                <w:highlight w:val="none"/>
              </w:rPr>
              <w:t>构；</w:t>
            </w:r>
          </w:p>
          <w:p w14:paraId="6FC1C2EE">
            <w:pPr>
              <w:numPr>
                <w:ilvl w:val="0"/>
                <w:numId w:val="21"/>
              </w:numPr>
              <w:spacing w:line="360" w:lineRule="auto"/>
              <w:rPr>
                <w:rFonts w:hint="eastAsia" w:ascii="仿宋_GB2312" w:hAnsi="仿宋_GB2312" w:eastAsia="仿宋_GB2312" w:cs="仿宋_GB2312"/>
                <w:b w:val="0"/>
                <w:bCs w:val="0"/>
                <w:color w:val="auto"/>
                <w:kern w:val="2"/>
                <w:sz w:val="24"/>
                <w:szCs w:val="24"/>
                <w:highlight w:val="none"/>
              </w:rPr>
            </w:pPr>
            <w:r>
              <w:rPr>
                <w:rFonts w:hint="eastAsia" w:ascii="仿宋_GB2312" w:hAnsi="仿宋_GB2312" w:eastAsia="仿宋_GB2312" w:cs="仿宋_GB2312"/>
                <w:color w:val="auto"/>
                <w:sz w:val="24"/>
                <w:szCs w:val="24"/>
                <w:highlight w:val="none"/>
              </w:rPr>
              <w:t>所</w:t>
            </w:r>
            <w:r>
              <w:rPr>
                <w:rFonts w:ascii="仿宋_GB2312" w:hAnsi="仿宋_GB2312" w:eastAsia="仿宋_GB2312" w:cs="仿宋_GB2312"/>
                <w:color w:val="auto"/>
                <w:sz w:val="24"/>
                <w:szCs w:val="24"/>
                <w:highlight w:val="none"/>
              </w:rPr>
              <w:t>有与幕墙相关的</w:t>
            </w:r>
            <w:r>
              <w:rPr>
                <w:rFonts w:hint="eastAsia" w:ascii="仿宋_GB2312" w:hAnsi="仿宋_GB2312" w:eastAsia="仿宋_GB2312" w:cs="仿宋_GB2312"/>
                <w:color w:val="auto"/>
                <w:sz w:val="24"/>
                <w:szCs w:val="24"/>
                <w:highlight w:val="none"/>
                <w:lang w:val="en-US" w:eastAsia="zh-CN"/>
              </w:rPr>
              <w:t>泛光</w:t>
            </w:r>
            <w:r>
              <w:rPr>
                <w:rFonts w:ascii="仿宋_GB2312" w:hAnsi="仿宋_GB2312" w:eastAsia="仿宋_GB2312" w:cs="仿宋_GB2312"/>
                <w:color w:val="auto"/>
                <w:sz w:val="24"/>
                <w:szCs w:val="24"/>
                <w:highlight w:val="none"/>
              </w:rPr>
              <w:t>照明系统</w:t>
            </w:r>
            <w:r>
              <w:rPr>
                <w:rFonts w:hint="eastAsia" w:ascii="仿宋_GB2312" w:hAnsi="仿宋_GB2312" w:eastAsia="仿宋_GB2312" w:cs="仿宋_GB2312"/>
                <w:color w:val="auto"/>
                <w:sz w:val="24"/>
                <w:szCs w:val="24"/>
                <w:highlight w:val="none"/>
              </w:rPr>
              <w:t>配合；</w:t>
            </w:r>
          </w:p>
          <w:p w14:paraId="1F39E907">
            <w:pPr>
              <w:numPr>
                <w:ilvl w:val="0"/>
                <w:numId w:val="21"/>
              </w:numPr>
              <w:spacing w:line="360" w:lineRule="auto"/>
              <w:rPr>
                <w:rFonts w:hint="eastAsia" w:ascii="仿宋_GB2312" w:hAnsi="仿宋_GB2312" w:eastAsia="仿宋_GB2312" w:cs="仿宋_GB2312"/>
                <w:b w:val="0"/>
                <w:bCs w:val="0"/>
                <w:color w:val="auto"/>
                <w:kern w:val="2"/>
                <w:sz w:val="24"/>
                <w:szCs w:val="24"/>
                <w:highlight w:val="none"/>
              </w:rPr>
            </w:pPr>
            <w:r>
              <w:rPr>
                <w:rFonts w:ascii="仿宋_GB2312" w:hAnsi="仿宋_GB2312" w:eastAsia="仿宋_GB2312" w:cs="仿宋_GB2312"/>
                <w:color w:val="auto"/>
                <w:sz w:val="24"/>
                <w:szCs w:val="24"/>
                <w:highlight w:val="none"/>
              </w:rPr>
              <w:t>擦窗机、擦窗机轨道、维护用安全绳</w:t>
            </w:r>
            <w:r>
              <w:rPr>
                <w:rFonts w:hint="eastAsia" w:ascii="仿宋_GB2312" w:hAnsi="仿宋_GB2312" w:eastAsia="仿宋_GB2312" w:cs="仿宋_GB2312"/>
                <w:color w:val="auto"/>
                <w:sz w:val="24"/>
                <w:szCs w:val="24"/>
                <w:highlight w:val="none"/>
              </w:rPr>
              <w:t>导轨；</w:t>
            </w:r>
          </w:p>
        </w:tc>
      </w:tr>
    </w:tbl>
    <w:p w14:paraId="39CF197A">
      <w:pPr>
        <w:pageBreakBefore w:val="0"/>
        <w:kinsoku/>
        <w:wordWrap/>
        <w:overflowPunct/>
        <w:topLinePunct w:val="0"/>
        <w:bidi w:val="0"/>
        <w:snapToGrid w:val="0"/>
        <w:spacing w:line="360" w:lineRule="auto"/>
        <w:ind w:firstLine="480" w:firstLineChars="200"/>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注：根据项目实际情况，对表格中未涉及的其他专业另行提出要求</w:t>
      </w:r>
    </w:p>
    <w:p w14:paraId="30D61255">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eastAsia="zh-TW"/>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设计</w:t>
      </w:r>
      <w:r>
        <w:rPr>
          <w:rFonts w:hint="eastAsia" w:ascii="仿宋_GB2312" w:hAnsi="仿宋_GB2312" w:eastAsia="仿宋_GB2312" w:cs="仿宋_GB2312"/>
          <w:color w:val="auto"/>
          <w:sz w:val="32"/>
          <w:szCs w:val="32"/>
          <w:highlight w:val="none"/>
          <w:lang w:eastAsia="zh-TW"/>
        </w:rPr>
        <w:t>要求</w:t>
      </w:r>
    </w:p>
    <w:p w14:paraId="2160BC53">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1. </w:t>
      </w:r>
      <w:r>
        <w:rPr>
          <w:rStyle w:val="30"/>
          <w:rFonts w:hint="eastAsia" w:ascii="仿宋_GB2312" w:hAnsi="仿宋_GB2312" w:eastAsia="仿宋_GB2312" w:cs="仿宋_GB2312"/>
          <w:color w:val="auto"/>
          <w:sz w:val="32"/>
          <w:szCs w:val="32"/>
          <w:highlight w:val="none"/>
        </w:rPr>
        <w:t>软件要求：项目BIM三维主体建模软件统一采用Autodesk Revit</w:t>
      </w:r>
      <w:r>
        <w:rPr>
          <w:rStyle w:val="30"/>
          <w:rFonts w:hint="eastAsia" w:ascii="仿宋_GB2312" w:hAnsi="仿宋_GB2312" w:eastAsia="仿宋_GB2312" w:cs="仿宋_GB2312"/>
          <w:color w:val="auto"/>
          <w:sz w:val="32"/>
          <w:szCs w:val="32"/>
          <w:highlight w:val="none"/>
          <w:lang w:val="en-US" w:eastAsia="zh-CN"/>
        </w:rPr>
        <w:t>等软件</w:t>
      </w:r>
      <w:r>
        <w:rPr>
          <w:rStyle w:val="30"/>
          <w:rFonts w:hint="eastAsia" w:ascii="仿宋_GB2312" w:hAnsi="仿宋_GB2312" w:eastAsia="仿宋_GB2312" w:cs="仿宋_GB2312"/>
          <w:color w:val="auto"/>
          <w:sz w:val="32"/>
          <w:szCs w:val="32"/>
          <w:highlight w:val="none"/>
        </w:rPr>
        <w:t>。BIM轻量化模型整合软件采用Navisworks。如遇特殊情况，乙方应有能力采用行业内其他先进软件建模。发生修改调整时，所涉及软件的模型及图纸需同步更新。</w:t>
      </w:r>
    </w:p>
    <w:p w14:paraId="65A938E2">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2. </w:t>
      </w:r>
      <w:r>
        <w:rPr>
          <w:rStyle w:val="30"/>
          <w:rFonts w:hint="eastAsia" w:ascii="仿宋_GB2312" w:hAnsi="仿宋_GB2312" w:eastAsia="仿宋_GB2312" w:cs="仿宋_GB2312"/>
          <w:color w:val="auto"/>
          <w:sz w:val="32"/>
          <w:szCs w:val="32"/>
          <w:highlight w:val="none"/>
        </w:rPr>
        <w:t>模型精细度要求：本次招标要求设计单位的模型精细度，需严格按照各专业设计要求及建模精度要求，施工图阶段按 LOD300及以上标准建立BIM模型，局部复杂节点的模型深度达到LOD350，视项目需求而定。</w:t>
      </w:r>
    </w:p>
    <w:p w14:paraId="2A2CE630">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3. </w:t>
      </w:r>
      <w:r>
        <w:rPr>
          <w:rStyle w:val="30"/>
          <w:rFonts w:hint="eastAsia" w:ascii="仿宋_GB2312" w:hAnsi="仿宋_GB2312" w:eastAsia="仿宋_GB2312" w:cs="仿宋_GB2312"/>
          <w:color w:val="auto"/>
          <w:sz w:val="32"/>
          <w:szCs w:val="32"/>
          <w:highlight w:val="none"/>
        </w:rPr>
        <w:t>建模规范要求：包括但不限于项目基点及单位、模型命名规则、模型拆分及整合原则、模型数据格式等内容，模型内容应全面准确，更新及时。</w:t>
      </w:r>
    </w:p>
    <w:p w14:paraId="585C3886">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4. </w:t>
      </w:r>
      <w:r>
        <w:rPr>
          <w:rStyle w:val="30"/>
          <w:rFonts w:hint="eastAsia" w:ascii="仿宋_GB2312" w:hAnsi="仿宋_GB2312" w:eastAsia="仿宋_GB2312" w:cs="仿宋_GB2312"/>
          <w:color w:val="auto"/>
          <w:sz w:val="32"/>
          <w:szCs w:val="32"/>
          <w:highlight w:val="none"/>
        </w:rPr>
        <w:t>图层及视点管理要求：Revit模型中的项目浏览器、Navisworks中的选择树均需按单专业内容拆分归类。</w:t>
      </w:r>
    </w:p>
    <w:p w14:paraId="4FC63BAD">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5. </w:t>
      </w:r>
      <w:r>
        <w:rPr>
          <w:rStyle w:val="30"/>
          <w:rFonts w:hint="eastAsia" w:ascii="仿宋_GB2312" w:hAnsi="仿宋_GB2312" w:eastAsia="仿宋_GB2312" w:cs="仿宋_GB2312"/>
          <w:color w:val="auto"/>
          <w:sz w:val="32"/>
          <w:szCs w:val="32"/>
          <w:highlight w:val="none"/>
        </w:rPr>
        <w:t>机电管综要求：机电模型管综前应</w:t>
      </w:r>
      <w:r>
        <w:rPr>
          <w:rFonts w:hint="eastAsia" w:ascii="仿宋_GB2312" w:hAnsi="仿宋_GB2312" w:eastAsia="仿宋_GB2312" w:cs="仿宋_GB2312"/>
          <w:color w:val="auto"/>
          <w:sz w:val="32"/>
          <w:szCs w:val="32"/>
          <w:highlight w:val="none"/>
        </w:rPr>
        <w:t>明确垂直排布分层原则，管线分类聚拢、排布规矩，优化水平路由后，方可进行管综避让调整，调整过程中需预留风管、水管保温间距及桥架后穿线的施工检修空间。对管线复杂的重点区域应做详细剖面分析，如特高车辆通道、设备机房出口、防火卷帘附近、扶梯走廊、设备运输通道等位置。</w:t>
      </w:r>
    </w:p>
    <w:p w14:paraId="6CD6B6D5">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6. </w:t>
      </w:r>
      <w:r>
        <w:rPr>
          <w:rStyle w:val="30"/>
          <w:rFonts w:hint="eastAsia" w:ascii="仿宋_GB2312" w:hAnsi="仿宋_GB2312" w:eastAsia="仿宋_GB2312" w:cs="仿宋_GB2312"/>
          <w:color w:val="auto"/>
          <w:sz w:val="32"/>
          <w:szCs w:val="32"/>
          <w:highlight w:val="none"/>
        </w:rPr>
        <w:t>协调要求：在与设计范围内多专业配合时，负有统筹、协调、管理的责任，确保BIM管综成果可以落实到各专业图纸中。</w:t>
      </w:r>
    </w:p>
    <w:p w14:paraId="6C6ADFEF">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eastAsia="zh-CN"/>
        </w:rPr>
      </w:pPr>
      <w:r>
        <w:rPr>
          <w:rStyle w:val="30"/>
          <w:rFonts w:hint="eastAsia" w:ascii="仿宋_GB2312" w:hAnsi="仿宋_GB2312" w:eastAsia="仿宋_GB2312" w:cs="仿宋_GB2312"/>
          <w:color w:val="auto"/>
          <w:sz w:val="32"/>
          <w:szCs w:val="32"/>
          <w:highlight w:val="none"/>
          <w:lang w:val="en-US" w:eastAsia="zh-CN"/>
        </w:rPr>
        <w:t xml:space="preserve">7. </w:t>
      </w:r>
      <w:r>
        <w:rPr>
          <w:rStyle w:val="30"/>
          <w:rFonts w:hint="eastAsia" w:ascii="仿宋_GB2312" w:hAnsi="仿宋_GB2312" w:eastAsia="仿宋_GB2312" w:cs="仿宋_GB2312"/>
          <w:color w:val="auto"/>
          <w:sz w:val="32"/>
          <w:szCs w:val="32"/>
          <w:highlight w:val="none"/>
        </w:rPr>
        <w:t>修改更新要求：需配合相关专业图纸问题修改、设计完善优化、施工现场反馈而产生的图纸变更，同步调整更新模型，简要注明模型修改内容及版本号与修改图纸一并提交</w:t>
      </w:r>
      <w:r>
        <w:rPr>
          <w:rStyle w:val="30"/>
          <w:rFonts w:hint="eastAsia" w:ascii="仿宋_GB2312" w:hAnsi="仿宋_GB2312" w:eastAsia="仿宋_GB2312" w:cs="仿宋_GB2312"/>
          <w:color w:val="auto"/>
          <w:sz w:val="32"/>
          <w:szCs w:val="32"/>
          <w:highlight w:val="none"/>
          <w:lang w:eastAsia="zh-CN"/>
        </w:rPr>
        <w:t>。</w:t>
      </w:r>
    </w:p>
    <w:p w14:paraId="2E6FDFD4">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lang w:val="en-US" w:eastAsia="zh-CN"/>
        </w:rPr>
        <w:t xml:space="preserve">8. </w:t>
      </w:r>
      <w:r>
        <w:rPr>
          <w:rStyle w:val="30"/>
          <w:rFonts w:hint="eastAsia" w:ascii="仿宋_GB2312" w:hAnsi="仿宋_GB2312" w:eastAsia="仿宋_GB2312" w:cs="仿宋_GB2312"/>
          <w:color w:val="auto"/>
          <w:sz w:val="32"/>
          <w:szCs w:val="32"/>
          <w:highlight w:val="none"/>
        </w:rPr>
        <w:t>交底要求：需对后续专项设计团队、施工团队等模型接收方、应用方，进行交底答疑，达到模型交接验收标准。</w:t>
      </w:r>
    </w:p>
    <w:p w14:paraId="37CB09F9">
      <w:pPr>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eastAsia="zh-CN"/>
        </w:rPr>
      </w:pPr>
      <w:r>
        <w:rPr>
          <w:rStyle w:val="30"/>
          <w:rFonts w:ascii="仿宋_GB2312" w:hAnsi="仿宋_GB2312" w:eastAsia="仿宋_GB2312" w:cs="仿宋_GB2312"/>
          <w:color w:val="auto"/>
          <w:sz w:val="32"/>
          <w:szCs w:val="32"/>
          <w:highlight w:val="none"/>
        </w:rPr>
        <w:t>9.</w:t>
      </w:r>
      <w:r>
        <w:rPr>
          <w:rFonts w:hint="eastAsia"/>
          <w:color w:val="auto"/>
          <w:sz w:val="24"/>
          <w:highlight w:val="none"/>
        </w:rPr>
        <w:t xml:space="preserve"> </w:t>
      </w:r>
      <w:r>
        <w:rPr>
          <w:rStyle w:val="30"/>
          <w:rFonts w:hint="eastAsia" w:ascii="仿宋_GB2312" w:hAnsi="仿宋_GB2312" w:eastAsia="仿宋_GB2312" w:cs="仿宋_GB2312"/>
          <w:color w:val="auto"/>
          <w:sz w:val="32"/>
          <w:szCs w:val="32"/>
          <w:highlight w:val="none"/>
        </w:rPr>
        <w:t>如还有其他建模单位，乙方应作为建模的总负责，负责统一其他建模单位的建模标准、建模深度，与其他建模单位协调，以及审阅模型</w:t>
      </w:r>
      <w:r>
        <w:rPr>
          <w:rStyle w:val="30"/>
          <w:rFonts w:hint="eastAsia" w:ascii="仿宋_GB2312" w:hAnsi="仿宋_GB2312" w:eastAsia="仿宋_GB2312" w:cs="仿宋_GB2312"/>
          <w:color w:val="auto"/>
          <w:sz w:val="32"/>
          <w:szCs w:val="32"/>
          <w:highlight w:val="none"/>
          <w:lang w:eastAsia="zh-CN"/>
        </w:rPr>
        <w:t>。</w:t>
      </w:r>
    </w:p>
    <w:p w14:paraId="08048CC1">
      <w:pPr>
        <w:adjustRightInd w:val="0"/>
        <w:snapToGrid w:val="0"/>
        <w:spacing w:line="360" w:lineRule="auto"/>
        <w:ind w:firstLine="640" w:firstLineChars="200"/>
        <w:rPr>
          <w:rFonts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1</w:t>
      </w:r>
      <w:r>
        <w:rPr>
          <w:rStyle w:val="30"/>
          <w:rFonts w:ascii="仿宋_GB2312" w:hAnsi="仿宋_GB2312" w:eastAsia="仿宋_GB2312" w:cs="仿宋_GB2312"/>
          <w:color w:val="auto"/>
          <w:sz w:val="32"/>
          <w:szCs w:val="32"/>
          <w:highlight w:val="none"/>
        </w:rPr>
        <w:t>0.</w:t>
      </w:r>
      <w:r>
        <w:rPr>
          <w:rFonts w:hint="eastAsia"/>
          <w:color w:val="auto"/>
          <w:sz w:val="24"/>
          <w:highlight w:val="none"/>
        </w:rPr>
        <w:t xml:space="preserve"> </w:t>
      </w:r>
      <w:r>
        <w:rPr>
          <w:rStyle w:val="30"/>
          <w:rFonts w:hint="eastAsia" w:ascii="仿宋_GB2312" w:hAnsi="仿宋_GB2312" w:eastAsia="仿宋_GB2312" w:cs="仿宋_GB2312"/>
          <w:color w:val="auto"/>
          <w:sz w:val="32"/>
          <w:szCs w:val="32"/>
          <w:highlight w:val="none"/>
        </w:rPr>
        <w:t>乙方负责进行包括各个模型软件平台的数据转换，以及解决其他专业软件的数据接口问题。</w:t>
      </w:r>
    </w:p>
    <w:p w14:paraId="1179DD5B">
      <w:pPr>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eastAsia="zh-CN"/>
        </w:rPr>
      </w:pPr>
      <w:r>
        <w:rPr>
          <w:rStyle w:val="30"/>
          <w:rFonts w:ascii="仿宋_GB2312" w:hAnsi="仿宋_GB2312" w:eastAsia="仿宋_GB2312" w:cs="仿宋_GB2312"/>
          <w:color w:val="auto"/>
          <w:sz w:val="32"/>
          <w:szCs w:val="32"/>
          <w:highlight w:val="none"/>
        </w:rPr>
        <w:t xml:space="preserve">11. </w:t>
      </w:r>
      <w:r>
        <w:rPr>
          <w:rStyle w:val="30"/>
          <w:rFonts w:hint="eastAsia" w:ascii="仿宋_GB2312" w:hAnsi="仿宋_GB2312" w:eastAsia="仿宋_GB2312" w:cs="仿宋_GB2312"/>
          <w:color w:val="auto"/>
          <w:sz w:val="32"/>
          <w:szCs w:val="32"/>
          <w:highlight w:val="none"/>
        </w:rPr>
        <w:t>如甲方有平台要求，乙方需按照平台要求提供能满足平台使用的数据模型，并提供平台的培训及维护服务</w:t>
      </w:r>
      <w:r>
        <w:rPr>
          <w:rStyle w:val="30"/>
          <w:rFonts w:hint="eastAsia" w:ascii="仿宋_GB2312" w:hAnsi="仿宋_GB2312" w:eastAsia="仿宋_GB2312" w:cs="仿宋_GB2312"/>
          <w:color w:val="auto"/>
          <w:sz w:val="32"/>
          <w:szCs w:val="32"/>
          <w:highlight w:val="none"/>
          <w:lang w:eastAsia="zh-CN"/>
        </w:rPr>
        <w:t>。</w:t>
      </w:r>
    </w:p>
    <w:p w14:paraId="065CAC3B">
      <w:pPr>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eastAsia="zh-CN"/>
        </w:rPr>
      </w:pPr>
      <w:r>
        <w:rPr>
          <w:rStyle w:val="30"/>
          <w:rFonts w:hint="eastAsia" w:ascii="仿宋_GB2312" w:hAnsi="仿宋_GB2312" w:eastAsia="仿宋_GB2312" w:cs="仿宋_GB2312"/>
          <w:color w:val="auto"/>
          <w:sz w:val="32"/>
          <w:szCs w:val="32"/>
          <w:highlight w:val="none"/>
        </w:rPr>
        <w:t>1</w:t>
      </w:r>
      <w:r>
        <w:rPr>
          <w:rStyle w:val="30"/>
          <w:rFonts w:ascii="仿宋_GB2312" w:hAnsi="仿宋_GB2312" w:eastAsia="仿宋_GB2312" w:cs="仿宋_GB2312"/>
          <w:color w:val="auto"/>
          <w:sz w:val="32"/>
          <w:szCs w:val="32"/>
          <w:highlight w:val="none"/>
        </w:rPr>
        <w:t xml:space="preserve">2. </w:t>
      </w:r>
      <w:r>
        <w:rPr>
          <w:rStyle w:val="30"/>
          <w:rFonts w:hint="eastAsia" w:ascii="仿宋_GB2312" w:hAnsi="仿宋_GB2312" w:eastAsia="仿宋_GB2312" w:cs="仿宋_GB2312"/>
          <w:color w:val="auto"/>
          <w:sz w:val="32"/>
          <w:szCs w:val="32"/>
          <w:highlight w:val="none"/>
        </w:rPr>
        <w:t>服务阶段应包括：招标图设计、施工图设计、施工阶段至竣工验收</w:t>
      </w:r>
      <w:r>
        <w:rPr>
          <w:rStyle w:val="30"/>
          <w:rFonts w:hint="eastAsia" w:ascii="仿宋_GB2312" w:hAnsi="仿宋_GB2312" w:eastAsia="仿宋_GB2312" w:cs="仿宋_GB2312"/>
          <w:color w:val="auto"/>
          <w:sz w:val="32"/>
          <w:szCs w:val="32"/>
          <w:highlight w:val="none"/>
          <w:lang w:val="en-US" w:eastAsia="zh-CN"/>
        </w:rPr>
        <w:t>所需的配合修改</w:t>
      </w:r>
      <w:r>
        <w:rPr>
          <w:rStyle w:val="30"/>
          <w:rFonts w:hint="eastAsia" w:ascii="仿宋_GB2312" w:hAnsi="仿宋_GB2312" w:eastAsia="仿宋_GB2312" w:cs="仿宋_GB2312"/>
          <w:color w:val="auto"/>
          <w:sz w:val="32"/>
          <w:szCs w:val="32"/>
          <w:highlight w:val="none"/>
          <w:lang w:eastAsia="zh-CN"/>
        </w:rPr>
        <w:t>。</w:t>
      </w:r>
    </w:p>
    <w:p w14:paraId="0A15F85E">
      <w:pPr>
        <w:pageBreakBefore w:val="0"/>
        <w:kinsoku/>
        <w:wordWrap/>
        <w:overflowPunct/>
        <w:topLinePunct w:val="0"/>
        <w:bidi w:val="0"/>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rPr>
        <w:t>1</w:t>
      </w:r>
      <w:r>
        <w:rPr>
          <w:rStyle w:val="30"/>
          <w:rFonts w:ascii="仿宋_GB2312" w:hAnsi="仿宋_GB2312" w:eastAsia="仿宋_GB2312" w:cs="仿宋_GB2312"/>
          <w:color w:val="auto"/>
          <w:sz w:val="32"/>
          <w:szCs w:val="32"/>
          <w:highlight w:val="none"/>
        </w:rPr>
        <w:t>3.</w:t>
      </w:r>
      <w:r>
        <w:rPr>
          <w:rFonts w:hint="eastAsia"/>
          <w:color w:val="auto"/>
          <w:sz w:val="24"/>
          <w:highlight w:val="none"/>
        </w:rPr>
        <w:t xml:space="preserve"> </w:t>
      </w:r>
      <w:r>
        <w:rPr>
          <w:rStyle w:val="30"/>
          <w:rFonts w:hint="eastAsia" w:ascii="仿宋_GB2312" w:hAnsi="仿宋_GB2312" w:eastAsia="仿宋_GB2312" w:cs="仿宋_GB2312"/>
          <w:color w:val="auto"/>
          <w:sz w:val="32"/>
          <w:szCs w:val="32"/>
          <w:highlight w:val="none"/>
        </w:rPr>
        <w:t>施工阶段，</w:t>
      </w:r>
      <w:r>
        <w:rPr>
          <w:rStyle w:val="30"/>
          <w:rFonts w:hint="eastAsia" w:ascii="仿宋_GB2312" w:hAnsi="仿宋_GB2312" w:eastAsia="仿宋_GB2312" w:cs="仿宋_GB2312"/>
          <w:color w:val="auto"/>
          <w:sz w:val="32"/>
          <w:szCs w:val="32"/>
          <w:highlight w:val="none"/>
          <w:lang w:val="en-US" w:eastAsia="zh-CN"/>
        </w:rPr>
        <w:t>如确有需要，</w:t>
      </w:r>
      <w:r>
        <w:rPr>
          <w:rStyle w:val="30"/>
          <w:rFonts w:hint="eastAsia" w:ascii="仿宋_GB2312" w:hAnsi="仿宋_GB2312" w:eastAsia="仿宋_GB2312" w:cs="仿宋_GB2312"/>
          <w:color w:val="auto"/>
          <w:sz w:val="32"/>
          <w:szCs w:val="32"/>
          <w:highlight w:val="none"/>
        </w:rPr>
        <w:t>应</w:t>
      </w:r>
      <w:r>
        <w:rPr>
          <w:rStyle w:val="30"/>
          <w:rFonts w:hint="eastAsia" w:ascii="仿宋_GB2312" w:hAnsi="仿宋_GB2312" w:eastAsia="仿宋_GB2312" w:cs="仿宋_GB2312"/>
          <w:color w:val="auto"/>
          <w:sz w:val="32"/>
          <w:szCs w:val="32"/>
          <w:highlight w:val="none"/>
          <w:lang w:val="en-US" w:eastAsia="zh-CN"/>
        </w:rPr>
        <w:t>按照</w:t>
      </w:r>
      <w:r>
        <w:rPr>
          <w:rStyle w:val="30"/>
          <w:rFonts w:hint="eastAsia" w:ascii="仿宋_GB2312" w:hAnsi="仿宋_GB2312" w:eastAsia="仿宋_GB2312" w:cs="仿宋_GB2312"/>
          <w:color w:val="auto"/>
          <w:sz w:val="32"/>
          <w:szCs w:val="32"/>
          <w:highlight w:val="none"/>
        </w:rPr>
        <w:t>甲方需求派驻人员在项目所在地配合</w:t>
      </w:r>
      <w:r>
        <w:rPr>
          <w:rStyle w:val="30"/>
          <w:rFonts w:hint="eastAsia" w:ascii="仿宋_GB2312" w:hAnsi="仿宋_GB2312" w:eastAsia="仿宋_GB2312" w:cs="仿宋_GB2312"/>
          <w:color w:val="auto"/>
          <w:sz w:val="32"/>
          <w:szCs w:val="32"/>
          <w:highlight w:val="none"/>
          <w:lang w:val="en-US" w:eastAsia="zh-CN"/>
        </w:rPr>
        <w:t>解决工程现场问题。</w:t>
      </w:r>
    </w:p>
    <w:p w14:paraId="580B2DA8">
      <w:pPr>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eastAsia="zh-TW"/>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TW"/>
        </w:rPr>
        <w:t>成果要求</w:t>
      </w:r>
    </w:p>
    <w:p w14:paraId="197F5A33">
      <w:pPr>
        <w:pStyle w:val="38"/>
        <w:pageBreakBefore w:val="0"/>
        <w:kinsoku/>
        <w:wordWrap/>
        <w:overflowPunct/>
        <w:topLinePunct w:val="0"/>
        <w:bidi w:val="0"/>
        <w:adjustRightInd w:val="0"/>
        <w:snapToGrid w:val="0"/>
        <w:spacing w:line="360" w:lineRule="auto"/>
        <w:ind w:firstLine="640" w:firstLineChars="200"/>
        <w:rPr>
          <w:rFonts w:hint="eastAsia" w:ascii="仿宋_GB2312" w:hAnsi="仿宋_GB2312" w:eastAsia="仿宋_GB2312" w:cs="仿宋_GB2312"/>
          <w:color w:val="auto"/>
          <w:sz w:val="32"/>
          <w:szCs w:val="32"/>
          <w:highlight w:val="none"/>
        </w:rPr>
      </w:pPr>
      <w:r>
        <w:rPr>
          <w:rStyle w:val="30"/>
          <w:rFonts w:hint="eastAsia" w:ascii="仿宋_GB2312" w:hAnsi="仿宋_GB2312" w:eastAsia="仿宋_GB2312" w:cs="仿宋_GB2312"/>
          <w:color w:val="auto"/>
          <w:sz w:val="32"/>
          <w:szCs w:val="32"/>
          <w:highlight w:val="none"/>
        </w:rPr>
        <w:t>对建筑、结构、一次机电（室内）</w:t>
      </w:r>
      <w:r>
        <w:rPr>
          <w:rStyle w:val="30"/>
          <w:rFonts w:hint="eastAsia" w:ascii="仿宋_GB2312" w:hAnsi="仿宋_GB2312" w:eastAsia="仿宋_GB2312" w:cs="仿宋_GB2312"/>
          <w:color w:val="auto"/>
          <w:sz w:val="32"/>
          <w:szCs w:val="32"/>
          <w:highlight w:val="none"/>
          <w:lang w:eastAsia="zh-CN"/>
        </w:rPr>
        <w:t>、</w:t>
      </w:r>
      <w:r>
        <w:rPr>
          <w:rStyle w:val="30"/>
          <w:rFonts w:hint="eastAsia" w:ascii="仿宋_GB2312" w:hAnsi="仿宋_GB2312" w:eastAsia="仿宋_GB2312" w:cs="仿宋_GB2312"/>
          <w:color w:val="auto"/>
          <w:sz w:val="32"/>
          <w:szCs w:val="32"/>
          <w:highlight w:val="none"/>
        </w:rPr>
        <w:t>设备专业之间进行碰撞检查出具问题报告，并对碰撞问题进行协调解决。完成机电的管线综合，合模成果需反应在土建全套图纸内。</w:t>
      </w:r>
    </w:p>
    <w:p w14:paraId="68E19DBF">
      <w:pPr>
        <w:pStyle w:val="38"/>
        <w:pageBreakBefore w:val="0"/>
        <w:kinsoku/>
        <w:wordWrap/>
        <w:overflowPunct/>
        <w:topLinePunct w:val="0"/>
        <w:bidi w:val="0"/>
        <w:adjustRightInd w:val="0"/>
        <w:snapToGrid w:val="0"/>
        <w:spacing w:line="360" w:lineRule="auto"/>
        <w:ind w:firstLine="0" w:firstLineChars="0"/>
        <w:rPr>
          <w:rFonts w:hint="eastAsia" w:ascii="仿宋_GB2312" w:hAnsi="仿宋_GB2312" w:eastAsia="仿宋_GB2312" w:cs="仿宋_GB2312"/>
          <w:color w:val="auto"/>
          <w:sz w:val="32"/>
          <w:szCs w:val="32"/>
          <w:highlight w:val="none"/>
        </w:rPr>
      </w:pPr>
    </w:p>
    <w:p w14:paraId="72D4C266">
      <w:pPr>
        <w:pStyle w:val="38"/>
        <w:pageBreakBefore w:val="0"/>
        <w:kinsoku/>
        <w:wordWrap/>
        <w:overflowPunct/>
        <w:topLinePunct w:val="0"/>
        <w:bidi w:val="0"/>
        <w:adjustRightInd w:val="0"/>
        <w:snapToGrid w:val="0"/>
        <w:spacing w:line="360" w:lineRule="auto"/>
        <w:ind w:firstLine="0" w:firstLineChars="0"/>
        <w:rPr>
          <w:rFonts w:hint="eastAsia" w:ascii="仿宋_GB2312" w:hAnsi="仿宋_GB2312" w:eastAsia="仿宋_GB2312" w:cs="仿宋_GB2312"/>
          <w:color w:val="auto"/>
          <w:sz w:val="32"/>
          <w:szCs w:val="32"/>
          <w:highlight w:val="none"/>
        </w:rPr>
      </w:pPr>
    </w:p>
    <w:p w14:paraId="2ABDDCB2">
      <w:pPr>
        <w:rPr>
          <w:color w:val="auto"/>
          <w:highlight w:val="none"/>
        </w:rPr>
        <w:sectPr>
          <w:footerReference r:id="rId3" w:type="default"/>
          <w:pgSz w:w="11906" w:h="16838"/>
          <w:pgMar w:top="1440" w:right="1800" w:bottom="1440" w:left="1800" w:header="851" w:footer="992" w:gutter="0"/>
          <w:cols w:space="425" w:num="1"/>
          <w:docGrid w:type="lines" w:linePitch="312" w:charSpace="0"/>
        </w:sectPr>
      </w:pPr>
    </w:p>
    <w:p w14:paraId="4D3A1837">
      <w:pPr>
        <w:pStyle w:val="38"/>
        <w:adjustRightInd w:val="0"/>
        <w:snapToGrid w:val="0"/>
        <w:spacing w:line="360" w:lineRule="auto"/>
        <w:ind w:firstLine="0" w:firstLineChars="0"/>
        <w:jc w:val="center"/>
        <w:outlineLvl w:val="0"/>
        <w:rPr>
          <w:rFonts w:hint="eastAsia" w:ascii="黑体" w:hAnsi="黑体" w:eastAsia="黑体" w:cs="黑体"/>
          <w:color w:val="auto"/>
          <w:sz w:val="32"/>
          <w:szCs w:val="32"/>
          <w:highlight w:val="none"/>
          <w:lang w:val="en-US" w:eastAsia="zh-CN"/>
        </w:rPr>
      </w:pPr>
      <w:r>
        <w:rPr>
          <w:rStyle w:val="30"/>
          <w:rFonts w:hint="eastAsia" w:ascii="黑体" w:hAnsi="黑体" w:eastAsia="黑体" w:cs="黑体"/>
          <w:color w:val="auto"/>
          <w:sz w:val="32"/>
          <w:szCs w:val="32"/>
          <w:highlight w:val="none"/>
          <w:lang w:val="en-US" w:eastAsia="zh-CN"/>
        </w:rPr>
        <w:t>第九章 景观设计专篇</w:t>
      </w:r>
    </w:p>
    <w:p w14:paraId="5EF0ACCD">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楷体" w:hAnsi="楷体" w:eastAsia="楷体" w:cs="楷体"/>
          <w:color w:val="auto"/>
          <w:sz w:val="32"/>
          <w:szCs w:val="32"/>
          <w:highlight w:val="none"/>
          <w:lang w:val="en-US" w:eastAsia="zh-CN"/>
        </w:rPr>
        <w:t>第一条</w:t>
      </w:r>
      <w:r>
        <w:rPr>
          <w:rStyle w:val="30"/>
          <w:rFonts w:hint="eastAsia" w:ascii="仿宋_GB2312" w:hAnsi="仿宋_GB2312" w:eastAsia="仿宋_GB2312" w:cs="仿宋_GB2312"/>
          <w:color w:val="auto"/>
          <w:sz w:val="32"/>
          <w:szCs w:val="32"/>
          <w:highlight w:val="none"/>
          <w:lang w:val="en-US" w:eastAsia="zh-CN"/>
        </w:rPr>
        <w:t xml:space="preserve"> 景观专业设计要求及内容</w:t>
      </w:r>
    </w:p>
    <w:p w14:paraId="0E56E45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（一）设计要求</w:t>
      </w:r>
    </w:p>
    <w:p w14:paraId="1159259E">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1.在限额设计基础上，使安置区景观环境美观舒适、造价经济、管理安全、维护方便等要求，以提高景观设计质量。</w:t>
      </w:r>
    </w:p>
    <w:p w14:paraId="74F5E0B3">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2.切合实际，具备指导性与可操作性。</w:t>
      </w:r>
    </w:p>
    <w:p w14:paraId="676DB4C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3.严格遵守各类规范与标准，同时又不失景观创意的艺术性；注重功能性及效果的整体统一和景观的可实施性与安全性原则。</w:t>
      </w:r>
    </w:p>
    <w:p w14:paraId="4097E371">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（二）设计内容</w:t>
      </w:r>
    </w:p>
    <w:p w14:paraId="0EABDB93">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1.关键指标</w:t>
      </w:r>
    </w:p>
    <w:p w14:paraId="7A9C903E">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（1）景观园建</w:t>
      </w:r>
    </w:p>
    <w:p w14:paraId="0DF7F7B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 需适当控制铺装面积比例，在满足使用功能的基础上减少铺装面积，宜多采用草坪、绿化地被造景。</w:t>
      </w:r>
    </w:p>
    <w:p w14:paraId="32C0F2F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 在竖向处理上需在较短的距离内消除坡度，预留出大片景观观赏区，坡度在单元入户区域需逐渐放缓，以便有效减少土方量，控制成本。</w:t>
      </w:r>
    </w:p>
    <w:p w14:paraId="72D7CC85">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③ 需充分利用场地现状地势，避免过多造山造坡；现状场地土方量宜场地内平衡，不宜大规模进土或外运。</w:t>
      </w:r>
    </w:p>
    <w:p w14:paraId="54342FE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（2）景观绿化</w:t>
      </w:r>
    </w:p>
    <w:p w14:paraId="4BC9458C">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 绿化种植搭配方式</w:t>
      </w:r>
    </w:p>
    <w:p w14:paraId="1B408BB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绿化种植设计抛弃堆砌及大面积地被种植的做法，在进行绿化种植时定位为创造一个清新疏朗、自然简洁的开放型生态绿地，即以上层乔木、疏林草地、配合适量的灌木、地被以及配合微地形营造的植物景观。</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2231"/>
        <w:gridCol w:w="3370"/>
        <w:gridCol w:w="2046"/>
      </w:tblGrid>
      <w:tr w14:paraId="5D3B6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6D16C4F6">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序号</w:t>
            </w:r>
          </w:p>
        </w:tc>
        <w:tc>
          <w:tcPr>
            <w:tcW w:w="2231" w:type="dxa"/>
            <w:vAlign w:val="center"/>
          </w:tcPr>
          <w:p w14:paraId="637892CB">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植物种类</w:t>
            </w:r>
          </w:p>
        </w:tc>
        <w:tc>
          <w:tcPr>
            <w:tcW w:w="3370" w:type="dxa"/>
            <w:vAlign w:val="center"/>
          </w:tcPr>
          <w:p w14:paraId="6DD51F59">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成本控制指标参考</w:t>
            </w:r>
          </w:p>
        </w:tc>
        <w:tc>
          <w:tcPr>
            <w:tcW w:w="2046" w:type="dxa"/>
            <w:vAlign w:val="center"/>
          </w:tcPr>
          <w:p w14:paraId="53D88858">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备注</w:t>
            </w:r>
          </w:p>
        </w:tc>
      </w:tr>
      <w:tr w14:paraId="3D61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Merge w:val="restart"/>
            <w:vAlign w:val="center"/>
          </w:tcPr>
          <w:p w14:paraId="32CB0A7A">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w:t>
            </w:r>
          </w:p>
        </w:tc>
        <w:tc>
          <w:tcPr>
            <w:tcW w:w="2231" w:type="dxa"/>
            <w:vMerge w:val="restart"/>
            <w:vAlign w:val="center"/>
          </w:tcPr>
          <w:p w14:paraId="62F7368D">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乔木数量</w:t>
            </w:r>
          </w:p>
        </w:tc>
        <w:tc>
          <w:tcPr>
            <w:tcW w:w="3370" w:type="dxa"/>
            <w:vAlign w:val="center"/>
          </w:tcPr>
          <w:p w14:paraId="148C5372">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shd w:val="clear" w:color="auto" w:fill="FFFF00"/>
                <w:vertAlign w:val="baseline"/>
                <w:lang w:val="en-US" w:eastAsia="zh-CN"/>
              </w:rPr>
            </w:pPr>
            <w:r>
              <w:rPr>
                <w:rStyle w:val="30"/>
                <w:rFonts w:hint="eastAsia" w:ascii="仿宋_GB2312" w:hAnsi="仿宋_GB2312" w:eastAsia="仿宋_GB2312" w:cs="仿宋_GB2312"/>
                <w:color w:val="auto"/>
                <w:sz w:val="30"/>
                <w:szCs w:val="30"/>
                <w:highlight w:val="none"/>
                <w:shd w:val="clear" w:color="auto" w:fill="FFFF00"/>
                <w:vertAlign w:val="baseline"/>
                <w:lang w:val="en-US" w:eastAsia="zh-CN"/>
              </w:rPr>
              <w:t>至少三株乔木/100m</w:t>
            </w:r>
            <w:r>
              <w:rPr>
                <w:rStyle w:val="30"/>
                <w:rFonts w:hint="eastAsia" w:ascii="仿宋_GB2312" w:hAnsi="仿宋_GB2312" w:eastAsia="仿宋_GB2312" w:cs="仿宋_GB2312"/>
                <w:color w:val="auto"/>
                <w:sz w:val="30"/>
                <w:szCs w:val="30"/>
                <w:highlight w:val="none"/>
                <w:shd w:val="clear" w:color="auto" w:fill="FFFF00"/>
                <w:vertAlign w:val="superscript"/>
                <w:lang w:val="en-US" w:eastAsia="zh-CN"/>
              </w:rPr>
              <w:t>2</w:t>
            </w:r>
          </w:p>
        </w:tc>
        <w:tc>
          <w:tcPr>
            <w:tcW w:w="2046" w:type="dxa"/>
            <w:vAlign w:val="center"/>
          </w:tcPr>
          <w:p w14:paraId="70B5CCAD">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p>
        </w:tc>
      </w:tr>
      <w:tr w14:paraId="5563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Merge w:val="continue"/>
            <w:vAlign w:val="center"/>
          </w:tcPr>
          <w:p w14:paraId="30B0812C">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p>
        </w:tc>
        <w:tc>
          <w:tcPr>
            <w:tcW w:w="2231" w:type="dxa"/>
            <w:vMerge w:val="continue"/>
            <w:vAlign w:val="center"/>
          </w:tcPr>
          <w:p w14:paraId="32C95106">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p>
        </w:tc>
        <w:tc>
          <w:tcPr>
            <w:tcW w:w="3370" w:type="dxa"/>
            <w:vAlign w:val="center"/>
          </w:tcPr>
          <w:p w14:paraId="31A0102D">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大乔木占乔木总数量比≤20%</w:t>
            </w:r>
          </w:p>
        </w:tc>
        <w:tc>
          <w:tcPr>
            <w:tcW w:w="2046" w:type="dxa"/>
            <w:vAlign w:val="center"/>
          </w:tcPr>
          <w:p w14:paraId="1AB136B7">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胸径≥25cm；地径≥30cm</w:t>
            </w:r>
          </w:p>
        </w:tc>
      </w:tr>
      <w:tr w14:paraId="1580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13095BE2">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2</w:t>
            </w:r>
          </w:p>
        </w:tc>
        <w:tc>
          <w:tcPr>
            <w:tcW w:w="2231" w:type="dxa"/>
            <w:vAlign w:val="center"/>
          </w:tcPr>
          <w:p w14:paraId="76F30998">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灌木数量</w:t>
            </w:r>
          </w:p>
        </w:tc>
        <w:tc>
          <w:tcPr>
            <w:tcW w:w="3370" w:type="dxa"/>
            <w:vAlign w:val="center"/>
          </w:tcPr>
          <w:p w14:paraId="58C2862B">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5~10株灌木/m</w:t>
            </w:r>
            <w:r>
              <w:rPr>
                <w:rStyle w:val="30"/>
                <w:rFonts w:hint="eastAsia" w:ascii="仿宋_GB2312" w:hAnsi="仿宋_GB2312" w:eastAsia="仿宋_GB2312" w:cs="仿宋_GB2312"/>
                <w:color w:val="auto"/>
                <w:sz w:val="30"/>
                <w:szCs w:val="30"/>
                <w:highlight w:val="none"/>
                <w:vertAlign w:val="superscript"/>
                <w:lang w:val="en-US" w:eastAsia="zh-CN"/>
              </w:rPr>
              <w:t>2</w:t>
            </w:r>
          </w:p>
        </w:tc>
        <w:tc>
          <w:tcPr>
            <w:tcW w:w="2046" w:type="dxa"/>
            <w:vAlign w:val="center"/>
          </w:tcPr>
          <w:p w14:paraId="4AA266A3">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节点位置视具体情况而定</w:t>
            </w:r>
          </w:p>
        </w:tc>
      </w:tr>
      <w:tr w14:paraId="1C12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788EB9CF">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3</w:t>
            </w:r>
          </w:p>
        </w:tc>
        <w:tc>
          <w:tcPr>
            <w:tcW w:w="2231" w:type="dxa"/>
            <w:vAlign w:val="center"/>
          </w:tcPr>
          <w:p w14:paraId="2733AC86">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草坪数量/地被</w:t>
            </w:r>
          </w:p>
        </w:tc>
        <w:tc>
          <w:tcPr>
            <w:tcW w:w="3370" w:type="dxa"/>
            <w:vAlign w:val="center"/>
          </w:tcPr>
          <w:p w14:paraId="3874E2E1">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≥5:5</w:t>
            </w:r>
          </w:p>
        </w:tc>
        <w:tc>
          <w:tcPr>
            <w:tcW w:w="2046" w:type="dxa"/>
            <w:vAlign w:val="center"/>
          </w:tcPr>
          <w:p w14:paraId="5C627A22">
            <w:pPr>
              <w:pStyle w:val="38"/>
              <w:keepNext w:val="0"/>
              <w:keepLines w:val="0"/>
              <w:pageBreakBefore w:val="0"/>
              <w:widowControl/>
              <w:kinsoku/>
              <w:wordWrap/>
              <w:overflowPunct/>
              <w:topLinePunct w:val="0"/>
              <w:autoSpaceDE/>
              <w:autoSpaceDN/>
              <w:bidi w:val="0"/>
              <w:adjustRightInd w:val="0"/>
              <w:snapToGrid w:val="0"/>
              <w:spacing w:line="240" w:lineRule="auto"/>
              <w:ind w:firstLine="0"/>
              <w:jc w:val="center"/>
              <w:textAlignment w:val="auto"/>
              <w:rPr>
                <w:rFonts w:hint="default" w:ascii="仿宋_GB2312" w:hAnsi="仿宋_GB2312" w:eastAsia="仿宋_GB2312" w:cs="仿宋_GB2312"/>
                <w:color w:val="auto"/>
                <w:sz w:val="30"/>
                <w:szCs w:val="30"/>
                <w:highlight w:val="none"/>
                <w:vertAlign w:val="baseline"/>
                <w:lang w:val="en-US" w:eastAsia="zh-CN"/>
              </w:rPr>
            </w:pPr>
          </w:p>
        </w:tc>
      </w:tr>
    </w:tbl>
    <w:p w14:paraId="78F351E5">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p>
    <w:p w14:paraId="1205E7AB">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 植物选用品种</w:t>
      </w:r>
    </w:p>
    <w:p w14:paraId="5F73498E">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绿化设计适地适树，植物品种主要选用乡土树种，优先选择经济适用、美观且易养护的植物品种，植物品种选择注重常绿落叶搭配，速生树种与慢生树种结合；不用难管养、难移植的植物、特大规格乔木及名贵树种等，其中安置区地块不用无遮阴效果的植物如棕榈科植物、养护成本高的草花品种。</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2905"/>
      </w:tblGrid>
      <w:tr w14:paraId="0505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261" w:type="dxa"/>
            <w:vAlign w:val="center"/>
          </w:tcPr>
          <w:p w14:paraId="67B53AD1">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default" w:ascii="仿宋_GB2312" w:hAnsi="仿宋_GB2312" w:eastAsia="仿宋_GB2312" w:cs="仿宋_GB2312"/>
                <w:color w:val="auto"/>
                <w:sz w:val="30"/>
                <w:szCs w:val="30"/>
                <w:highlight w:val="none"/>
                <w:vertAlign w:val="baseline"/>
                <w:lang w:val="en-US" w:eastAsia="zh-CN"/>
              </w:rPr>
              <w:t>常绿落叶乔木数量比</w:t>
            </w:r>
          </w:p>
        </w:tc>
        <w:tc>
          <w:tcPr>
            <w:tcW w:w="2905" w:type="dxa"/>
            <w:vAlign w:val="center"/>
          </w:tcPr>
          <w:p w14:paraId="5188EEE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default" w:ascii="仿宋_GB2312" w:hAnsi="仿宋_GB2312" w:eastAsia="仿宋_GB2312" w:cs="仿宋_GB2312"/>
                <w:color w:val="auto"/>
                <w:sz w:val="30"/>
                <w:szCs w:val="30"/>
                <w:highlight w:val="none"/>
                <w:vertAlign w:val="baseline"/>
                <w:lang w:val="en-US" w:eastAsia="zh-CN"/>
              </w:rPr>
              <w:t>≥6:4</w:t>
            </w:r>
          </w:p>
        </w:tc>
      </w:tr>
      <w:tr w14:paraId="326F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4261" w:type="dxa"/>
            <w:vAlign w:val="center"/>
          </w:tcPr>
          <w:p w14:paraId="00D3F9A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default" w:ascii="仿宋_GB2312" w:hAnsi="仿宋_GB2312" w:eastAsia="仿宋_GB2312" w:cs="仿宋_GB2312"/>
                <w:color w:val="auto"/>
                <w:sz w:val="30"/>
                <w:szCs w:val="30"/>
                <w:highlight w:val="none"/>
                <w:vertAlign w:val="baseline"/>
                <w:lang w:val="en-US" w:eastAsia="zh-CN"/>
              </w:rPr>
              <w:t>慢生树占乔木总数量比</w:t>
            </w:r>
          </w:p>
        </w:tc>
        <w:tc>
          <w:tcPr>
            <w:tcW w:w="2905" w:type="dxa"/>
            <w:vAlign w:val="center"/>
          </w:tcPr>
          <w:p w14:paraId="1E1E495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default" w:ascii="仿宋_GB2312" w:hAnsi="仿宋_GB2312" w:eastAsia="仿宋_GB2312" w:cs="仿宋_GB2312"/>
                <w:color w:val="auto"/>
                <w:sz w:val="30"/>
                <w:szCs w:val="30"/>
                <w:highlight w:val="none"/>
                <w:vertAlign w:val="baseline"/>
                <w:lang w:val="en-US" w:eastAsia="zh-CN"/>
              </w:rPr>
              <w:t>≥40%</w:t>
            </w:r>
          </w:p>
        </w:tc>
      </w:tr>
    </w:tbl>
    <w:p w14:paraId="3AB0D97C">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3E62863F">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③ 植物选用规格及种植密度</w:t>
      </w:r>
    </w:p>
    <w:p w14:paraId="676CAF08">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严格控制植物品种规格，适当点缀大乔木，上层乔木主要以中小型乔木为主，植物选用规格统一按广东省园林绿化定额中苗木规格区间选取；合理控制乔、灌、地种植密度，预留植物生长空间。</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1560"/>
        <w:gridCol w:w="5930"/>
      </w:tblGrid>
      <w:tr w14:paraId="32BD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vAlign w:val="center"/>
          </w:tcPr>
          <w:p w14:paraId="5242CFF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序号</w:t>
            </w:r>
          </w:p>
        </w:tc>
        <w:tc>
          <w:tcPr>
            <w:tcW w:w="1560" w:type="dxa"/>
            <w:vAlign w:val="center"/>
          </w:tcPr>
          <w:p w14:paraId="24B7A791">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植物种类</w:t>
            </w:r>
          </w:p>
        </w:tc>
        <w:tc>
          <w:tcPr>
            <w:tcW w:w="5930" w:type="dxa"/>
            <w:vAlign w:val="center"/>
          </w:tcPr>
          <w:p w14:paraId="28C65CD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植物规格选择区间参考</w:t>
            </w:r>
          </w:p>
        </w:tc>
      </w:tr>
      <w:tr w14:paraId="531E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vAlign w:val="center"/>
          </w:tcPr>
          <w:p w14:paraId="2C26089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w:t>
            </w:r>
          </w:p>
        </w:tc>
        <w:tc>
          <w:tcPr>
            <w:tcW w:w="1560" w:type="dxa"/>
            <w:vAlign w:val="center"/>
          </w:tcPr>
          <w:p w14:paraId="60C8674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大乔木</w:t>
            </w:r>
          </w:p>
        </w:tc>
        <w:tc>
          <w:tcPr>
            <w:tcW w:w="5930" w:type="dxa"/>
            <w:vAlign w:val="center"/>
          </w:tcPr>
          <w:p w14:paraId="40E50F4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丛生乔木地径＜70cm；单干乔木胸径＜45cm</w:t>
            </w:r>
          </w:p>
        </w:tc>
      </w:tr>
      <w:tr w14:paraId="488F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vAlign w:val="center"/>
          </w:tcPr>
          <w:p w14:paraId="333C2D5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2</w:t>
            </w:r>
          </w:p>
        </w:tc>
        <w:tc>
          <w:tcPr>
            <w:tcW w:w="1560" w:type="dxa"/>
            <w:vAlign w:val="center"/>
          </w:tcPr>
          <w:p w14:paraId="2D644E8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灌木</w:t>
            </w:r>
          </w:p>
        </w:tc>
        <w:tc>
          <w:tcPr>
            <w:tcW w:w="5930" w:type="dxa"/>
            <w:vAlign w:val="center"/>
          </w:tcPr>
          <w:p w14:paraId="0F2E66C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灌木高度≤300cm</w:t>
            </w:r>
          </w:p>
        </w:tc>
      </w:tr>
      <w:tr w14:paraId="795A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vAlign w:val="center"/>
          </w:tcPr>
          <w:p w14:paraId="5AF5773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3</w:t>
            </w:r>
          </w:p>
        </w:tc>
        <w:tc>
          <w:tcPr>
            <w:tcW w:w="1560" w:type="dxa"/>
            <w:vAlign w:val="center"/>
          </w:tcPr>
          <w:p w14:paraId="1106A2C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地被</w:t>
            </w:r>
          </w:p>
        </w:tc>
        <w:tc>
          <w:tcPr>
            <w:tcW w:w="5930" w:type="dxa"/>
            <w:vAlign w:val="center"/>
          </w:tcPr>
          <w:p w14:paraId="21B7CB5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地被高度≤60cm</w:t>
            </w:r>
          </w:p>
        </w:tc>
      </w:tr>
      <w:tr w14:paraId="4327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vAlign w:val="center"/>
          </w:tcPr>
          <w:p w14:paraId="57B86EC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4</w:t>
            </w:r>
          </w:p>
        </w:tc>
        <w:tc>
          <w:tcPr>
            <w:tcW w:w="1560" w:type="dxa"/>
            <w:vAlign w:val="center"/>
          </w:tcPr>
          <w:p w14:paraId="4D23D9FA">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草坪</w:t>
            </w:r>
          </w:p>
        </w:tc>
        <w:tc>
          <w:tcPr>
            <w:tcW w:w="5930" w:type="dxa"/>
            <w:vAlign w:val="center"/>
          </w:tcPr>
          <w:p w14:paraId="48740EE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default" w:ascii="仿宋_GB2312" w:hAnsi="仿宋_GB2312" w:eastAsia="仿宋_GB2312" w:cs="仿宋_GB2312"/>
                <w:color w:val="auto"/>
                <w:sz w:val="30"/>
                <w:szCs w:val="30"/>
                <w:highlight w:val="none"/>
                <w:vertAlign w:val="baseline"/>
                <w:lang w:val="en-US" w:eastAsia="zh-CN"/>
              </w:rPr>
              <w:t>安置区建议选用台湾草草卷，其他绿地草皮规格选用 30X30cm/件</w:t>
            </w:r>
          </w:p>
        </w:tc>
      </w:tr>
    </w:tbl>
    <w:p w14:paraId="26D2F04E">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816"/>
        <w:gridCol w:w="3450"/>
        <w:gridCol w:w="3675"/>
      </w:tblGrid>
      <w:tr w14:paraId="0FA8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Align w:val="center"/>
          </w:tcPr>
          <w:p w14:paraId="3AB9382B">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序号</w:t>
            </w:r>
          </w:p>
        </w:tc>
        <w:tc>
          <w:tcPr>
            <w:tcW w:w="816" w:type="dxa"/>
            <w:vAlign w:val="center"/>
          </w:tcPr>
          <w:p w14:paraId="47F5C236">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植物种类</w:t>
            </w:r>
          </w:p>
        </w:tc>
        <w:tc>
          <w:tcPr>
            <w:tcW w:w="3450" w:type="dxa"/>
            <w:vAlign w:val="center"/>
          </w:tcPr>
          <w:p w14:paraId="01810DC8">
            <w:pPr>
              <w:pStyle w:val="38"/>
              <w:adjustRightInd w:val="0"/>
              <w:snapToGrid w:val="0"/>
              <w:spacing w:line="240" w:lineRule="auto"/>
              <w:ind w:firstLine="0"/>
              <w:jc w:val="center"/>
              <w:rPr>
                <w:rFonts w:hint="eastAsia"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rPr>
              <w:t>行道树种植间距参考</w:t>
            </w:r>
          </w:p>
        </w:tc>
        <w:tc>
          <w:tcPr>
            <w:tcW w:w="3675" w:type="dxa"/>
            <w:vAlign w:val="center"/>
          </w:tcPr>
          <w:p w14:paraId="5F6EF766">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组团式/片植种植间距参考</w:t>
            </w:r>
          </w:p>
        </w:tc>
      </w:tr>
      <w:tr w14:paraId="5E49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restart"/>
            <w:vAlign w:val="center"/>
          </w:tcPr>
          <w:p w14:paraId="3DFCEF42">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w:t>
            </w:r>
          </w:p>
        </w:tc>
        <w:tc>
          <w:tcPr>
            <w:tcW w:w="816" w:type="dxa"/>
            <w:vMerge w:val="restart"/>
            <w:vAlign w:val="center"/>
          </w:tcPr>
          <w:p w14:paraId="741915AF">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乔木</w:t>
            </w:r>
          </w:p>
        </w:tc>
        <w:tc>
          <w:tcPr>
            <w:tcW w:w="3450" w:type="dxa"/>
            <w:vMerge w:val="restart"/>
            <w:vAlign w:val="center"/>
          </w:tcPr>
          <w:p w14:paraId="1A95EF05">
            <w:pPr>
              <w:pStyle w:val="38"/>
              <w:adjustRightInd w:val="0"/>
              <w:snapToGrid w:val="0"/>
              <w:spacing w:line="240" w:lineRule="auto"/>
              <w:ind w:firstLine="0"/>
              <w:jc w:val="center"/>
              <w:rPr>
                <w:rFonts w:hint="eastAsia"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rPr>
              <w:t>6m≤主园路</w:t>
            </w:r>
            <w:r>
              <w:rPr>
                <w:rStyle w:val="30"/>
                <w:rFonts w:hint="eastAsia" w:ascii="仿宋_GB2312" w:hAnsi="仿宋_GB2312" w:eastAsia="仿宋_GB2312" w:cs="仿宋_GB2312"/>
                <w:color w:val="auto"/>
                <w:sz w:val="30"/>
                <w:szCs w:val="30"/>
                <w:highlight w:val="none"/>
                <w:lang w:eastAsia="zh-CN"/>
              </w:rPr>
              <w:t>，</w:t>
            </w:r>
            <w:r>
              <w:rPr>
                <w:rStyle w:val="30"/>
                <w:rFonts w:hint="eastAsia" w:ascii="仿宋_GB2312" w:hAnsi="仿宋_GB2312" w:eastAsia="仿宋_GB2312" w:cs="仿宋_GB2312"/>
                <w:color w:val="auto"/>
                <w:sz w:val="30"/>
                <w:szCs w:val="30"/>
                <w:highlight w:val="none"/>
              </w:rPr>
              <w:t>5m≤次园路</w:t>
            </w:r>
          </w:p>
        </w:tc>
        <w:tc>
          <w:tcPr>
            <w:tcW w:w="3675" w:type="dxa"/>
            <w:vAlign w:val="center"/>
          </w:tcPr>
          <w:p w14:paraId="5B01BA65">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高大型乔木≥4.5m</w:t>
            </w:r>
          </w:p>
        </w:tc>
      </w:tr>
      <w:tr w14:paraId="060E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vAlign w:val="center"/>
          </w:tcPr>
          <w:p w14:paraId="1AFAB696">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816" w:type="dxa"/>
            <w:vMerge w:val="continue"/>
            <w:vAlign w:val="center"/>
          </w:tcPr>
          <w:p w14:paraId="3C108019">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3450" w:type="dxa"/>
            <w:vMerge w:val="continue"/>
            <w:vAlign w:val="center"/>
          </w:tcPr>
          <w:p w14:paraId="11282039">
            <w:pPr>
              <w:pStyle w:val="38"/>
              <w:adjustRightInd w:val="0"/>
              <w:snapToGrid w:val="0"/>
              <w:spacing w:line="240" w:lineRule="auto"/>
              <w:ind w:firstLine="0"/>
              <w:jc w:val="center"/>
              <w:rPr>
                <w:rFonts w:hint="eastAsia" w:ascii="仿宋_GB2312" w:hAnsi="仿宋_GB2312" w:eastAsia="仿宋_GB2312" w:cs="仿宋_GB2312"/>
                <w:color w:val="auto"/>
                <w:sz w:val="30"/>
                <w:szCs w:val="30"/>
                <w:highlight w:val="none"/>
                <w:vertAlign w:val="baseline"/>
                <w:lang w:val="en-US" w:eastAsia="zh-CN"/>
              </w:rPr>
            </w:pPr>
          </w:p>
        </w:tc>
        <w:tc>
          <w:tcPr>
            <w:tcW w:w="3675" w:type="dxa"/>
            <w:vAlign w:val="center"/>
          </w:tcPr>
          <w:p w14:paraId="4F960233">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其他乔木≥2.5m</w:t>
            </w:r>
          </w:p>
        </w:tc>
      </w:tr>
    </w:tbl>
    <w:p w14:paraId="2E6E9F08">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816"/>
        <w:gridCol w:w="7125"/>
      </w:tblGrid>
      <w:tr w14:paraId="177D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Align w:val="center"/>
          </w:tcPr>
          <w:p w14:paraId="70208B3A">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序号</w:t>
            </w:r>
          </w:p>
        </w:tc>
        <w:tc>
          <w:tcPr>
            <w:tcW w:w="816" w:type="dxa"/>
            <w:vAlign w:val="center"/>
          </w:tcPr>
          <w:p w14:paraId="76987532">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植物种类</w:t>
            </w:r>
          </w:p>
        </w:tc>
        <w:tc>
          <w:tcPr>
            <w:tcW w:w="7125" w:type="dxa"/>
            <w:vAlign w:val="center"/>
          </w:tcPr>
          <w:p w14:paraId="4A24279E">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lang w:val="en-US" w:eastAsia="zh-CN"/>
              </w:rPr>
              <w:t>地被</w:t>
            </w:r>
            <w:r>
              <w:rPr>
                <w:rStyle w:val="30"/>
                <w:rFonts w:hint="eastAsia" w:ascii="仿宋_GB2312" w:hAnsi="仿宋_GB2312" w:eastAsia="仿宋_GB2312" w:cs="仿宋_GB2312"/>
                <w:color w:val="auto"/>
                <w:sz w:val="30"/>
                <w:szCs w:val="30"/>
                <w:highlight w:val="none"/>
              </w:rPr>
              <w:t>种植</w:t>
            </w:r>
            <w:r>
              <w:rPr>
                <w:rStyle w:val="30"/>
                <w:rFonts w:hint="eastAsia" w:ascii="仿宋_GB2312" w:hAnsi="仿宋_GB2312" w:eastAsia="仿宋_GB2312" w:cs="仿宋_GB2312"/>
                <w:color w:val="auto"/>
                <w:sz w:val="30"/>
                <w:szCs w:val="30"/>
                <w:highlight w:val="none"/>
                <w:lang w:val="en-US" w:eastAsia="zh-CN"/>
              </w:rPr>
              <w:t>密度区间</w:t>
            </w:r>
            <w:r>
              <w:rPr>
                <w:rStyle w:val="30"/>
                <w:rFonts w:hint="eastAsia" w:ascii="仿宋_GB2312" w:hAnsi="仿宋_GB2312" w:eastAsia="仿宋_GB2312" w:cs="仿宋_GB2312"/>
                <w:color w:val="auto"/>
                <w:sz w:val="30"/>
                <w:szCs w:val="30"/>
                <w:highlight w:val="none"/>
              </w:rPr>
              <w:t>参考</w:t>
            </w:r>
          </w:p>
        </w:tc>
      </w:tr>
      <w:tr w14:paraId="718D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579" w:type="dxa"/>
            <w:vAlign w:val="center"/>
          </w:tcPr>
          <w:p w14:paraId="7890DB01">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w:t>
            </w:r>
          </w:p>
        </w:tc>
        <w:tc>
          <w:tcPr>
            <w:tcW w:w="816" w:type="dxa"/>
            <w:vAlign w:val="center"/>
          </w:tcPr>
          <w:p w14:paraId="4F54D4F2">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地被</w:t>
            </w:r>
          </w:p>
        </w:tc>
        <w:tc>
          <w:tcPr>
            <w:tcW w:w="7125" w:type="dxa"/>
            <w:vAlign w:val="center"/>
          </w:tcPr>
          <w:p w14:paraId="565ECA9B">
            <w:pPr>
              <w:pStyle w:val="38"/>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default" w:ascii="仿宋_GB2312" w:hAnsi="仿宋_GB2312" w:eastAsia="仿宋_GB2312" w:cs="仿宋_GB2312"/>
                <w:color w:val="auto"/>
                <w:sz w:val="30"/>
                <w:szCs w:val="30"/>
                <w:highlight w:val="none"/>
                <w:vertAlign w:val="baseline"/>
                <w:lang w:val="en-US" w:eastAsia="zh-CN"/>
              </w:rPr>
              <w:t>9株/</w:t>
            </w:r>
            <w:r>
              <w:rPr>
                <w:rStyle w:val="30"/>
                <w:rFonts w:hint="eastAsia" w:ascii="仿宋_GB2312" w:hAnsi="仿宋_GB2312" w:eastAsia="仿宋_GB2312" w:cs="仿宋_GB2312"/>
                <w:color w:val="auto"/>
                <w:sz w:val="30"/>
                <w:szCs w:val="30"/>
                <w:highlight w:val="none"/>
                <w:vertAlign w:val="baseline"/>
                <w:lang w:val="en-US" w:eastAsia="zh-CN"/>
              </w:rPr>
              <w:t>m</w:t>
            </w:r>
            <w:r>
              <w:rPr>
                <w:rStyle w:val="30"/>
                <w:rFonts w:hint="eastAsia" w:ascii="仿宋_GB2312" w:hAnsi="仿宋_GB2312" w:eastAsia="仿宋_GB2312" w:cs="仿宋_GB2312"/>
                <w:color w:val="auto"/>
                <w:sz w:val="30"/>
                <w:szCs w:val="30"/>
                <w:highlight w:val="none"/>
                <w:vertAlign w:val="superscript"/>
                <w:lang w:val="en-US" w:eastAsia="zh-CN"/>
              </w:rPr>
              <w:t>2</w:t>
            </w:r>
            <w:r>
              <w:rPr>
                <w:rStyle w:val="30"/>
                <w:rFonts w:hint="default" w:ascii="仿宋_GB2312" w:hAnsi="仿宋_GB2312" w:eastAsia="仿宋_GB2312" w:cs="仿宋_GB2312"/>
                <w:color w:val="auto"/>
                <w:sz w:val="30"/>
                <w:szCs w:val="30"/>
                <w:highlight w:val="none"/>
                <w:vertAlign w:val="baseline"/>
                <w:lang w:val="en-US" w:eastAsia="zh-CN"/>
              </w:rPr>
              <w:t>≤种植密度≤49株/</w:t>
            </w:r>
            <w:r>
              <w:rPr>
                <w:rStyle w:val="30"/>
                <w:rFonts w:hint="eastAsia" w:ascii="仿宋_GB2312" w:hAnsi="仿宋_GB2312" w:eastAsia="仿宋_GB2312" w:cs="仿宋_GB2312"/>
                <w:color w:val="auto"/>
                <w:sz w:val="30"/>
                <w:szCs w:val="30"/>
                <w:highlight w:val="none"/>
                <w:vertAlign w:val="baseline"/>
                <w:lang w:val="en-US" w:eastAsia="zh-CN"/>
              </w:rPr>
              <w:t>m</w:t>
            </w:r>
            <w:r>
              <w:rPr>
                <w:rStyle w:val="30"/>
                <w:rFonts w:hint="eastAsia" w:ascii="仿宋_GB2312" w:hAnsi="仿宋_GB2312" w:eastAsia="仿宋_GB2312" w:cs="仿宋_GB2312"/>
                <w:color w:val="auto"/>
                <w:sz w:val="30"/>
                <w:szCs w:val="30"/>
                <w:highlight w:val="none"/>
                <w:vertAlign w:val="superscript"/>
                <w:lang w:val="en-US" w:eastAsia="zh-CN"/>
              </w:rPr>
              <w:t>2</w:t>
            </w:r>
            <w:r>
              <w:rPr>
                <w:rStyle w:val="30"/>
                <w:rFonts w:hint="default" w:ascii="仿宋_GB2312" w:hAnsi="仿宋_GB2312" w:eastAsia="仿宋_GB2312" w:cs="仿宋_GB2312"/>
                <w:color w:val="auto"/>
                <w:sz w:val="30"/>
                <w:szCs w:val="30"/>
                <w:highlight w:val="none"/>
                <w:vertAlign w:val="baseline"/>
                <w:lang w:val="en-US" w:eastAsia="zh-CN"/>
              </w:rPr>
              <w:t>，个别品种64株/</w:t>
            </w:r>
            <w:r>
              <w:rPr>
                <w:rStyle w:val="30"/>
                <w:rFonts w:hint="eastAsia" w:ascii="仿宋_GB2312" w:hAnsi="仿宋_GB2312" w:eastAsia="仿宋_GB2312" w:cs="仿宋_GB2312"/>
                <w:color w:val="auto"/>
                <w:sz w:val="30"/>
                <w:szCs w:val="30"/>
                <w:highlight w:val="none"/>
                <w:vertAlign w:val="baseline"/>
                <w:lang w:val="en-US" w:eastAsia="zh-CN"/>
              </w:rPr>
              <w:t>m</w:t>
            </w:r>
            <w:r>
              <w:rPr>
                <w:rStyle w:val="30"/>
                <w:rFonts w:hint="eastAsia" w:ascii="仿宋_GB2312" w:hAnsi="仿宋_GB2312" w:eastAsia="仿宋_GB2312" w:cs="仿宋_GB2312"/>
                <w:color w:val="auto"/>
                <w:sz w:val="30"/>
                <w:szCs w:val="30"/>
                <w:highlight w:val="none"/>
                <w:vertAlign w:val="superscript"/>
                <w:lang w:val="en-US" w:eastAsia="zh-CN"/>
              </w:rPr>
              <w:t>2</w:t>
            </w:r>
          </w:p>
        </w:tc>
      </w:tr>
    </w:tbl>
    <w:p w14:paraId="578AC56D">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69301963">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2.通用指标</w:t>
      </w:r>
    </w:p>
    <w:p w14:paraId="1904417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（1）景观园建</w:t>
      </w:r>
    </w:p>
    <w:p w14:paraId="0DF73DCB">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 材料选型控制项根据经济适用原则，园路铺装材料应尽可能选取本土常用材料，如：沥青、仿石材、透水砖、混凝土压模等，局部可使用天然石材。</w:t>
      </w:r>
    </w:p>
    <w:p w14:paraId="36E8E286">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 内装饰材料表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445"/>
        <w:gridCol w:w="1817"/>
      </w:tblGrid>
      <w:tr w14:paraId="6BDF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09CD8851">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类型</w:t>
            </w:r>
          </w:p>
        </w:tc>
        <w:tc>
          <w:tcPr>
            <w:tcW w:w="2130" w:type="dxa"/>
            <w:vAlign w:val="center"/>
          </w:tcPr>
          <w:p w14:paraId="3331BC6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材料类型</w:t>
            </w:r>
          </w:p>
        </w:tc>
        <w:tc>
          <w:tcPr>
            <w:tcW w:w="2445" w:type="dxa"/>
            <w:vAlign w:val="center"/>
          </w:tcPr>
          <w:p w14:paraId="5A8DADF0">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材料规格（人行）</w:t>
            </w:r>
          </w:p>
        </w:tc>
        <w:tc>
          <w:tcPr>
            <w:tcW w:w="1817" w:type="dxa"/>
            <w:vAlign w:val="center"/>
          </w:tcPr>
          <w:p w14:paraId="1056529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颜色</w:t>
            </w:r>
          </w:p>
        </w:tc>
      </w:tr>
      <w:tr w14:paraId="089F7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5EC4267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园路</w:t>
            </w:r>
          </w:p>
        </w:tc>
        <w:tc>
          <w:tcPr>
            <w:tcW w:w="2130" w:type="dxa"/>
            <w:vAlign w:val="center"/>
          </w:tcPr>
          <w:p w14:paraId="5EBE258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7CD78C7D">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62DD4D8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r w14:paraId="2FCD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0830E50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广场</w:t>
            </w:r>
          </w:p>
        </w:tc>
        <w:tc>
          <w:tcPr>
            <w:tcW w:w="2130" w:type="dxa"/>
            <w:vAlign w:val="center"/>
          </w:tcPr>
          <w:p w14:paraId="5EE1F16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5827A75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6969764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r w14:paraId="53436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69D66F21">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儿童活动区</w:t>
            </w:r>
          </w:p>
        </w:tc>
        <w:tc>
          <w:tcPr>
            <w:tcW w:w="2130" w:type="dxa"/>
            <w:vAlign w:val="center"/>
          </w:tcPr>
          <w:p w14:paraId="0EA4D6E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6CE82929">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16C550C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r w14:paraId="4798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248F73B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运动区</w:t>
            </w:r>
          </w:p>
        </w:tc>
        <w:tc>
          <w:tcPr>
            <w:tcW w:w="2130" w:type="dxa"/>
            <w:vAlign w:val="center"/>
          </w:tcPr>
          <w:p w14:paraId="5FDA90A9">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1EDB068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3454F559">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r w14:paraId="0FDE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572A7F99">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消防扑救面</w:t>
            </w:r>
          </w:p>
        </w:tc>
        <w:tc>
          <w:tcPr>
            <w:tcW w:w="2130" w:type="dxa"/>
            <w:vAlign w:val="center"/>
          </w:tcPr>
          <w:p w14:paraId="77E7CCB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73B5FC43">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0D741C6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r w14:paraId="6D19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7E786260">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架空层</w:t>
            </w:r>
          </w:p>
        </w:tc>
        <w:tc>
          <w:tcPr>
            <w:tcW w:w="2130" w:type="dxa"/>
            <w:vAlign w:val="center"/>
          </w:tcPr>
          <w:p w14:paraId="726E1B1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176A640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22BAAD7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r w14:paraId="640F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14:paraId="2FD6241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商业广场</w:t>
            </w:r>
          </w:p>
        </w:tc>
        <w:tc>
          <w:tcPr>
            <w:tcW w:w="2130" w:type="dxa"/>
            <w:vAlign w:val="center"/>
          </w:tcPr>
          <w:p w14:paraId="5A223AC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445" w:type="dxa"/>
            <w:vAlign w:val="center"/>
          </w:tcPr>
          <w:p w14:paraId="4229793A">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817" w:type="dxa"/>
            <w:vAlign w:val="center"/>
          </w:tcPr>
          <w:p w14:paraId="47750C80">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r>
    </w:tbl>
    <w:p w14:paraId="401AE1C7">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78522175">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③ 硬质景观中地面所采用的材料不宜超过5种，铺装拼花不宜复杂。</w:t>
      </w:r>
    </w:p>
    <w:p w14:paraId="08E738EA">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④ 铺装材料厚度参考：人行道50-60mm，车行道80-100mm。尽量使用或利用市场上通行的材料规格来进行设计（单块铺装平面尺寸应符合模数），节省材料的损耗，避免使用曲线及弧线等定制材料。</w:t>
      </w:r>
    </w:p>
    <w:p w14:paraId="42930C3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（2）景观绿化</w:t>
      </w:r>
    </w:p>
    <w:p w14:paraId="0BEAF27F">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 乔木支撑材料选型</w:t>
      </w:r>
    </w:p>
    <w:p w14:paraId="24D56FDE">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乔木支撑方式：统一采用镀锌钢管四角支撑。</w:t>
      </w:r>
    </w:p>
    <w:p w14:paraId="2226D26E">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胸径&lt;18cm乔木：镀锌钢管的长度为2.5m，管径DN40mm，壁厚3mm,采用单层钢支撑；</w:t>
      </w:r>
    </w:p>
    <w:p w14:paraId="7E9BE41A">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胸径≥18cm乔木：镀锌钢管的长度为4m，管径DN40mm，壁厚3mm,采用两层钢支撑（防台风防倒伏加固）。</w:t>
      </w:r>
    </w:p>
    <w:p w14:paraId="7B973655">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 绿化种植土工程量</w:t>
      </w:r>
    </w:p>
    <w:p w14:paraId="441896E0">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绿化种植土选用二级种植土。种植土壤应保持最低土层厚度，一般种植情况下，最低土层厚度要求详见下表。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2040"/>
        <w:gridCol w:w="1100"/>
        <w:gridCol w:w="2190"/>
        <w:gridCol w:w="1977"/>
      </w:tblGrid>
      <w:tr w14:paraId="22E3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Align w:val="center"/>
          </w:tcPr>
          <w:p w14:paraId="14E5999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序号</w:t>
            </w:r>
          </w:p>
        </w:tc>
        <w:tc>
          <w:tcPr>
            <w:tcW w:w="2040" w:type="dxa"/>
            <w:vAlign w:val="center"/>
          </w:tcPr>
          <w:p w14:paraId="2148250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项目</w:t>
            </w:r>
          </w:p>
        </w:tc>
        <w:tc>
          <w:tcPr>
            <w:tcW w:w="3290" w:type="dxa"/>
            <w:gridSpan w:val="2"/>
            <w:vAlign w:val="center"/>
          </w:tcPr>
          <w:p w14:paraId="15BED39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植被类型</w:t>
            </w:r>
          </w:p>
        </w:tc>
        <w:tc>
          <w:tcPr>
            <w:tcW w:w="1977" w:type="dxa"/>
            <w:vAlign w:val="center"/>
          </w:tcPr>
          <w:p w14:paraId="2082090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土层厚度（cm）</w:t>
            </w:r>
          </w:p>
        </w:tc>
      </w:tr>
      <w:tr w14:paraId="0D79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restart"/>
            <w:vAlign w:val="center"/>
          </w:tcPr>
          <w:p w14:paraId="07A18F3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w:t>
            </w:r>
          </w:p>
        </w:tc>
        <w:tc>
          <w:tcPr>
            <w:tcW w:w="2040" w:type="dxa"/>
            <w:vMerge w:val="restart"/>
            <w:vAlign w:val="center"/>
          </w:tcPr>
          <w:p w14:paraId="69E9E62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一般栽植</w:t>
            </w:r>
          </w:p>
        </w:tc>
        <w:tc>
          <w:tcPr>
            <w:tcW w:w="1100" w:type="dxa"/>
            <w:vMerge w:val="restart"/>
            <w:vAlign w:val="center"/>
          </w:tcPr>
          <w:p w14:paraId="5A0156E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乔木</w:t>
            </w:r>
          </w:p>
        </w:tc>
        <w:tc>
          <w:tcPr>
            <w:tcW w:w="2190" w:type="dxa"/>
            <w:vAlign w:val="center"/>
          </w:tcPr>
          <w:p w14:paraId="2AA9B62A">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胸径≥20cm</w:t>
            </w:r>
          </w:p>
        </w:tc>
        <w:tc>
          <w:tcPr>
            <w:tcW w:w="1977" w:type="dxa"/>
            <w:vAlign w:val="center"/>
          </w:tcPr>
          <w:p w14:paraId="3E65308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≥180</w:t>
            </w:r>
          </w:p>
        </w:tc>
      </w:tr>
      <w:tr w14:paraId="30BB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40F2FD9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0C286FA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100" w:type="dxa"/>
            <w:vMerge w:val="continue"/>
            <w:vAlign w:val="center"/>
          </w:tcPr>
          <w:p w14:paraId="2262201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190" w:type="dxa"/>
            <w:vMerge w:val="restart"/>
            <w:vAlign w:val="center"/>
          </w:tcPr>
          <w:p w14:paraId="3782D73D">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胸径＜20cm</w:t>
            </w:r>
          </w:p>
        </w:tc>
        <w:tc>
          <w:tcPr>
            <w:tcW w:w="1977" w:type="dxa"/>
            <w:vAlign w:val="center"/>
          </w:tcPr>
          <w:p w14:paraId="3635EF47">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≥150（深根）</w:t>
            </w:r>
          </w:p>
        </w:tc>
      </w:tr>
      <w:tr w14:paraId="249C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0F827C5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13F8392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100" w:type="dxa"/>
            <w:vMerge w:val="continue"/>
            <w:vAlign w:val="center"/>
          </w:tcPr>
          <w:p w14:paraId="67F4E86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190" w:type="dxa"/>
            <w:vMerge w:val="continue"/>
            <w:vAlign w:val="center"/>
          </w:tcPr>
          <w:p w14:paraId="2A5DA3F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977" w:type="dxa"/>
            <w:vAlign w:val="center"/>
          </w:tcPr>
          <w:p w14:paraId="2327CB1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≥150（深根）</w:t>
            </w:r>
          </w:p>
        </w:tc>
      </w:tr>
      <w:tr w14:paraId="4452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4A3DFC3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7A2F91A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100" w:type="dxa"/>
            <w:vMerge w:val="restart"/>
            <w:vAlign w:val="center"/>
          </w:tcPr>
          <w:p w14:paraId="60D316EA">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灌木</w:t>
            </w:r>
          </w:p>
        </w:tc>
        <w:tc>
          <w:tcPr>
            <w:tcW w:w="2190" w:type="dxa"/>
            <w:vAlign w:val="center"/>
          </w:tcPr>
          <w:p w14:paraId="7A44D4D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大、中灌木、大藤本</w:t>
            </w:r>
          </w:p>
        </w:tc>
        <w:tc>
          <w:tcPr>
            <w:tcW w:w="1977" w:type="dxa"/>
            <w:vAlign w:val="center"/>
          </w:tcPr>
          <w:p w14:paraId="301DE820">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≥90</w:t>
            </w:r>
          </w:p>
        </w:tc>
      </w:tr>
      <w:tr w14:paraId="4F32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4C6ECCAA">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20B7D35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100" w:type="dxa"/>
            <w:vMerge w:val="continue"/>
            <w:vAlign w:val="center"/>
          </w:tcPr>
          <w:p w14:paraId="1D20DE4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190" w:type="dxa"/>
            <w:vAlign w:val="center"/>
          </w:tcPr>
          <w:p w14:paraId="2561A96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小灌木、宿根花卉、小藤本</w:t>
            </w:r>
          </w:p>
        </w:tc>
        <w:tc>
          <w:tcPr>
            <w:tcW w:w="1977" w:type="dxa"/>
            <w:vAlign w:val="center"/>
          </w:tcPr>
          <w:p w14:paraId="00640473">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≥40</w:t>
            </w:r>
          </w:p>
        </w:tc>
      </w:tr>
      <w:tr w14:paraId="4B6EB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210E278C">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3691622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100" w:type="dxa"/>
            <w:vMerge w:val="restart"/>
            <w:vAlign w:val="center"/>
          </w:tcPr>
          <w:p w14:paraId="5451E390">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竹类</w:t>
            </w:r>
          </w:p>
        </w:tc>
        <w:tc>
          <w:tcPr>
            <w:tcW w:w="2190" w:type="dxa"/>
            <w:vAlign w:val="center"/>
          </w:tcPr>
          <w:p w14:paraId="3875824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大径</w:t>
            </w:r>
          </w:p>
        </w:tc>
        <w:tc>
          <w:tcPr>
            <w:tcW w:w="1977" w:type="dxa"/>
            <w:vAlign w:val="center"/>
          </w:tcPr>
          <w:p w14:paraId="5469390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≥80</w:t>
            </w:r>
          </w:p>
        </w:tc>
      </w:tr>
      <w:tr w14:paraId="4D4B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5C64B60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69A9F9C7">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1100" w:type="dxa"/>
            <w:vMerge w:val="continue"/>
            <w:vAlign w:val="center"/>
          </w:tcPr>
          <w:p w14:paraId="355CA60E">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190" w:type="dxa"/>
            <w:vAlign w:val="center"/>
          </w:tcPr>
          <w:p w14:paraId="34939F37">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中、小径</w:t>
            </w:r>
          </w:p>
        </w:tc>
        <w:tc>
          <w:tcPr>
            <w:tcW w:w="1977" w:type="dxa"/>
            <w:vAlign w:val="center"/>
          </w:tcPr>
          <w:p w14:paraId="3CD1FD57">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≥50</w:t>
            </w:r>
          </w:p>
        </w:tc>
      </w:tr>
      <w:tr w14:paraId="25B7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38511D0A">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00409A4B">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3290" w:type="dxa"/>
            <w:gridSpan w:val="2"/>
            <w:vAlign w:val="center"/>
          </w:tcPr>
          <w:p w14:paraId="4F9721F0">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草坪、花卉、草皮地被</w:t>
            </w:r>
          </w:p>
        </w:tc>
        <w:tc>
          <w:tcPr>
            <w:tcW w:w="1977" w:type="dxa"/>
            <w:vAlign w:val="center"/>
          </w:tcPr>
          <w:p w14:paraId="2AF2BC2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≥30</w:t>
            </w:r>
          </w:p>
        </w:tc>
      </w:tr>
      <w:tr w14:paraId="0204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restart"/>
            <w:vAlign w:val="center"/>
          </w:tcPr>
          <w:p w14:paraId="24A3CBC5">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2</w:t>
            </w:r>
          </w:p>
        </w:tc>
        <w:tc>
          <w:tcPr>
            <w:tcW w:w="2040" w:type="dxa"/>
            <w:vMerge w:val="restart"/>
            <w:vAlign w:val="center"/>
          </w:tcPr>
          <w:p w14:paraId="3D49E692">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设施顶面绿化</w:t>
            </w:r>
          </w:p>
        </w:tc>
        <w:tc>
          <w:tcPr>
            <w:tcW w:w="3290" w:type="dxa"/>
            <w:gridSpan w:val="2"/>
            <w:vAlign w:val="center"/>
          </w:tcPr>
          <w:p w14:paraId="4FBECEB3">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乔木</w:t>
            </w:r>
          </w:p>
        </w:tc>
        <w:tc>
          <w:tcPr>
            <w:tcW w:w="1977" w:type="dxa"/>
            <w:vAlign w:val="center"/>
          </w:tcPr>
          <w:p w14:paraId="613AA321">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≥80</w:t>
            </w:r>
          </w:p>
        </w:tc>
      </w:tr>
      <w:tr w14:paraId="4549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79D3C779">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54CE6FD6">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3290" w:type="dxa"/>
            <w:gridSpan w:val="2"/>
            <w:vAlign w:val="center"/>
          </w:tcPr>
          <w:p w14:paraId="075A60C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灌木</w:t>
            </w:r>
          </w:p>
        </w:tc>
        <w:tc>
          <w:tcPr>
            <w:tcW w:w="1977" w:type="dxa"/>
            <w:vAlign w:val="center"/>
          </w:tcPr>
          <w:p w14:paraId="71CCFB08">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≥45</w:t>
            </w:r>
          </w:p>
        </w:tc>
      </w:tr>
      <w:tr w14:paraId="6737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6D412A67">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2040" w:type="dxa"/>
            <w:vMerge w:val="continue"/>
            <w:vAlign w:val="center"/>
          </w:tcPr>
          <w:p w14:paraId="2BBF4854">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p>
        </w:tc>
        <w:tc>
          <w:tcPr>
            <w:tcW w:w="3290" w:type="dxa"/>
            <w:gridSpan w:val="2"/>
            <w:vAlign w:val="center"/>
          </w:tcPr>
          <w:p w14:paraId="3ABAE6EF">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草坪、花卉、草皮地被</w:t>
            </w:r>
          </w:p>
        </w:tc>
        <w:tc>
          <w:tcPr>
            <w:tcW w:w="1977" w:type="dxa"/>
            <w:vAlign w:val="center"/>
          </w:tcPr>
          <w:p w14:paraId="6D27299D">
            <w:pPr>
              <w:pStyle w:val="38"/>
              <w:widowControl w:val="0"/>
              <w:adjustRightInd w:val="0"/>
              <w:snapToGrid w:val="0"/>
              <w:spacing w:line="240" w:lineRule="auto"/>
              <w:ind w:firstLine="0"/>
              <w:jc w:val="center"/>
              <w:rPr>
                <w:rFonts w:hint="default" w:ascii="仿宋_GB2312" w:hAnsi="仿宋_GB2312" w:eastAsia="仿宋_GB2312" w:cs="仿宋_GB2312"/>
                <w:color w:val="auto"/>
                <w:sz w:val="30"/>
                <w:szCs w:val="30"/>
                <w:highlight w:val="none"/>
                <w:vertAlign w:val="baseline"/>
                <w:lang w:val="en-US" w:eastAsia="zh-CN"/>
              </w:rPr>
            </w:pPr>
            <w:r>
              <w:rPr>
                <w:rStyle w:val="30"/>
                <w:rFonts w:hint="eastAsia" w:ascii="仿宋_GB2312" w:hAnsi="仿宋_GB2312" w:eastAsia="仿宋_GB2312" w:cs="仿宋_GB2312"/>
                <w:color w:val="auto"/>
                <w:sz w:val="30"/>
                <w:szCs w:val="30"/>
                <w:highlight w:val="none"/>
                <w:vertAlign w:val="baseline"/>
                <w:lang w:val="en-US" w:eastAsia="zh-CN"/>
              </w:rPr>
              <w:t>≥15</w:t>
            </w:r>
          </w:p>
        </w:tc>
      </w:tr>
    </w:tbl>
    <w:p w14:paraId="2B46C1F7">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7E9E42B0">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③ 消防车登高操作场地与建筑之间种植</w:t>
      </w:r>
    </w:p>
    <w:p w14:paraId="3BBDE3BF">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根据《建筑设计防火规范》18J811-1，消防车登高场地与建筑之间不应设置妨碍消防车操作的树木、架空管线等障碍物和车库出入口。</w:t>
      </w:r>
    </w:p>
    <w:p w14:paraId="52014448">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shd w:val="clear" w:color="auto" w:fill="FFFF00"/>
          <w:lang w:val="en-US" w:eastAsia="zh-CN"/>
        </w:rPr>
      </w:pPr>
      <w:r>
        <w:rPr>
          <w:rStyle w:val="30"/>
          <w:rFonts w:hint="eastAsia" w:ascii="仿宋_GB2312" w:hAnsi="仿宋_GB2312" w:eastAsia="仿宋_GB2312" w:cs="仿宋_GB2312"/>
          <w:color w:val="auto"/>
          <w:sz w:val="32"/>
          <w:szCs w:val="32"/>
          <w:highlight w:val="none"/>
          <w:shd w:val="clear" w:color="auto" w:fill="FFFF00"/>
          <w:lang w:val="en-US" w:eastAsia="zh-CN"/>
        </w:rPr>
        <w:t>消防登高场地与建筑之间不种植大乔木，种植树木为高度4米以下的小乔木灌木地被等，并注明需定期修剪以控制高度在4米以下。</w:t>
      </w:r>
    </w:p>
    <w:p w14:paraId="0E14E23F">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④ 景观设计的植物配置，优先考虑利用树木迁移的树种，将景观绿化工程与树木保护统一设计、统一实施。</w:t>
      </w:r>
    </w:p>
    <w:p w14:paraId="71D26378">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3.选用指标</w:t>
      </w:r>
    </w:p>
    <w:p w14:paraId="40A8D0BC">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（1）景观园建</w:t>
      </w:r>
    </w:p>
    <w:p w14:paraId="77A001FB">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 景观布局上应突出重点，着重打造主入口、中心区等重要景观节点，其余区域宜简化设计。</w:t>
      </w:r>
    </w:p>
    <w:p w14:paraId="40B9EFBD">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 铺贴方式需采用规整铺装，减少碎拼、切割等人工及材料成本；可考虑局部取消面层，直接在素混凝土表面进行机械刻纹或扫毛面处理。</w:t>
      </w:r>
    </w:p>
    <w:p w14:paraId="26B6464A">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③ 消防登高面材料宜选用彩色透水混凝土、沥青及彩色水泥压膜等较为经济适用材料。</w:t>
      </w:r>
    </w:p>
    <w:p w14:paraId="2BC746D0">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④ 宜减少景观构筑物单体设计，若在突出的景观节点设置需选用成品构筑物。</w:t>
      </w:r>
    </w:p>
    <w:p w14:paraId="3759E6BD">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⑤ 景观小品、运动设施器材、活动场所设施等宜采用常规、经济、耐用的成品设施，材料选用工程塑料、优质钢、玻璃钢等；不宜采用异形或曲线型座椅、整石坐凳等，减少采购成本及后期维护成本。</w:t>
      </w:r>
    </w:p>
    <w:p w14:paraId="5ECE2625">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⑥ 户外情景雕塑及景观置石适当减少或优化数量，仅在重点区域进行点缀表达即可。</w:t>
      </w:r>
    </w:p>
    <w:p w14:paraId="7D0A394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⑦ 围墙和护栏设计需便于管理、维护和施工方便等功能要求，围墙宜选用通透性铁艺围墙为主，设计风格需与主体建筑相呼应。</w:t>
      </w:r>
    </w:p>
    <w:p w14:paraId="178D06E1">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⑧ 不宜设计景观功能性水景，施工及维护成本较高。</w:t>
      </w:r>
    </w:p>
    <w:p w14:paraId="1F7EBA77">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（2）景观电气</w:t>
      </w:r>
    </w:p>
    <w:p w14:paraId="6599DEE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 照明系统</w:t>
      </w:r>
    </w:p>
    <w:p w14:paraId="7430A6E1">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设计居住区人行道路路面平均照度维持值为</w:t>
      </w:r>
      <w:r>
        <w:rPr>
          <w:rStyle w:val="30"/>
          <w:rFonts w:hint="eastAsia" w:ascii="仿宋_GB2312" w:hAnsi="仿宋_GB2312" w:eastAsia="仿宋_GB2312" w:cs="仿宋_GB2312"/>
          <w:color w:val="auto"/>
          <w:sz w:val="32"/>
          <w:szCs w:val="32"/>
          <w:highlight w:val="none"/>
          <w:lang w:val="en-US" w:eastAsia="zh-CN"/>
        </w:rPr>
        <w:t>1</w:t>
      </w:r>
      <w:r>
        <w:rPr>
          <w:rStyle w:val="30"/>
          <w:rFonts w:hint="default" w:ascii="仿宋_GB2312" w:hAnsi="仿宋_GB2312" w:eastAsia="仿宋_GB2312" w:cs="仿宋_GB2312"/>
          <w:color w:val="auto"/>
          <w:sz w:val="32"/>
          <w:szCs w:val="32"/>
          <w:highlight w:val="none"/>
          <w:lang w:val="en-US" w:eastAsia="zh-CN"/>
        </w:rPr>
        <w:t>0</w:t>
      </w:r>
      <w:r>
        <w:rPr>
          <w:rStyle w:val="30"/>
          <w:rFonts w:hint="eastAsia" w:ascii="仿宋_GB2312" w:hAnsi="仿宋_GB2312" w:eastAsia="仿宋_GB2312" w:cs="仿宋_GB2312"/>
          <w:color w:val="auto"/>
          <w:sz w:val="32"/>
          <w:szCs w:val="32"/>
          <w:highlight w:val="none"/>
          <w:lang w:val="en-US" w:eastAsia="zh-CN"/>
        </w:rPr>
        <w:t>l</w:t>
      </w:r>
      <w:r>
        <w:rPr>
          <w:rStyle w:val="30"/>
          <w:rFonts w:hint="default" w:ascii="仿宋_GB2312" w:hAnsi="仿宋_GB2312" w:eastAsia="仿宋_GB2312" w:cs="仿宋_GB2312"/>
          <w:color w:val="auto"/>
          <w:sz w:val="32"/>
          <w:szCs w:val="32"/>
          <w:highlight w:val="none"/>
          <w:lang w:val="en-US" w:eastAsia="zh-CN"/>
        </w:rPr>
        <w:t>x，路面最小照度维持值为3</w:t>
      </w:r>
      <w:r>
        <w:rPr>
          <w:rStyle w:val="30"/>
          <w:rFonts w:hint="eastAsia" w:ascii="仿宋_GB2312" w:hAnsi="仿宋_GB2312" w:eastAsia="仿宋_GB2312" w:cs="仿宋_GB2312"/>
          <w:color w:val="auto"/>
          <w:sz w:val="32"/>
          <w:szCs w:val="32"/>
          <w:highlight w:val="none"/>
          <w:lang w:val="en-US" w:eastAsia="zh-CN"/>
        </w:rPr>
        <w:t>l</w:t>
      </w:r>
      <w:r>
        <w:rPr>
          <w:rStyle w:val="30"/>
          <w:rFonts w:hint="default" w:ascii="仿宋_GB2312" w:hAnsi="仿宋_GB2312" w:eastAsia="仿宋_GB2312" w:cs="仿宋_GB2312"/>
          <w:color w:val="auto"/>
          <w:sz w:val="32"/>
          <w:szCs w:val="32"/>
          <w:highlight w:val="none"/>
          <w:lang w:val="en-US" w:eastAsia="zh-CN"/>
        </w:rPr>
        <w:t>x，最小垂直照度维持值2</w:t>
      </w:r>
      <w:r>
        <w:rPr>
          <w:rStyle w:val="30"/>
          <w:rFonts w:hint="eastAsia" w:ascii="仿宋_GB2312" w:hAnsi="仿宋_GB2312" w:eastAsia="仿宋_GB2312" w:cs="仿宋_GB2312"/>
          <w:color w:val="auto"/>
          <w:sz w:val="32"/>
          <w:szCs w:val="32"/>
          <w:highlight w:val="none"/>
          <w:lang w:val="en-US" w:eastAsia="zh-CN"/>
        </w:rPr>
        <w:t>l</w:t>
      </w:r>
      <w:r>
        <w:rPr>
          <w:rStyle w:val="30"/>
          <w:rFonts w:hint="default" w:ascii="仿宋_GB2312" w:hAnsi="仿宋_GB2312" w:eastAsia="仿宋_GB2312" w:cs="仿宋_GB2312"/>
          <w:color w:val="auto"/>
          <w:sz w:val="32"/>
          <w:szCs w:val="32"/>
          <w:highlight w:val="none"/>
          <w:lang w:val="en-US" w:eastAsia="zh-CN"/>
        </w:rPr>
        <w:t>x。避免过度亮化。</w:t>
      </w:r>
    </w:p>
    <w:p w14:paraId="227C11A7">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如无特殊景观照明要求园区以功能性照明设计为主，照明范围基本满足居民活动需求即可，不建议在不必要处设置照明设施。</w:t>
      </w:r>
    </w:p>
    <w:p w14:paraId="256144D3">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庭院灯光源采用LED光源，灯具防护等级满足≥IP54，灯杆高度建议统一为</w:t>
      </w:r>
      <w:r>
        <w:rPr>
          <w:rStyle w:val="30"/>
          <w:rFonts w:hint="eastAsia" w:ascii="仿宋_GB2312" w:hAnsi="仿宋_GB2312" w:eastAsia="仿宋_GB2312" w:cs="仿宋_GB2312"/>
          <w:color w:val="auto"/>
          <w:sz w:val="32"/>
          <w:szCs w:val="32"/>
          <w:highlight w:val="none"/>
          <w:lang w:val="en-US" w:eastAsia="zh-CN"/>
        </w:rPr>
        <w:t>3.</w:t>
      </w:r>
      <w:r>
        <w:rPr>
          <w:rStyle w:val="30"/>
          <w:rFonts w:hint="default" w:ascii="仿宋_GB2312" w:hAnsi="仿宋_GB2312" w:eastAsia="仿宋_GB2312" w:cs="仿宋_GB2312"/>
          <w:color w:val="auto"/>
          <w:sz w:val="32"/>
          <w:szCs w:val="32"/>
          <w:highlight w:val="none"/>
          <w:lang w:val="en-US" w:eastAsia="zh-CN"/>
        </w:rPr>
        <w:t>0m。灯体采用简洁大方、经久耐用的非定制成品庭院灯，灯具采用后期易于维护更换的产品。</w:t>
      </w:r>
    </w:p>
    <w:p w14:paraId="4BE87339">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小区室外照明应根据季节变化合理确定开关灯时间，宜采用集中时控的控制方式。</w:t>
      </w:r>
    </w:p>
    <w:p w14:paraId="77950582">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电缆穿管采用PVC管，壁厚不小于2.0㎜，人行道或中间绿化带下，埋深0.5m。过路管采用套镀锌钢管或玻璃钢，埋深0.7m。</w:t>
      </w:r>
    </w:p>
    <w:p w14:paraId="039ACC44">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室外安装照明配电箱防护等级满足≥IP54。</w:t>
      </w:r>
    </w:p>
    <w:p w14:paraId="39B43CE7">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 弱电系统</w:t>
      </w:r>
    </w:p>
    <w:p w14:paraId="5324539D">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室外供电线缆采用阻燃电缆。照明、监控系统供电采用ZR-YJV线，广播系统采用ZR-R</w:t>
      </w:r>
      <w:r>
        <w:rPr>
          <w:rStyle w:val="30"/>
          <w:rFonts w:hint="eastAsia" w:ascii="仿宋_GB2312" w:hAnsi="仿宋_GB2312" w:eastAsia="仿宋_GB2312" w:cs="仿宋_GB2312"/>
          <w:color w:val="auto"/>
          <w:sz w:val="32"/>
          <w:szCs w:val="32"/>
          <w:highlight w:val="none"/>
          <w:lang w:val="en-US" w:eastAsia="zh-CN"/>
        </w:rPr>
        <w:t>VV</w:t>
      </w:r>
      <w:r>
        <w:rPr>
          <w:rStyle w:val="30"/>
          <w:rFonts w:hint="default" w:ascii="仿宋_GB2312" w:hAnsi="仿宋_GB2312" w:eastAsia="仿宋_GB2312" w:cs="仿宋_GB2312"/>
          <w:color w:val="auto"/>
          <w:sz w:val="32"/>
          <w:szCs w:val="32"/>
          <w:highlight w:val="none"/>
          <w:lang w:val="en-US" w:eastAsia="zh-CN"/>
        </w:rPr>
        <w:t>P线，户外光纤采用单模四芯光纤；</w:t>
      </w:r>
    </w:p>
    <w:p w14:paraId="0713869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（3）景观给排水</w:t>
      </w:r>
    </w:p>
    <w:p w14:paraId="0A2E3A37">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w:t>
      </w:r>
      <w:r>
        <w:rPr>
          <w:rStyle w:val="30"/>
          <w:rFonts w:hint="default" w:ascii="仿宋_GB2312" w:hAnsi="仿宋_GB2312" w:eastAsia="仿宋_GB2312" w:cs="仿宋_GB2312"/>
          <w:color w:val="auto"/>
          <w:sz w:val="32"/>
          <w:szCs w:val="32"/>
          <w:highlight w:val="none"/>
          <w:lang w:val="en-US" w:eastAsia="zh-CN"/>
        </w:rPr>
        <w:t xml:space="preserve"> 绿化区域雨水口采用</w:t>
      </w:r>
      <w:r>
        <w:rPr>
          <w:rStyle w:val="30"/>
          <w:rFonts w:hint="default" w:ascii="仿宋_GB2312" w:hAnsi="仿宋_GB2312" w:eastAsia="仿宋_GB2312" w:cs="仿宋_GB2312"/>
          <w:color w:val="auto"/>
          <w:sz w:val="32"/>
          <w:szCs w:val="32"/>
          <w:highlight w:val="none"/>
          <w:shd w:val="clear" w:color="auto" w:fill="FFFFFF"/>
          <w:lang w:val="en-US" w:eastAsia="zh-CN"/>
        </w:rPr>
        <w:t>现浇混凝土平篦式单篦雨水口，采用规格为500*300的</w:t>
      </w:r>
      <w:r>
        <w:rPr>
          <w:rStyle w:val="30"/>
          <w:rFonts w:hint="eastAsia" w:ascii="仿宋_GB2312" w:hAnsi="仿宋_GB2312" w:eastAsia="仿宋_GB2312" w:cs="仿宋_GB2312"/>
          <w:color w:val="auto"/>
          <w:sz w:val="32"/>
          <w:szCs w:val="32"/>
          <w:highlight w:val="none"/>
          <w:shd w:val="clear" w:color="auto" w:fill="FFFFFF"/>
          <w:lang w:val="en-US" w:eastAsia="zh-CN"/>
        </w:rPr>
        <w:t>复合材料</w:t>
      </w:r>
      <w:r>
        <w:rPr>
          <w:rStyle w:val="30"/>
          <w:rFonts w:hint="default" w:ascii="仿宋_GB2312" w:hAnsi="仿宋_GB2312" w:eastAsia="仿宋_GB2312" w:cs="仿宋_GB2312"/>
          <w:color w:val="auto"/>
          <w:sz w:val="32"/>
          <w:szCs w:val="32"/>
          <w:highlight w:val="none"/>
          <w:shd w:val="clear" w:color="auto" w:fill="FFFFFF"/>
          <w:lang w:val="en-US" w:eastAsia="zh-CN"/>
        </w:rPr>
        <w:t>盖板；</w:t>
      </w:r>
      <w:r>
        <w:rPr>
          <w:rStyle w:val="30"/>
          <w:rFonts w:hint="default" w:ascii="仿宋_GB2312" w:hAnsi="仿宋_GB2312" w:eastAsia="仿宋_GB2312" w:cs="仿宋_GB2312"/>
          <w:color w:val="auto"/>
          <w:sz w:val="32"/>
          <w:szCs w:val="32"/>
          <w:highlight w:val="none"/>
          <w:lang w:val="en-US" w:eastAsia="zh-CN"/>
        </w:rPr>
        <w:t>行车区域采用预制混凝土装配式平篦式单篦雨水口，详见国标图16S518/P39。</w:t>
      </w:r>
    </w:p>
    <w:p w14:paraId="4170864C">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w:t>
      </w:r>
      <w:r>
        <w:rPr>
          <w:rStyle w:val="30"/>
          <w:rFonts w:hint="default" w:ascii="仿宋_GB2312" w:hAnsi="仿宋_GB2312" w:eastAsia="仿宋_GB2312" w:cs="仿宋_GB2312"/>
          <w:color w:val="auto"/>
          <w:sz w:val="32"/>
          <w:szCs w:val="32"/>
          <w:highlight w:val="none"/>
          <w:lang w:val="en-US" w:eastAsia="zh-CN"/>
        </w:rPr>
        <w:t xml:space="preserve"> 对于绿化种植区面积较小区域以人工灌溉为主，对于面积较大区域建议使用自动喷灌系统，对于屋顶绿化和平台绿化建议使用人工灌溉。合理布置喷头间距，在保证大部分绿化被喷头覆盖范围的前提下，尽量减少喷头数量。</w:t>
      </w:r>
    </w:p>
    <w:p w14:paraId="3318ADE0">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③</w:t>
      </w:r>
      <w:r>
        <w:rPr>
          <w:rStyle w:val="30"/>
          <w:rFonts w:hint="default" w:ascii="仿宋_GB2312" w:hAnsi="仿宋_GB2312" w:eastAsia="仿宋_GB2312" w:cs="仿宋_GB2312"/>
          <w:color w:val="auto"/>
          <w:sz w:val="32"/>
          <w:szCs w:val="32"/>
          <w:highlight w:val="none"/>
          <w:lang w:val="en-US" w:eastAsia="zh-CN"/>
        </w:rPr>
        <w:t xml:space="preserve"> 绿化给水管采用PE管，电熔连接。给水管道在绿化带下管顶覆土不小于0.5m，车行道下不小于0.7m。</w:t>
      </w:r>
    </w:p>
    <w:p w14:paraId="4BDAA7FA">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④</w:t>
      </w:r>
      <w:r>
        <w:rPr>
          <w:rStyle w:val="30"/>
          <w:rFonts w:hint="default" w:ascii="仿宋_GB2312" w:hAnsi="仿宋_GB2312" w:eastAsia="仿宋_GB2312" w:cs="仿宋_GB2312"/>
          <w:color w:val="auto"/>
          <w:sz w:val="32"/>
          <w:szCs w:val="32"/>
          <w:highlight w:val="none"/>
          <w:lang w:val="en-US" w:eastAsia="zh-CN"/>
        </w:rPr>
        <w:t xml:space="preserve"> 绿化区域排水沟盖板采用复合树脂材料；铺装区域内排水沟盖板采用石材盖板（与周边铺装保持一致）；行车区域排水沟盖板采用镀锌钢或铸铁盖板。</w:t>
      </w:r>
    </w:p>
    <w:p w14:paraId="1790977B">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4.其他指标</w:t>
      </w:r>
    </w:p>
    <w:p w14:paraId="36820F13">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（1）景观园建</w:t>
      </w:r>
    </w:p>
    <w:p w14:paraId="08BA6664">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①</w:t>
      </w:r>
      <w:r>
        <w:rPr>
          <w:rStyle w:val="30"/>
          <w:rFonts w:hint="default" w:ascii="仿宋_GB2312" w:hAnsi="仿宋_GB2312" w:eastAsia="仿宋_GB2312" w:cs="仿宋_GB2312"/>
          <w:color w:val="auto"/>
          <w:sz w:val="32"/>
          <w:szCs w:val="32"/>
          <w:highlight w:val="none"/>
          <w:lang w:val="en-US" w:eastAsia="zh-CN"/>
        </w:rPr>
        <w:t xml:space="preserve"> 海绵城市控制项，铺装需采用透水材料，绿化区域建议采用下凹绿地，适当控制雨水花园面积。</w:t>
      </w:r>
    </w:p>
    <w:p w14:paraId="75B1DC6E">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②</w:t>
      </w:r>
      <w:r>
        <w:rPr>
          <w:rStyle w:val="30"/>
          <w:rFonts w:hint="default" w:ascii="仿宋_GB2312" w:hAnsi="仿宋_GB2312" w:eastAsia="仿宋_GB2312" w:cs="仿宋_GB2312"/>
          <w:color w:val="auto"/>
          <w:sz w:val="32"/>
          <w:szCs w:val="32"/>
          <w:highlight w:val="none"/>
          <w:lang w:val="en-US" w:eastAsia="zh-CN"/>
        </w:rPr>
        <w:t xml:space="preserve"> 节能绿建设计相关指标及要求。</w:t>
      </w:r>
    </w:p>
    <w:p w14:paraId="7DA1740D">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（2）景观绿化</w:t>
      </w:r>
    </w:p>
    <w:p w14:paraId="6CB21790">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广州市林业和园林局关于印发《广州市城市树木保护管理规定（试行）》的通知（穗林业园林规字〔2022〕1号）</w:t>
      </w:r>
    </w:p>
    <w:p w14:paraId="3DD025D3">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严格遵守最新的树木保护规定，充分回迁利用村落原有的植物资源，在体现原生态设计的同时，有效降低建设成本。</w:t>
      </w:r>
    </w:p>
    <w:p w14:paraId="0B101B1B">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现状原有保留树木及树木保护专章中明确需要原地回迁的树木直接影响到本项目绿化工程的投资，待树木保护专章按通知要求完成相关报批手续后，设计单位再落实树木保护专章中的具体要求。</w:t>
      </w:r>
    </w:p>
    <w:p w14:paraId="408D98E8">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（3）景观电气</w:t>
      </w:r>
    </w:p>
    <w:p w14:paraId="004213AD">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景观照明设计，在满足最新强条的基础上，使用节约型照明设施，对灯的数量和照度进行合理布置。</w:t>
      </w:r>
    </w:p>
    <w:p w14:paraId="46E5A662">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（4）</w:t>
      </w:r>
      <w:r>
        <w:rPr>
          <w:rStyle w:val="30"/>
          <w:rFonts w:hint="default" w:ascii="仿宋_GB2312" w:hAnsi="仿宋_GB2312" w:eastAsia="仿宋_GB2312" w:cs="仿宋_GB2312"/>
          <w:color w:val="auto"/>
          <w:sz w:val="32"/>
          <w:szCs w:val="32"/>
          <w:highlight w:val="none"/>
          <w:lang w:val="en-US" w:eastAsia="zh-CN"/>
        </w:rPr>
        <w:t>景观给排水</w:t>
      </w:r>
    </w:p>
    <w:p w14:paraId="47FA6E51">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根据《市水务局-关于进一步明确排水工程建设要求的通知》（穗南区环水〔2017〕290号）的指导精神：排水管材应优先选用混凝土管、不宜选用HDPE管材。</w:t>
      </w:r>
    </w:p>
    <w:p w14:paraId="566293B6">
      <w:pPr>
        <w:pStyle w:val="38"/>
        <w:adjustRightInd w:val="0"/>
        <w:snapToGrid w:val="0"/>
        <w:spacing w:line="360" w:lineRule="auto"/>
        <w:ind w:firstLine="0" w:firstLineChars="0"/>
        <w:rPr>
          <w:rFonts w:hint="default" w:ascii="仿宋_GB2312" w:hAnsi="仿宋_GB2312" w:eastAsia="仿宋_GB2312" w:cs="仿宋_GB2312"/>
          <w:color w:val="auto"/>
          <w:sz w:val="32"/>
          <w:szCs w:val="32"/>
          <w:highlight w:val="none"/>
          <w:lang w:val="en-US" w:eastAsia="zh-CN"/>
        </w:rPr>
      </w:pPr>
    </w:p>
    <w:p w14:paraId="787B5A12">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5A273E08">
      <w:pPr>
        <w:rPr>
          <w:color w:val="auto"/>
          <w:highlight w:val="none"/>
        </w:rPr>
        <w:sectPr>
          <w:pgSz w:w="11906" w:h="16838"/>
          <w:pgMar w:top="1440" w:right="1800" w:bottom="1440" w:left="1800" w:header="851" w:footer="992" w:gutter="0"/>
          <w:cols w:space="425" w:num="1"/>
          <w:docGrid w:type="lines" w:linePitch="312" w:charSpace="0"/>
        </w:sectPr>
      </w:pPr>
    </w:p>
    <w:p w14:paraId="1181D836">
      <w:pPr>
        <w:pStyle w:val="38"/>
        <w:adjustRightInd w:val="0"/>
        <w:snapToGrid w:val="0"/>
        <w:spacing w:line="360" w:lineRule="auto"/>
        <w:ind w:firstLine="0" w:firstLineChars="0"/>
        <w:jc w:val="center"/>
        <w:outlineLvl w:val="0"/>
        <w:rPr>
          <w:rFonts w:hint="eastAsia" w:ascii="黑体" w:hAnsi="黑体" w:eastAsia="黑体" w:cs="黑体"/>
          <w:color w:val="auto"/>
          <w:sz w:val="32"/>
          <w:szCs w:val="32"/>
          <w:highlight w:val="none"/>
          <w:lang w:val="en-US" w:eastAsia="zh-CN"/>
        </w:rPr>
      </w:pPr>
      <w:r>
        <w:rPr>
          <w:rStyle w:val="30"/>
          <w:rFonts w:hint="eastAsia" w:ascii="黑体" w:hAnsi="黑体" w:eastAsia="黑体" w:cs="黑体"/>
          <w:color w:val="auto"/>
          <w:sz w:val="32"/>
          <w:szCs w:val="32"/>
          <w:highlight w:val="none"/>
          <w:lang w:val="en-US" w:eastAsia="zh-CN"/>
        </w:rPr>
        <w:t>第十章 绿色建筑设计专篇</w:t>
      </w:r>
    </w:p>
    <w:p w14:paraId="2F76EF1B">
      <w:pPr>
        <w:pStyle w:val="38"/>
        <w:adjustRightInd w:val="0"/>
        <w:snapToGrid w:val="0"/>
        <w:spacing w:line="360" w:lineRule="auto"/>
        <w:ind w:firstLine="640" w:firstLineChars="200"/>
        <w:outlineLvl w:val="1"/>
        <w:rPr>
          <w:rFonts w:hint="default" w:ascii="仿宋_GB2312" w:hAnsi="仿宋_GB2312" w:eastAsia="仿宋_GB2312" w:cs="仿宋_GB2312"/>
          <w:color w:val="auto"/>
          <w:sz w:val="32"/>
          <w:szCs w:val="32"/>
          <w:highlight w:val="none"/>
          <w:lang w:val="en-US" w:eastAsia="zh-CN"/>
        </w:rPr>
      </w:pPr>
      <w:r>
        <w:rPr>
          <w:rStyle w:val="30"/>
          <w:rFonts w:hint="eastAsia" w:ascii="楷体" w:hAnsi="楷体" w:eastAsia="楷体" w:cs="楷体"/>
          <w:color w:val="auto"/>
          <w:sz w:val="32"/>
          <w:szCs w:val="32"/>
          <w:highlight w:val="none"/>
          <w:lang w:val="en-US" w:eastAsia="zh-CN"/>
        </w:rPr>
        <w:t>第一条</w:t>
      </w:r>
      <w:r>
        <w:rPr>
          <w:rStyle w:val="30"/>
          <w:rFonts w:hint="eastAsia" w:ascii="仿宋_GB2312" w:hAnsi="仿宋_GB2312" w:eastAsia="仿宋_GB2312" w:cs="仿宋_GB2312"/>
          <w:color w:val="auto"/>
          <w:sz w:val="32"/>
          <w:szCs w:val="32"/>
          <w:highlight w:val="none"/>
          <w:lang w:val="en-US" w:eastAsia="zh-CN"/>
        </w:rPr>
        <w:t xml:space="preserve"> 绿色建筑专业设计总则及要求</w:t>
      </w:r>
    </w:p>
    <w:p w14:paraId="1B69995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（一）设计总则</w:t>
      </w:r>
    </w:p>
    <w:p w14:paraId="04536F21">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w:t>
      </w:r>
      <w:r>
        <w:rPr>
          <w:rStyle w:val="30"/>
          <w:rFonts w:hint="default" w:ascii="仿宋_GB2312" w:hAnsi="仿宋_GB2312" w:eastAsia="仿宋_GB2312" w:cs="仿宋_GB2312"/>
          <w:color w:val="auto"/>
          <w:sz w:val="32"/>
          <w:szCs w:val="32"/>
          <w:highlight w:val="none"/>
          <w:lang w:val="en-US" w:eastAsia="zh-CN"/>
        </w:rPr>
        <w:t>在限额设计的基础上保障安置区规划设计基本住房条件和功能质量，使设计满足安全、卫生、适用、经济等性能要求。</w:t>
      </w:r>
    </w:p>
    <w:p w14:paraId="32028F97">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w:t>
      </w:r>
      <w:r>
        <w:rPr>
          <w:rStyle w:val="30"/>
          <w:rFonts w:hint="default" w:ascii="仿宋_GB2312" w:hAnsi="仿宋_GB2312" w:eastAsia="仿宋_GB2312" w:cs="仿宋_GB2312"/>
          <w:color w:val="auto"/>
          <w:sz w:val="32"/>
          <w:szCs w:val="32"/>
          <w:highlight w:val="none"/>
          <w:lang w:val="en-US" w:eastAsia="zh-CN"/>
        </w:rPr>
        <w:t>本章按国标《绿色建筑评价标准》GB/T50378-2019的条文标准制定。</w:t>
      </w:r>
    </w:p>
    <w:p w14:paraId="7EFEC4FB">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（二）设计要求</w:t>
      </w:r>
    </w:p>
    <w:p w14:paraId="30AEDC94">
      <w:pPr>
        <w:pStyle w:val="38"/>
        <w:pBdr>
          <w:bottom w:val="none" w:color="auto" w:sz="0" w:space="0"/>
        </w:pBdr>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绿建设计等级要求：按穗建技【2022】733号《广州市住房和城乡建设局关于印发广州市绿色建筑发展专项规划（2021-2035年）的通知》，超高层居住建筑应当按照三星级绿色建筑标准进行设计，政府投资或国有资金参与投资的居住建筑应当按照二星级及以上绿色建筑标准进行建设；政府投资或国有资金参与投资的办公建筑应当按照二星级及以上绿色建筑标准进行建设；项目内需要执行绿色建筑相关要求的楼栋以初步设计审批结果为准</w:t>
      </w:r>
      <w:r>
        <w:rPr>
          <w:rStyle w:val="30"/>
          <w:rFonts w:hint="eastAsia" w:ascii="仿宋_GB2312" w:hAnsi="仿宋_GB2312" w:eastAsia="仿宋_GB2312" w:cs="仿宋_GB2312"/>
          <w:color w:val="auto"/>
          <w:sz w:val="32"/>
          <w:szCs w:val="32"/>
          <w:highlight w:val="none"/>
          <w:lang w:val="en-US" w:eastAsia="zh-CN"/>
        </w:rPr>
        <w:t>。</w:t>
      </w:r>
    </w:p>
    <w:p w14:paraId="202C0F9C">
      <w:pPr>
        <w:pStyle w:val="38"/>
        <w:adjustRightInd w:val="0"/>
        <w:snapToGrid w:val="0"/>
        <w:spacing w:line="360" w:lineRule="auto"/>
        <w:ind w:firstLine="640" w:firstLineChars="200"/>
        <w:outlineLvl w:val="1"/>
        <w:rPr>
          <w:rFonts w:hint="eastAsia" w:ascii="仿宋_GB2312" w:hAnsi="仿宋_GB2312" w:eastAsia="仿宋_GB2312" w:cs="仿宋_GB2312"/>
          <w:color w:val="auto"/>
          <w:sz w:val="32"/>
          <w:szCs w:val="32"/>
          <w:highlight w:val="none"/>
          <w:lang w:val="en-US" w:eastAsia="zh-CN"/>
        </w:rPr>
      </w:pPr>
      <w:r>
        <w:rPr>
          <w:rStyle w:val="30"/>
          <w:rFonts w:hint="eastAsia" w:ascii="楷体" w:hAnsi="楷体" w:eastAsia="楷体" w:cs="楷体"/>
          <w:color w:val="auto"/>
          <w:sz w:val="32"/>
          <w:szCs w:val="32"/>
          <w:highlight w:val="none"/>
          <w:lang w:val="en-US" w:eastAsia="zh-CN"/>
        </w:rPr>
        <w:t>第二条</w:t>
      </w:r>
      <w:r>
        <w:rPr>
          <w:rStyle w:val="30"/>
          <w:rFonts w:hint="eastAsia" w:ascii="仿宋_GB2312" w:hAnsi="仿宋_GB2312" w:eastAsia="仿宋_GB2312" w:cs="仿宋_GB2312"/>
          <w:color w:val="auto"/>
          <w:sz w:val="32"/>
          <w:szCs w:val="32"/>
          <w:highlight w:val="none"/>
          <w:lang w:val="en-US" w:eastAsia="zh-CN"/>
        </w:rPr>
        <w:t xml:space="preserve"> 绿色建筑星级评分参考</w:t>
      </w:r>
    </w:p>
    <w:p w14:paraId="58290A3D">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以下自评估得分</w:t>
      </w:r>
      <w:r>
        <w:rPr>
          <w:rStyle w:val="30"/>
          <w:rFonts w:hint="default" w:ascii="仿宋_GB2312" w:hAnsi="仿宋_GB2312" w:eastAsia="仿宋_GB2312" w:cs="仿宋_GB2312"/>
          <w:b/>
          <w:bCs/>
          <w:color w:val="auto"/>
          <w:sz w:val="32"/>
          <w:szCs w:val="32"/>
          <w:highlight w:val="none"/>
          <w:lang w:val="en-US" w:eastAsia="zh-CN"/>
        </w:rPr>
        <w:t>仅作为绿色建筑得分参考</w:t>
      </w:r>
      <w:r>
        <w:rPr>
          <w:rStyle w:val="30"/>
          <w:rFonts w:hint="default" w:ascii="仿宋_GB2312" w:hAnsi="仿宋_GB2312" w:eastAsia="仿宋_GB2312" w:cs="仿宋_GB2312"/>
          <w:color w:val="auto"/>
          <w:sz w:val="32"/>
          <w:szCs w:val="32"/>
          <w:highlight w:val="none"/>
          <w:lang w:val="en-US" w:eastAsia="zh-CN"/>
        </w:rPr>
        <w:t>，可根据项目实际情况进行分数调整，调整后项目得分及相关设计不应低</w:t>
      </w:r>
    </w:p>
    <w:p w14:paraId="0F8193AE">
      <w:pPr>
        <w:pStyle w:val="38"/>
        <w:adjustRightInd w:val="0"/>
        <w:snapToGrid w:val="0"/>
        <w:spacing w:line="360" w:lineRule="auto"/>
        <w:ind w:firstLine="0" w:firstLineChars="0"/>
        <w:rPr>
          <w:rFonts w:hint="default" w:ascii="仿宋_GB2312" w:hAnsi="仿宋_GB2312" w:eastAsia="仿宋_GB2312" w:cs="仿宋_GB2312"/>
          <w:color w:val="auto"/>
          <w:sz w:val="32"/>
          <w:szCs w:val="32"/>
          <w:highlight w:val="none"/>
          <w:lang w:val="en-US" w:eastAsia="zh-CN"/>
        </w:rPr>
      </w:pPr>
    </w:p>
    <w:p w14:paraId="4204CDFE">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3F80EEED">
      <w:pPr>
        <w:rPr>
          <w:color w:val="auto"/>
          <w:highlight w:val="none"/>
        </w:rPr>
        <w:sectPr>
          <w:pgSz w:w="11906" w:h="16838"/>
          <w:pgMar w:top="1440" w:right="1800" w:bottom="1440" w:left="1800" w:header="851" w:footer="992" w:gutter="0"/>
          <w:cols w:space="425" w:num="1"/>
          <w:docGrid w:type="lines" w:linePitch="312" w:charSpace="0"/>
        </w:sectPr>
      </w:pPr>
    </w:p>
    <w:p w14:paraId="0A6989F0">
      <w:pPr>
        <w:pStyle w:val="38"/>
        <w:adjustRightInd w:val="0"/>
        <w:snapToGrid w:val="0"/>
        <w:spacing w:line="360" w:lineRule="auto"/>
        <w:ind w:firstLine="0" w:firstLineChars="0"/>
        <w:rPr>
          <w:rFonts w:hint="eastAsia"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于国标《绿色建筑评价标准》GB/T50378-2019二星级</w:t>
      </w:r>
      <w:r>
        <w:rPr>
          <w:rStyle w:val="30"/>
          <w:rFonts w:hint="eastAsia" w:ascii="仿宋_GB2312" w:hAnsi="仿宋_GB2312" w:eastAsia="仿宋_GB2312" w:cs="仿宋_GB2312"/>
          <w:color w:val="auto"/>
          <w:sz w:val="32"/>
          <w:szCs w:val="32"/>
          <w:highlight w:val="none"/>
          <w:lang w:val="en-US" w:eastAsia="zh-CN"/>
        </w:rPr>
        <w:t>或三星级</w:t>
      </w:r>
      <w:r>
        <w:rPr>
          <w:rStyle w:val="30"/>
          <w:rFonts w:hint="default" w:ascii="仿宋_GB2312" w:hAnsi="仿宋_GB2312" w:eastAsia="仿宋_GB2312" w:cs="仿宋_GB2312"/>
          <w:color w:val="auto"/>
          <w:sz w:val="32"/>
          <w:szCs w:val="32"/>
          <w:highlight w:val="none"/>
          <w:lang w:val="en-US" w:eastAsia="zh-CN"/>
        </w:rPr>
        <w:t>标准要求</w:t>
      </w:r>
      <w:r>
        <w:rPr>
          <w:rStyle w:val="30"/>
          <w:rFonts w:hint="eastAsia" w:ascii="仿宋_GB2312" w:hAnsi="仿宋_GB2312" w:eastAsia="仿宋_GB2312" w:cs="仿宋_GB2312"/>
          <w:color w:val="auto"/>
          <w:sz w:val="32"/>
          <w:szCs w:val="32"/>
          <w:highlight w:val="none"/>
          <w:lang w:val="en-US" w:eastAsia="zh-CN"/>
        </w:rPr>
        <w:t>。</w:t>
      </w:r>
    </w:p>
    <w:p w14:paraId="0459B514">
      <w:pPr>
        <w:pStyle w:val="38"/>
        <w:adjustRightInd w:val="0"/>
        <w:snapToGrid w:val="0"/>
        <w:spacing w:line="360" w:lineRule="auto"/>
        <w:ind w:firstLine="640" w:firstLineChars="200"/>
        <w:outlineLvl w:val="2"/>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（一）二星级</w:t>
      </w:r>
    </w:p>
    <w:p w14:paraId="28785B9C">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申报二星级绿色建筑的楼栋范围：10-3~5#住宅、9-4#回迁办公楼。</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159"/>
        <w:gridCol w:w="1173"/>
        <w:gridCol w:w="1145"/>
        <w:gridCol w:w="4291"/>
        <w:gridCol w:w="1118"/>
        <w:gridCol w:w="905"/>
        <w:gridCol w:w="1145"/>
        <w:gridCol w:w="1440"/>
      </w:tblGrid>
      <w:tr w14:paraId="3621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2E13A9D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default" w:ascii="仿宋_GB2312" w:hAnsi="仿宋_GB2312" w:eastAsia="仿宋_GB2312" w:cs="仿宋_GB2312"/>
                <w:color w:val="auto"/>
                <w:sz w:val="24"/>
                <w:szCs w:val="24"/>
                <w:highlight w:val="none"/>
                <w:vertAlign w:val="baseline"/>
                <w:lang w:val="en-US" w:eastAsia="zh-CN"/>
              </w:rPr>
              <w:t>10-3~5#</w:t>
            </w:r>
            <w:r>
              <w:rPr>
                <w:rStyle w:val="30"/>
                <w:rFonts w:hint="eastAsia" w:ascii="仿宋_GB2312" w:hAnsi="仿宋_GB2312" w:eastAsia="仿宋_GB2312" w:cs="仿宋_GB2312"/>
                <w:color w:val="auto"/>
                <w:sz w:val="24"/>
                <w:szCs w:val="24"/>
                <w:highlight w:val="none"/>
                <w:vertAlign w:val="baseline"/>
                <w:lang w:val="en-US" w:eastAsia="zh-CN"/>
              </w:rPr>
              <w:t>住宅</w:t>
            </w:r>
            <w:r>
              <w:rPr>
                <w:rStyle w:val="30"/>
                <w:rFonts w:hint="default" w:ascii="仿宋_GB2312" w:hAnsi="仿宋_GB2312" w:eastAsia="仿宋_GB2312" w:cs="仿宋_GB2312"/>
                <w:color w:val="auto"/>
                <w:sz w:val="24"/>
                <w:szCs w:val="24"/>
                <w:highlight w:val="none"/>
                <w:vertAlign w:val="baseline"/>
                <w:lang w:val="en-US" w:eastAsia="zh-CN"/>
              </w:rPr>
              <w:t>、9-4#回迁办公楼</w:t>
            </w:r>
          </w:p>
        </w:tc>
      </w:tr>
      <w:tr w14:paraId="3499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444B7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59" w:type="dxa"/>
            <w:vAlign w:val="center"/>
          </w:tcPr>
          <w:p w14:paraId="7E3852E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基本级要求</w:t>
            </w:r>
          </w:p>
        </w:tc>
        <w:tc>
          <w:tcPr>
            <w:tcW w:w="1173" w:type="dxa"/>
            <w:vAlign w:val="center"/>
          </w:tcPr>
          <w:p w14:paraId="2378B2F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一星级要求</w:t>
            </w:r>
          </w:p>
        </w:tc>
        <w:tc>
          <w:tcPr>
            <w:tcW w:w="1145" w:type="dxa"/>
            <w:vAlign w:val="center"/>
          </w:tcPr>
          <w:p w14:paraId="505A308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二星级要求</w:t>
            </w:r>
          </w:p>
        </w:tc>
        <w:tc>
          <w:tcPr>
            <w:tcW w:w="4291" w:type="dxa"/>
            <w:vAlign w:val="center"/>
          </w:tcPr>
          <w:p w14:paraId="5C3A53C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三星级要求</w:t>
            </w:r>
          </w:p>
        </w:tc>
        <w:tc>
          <w:tcPr>
            <w:tcW w:w="4608" w:type="dxa"/>
            <w:gridSpan w:val="4"/>
            <w:vAlign w:val="center"/>
          </w:tcPr>
          <w:p w14:paraId="59C9DB4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评分项和加分项</w:t>
            </w:r>
          </w:p>
        </w:tc>
      </w:tr>
      <w:tr w14:paraId="3143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38163C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总得分</w:t>
            </w:r>
          </w:p>
        </w:tc>
        <w:tc>
          <w:tcPr>
            <w:tcW w:w="1159" w:type="dxa"/>
            <w:vAlign w:val="center"/>
          </w:tcPr>
          <w:p w14:paraId="7D12D98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w:t>
            </w:r>
          </w:p>
        </w:tc>
        <w:tc>
          <w:tcPr>
            <w:tcW w:w="1173" w:type="dxa"/>
            <w:vAlign w:val="center"/>
          </w:tcPr>
          <w:p w14:paraId="355C1DA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≥60</w:t>
            </w:r>
          </w:p>
        </w:tc>
        <w:tc>
          <w:tcPr>
            <w:tcW w:w="1145" w:type="dxa"/>
            <w:vAlign w:val="center"/>
          </w:tcPr>
          <w:p w14:paraId="21A923D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4291" w:type="dxa"/>
            <w:vAlign w:val="center"/>
          </w:tcPr>
          <w:p w14:paraId="14291D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≥85</w:t>
            </w:r>
          </w:p>
        </w:tc>
        <w:tc>
          <w:tcPr>
            <w:tcW w:w="1118" w:type="dxa"/>
            <w:vAlign w:val="center"/>
          </w:tcPr>
          <w:p w14:paraId="1CA24F4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总分</w:t>
            </w:r>
          </w:p>
        </w:tc>
        <w:tc>
          <w:tcPr>
            <w:tcW w:w="905" w:type="dxa"/>
            <w:vAlign w:val="center"/>
          </w:tcPr>
          <w:p w14:paraId="135DE04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得分</w:t>
            </w:r>
          </w:p>
        </w:tc>
        <w:tc>
          <w:tcPr>
            <w:tcW w:w="1145" w:type="dxa"/>
            <w:vAlign w:val="center"/>
          </w:tcPr>
          <w:p w14:paraId="6B4526D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得分率</w:t>
            </w:r>
          </w:p>
        </w:tc>
        <w:tc>
          <w:tcPr>
            <w:tcW w:w="1440" w:type="dxa"/>
            <w:vAlign w:val="center"/>
          </w:tcPr>
          <w:p w14:paraId="553D0DE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总得分</w:t>
            </w:r>
          </w:p>
        </w:tc>
      </w:tr>
      <w:tr w14:paraId="05F9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749E911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安全耐久</w:t>
            </w:r>
          </w:p>
        </w:tc>
        <w:tc>
          <w:tcPr>
            <w:tcW w:w="1159" w:type="dxa"/>
            <w:vMerge w:val="restart"/>
            <w:vAlign w:val="center"/>
          </w:tcPr>
          <w:p w14:paraId="7594381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6609" w:type="dxa"/>
            <w:gridSpan w:val="3"/>
            <w:vAlign w:val="center"/>
          </w:tcPr>
          <w:p w14:paraId="002002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070AC2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236A85C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43</w:t>
            </w:r>
          </w:p>
        </w:tc>
        <w:tc>
          <w:tcPr>
            <w:tcW w:w="1145" w:type="dxa"/>
            <w:vAlign w:val="center"/>
          </w:tcPr>
          <w:p w14:paraId="667CE16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43%</w:t>
            </w:r>
          </w:p>
        </w:tc>
        <w:tc>
          <w:tcPr>
            <w:tcW w:w="1440" w:type="dxa"/>
            <w:vMerge w:val="restart"/>
            <w:vAlign w:val="center"/>
          </w:tcPr>
          <w:p w14:paraId="6C40266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70.8</w:t>
            </w:r>
          </w:p>
        </w:tc>
      </w:tr>
      <w:tr w14:paraId="40A9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638DF3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健康舒适</w:t>
            </w:r>
          </w:p>
        </w:tc>
        <w:tc>
          <w:tcPr>
            <w:tcW w:w="1159" w:type="dxa"/>
            <w:vMerge w:val="continue"/>
            <w:vAlign w:val="center"/>
          </w:tcPr>
          <w:p w14:paraId="7E389C9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32154E4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39C9020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4F6550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60</w:t>
            </w:r>
          </w:p>
        </w:tc>
        <w:tc>
          <w:tcPr>
            <w:tcW w:w="1145" w:type="dxa"/>
            <w:vAlign w:val="center"/>
          </w:tcPr>
          <w:p w14:paraId="7C89C7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60%</w:t>
            </w:r>
          </w:p>
        </w:tc>
        <w:tc>
          <w:tcPr>
            <w:tcW w:w="1440" w:type="dxa"/>
            <w:vMerge w:val="continue"/>
            <w:vAlign w:val="center"/>
          </w:tcPr>
          <w:p w14:paraId="3BE2CE6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218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4956E7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生活便利</w:t>
            </w:r>
          </w:p>
        </w:tc>
        <w:tc>
          <w:tcPr>
            <w:tcW w:w="1159" w:type="dxa"/>
            <w:vMerge w:val="continue"/>
            <w:vAlign w:val="center"/>
          </w:tcPr>
          <w:p w14:paraId="1B2EA2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0D60FB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52BFC29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905" w:type="dxa"/>
            <w:vAlign w:val="center"/>
          </w:tcPr>
          <w:p w14:paraId="0AD950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45" w:type="dxa"/>
            <w:vAlign w:val="center"/>
          </w:tcPr>
          <w:p w14:paraId="58BFB6F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43%</w:t>
            </w:r>
          </w:p>
        </w:tc>
        <w:tc>
          <w:tcPr>
            <w:tcW w:w="1440" w:type="dxa"/>
            <w:vMerge w:val="continue"/>
            <w:vAlign w:val="center"/>
          </w:tcPr>
          <w:p w14:paraId="43CBE7B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A7A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71D9964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资源节约</w:t>
            </w:r>
          </w:p>
        </w:tc>
        <w:tc>
          <w:tcPr>
            <w:tcW w:w="1159" w:type="dxa"/>
            <w:vMerge w:val="continue"/>
            <w:vAlign w:val="center"/>
          </w:tcPr>
          <w:p w14:paraId="165B4EB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452975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22A8A2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200</w:t>
            </w:r>
          </w:p>
        </w:tc>
        <w:tc>
          <w:tcPr>
            <w:tcW w:w="905" w:type="dxa"/>
            <w:vAlign w:val="center"/>
          </w:tcPr>
          <w:p w14:paraId="4B3B19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88</w:t>
            </w:r>
          </w:p>
        </w:tc>
        <w:tc>
          <w:tcPr>
            <w:tcW w:w="1145" w:type="dxa"/>
            <w:vAlign w:val="center"/>
          </w:tcPr>
          <w:p w14:paraId="567AD8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44%</w:t>
            </w:r>
          </w:p>
        </w:tc>
        <w:tc>
          <w:tcPr>
            <w:tcW w:w="1440" w:type="dxa"/>
            <w:vMerge w:val="continue"/>
            <w:vAlign w:val="center"/>
          </w:tcPr>
          <w:p w14:paraId="6AE26CA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2AB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7A60888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环境宜居</w:t>
            </w:r>
          </w:p>
        </w:tc>
        <w:tc>
          <w:tcPr>
            <w:tcW w:w="1159" w:type="dxa"/>
            <w:vMerge w:val="continue"/>
            <w:vAlign w:val="center"/>
          </w:tcPr>
          <w:p w14:paraId="0594FC0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2E496D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46CF92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4545636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65</w:t>
            </w:r>
          </w:p>
        </w:tc>
        <w:tc>
          <w:tcPr>
            <w:tcW w:w="1145" w:type="dxa"/>
            <w:vAlign w:val="center"/>
          </w:tcPr>
          <w:p w14:paraId="641D39B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65%</w:t>
            </w:r>
          </w:p>
        </w:tc>
        <w:tc>
          <w:tcPr>
            <w:tcW w:w="1440" w:type="dxa"/>
            <w:vMerge w:val="continue"/>
            <w:vAlign w:val="center"/>
          </w:tcPr>
          <w:p w14:paraId="10D4D36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2A4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3C2107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提高创新</w:t>
            </w:r>
          </w:p>
        </w:tc>
        <w:tc>
          <w:tcPr>
            <w:tcW w:w="1159" w:type="dxa"/>
            <w:vMerge w:val="continue"/>
            <w:vAlign w:val="center"/>
          </w:tcPr>
          <w:p w14:paraId="0088C2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34961DB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118" w:type="dxa"/>
            <w:vAlign w:val="center"/>
          </w:tcPr>
          <w:p w14:paraId="66CF03B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19E060B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22</w:t>
            </w:r>
          </w:p>
        </w:tc>
        <w:tc>
          <w:tcPr>
            <w:tcW w:w="1145" w:type="dxa"/>
            <w:vAlign w:val="center"/>
          </w:tcPr>
          <w:p w14:paraId="16B13B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22%</w:t>
            </w:r>
          </w:p>
        </w:tc>
        <w:tc>
          <w:tcPr>
            <w:tcW w:w="1440" w:type="dxa"/>
            <w:vMerge w:val="continue"/>
            <w:vAlign w:val="center"/>
          </w:tcPr>
          <w:p w14:paraId="481AC3B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864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8" w:type="dxa"/>
            <w:vAlign w:val="center"/>
          </w:tcPr>
          <w:p w14:paraId="4A5884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章节</w:t>
            </w:r>
          </w:p>
        </w:tc>
        <w:tc>
          <w:tcPr>
            <w:tcW w:w="2332" w:type="dxa"/>
            <w:gridSpan w:val="2"/>
            <w:vAlign w:val="center"/>
          </w:tcPr>
          <w:p w14:paraId="6754221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分类</w:t>
            </w:r>
          </w:p>
        </w:tc>
        <w:tc>
          <w:tcPr>
            <w:tcW w:w="1145" w:type="dxa"/>
            <w:vAlign w:val="center"/>
          </w:tcPr>
          <w:p w14:paraId="0652545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编号</w:t>
            </w:r>
          </w:p>
        </w:tc>
        <w:tc>
          <w:tcPr>
            <w:tcW w:w="4291" w:type="dxa"/>
            <w:vAlign w:val="center"/>
          </w:tcPr>
          <w:p w14:paraId="0DED31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条文内容</w:t>
            </w:r>
          </w:p>
        </w:tc>
        <w:tc>
          <w:tcPr>
            <w:tcW w:w="1118" w:type="dxa"/>
            <w:vAlign w:val="center"/>
          </w:tcPr>
          <w:p w14:paraId="613FC9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总分值</w:t>
            </w:r>
          </w:p>
        </w:tc>
        <w:tc>
          <w:tcPr>
            <w:tcW w:w="2050" w:type="dxa"/>
            <w:gridSpan w:val="2"/>
            <w:vAlign w:val="center"/>
          </w:tcPr>
          <w:p w14:paraId="0A89D7A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预评估得分</w:t>
            </w:r>
          </w:p>
        </w:tc>
        <w:tc>
          <w:tcPr>
            <w:tcW w:w="1440" w:type="dxa"/>
            <w:vAlign w:val="center"/>
          </w:tcPr>
          <w:p w14:paraId="2CAF3F4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涉及专业</w:t>
            </w:r>
          </w:p>
        </w:tc>
      </w:tr>
      <w:tr w14:paraId="38F2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1E345405">
            <w:pPr>
              <w:pStyle w:val="38"/>
              <w:widowControl w:val="0"/>
              <w:adjustRightInd w:val="0"/>
              <w:snapToGrid w:val="0"/>
              <w:spacing w:line="240" w:lineRule="auto"/>
              <w:ind w:firstLine="0" w:firstLineChars="0"/>
              <w:jc w:val="center"/>
              <w:rPr>
                <w:rFonts w:hint="default"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4 安全耐久</w:t>
            </w:r>
          </w:p>
        </w:tc>
        <w:tc>
          <w:tcPr>
            <w:tcW w:w="1159" w:type="dxa"/>
            <w:vMerge w:val="restart"/>
            <w:vAlign w:val="center"/>
          </w:tcPr>
          <w:p w14:paraId="4AA41C64">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42B986E9">
            <w:pPr>
              <w:pStyle w:val="38"/>
              <w:widowControl w:val="0"/>
              <w:adjustRightInd w:val="0"/>
              <w:snapToGrid w:val="0"/>
              <w:spacing w:line="240" w:lineRule="auto"/>
              <w:ind w:firstLine="0" w:firstLineChars="0"/>
              <w:jc w:val="center"/>
              <w:rPr>
                <w:rFonts w:hint="default" w:ascii="仿宋_GB2312" w:hAnsi="仿宋_GB2312" w:eastAsia="仿宋_GB2312" w:cs="仿宋_GB2312"/>
                <w:color w:val="auto"/>
                <w:kern w:val="2"/>
                <w:sz w:val="24"/>
                <w:szCs w:val="24"/>
                <w:highlight w:val="none"/>
                <w:vertAlign w:val="baseline"/>
                <w:lang w:val="en-US" w:eastAsia="zh-CN" w:bidi="ar-SA"/>
              </w:rPr>
            </w:pPr>
          </w:p>
        </w:tc>
        <w:tc>
          <w:tcPr>
            <w:tcW w:w="1145" w:type="dxa"/>
            <w:vAlign w:val="center"/>
          </w:tcPr>
          <w:p w14:paraId="41366B2C">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4.1.1</w:t>
            </w:r>
          </w:p>
        </w:tc>
        <w:tc>
          <w:tcPr>
            <w:tcW w:w="4291" w:type="dxa"/>
            <w:vAlign w:val="center"/>
          </w:tcPr>
          <w:p w14:paraId="4EEDBC99">
            <w:pPr>
              <w:pStyle w:val="38"/>
              <w:widowControl w:val="0"/>
              <w:adjustRightInd w:val="0"/>
              <w:snapToGrid w:val="0"/>
              <w:spacing w:line="240" w:lineRule="auto"/>
              <w:ind w:firstLine="0" w:firstLineChars="0"/>
              <w:jc w:val="left"/>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场地应无洪涝、滑坡、泥石流、地陷、地裂、崩塌等自然灾害的威胁，无危险化学品、易燃易爆危险源的威胁，无电磁辐射、含氡土壤等危害。</w:t>
            </w:r>
          </w:p>
        </w:tc>
        <w:tc>
          <w:tcPr>
            <w:tcW w:w="1118" w:type="dxa"/>
            <w:vAlign w:val="center"/>
          </w:tcPr>
          <w:p w14:paraId="50387792">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E8C54C1">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DF0BE7D">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2B69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35F93B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DCEAE2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7BB15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F8707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4.1.2</w:t>
            </w:r>
          </w:p>
        </w:tc>
        <w:tc>
          <w:tcPr>
            <w:tcW w:w="4291" w:type="dxa"/>
            <w:vAlign w:val="center"/>
          </w:tcPr>
          <w:p w14:paraId="25E612D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建筑结构应满足承载力和建筑使用功能要求。建筑外墙、屋面、门窗、幕墙及外保温等围护结构应满足安全、耐久和防护的要求。</w:t>
            </w:r>
          </w:p>
        </w:tc>
        <w:tc>
          <w:tcPr>
            <w:tcW w:w="1118" w:type="dxa"/>
            <w:vAlign w:val="center"/>
          </w:tcPr>
          <w:p w14:paraId="3196BFE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321697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C59AF0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6AE1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E4CA8B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500D0B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EA1990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09620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4.1.3</w:t>
            </w:r>
          </w:p>
        </w:tc>
        <w:tc>
          <w:tcPr>
            <w:tcW w:w="4291" w:type="dxa"/>
            <w:vAlign w:val="center"/>
          </w:tcPr>
          <w:p w14:paraId="02053D2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外遮阳、太阳能设施、空调室外机位、外墙花池等外部设施应与建筑主体结构统一设计、施工，并应具备安装、检修与维护条件。</w:t>
            </w:r>
          </w:p>
        </w:tc>
        <w:tc>
          <w:tcPr>
            <w:tcW w:w="1118" w:type="dxa"/>
            <w:vAlign w:val="center"/>
          </w:tcPr>
          <w:p w14:paraId="14E1813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005A09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5705BE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619D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925A23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8FFFCF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FCDBA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1E352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4.1.4</w:t>
            </w:r>
          </w:p>
        </w:tc>
        <w:tc>
          <w:tcPr>
            <w:tcW w:w="4291" w:type="dxa"/>
            <w:vAlign w:val="center"/>
          </w:tcPr>
          <w:p w14:paraId="36E8ABE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建筑内部的非结构构件、设备及附属设施等应连接牢固并能适应主体结构变形。</w:t>
            </w:r>
          </w:p>
        </w:tc>
        <w:tc>
          <w:tcPr>
            <w:tcW w:w="1118" w:type="dxa"/>
            <w:vAlign w:val="center"/>
          </w:tcPr>
          <w:p w14:paraId="4C25C10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37E10B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E7F15B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2352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B5E3A6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4805E2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0B6D6B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E98EA6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4.1.5</w:t>
            </w:r>
          </w:p>
        </w:tc>
        <w:tc>
          <w:tcPr>
            <w:tcW w:w="4291" w:type="dxa"/>
            <w:vAlign w:val="center"/>
          </w:tcPr>
          <w:p w14:paraId="2585F7C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外门窗的气密性能、水密性能和抗风压性能应根据使用要求确定，且外门窗洞口与外门窗本体的结合部位应严密。</w:t>
            </w:r>
          </w:p>
        </w:tc>
        <w:tc>
          <w:tcPr>
            <w:tcW w:w="1118" w:type="dxa"/>
            <w:vAlign w:val="center"/>
          </w:tcPr>
          <w:p w14:paraId="0615E60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3AAFB0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D9128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1228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F5EDD7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C1CE18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E4E0D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C159BD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4.1.6</w:t>
            </w:r>
          </w:p>
        </w:tc>
        <w:tc>
          <w:tcPr>
            <w:tcW w:w="4291" w:type="dxa"/>
            <w:vAlign w:val="center"/>
          </w:tcPr>
          <w:p w14:paraId="3F3A52A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卫生间、浴室的地面应设置防水层，墙面、顶棚应设置防潮层。</w:t>
            </w:r>
          </w:p>
        </w:tc>
        <w:tc>
          <w:tcPr>
            <w:tcW w:w="1118" w:type="dxa"/>
            <w:vAlign w:val="center"/>
          </w:tcPr>
          <w:p w14:paraId="3D9895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382DDF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378291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593F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106A0D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33B99B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3CDBD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C2C77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4.1.7</w:t>
            </w:r>
          </w:p>
        </w:tc>
        <w:tc>
          <w:tcPr>
            <w:tcW w:w="4291" w:type="dxa"/>
            <w:vAlign w:val="center"/>
          </w:tcPr>
          <w:p w14:paraId="02A652F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走廊、疏散通道等通行空间应满足紧急疏散、应急救护等要求，且应保持畅通。</w:t>
            </w:r>
          </w:p>
        </w:tc>
        <w:tc>
          <w:tcPr>
            <w:tcW w:w="1118" w:type="dxa"/>
            <w:vAlign w:val="center"/>
          </w:tcPr>
          <w:p w14:paraId="59F91C3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B74EC3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E792B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DB2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C40CD1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350269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932CA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27B338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4.1.8</w:t>
            </w:r>
          </w:p>
        </w:tc>
        <w:tc>
          <w:tcPr>
            <w:tcW w:w="4291" w:type="dxa"/>
            <w:vAlign w:val="center"/>
          </w:tcPr>
          <w:p w14:paraId="677A8BC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应具有安全防护的警示和引导标识系统。</w:t>
            </w:r>
          </w:p>
        </w:tc>
        <w:tc>
          <w:tcPr>
            <w:tcW w:w="1118" w:type="dxa"/>
            <w:vAlign w:val="center"/>
          </w:tcPr>
          <w:p w14:paraId="6B866EC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885963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A825D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5D19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7CE8ED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4FF6D0F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2486310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安全</w:t>
            </w:r>
          </w:p>
        </w:tc>
        <w:tc>
          <w:tcPr>
            <w:tcW w:w="1145" w:type="dxa"/>
            <w:vAlign w:val="center"/>
          </w:tcPr>
          <w:p w14:paraId="753C73B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4.2.1</w:t>
            </w:r>
          </w:p>
        </w:tc>
        <w:tc>
          <w:tcPr>
            <w:tcW w:w="4291" w:type="dxa"/>
            <w:vAlign w:val="center"/>
          </w:tcPr>
          <w:p w14:paraId="0BCD5B5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采用基于性能的抗震设计并合理提高建筑的抗震性能。</w:t>
            </w:r>
          </w:p>
        </w:tc>
        <w:tc>
          <w:tcPr>
            <w:tcW w:w="1118" w:type="dxa"/>
            <w:vAlign w:val="center"/>
          </w:tcPr>
          <w:p w14:paraId="4172A4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7BBD639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6BCDB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DAB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C36AB5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26C902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4F383C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443870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4.2.2</w:t>
            </w:r>
          </w:p>
        </w:tc>
        <w:tc>
          <w:tcPr>
            <w:tcW w:w="4291" w:type="dxa"/>
            <w:vAlign w:val="center"/>
          </w:tcPr>
          <w:p w14:paraId="7165620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采取保障人员安全的防护措施。</w:t>
            </w:r>
          </w:p>
        </w:tc>
        <w:tc>
          <w:tcPr>
            <w:tcW w:w="1118" w:type="dxa"/>
            <w:vAlign w:val="center"/>
          </w:tcPr>
          <w:p w14:paraId="53D0CC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48DC8E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7139469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695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903C30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156B36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79BB6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C75E1A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4.2.3</w:t>
            </w:r>
          </w:p>
        </w:tc>
        <w:tc>
          <w:tcPr>
            <w:tcW w:w="4291" w:type="dxa"/>
            <w:vAlign w:val="center"/>
          </w:tcPr>
          <w:p w14:paraId="717C008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采用具有安全防护功能的产品或配件。</w:t>
            </w:r>
          </w:p>
        </w:tc>
        <w:tc>
          <w:tcPr>
            <w:tcW w:w="1118" w:type="dxa"/>
            <w:vAlign w:val="center"/>
          </w:tcPr>
          <w:p w14:paraId="28DC5DD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6669E17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5129BD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4EA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AFBC56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C5E773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8CB71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7A044B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4.2.4</w:t>
            </w:r>
          </w:p>
        </w:tc>
        <w:tc>
          <w:tcPr>
            <w:tcW w:w="4291" w:type="dxa"/>
            <w:vAlign w:val="center"/>
          </w:tcPr>
          <w:p w14:paraId="6566606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室内外地面或路面设置防滑措施。</w:t>
            </w:r>
          </w:p>
        </w:tc>
        <w:tc>
          <w:tcPr>
            <w:tcW w:w="1118" w:type="dxa"/>
            <w:vAlign w:val="center"/>
          </w:tcPr>
          <w:p w14:paraId="0D5FB66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40F63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3C09881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208F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433040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D03E6C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AFCD60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E2D567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4.2.5</w:t>
            </w:r>
          </w:p>
        </w:tc>
        <w:tc>
          <w:tcPr>
            <w:tcW w:w="4291" w:type="dxa"/>
            <w:vAlign w:val="center"/>
          </w:tcPr>
          <w:p w14:paraId="0CEB3F6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采取人车分流措施，且步行和自行车交通系统有充足照明。</w:t>
            </w:r>
          </w:p>
        </w:tc>
        <w:tc>
          <w:tcPr>
            <w:tcW w:w="1118" w:type="dxa"/>
            <w:vAlign w:val="center"/>
          </w:tcPr>
          <w:p w14:paraId="2EB6847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4990374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6388936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007E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F56D34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CD878C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3AE2F8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耐久</w:t>
            </w:r>
          </w:p>
        </w:tc>
        <w:tc>
          <w:tcPr>
            <w:tcW w:w="1145" w:type="dxa"/>
            <w:vAlign w:val="center"/>
          </w:tcPr>
          <w:p w14:paraId="6E2473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4.2.6</w:t>
            </w:r>
          </w:p>
        </w:tc>
        <w:tc>
          <w:tcPr>
            <w:tcW w:w="4291" w:type="dxa"/>
            <w:vAlign w:val="center"/>
          </w:tcPr>
          <w:p w14:paraId="53B12B4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采取通用开放、灵活可变的使用空间设计，或采取建筑使用功能可变措施；</w:t>
            </w:r>
          </w:p>
          <w:p w14:paraId="293A1EB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建筑结构与建筑设备管线分离；</w:t>
            </w:r>
          </w:p>
          <w:p w14:paraId="5376F3A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采用与建筑功能和空间变化相适应的设备设施布置方式或控制方式。</w:t>
            </w:r>
          </w:p>
        </w:tc>
        <w:tc>
          <w:tcPr>
            <w:tcW w:w="1118" w:type="dxa"/>
            <w:vAlign w:val="center"/>
          </w:tcPr>
          <w:p w14:paraId="5E08A5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18</w:t>
            </w:r>
          </w:p>
        </w:tc>
        <w:tc>
          <w:tcPr>
            <w:tcW w:w="2050" w:type="dxa"/>
            <w:gridSpan w:val="2"/>
            <w:vAlign w:val="center"/>
          </w:tcPr>
          <w:p w14:paraId="3E917E1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27F4E5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DEB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98" w:type="dxa"/>
            <w:vMerge w:val="continue"/>
            <w:vAlign w:val="center"/>
          </w:tcPr>
          <w:p w14:paraId="30AE63D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4F6F7D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FC6F8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Merge w:val="restart"/>
            <w:vAlign w:val="center"/>
          </w:tcPr>
          <w:p w14:paraId="174FE6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4.2.7</w:t>
            </w:r>
          </w:p>
        </w:tc>
        <w:tc>
          <w:tcPr>
            <w:tcW w:w="4291" w:type="dxa"/>
            <w:vAlign w:val="center"/>
          </w:tcPr>
          <w:p w14:paraId="3705EB53">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采取提升建筑部品部件耐久性的措施。</w:t>
            </w:r>
          </w:p>
        </w:tc>
        <w:tc>
          <w:tcPr>
            <w:tcW w:w="1118" w:type="dxa"/>
            <w:vAlign w:val="center"/>
          </w:tcPr>
          <w:p w14:paraId="12ADB3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Merge w:val="restart"/>
            <w:vAlign w:val="center"/>
          </w:tcPr>
          <w:p w14:paraId="0A04A57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Merge w:val="restart"/>
            <w:vAlign w:val="center"/>
          </w:tcPr>
          <w:p w14:paraId="51F915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给排水、电气</w:t>
            </w:r>
          </w:p>
        </w:tc>
      </w:tr>
      <w:tr w14:paraId="6C0F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BD6DA3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F89175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CC3E3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26E039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4.2.8</w:t>
            </w:r>
          </w:p>
        </w:tc>
        <w:tc>
          <w:tcPr>
            <w:tcW w:w="4291" w:type="dxa"/>
            <w:vAlign w:val="center"/>
          </w:tcPr>
          <w:p w14:paraId="2405717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提高建筑结构材料的耐久性，评价总分值为10分，并按下列规则评分：</w:t>
            </w:r>
          </w:p>
          <w:p w14:paraId="0EAD50F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按100年进行耐久性设计。</w:t>
            </w:r>
          </w:p>
          <w:p w14:paraId="5772AED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采用耐久性能好的建筑结构材料，满足下列条件之一：</w:t>
            </w:r>
          </w:p>
          <w:p w14:paraId="79373A5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1）对于混凝土构件，提高钢筋保护层厚度或采用高耐久混凝土；</w:t>
            </w:r>
          </w:p>
          <w:p w14:paraId="6CD7DEB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2）对于钢构件，采用耐候结构钢及耐候型防腐涂料；</w:t>
            </w:r>
          </w:p>
          <w:p w14:paraId="651E84E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3）对于木构件，采用防腐木材、耐久木材或耐久木制品。</w:t>
            </w:r>
          </w:p>
        </w:tc>
        <w:tc>
          <w:tcPr>
            <w:tcW w:w="1118" w:type="dxa"/>
            <w:vAlign w:val="center"/>
          </w:tcPr>
          <w:p w14:paraId="41F1E2E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53BD3CE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A1A94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577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7E3662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59E5B9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B4A55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618E29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4.2.9</w:t>
            </w:r>
          </w:p>
        </w:tc>
        <w:tc>
          <w:tcPr>
            <w:tcW w:w="4291" w:type="dxa"/>
            <w:vAlign w:val="center"/>
          </w:tcPr>
          <w:p w14:paraId="63CA0B0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采用耐久性好的外饰面材料；</w:t>
            </w:r>
          </w:p>
          <w:p w14:paraId="67FA64D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采用耐久性好的防水和密封材料；</w:t>
            </w:r>
          </w:p>
          <w:p w14:paraId="6204F19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采用耐久性好、易维护的室内装饰装修材料。</w:t>
            </w:r>
          </w:p>
        </w:tc>
        <w:tc>
          <w:tcPr>
            <w:tcW w:w="1118" w:type="dxa"/>
            <w:vAlign w:val="center"/>
          </w:tcPr>
          <w:p w14:paraId="6EDC798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6B8E2B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F51B9F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2EC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474525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31C2B4E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63E2EEE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380F8F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51E0431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3F321D3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3A1E482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43</w:t>
            </w:r>
          </w:p>
        </w:tc>
        <w:tc>
          <w:tcPr>
            <w:tcW w:w="1440" w:type="dxa"/>
            <w:vAlign w:val="center"/>
          </w:tcPr>
          <w:p w14:paraId="50A640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944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6B9D88A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 健康舒适</w:t>
            </w:r>
          </w:p>
        </w:tc>
        <w:tc>
          <w:tcPr>
            <w:tcW w:w="1159" w:type="dxa"/>
            <w:vMerge w:val="restart"/>
            <w:vAlign w:val="center"/>
          </w:tcPr>
          <w:p w14:paraId="3393F9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1CE448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CE285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5.1.1</w:t>
            </w:r>
          </w:p>
        </w:tc>
        <w:tc>
          <w:tcPr>
            <w:tcW w:w="4291" w:type="dxa"/>
            <w:vAlign w:val="center"/>
          </w:tcPr>
          <w:p w14:paraId="309D93D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室内空气中的氨、甲醛、苯、总挥发性有机物、氡等污染物浓度应符合现行国家标准《室内空气质量标准》GB/T 18883的有关规定。建筑室内和建筑主出入口处应禁止吸烟，并应在醒目位置设置禁烟标志。</w:t>
            </w:r>
          </w:p>
        </w:tc>
        <w:tc>
          <w:tcPr>
            <w:tcW w:w="1118" w:type="dxa"/>
            <w:vAlign w:val="center"/>
          </w:tcPr>
          <w:p w14:paraId="58DB626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FEA171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DD178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481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CE38E0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E8C521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FC9AD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2A83A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5.1.2</w:t>
            </w:r>
          </w:p>
        </w:tc>
        <w:tc>
          <w:tcPr>
            <w:tcW w:w="4291" w:type="dxa"/>
            <w:vAlign w:val="center"/>
          </w:tcPr>
          <w:p w14:paraId="2F36D2C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应采取措施避免厨房、餐厅、打印复印室、卫生间、地下车库等区域的空气和污染物串通到其他空间；应防止厨房、卫生间的排气倒灌。</w:t>
            </w:r>
          </w:p>
        </w:tc>
        <w:tc>
          <w:tcPr>
            <w:tcW w:w="1118" w:type="dxa"/>
            <w:vAlign w:val="center"/>
          </w:tcPr>
          <w:p w14:paraId="53AF601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71D03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D442C7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4BCC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3B92FF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8812EE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BE4DE7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77125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5.1.3</w:t>
            </w:r>
          </w:p>
        </w:tc>
        <w:tc>
          <w:tcPr>
            <w:tcW w:w="4291" w:type="dxa"/>
            <w:vAlign w:val="center"/>
          </w:tcPr>
          <w:p w14:paraId="478B84C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给排水系统的设置应符合下列规定：</w:t>
            </w:r>
          </w:p>
          <w:p w14:paraId="408BBA8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生活饮用水水质应满足现行国家标准《生活饮用水卫生标准》GB5749的要求；</w:t>
            </w:r>
          </w:p>
          <w:p w14:paraId="2D09C4A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应制定水池、水箱等储水设施定期清洗消毒计划并实施，且生活饮用水储水设施每半年清洗消毒应不少于1次；</w:t>
            </w:r>
          </w:p>
          <w:p w14:paraId="32C93E5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应使用构造内自带水封的便器，且其水封深度应不小于50mm；</w:t>
            </w:r>
          </w:p>
          <w:p w14:paraId="7356299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 非传统水源管道和设备应设置明确、清晰的永久性标识。</w:t>
            </w:r>
          </w:p>
        </w:tc>
        <w:tc>
          <w:tcPr>
            <w:tcW w:w="1118" w:type="dxa"/>
            <w:vAlign w:val="center"/>
          </w:tcPr>
          <w:p w14:paraId="32FD44F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1D56F2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8BD1F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5215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2BD56E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E2EAB2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69D88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DF9E0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5.1.4</w:t>
            </w:r>
          </w:p>
        </w:tc>
        <w:tc>
          <w:tcPr>
            <w:tcW w:w="4291" w:type="dxa"/>
            <w:vAlign w:val="center"/>
          </w:tcPr>
          <w:p w14:paraId="4C39313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主要功能房间的室内噪声级和隔声性能应符合下列规定：</w:t>
            </w:r>
          </w:p>
          <w:p w14:paraId="289C0E5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室内噪声级应满足现行国家标准《民用建筑隔声设计规范》GB50118中的低限要求；</w:t>
            </w:r>
          </w:p>
          <w:p w14:paraId="7D7B484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外墙、隔墙、楼板和门窗的隔声性能应满足现行国家标准《民用建筑隔声设计规范》GB50118中的低限要求。</w:t>
            </w:r>
          </w:p>
        </w:tc>
        <w:tc>
          <w:tcPr>
            <w:tcW w:w="1118" w:type="dxa"/>
            <w:vAlign w:val="center"/>
          </w:tcPr>
          <w:p w14:paraId="7294702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34C755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12E3F4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5FA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3A02DB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F11A4B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59A786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4652FA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5.1.5</w:t>
            </w:r>
          </w:p>
        </w:tc>
        <w:tc>
          <w:tcPr>
            <w:tcW w:w="4291" w:type="dxa"/>
            <w:vAlign w:val="center"/>
          </w:tcPr>
          <w:p w14:paraId="7CCF6A7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建筑照明数量和质量，照明产品光生物安全性，LED照明产品频闪比。</w:t>
            </w:r>
          </w:p>
        </w:tc>
        <w:tc>
          <w:tcPr>
            <w:tcW w:w="1118" w:type="dxa"/>
            <w:vAlign w:val="center"/>
          </w:tcPr>
          <w:p w14:paraId="090A3B7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CA15B8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536999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1BB0A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3AEA2F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67F100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CAC0B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306E17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5.1.6</w:t>
            </w:r>
          </w:p>
        </w:tc>
        <w:tc>
          <w:tcPr>
            <w:tcW w:w="4291" w:type="dxa"/>
            <w:vAlign w:val="center"/>
          </w:tcPr>
          <w:p w14:paraId="7988C52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采取措施保障室内热环境。采用集中供暖空调系统的建筑，房间内的温度、湿度、新风量等设计参数应符合现行国家标准《民用建筑供暖通风与空气调节设计规范》GB50736的有关规定；采用非集中供暖空调系统的建筑，应具有保障室内热环境的措施或预留条件。</w:t>
            </w:r>
          </w:p>
        </w:tc>
        <w:tc>
          <w:tcPr>
            <w:tcW w:w="1118" w:type="dxa"/>
            <w:vAlign w:val="center"/>
          </w:tcPr>
          <w:p w14:paraId="16095F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C6DB39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E48C3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207C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5EAA11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68B1BE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4DA563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3C1A9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5.1.7</w:t>
            </w:r>
          </w:p>
        </w:tc>
        <w:tc>
          <w:tcPr>
            <w:tcW w:w="4291" w:type="dxa"/>
            <w:vAlign w:val="center"/>
          </w:tcPr>
          <w:p w14:paraId="0237884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围护结构热工性能应符合下列规定：</w:t>
            </w:r>
          </w:p>
          <w:p w14:paraId="58974C4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在室内设计温、湿度条件下，建筑非透光围护结构内表面不得结露；</w:t>
            </w:r>
          </w:p>
          <w:p w14:paraId="0D5B037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供暖建筑的屋面、外墙内部不应产生冷凝；</w:t>
            </w:r>
          </w:p>
          <w:p w14:paraId="30B0CBD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屋顶和外墙隔热性能应满足现行国家标准《民用建筑热工设计规范》GB50176的要求。</w:t>
            </w:r>
          </w:p>
        </w:tc>
        <w:tc>
          <w:tcPr>
            <w:tcW w:w="1118" w:type="dxa"/>
            <w:vAlign w:val="center"/>
          </w:tcPr>
          <w:p w14:paraId="3C2E56B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8B906F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09ECD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182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D1021C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352E21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9B617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B3A5BC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5.1.8</w:t>
            </w:r>
          </w:p>
        </w:tc>
        <w:tc>
          <w:tcPr>
            <w:tcW w:w="4291" w:type="dxa"/>
            <w:vAlign w:val="center"/>
          </w:tcPr>
          <w:p w14:paraId="7111709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主要功能房间应具有现场独立控制的热环境调节装置。</w:t>
            </w:r>
          </w:p>
        </w:tc>
        <w:tc>
          <w:tcPr>
            <w:tcW w:w="1118" w:type="dxa"/>
            <w:vAlign w:val="center"/>
          </w:tcPr>
          <w:p w14:paraId="44F242F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D65746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BED0E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5BF7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B7D782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4272A7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D25ED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6FE31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5.1.9</w:t>
            </w:r>
          </w:p>
        </w:tc>
        <w:tc>
          <w:tcPr>
            <w:tcW w:w="4291" w:type="dxa"/>
            <w:vAlign w:val="center"/>
          </w:tcPr>
          <w:p w14:paraId="0BFD863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地下车库应设置与排风设备联动的一氧化碳浓度监测装置。</w:t>
            </w:r>
          </w:p>
        </w:tc>
        <w:tc>
          <w:tcPr>
            <w:tcW w:w="1118" w:type="dxa"/>
            <w:vAlign w:val="center"/>
          </w:tcPr>
          <w:p w14:paraId="3B0E99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ECD84D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3A55D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48F1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2AB2F2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616A73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60A09C0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室内空气品质</w:t>
            </w:r>
          </w:p>
        </w:tc>
        <w:tc>
          <w:tcPr>
            <w:tcW w:w="1145" w:type="dxa"/>
            <w:vAlign w:val="center"/>
          </w:tcPr>
          <w:p w14:paraId="7340685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5.2.1</w:t>
            </w:r>
          </w:p>
        </w:tc>
        <w:tc>
          <w:tcPr>
            <w:tcW w:w="4291" w:type="dxa"/>
            <w:vAlign w:val="center"/>
          </w:tcPr>
          <w:p w14:paraId="6EB48E6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控制室内主要空气污染物的浓度。</w:t>
            </w:r>
          </w:p>
        </w:tc>
        <w:tc>
          <w:tcPr>
            <w:tcW w:w="1118" w:type="dxa"/>
            <w:vAlign w:val="center"/>
          </w:tcPr>
          <w:p w14:paraId="56FAD0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54BDCF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10B9C5B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DC2E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D7B748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2879AA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08DDBB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3FC0D5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5.2.2</w:t>
            </w:r>
          </w:p>
        </w:tc>
        <w:tc>
          <w:tcPr>
            <w:tcW w:w="4291" w:type="dxa"/>
            <w:vAlign w:val="center"/>
          </w:tcPr>
          <w:p w14:paraId="59D6A60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选用的装饰装修材料满足国家现行绿色产品评价标准中对有害物质限量的要求。</w:t>
            </w:r>
          </w:p>
        </w:tc>
        <w:tc>
          <w:tcPr>
            <w:tcW w:w="1118" w:type="dxa"/>
            <w:vAlign w:val="center"/>
          </w:tcPr>
          <w:p w14:paraId="29ACA12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6822A35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2069B8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36A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49A81C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85B1FE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42AEEAD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水质</w:t>
            </w:r>
          </w:p>
        </w:tc>
        <w:tc>
          <w:tcPr>
            <w:tcW w:w="1145" w:type="dxa"/>
            <w:vAlign w:val="center"/>
          </w:tcPr>
          <w:p w14:paraId="63462D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5.2.3</w:t>
            </w:r>
          </w:p>
        </w:tc>
        <w:tc>
          <w:tcPr>
            <w:tcW w:w="4291" w:type="dxa"/>
            <w:vAlign w:val="center"/>
          </w:tcPr>
          <w:p w14:paraId="3CB9998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直饮水、集中生活热水、游泳池水、采暖空调系统用水、景观水体等的水质满足国家现行有关标准的要求。</w:t>
            </w:r>
          </w:p>
        </w:tc>
        <w:tc>
          <w:tcPr>
            <w:tcW w:w="1118" w:type="dxa"/>
            <w:vAlign w:val="center"/>
          </w:tcPr>
          <w:p w14:paraId="0DDBFFB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6864E8E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578C1C7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7E42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A0F3F2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A40DEB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C31DD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755F65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5.2.4</w:t>
            </w:r>
          </w:p>
        </w:tc>
        <w:tc>
          <w:tcPr>
            <w:tcW w:w="4291" w:type="dxa"/>
            <w:vAlign w:val="center"/>
          </w:tcPr>
          <w:p w14:paraId="052AE39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生活饮用水水池、水箱等储水设施采取措施满足卫生要求。</w:t>
            </w:r>
          </w:p>
        </w:tc>
        <w:tc>
          <w:tcPr>
            <w:tcW w:w="1118" w:type="dxa"/>
            <w:vAlign w:val="center"/>
          </w:tcPr>
          <w:p w14:paraId="29C785A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10A6605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1440" w:type="dxa"/>
            <w:vAlign w:val="center"/>
          </w:tcPr>
          <w:p w14:paraId="3F0184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433C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11F0AE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97510B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6EEC99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05F3A3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5.2.5</w:t>
            </w:r>
          </w:p>
        </w:tc>
        <w:tc>
          <w:tcPr>
            <w:tcW w:w="4291" w:type="dxa"/>
            <w:vAlign w:val="center"/>
          </w:tcPr>
          <w:p w14:paraId="08D3F73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所有给水排水管道、设备、设施设置明确、清晰的永久性标识。</w:t>
            </w:r>
          </w:p>
        </w:tc>
        <w:tc>
          <w:tcPr>
            <w:tcW w:w="1118" w:type="dxa"/>
            <w:vAlign w:val="center"/>
          </w:tcPr>
          <w:p w14:paraId="35AFBA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D76B0D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78A875F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5BEF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06024B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0394BE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19F7B9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声环境与光环境</w:t>
            </w:r>
          </w:p>
        </w:tc>
        <w:tc>
          <w:tcPr>
            <w:tcW w:w="1145" w:type="dxa"/>
            <w:vAlign w:val="center"/>
          </w:tcPr>
          <w:p w14:paraId="75563E0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5.2.6</w:t>
            </w:r>
          </w:p>
        </w:tc>
        <w:tc>
          <w:tcPr>
            <w:tcW w:w="4291" w:type="dxa"/>
            <w:vAlign w:val="center"/>
          </w:tcPr>
          <w:p w14:paraId="020D019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采取措施优化主要功能房间的室内声环境。</w:t>
            </w:r>
          </w:p>
        </w:tc>
        <w:tc>
          <w:tcPr>
            <w:tcW w:w="1118" w:type="dxa"/>
            <w:vAlign w:val="center"/>
          </w:tcPr>
          <w:p w14:paraId="6FEB41D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7EAC357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w:t>
            </w:r>
          </w:p>
        </w:tc>
        <w:tc>
          <w:tcPr>
            <w:tcW w:w="1440" w:type="dxa"/>
            <w:vAlign w:val="center"/>
          </w:tcPr>
          <w:p w14:paraId="33BEA29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77EB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DCEAB3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9E7D32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47E59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52971A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5.2.7</w:t>
            </w:r>
          </w:p>
        </w:tc>
        <w:tc>
          <w:tcPr>
            <w:tcW w:w="4291" w:type="dxa"/>
            <w:vAlign w:val="center"/>
          </w:tcPr>
          <w:p w14:paraId="1F68686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主要功能房间的隔声性能良好。</w:t>
            </w:r>
          </w:p>
        </w:tc>
        <w:tc>
          <w:tcPr>
            <w:tcW w:w="1118" w:type="dxa"/>
            <w:vAlign w:val="center"/>
          </w:tcPr>
          <w:p w14:paraId="52A6655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5B6649B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w:t>
            </w:r>
          </w:p>
        </w:tc>
        <w:tc>
          <w:tcPr>
            <w:tcW w:w="1440" w:type="dxa"/>
            <w:vAlign w:val="center"/>
          </w:tcPr>
          <w:p w14:paraId="7DC09E0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FCA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588037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41A0E1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0B064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DE0905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5.2.8</w:t>
            </w:r>
          </w:p>
        </w:tc>
        <w:tc>
          <w:tcPr>
            <w:tcW w:w="4291" w:type="dxa"/>
            <w:vAlign w:val="center"/>
          </w:tcPr>
          <w:p w14:paraId="55D7B7BC">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充分利用天然光。</w:t>
            </w:r>
          </w:p>
        </w:tc>
        <w:tc>
          <w:tcPr>
            <w:tcW w:w="1118" w:type="dxa"/>
            <w:vAlign w:val="center"/>
          </w:tcPr>
          <w:p w14:paraId="2E70D64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255E648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156251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2D8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6FA846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B41DA8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29A037F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室内热湿环境</w:t>
            </w:r>
          </w:p>
        </w:tc>
        <w:tc>
          <w:tcPr>
            <w:tcW w:w="1145" w:type="dxa"/>
            <w:vAlign w:val="center"/>
          </w:tcPr>
          <w:p w14:paraId="1316FE3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5.2.9</w:t>
            </w:r>
          </w:p>
        </w:tc>
        <w:tc>
          <w:tcPr>
            <w:tcW w:w="4291" w:type="dxa"/>
            <w:vAlign w:val="center"/>
          </w:tcPr>
          <w:p w14:paraId="37B1244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具有良好的室内热湿环境。</w:t>
            </w:r>
          </w:p>
        </w:tc>
        <w:tc>
          <w:tcPr>
            <w:tcW w:w="1118" w:type="dxa"/>
            <w:vAlign w:val="center"/>
          </w:tcPr>
          <w:p w14:paraId="4ED65B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1E87292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w:t>
            </w:r>
          </w:p>
        </w:tc>
        <w:tc>
          <w:tcPr>
            <w:tcW w:w="1440" w:type="dxa"/>
            <w:vAlign w:val="center"/>
          </w:tcPr>
          <w:p w14:paraId="1E3740E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7CC7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8E4AA4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65EDE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B50D7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DF4F8F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5.2.10</w:t>
            </w:r>
          </w:p>
        </w:tc>
        <w:tc>
          <w:tcPr>
            <w:tcW w:w="4291" w:type="dxa"/>
            <w:vAlign w:val="center"/>
          </w:tcPr>
          <w:p w14:paraId="33A4BDA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优化建筑空间和平面布局，改善自然通风效果。</w:t>
            </w:r>
          </w:p>
        </w:tc>
        <w:tc>
          <w:tcPr>
            <w:tcW w:w="1118" w:type="dxa"/>
            <w:vAlign w:val="center"/>
          </w:tcPr>
          <w:p w14:paraId="4B51D79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7B214E7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9AFEFC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3DA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3EB814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3DFAC1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FF5251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2B2FC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5.2.11</w:t>
            </w:r>
          </w:p>
        </w:tc>
        <w:tc>
          <w:tcPr>
            <w:tcW w:w="4291" w:type="dxa"/>
            <w:vAlign w:val="center"/>
          </w:tcPr>
          <w:p w14:paraId="62C5958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设置可调节遮阳设施，改善室内热舒适。</w:t>
            </w:r>
          </w:p>
        </w:tc>
        <w:tc>
          <w:tcPr>
            <w:tcW w:w="1118" w:type="dxa"/>
            <w:vAlign w:val="center"/>
          </w:tcPr>
          <w:p w14:paraId="5E2FE13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17BDCDE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291CC1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29C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38EE493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2522F2E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61F19A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66C185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0FB47D8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1C4BE45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7626D0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60</w:t>
            </w:r>
          </w:p>
        </w:tc>
        <w:tc>
          <w:tcPr>
            <w:tcW w:w="1440" w:type="dxa"/>
            <w:vAlign w:val="center"/>
          </w:tcPr>
          <w:p w14:paraId="5E8E26B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FE5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7E6113E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 生活便利</w:t>
            </w:r>
          </w:p>
        </w:tc>
        <w:tc>
          <w:tcPr>
            <w:tcW w:w="1159" w:type="dxa"/>
            <w:vMerge w:val="restart"/>
            <w:vAlign w:val="center"/>
          </w:tcPr>
          <w:p w14:paraId="799D5DD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3A844B8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14479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6.1.1</w:t>
            </w:r>
          </w:p>
        </w:tc>
        <w:tc>
          <w:tcPr>
            <w:tcW w:w="4291" w:type="dxa"/>
            <w:vAlign w:val="center"/>
          </w:tcPr>
          <w:p w14:paraId="3389106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建筑、室外场地、公共绿地、城市道路相互之间应设置连贯的无障碍步行系统。</w:t>
            </w:r>
          </w:p>
        </w:tc>
        <w:tc>
          <w:tcPr>
            <w:tcW w:w="1118" w:type="dxa"/>
            <w:vAlign w:val="center"/>
          </w:tcPr>
          <w:p w14:paraId="665708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6EC41B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E39DA1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40D3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5B72BA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5EEF79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E69BCA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9F21A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6.1.2</w:t>
            </w:r>
          </w:p>
        </w:tc>
        <w:tc>
          <w:tcPr>
            <w:tcW w:w="4291" w:type="dxa"/>
            <w:vAlign w:val="center"/>
          </w:tcPr>
          <w:p w14:paraId="5EABEE9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场地人行出入口500m内应设有公共交通站点或配备联系公共交通站点的专用接驳车。</w:t>
            </w:r>
          </w:p>
        </w:tc>
        <w:tc>
          <w:tcPr>
            <w:tcW w:w="1118" w:type="dxa"/>
            <w:vAlign w:val="center"/>
          </w:tcPr>
          <w:p w14:paraId="38C324C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E540C4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85D97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6844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981DBD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D8ACF4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018DA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79EB3F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6.1.3</w:t>
            </w:r>
          </w:p>
        </w:tc>
        <w:tc>
          <w:tcPr>
            <w:tcW w:w="4291" w:type="dxa"/>
            <w:vAlign w:val="center"/>
          </w:tcPr>
          <w:p w14:paraId="65F872B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停车场应具有电动汽车充电设施或具备充电设施的安装条件，并应合理设置电动汽车和无障碍汽车停车位。</w:t>
            </w:r>
          </w:p>
        </w:tc>
        <w:tc>
          <w:tcPr>
            <w:tcW w:w="1118" w:type="dxa"/>
            <w:vAlign w:val="center"/>
          </w:tcPr>
          <w:p w14:paraId="3C39014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36B279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D52DAF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建筑、电气</w:t>
            </w:r>
          </w:p>
        </w:tc>
      </w:tr>
      <w:tr w14:paraId="154F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FF80A8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55388B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197E8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B28D7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6.1.4</w:t>
            </w:r>
          </w:p>
        </w:tc>
        <w:tc>
          <w:tcPr>
            <w:tcW w:w="4291" w:type="dxa"/>
            <w:vAlign w:val="center"/>
          </w:tcPr>
          <w:p w14:paraId="46B8F8F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自行车停车场所应位置合理、方便出入。</w:t>
            </w:r>
          </w:p>
        </w:tc>
        <w:tc>
          <w:tcPr>
            <w:tcW w:w="1118" w:type="dxa"/>
            <w:vAlign w:val="center"/>
          </w:tcPr>
          <w:p w14:paraId="42F8B3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77E9EE3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970F3A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C83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B0D2E8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4FA507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223BB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E1D430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6.1.5</w:t>
            </w:r>
          </w:p>
        </w:tc>
        <w:tc>
          <w:tcPr>
            <w:tcW w:w="4291" w:type="dxa"/>
            <w:vAlign w:val="center"/>
          </w:tcPr>
          <w:p w14:paraId="4CD0651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建筑设备管理系统应具有自动监控管理功能。</w:t>
            </w:r>
          </w:p>
        </w:tc>
        <w:tc>
          <w:tcPr>
            <w:tcW w:w="1118" w:type="dxa"/>
            <w:vAlign w:val="center"/>
          </w:tcPr>
          <w:p w14:paraId="3C02053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5A57DA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D2C0CC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274E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E6054F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CEA750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249351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B08B00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6.1.6</w:t>
            </w:r>
          </w:p>
        </w:tc>
        <w:tc>
          <w:tcPr>
            <w:tcW w:w="4291" w:type="dxa"/>
            <w:vAlign w:val="center"/>
          </w:tcPr>
          <w:p w14:paraId="2B70D3E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建筑应设置信息网络系统。</w:t>
            </w:r>
          </w:p>
        </w:tc>
        <w:tc>
          <w:tcPr>
            <w:tcW w:w="1118" w:type="dxa"/>
            <w:vAlign w:val="center"/>
          </w:tcPr>
          <w:p w14:paraId="51307C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1129DC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2A25D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7FAF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01C96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43A64D1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58F356F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出行与无障碍</w:t>
            </w:r>
          </w:p>
        </w:tc>
        <w:tc>
          <w:tcPr>
            <w:tcW w:w="1145" w:type="dxa"/>
            <w:vAlign w:val="center"/>
          </w:tcPr>
          <w:p w14:paraId="3D62F1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6.2.1</w:t>
            </w:r>
          </w:p>
        </w:tc>
        <w:tc>
          <w:tcPr>
            <w:tcW w:w="4291" w:type="dxa"/>
            <w:vAlign w:val="center"/>
          </w:tcPr>
          <w:p w14:paraId="43E82229">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场地与公共交通站点联系便捷。</w:t>
            </w:r>
          </w:p>
        </w:tc>
        <w:tc>
          <w:tcPr>
            <w:tcW w:w="1118" w:type="dxa"/>
            <w:vAlign w:val="center"/>
          </w:tcPr>
          <w:p w14:paraId="09C1A46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430C97E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164CDF2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657B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27D368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2BDED0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15CD5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9BF428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6.2.2</w:t>
            </w:r>
          </w:p>
        </w:tc>
        <w:tc>
          <w:tcPr>
            <w:tcW w:w="4291" w:type="dxa"/>
            <w:vAlign w:val="center"/>
          </w:tcPr>
          <w:p w14:paraId="009772D5">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建筑室内外公共区域满足全年龄化设计要求。</w:t>
            </w:r>
          </w:p>
        </w:tc>
        <w:tc>
          <w:tcPr>
            <w:tcW w:w="1118" w:type="dxa"/>
            <w:vAlign w:val="center"/>
          </w:tcPr>
          <w:p w14:paraId="1EB351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72C5F9F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0DB0B1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建筑、景观</w:t>
            </w:r>
          </w:p>
        </w:tc>
      </w:tr>
      <w:tr w14:paraId="3BD5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D27D57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1FEDF5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6B222F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服务设施</w:t>
            </w:r>
          </w:p>
        </w:tc>
        <w:tc>
          <w:tcPr>
            <w:tcW w:w="1145" w:type="dxa"/>
            <w:vAlign w:val="center"/>
          </w:tcPr>
          <w:p w14:paraId="1E24A1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6.2.3</w:t>
            </w:r>
          </w:p>
        </w:tc>
        <w:tc>
          <w:tcPr>
            <w:tcW w:w="4291" w:type="dxa"/>
            <w:vAlign w:val="center"/>
          </w:tcPr>
          <w:p w14:paraId="4D3D1A8F">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提供便捷的公共服务。</w:t>
            </w:r>
          </w:p>
        </w:tc>
        <w:tc>
          <w:tcPr>
            <w:tcW w:w="1118" w:type="dxa"/>
            <w:vAlign w:val="center"/>
          </w:tcPr>
          <w:p w14:paraId="24163FA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9AF7EB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1078984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542A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4FAF50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DF7490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E54B07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511F0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6.2.4</w:t>
            </w:r>
          </w:p>
        </w:tc>
        <w:tc>
          <w:tcPr>
            <w:tcW w:w="4291" w:type="dxa"/>
            <w:vAlign w:val="center"/>
          </w:tcPr>
          <w:p w14:paraId="243AD0C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城市绿地、广场及公共运动场地等开敞空间，步行可达。</w:t>
            </w:r>
          </w:p>
        </w:tc>
        <w:tc>
          <w:tcPr>
            <w:tcW w:w="1118" w:type="dxa"/>
            <w:vAlign w:val="center"/>
          </w:tcPr>
          <w:p w14:paraId="7594BF0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0C2D90F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4234E5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308D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A44E10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CEA7A3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19EE2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A9119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6.2.5</w:t>
            </w:r>
          </w:p>
        </w:tc>
        <w:tc>
          <w:tcPr>
            <w:tcW w:w="4291" w:type="dxa"/>
            <w:vAlign w:val="center"/>
          </w:tcPr>
          <w:p w14:paraId="5C58B079">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合理设置健身场地和空间。</w:t>
            </w:r>
          </w:p>
        </w:tc>
        <w:tc>
          <w:tcPr>
            <w:tcW w:w="1118" w:type="dxa"/>
            <w:vAlign w:val="center"/>
          </w:tcPr>
          <w:p w14:paraId="4C1ADE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15170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w:t>
            </w:r>
          </w:p>
        </w:tc>
        <w:tc>
          <w:tcPr>
            <w:tcW w:w="1440" w:type="dxa"/>
            <w:vAlign w:val="center"/>
          </w:tcPr>
          <w:p w14:paraId="076B5B0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60E8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236634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5FFDB7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472B82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智慧运行</w:t>
            </w:r>
          </w:p>
        </w:tc>
        <w:tc>
          <w:tcPr>
            <w:tcW w:w="1145" w:type="dxa"/>
            <w:vAlign w:val="center"/>
          </w:tcPr>
          <w:p w14:paraId="4D41660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6.2.6</w:t>
            </w:r>
          </w:p>
        </w:tc>
        <w:tc>
          <w:tcPr>
            <w:tcW w:w="4291" w:type="dxa"/>
            <w:vAlign w:val="center"/>
          </w:tcPr>
          <w:p w14:paraId="0A141AA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设置分类、分级用能自动远传计量系统，且设置能源管理系统实现对建筑能耗的监测、数据分析和管理。</w:t>
            </w:r>
          </w:p>
        </w:tc>
        <w:tc>
          <w:tcPr>
            <w:tcW w:w="1118" w:type="dxa"/>
            <w:vAlign w:val="center"/>
          </w:tcPr>
          <w:p w14:paraId="254B689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35CBB62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8AAF82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AE83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9B8077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F8CA40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EFAA32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764CBF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6.2.7</w:t>
            </w:r>
          </w:p>
        </w:tc>
        <w:tc>
          <w:tcPr>
            <w:tcW w:w="4291" w:type="dxa"/>
            <w:vAlign w:val="center"/>
          </w:tcPr>
          <w:p w14:paraId="44C0332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设置PM10、PM2.5、CO</w:t>
            </w:r>
            <w:r>
              <w:rPr>
                <w:rStyle w:val="30"/>
                <w:rFonts w:hint="eastAsia" w:ascii="仿宋_GB2312" w:hAnsi="仿宋_GB2312" w:eastAsia="仿宋_GB2312" w:cs="仿宋_GB2312"/>
                <w:color w:val="auto"/>
                <w:sz w:val="24"/>
                <w:szCs w:val="24"/>
                <w:highlight w:val="none"/>
                <w:vertAlign w:val="subscript"/>
                <w:lang w:val="en-US" w:eastAsia="zh-CN"/>
              </w:rPr>
              <w:t>2</w:t>
            </w:r>
            <w:r>
              <w:rPr>
                <w:rStyle w:val="30"/>
                <w:rFonts w:hint="eastAsia" w:ascii="仿宋_GB2312" w:hAnsi="仿宋_GB2312" w:eastAsia="仿宋_GB2312" w:cs="仿宋_GB2312"/>
                <w:color w:val="auto"/>
                <w:sz w:val="24"/>
                <w:szCs w:val="24"/>
                <w:highlight w:val="none"/>
                <w:vertAlign w:val="baseline"/>
                <w:lang w:val="en-US" w:eastAsia="zh-CN"/>
              </w:rPr>
              <w:t>浓度的空气质量监测系统，且具有存储至少一年的监测数据和实时显示等功能。</w:t>
            </w:r>
          </w:p>
        </w:tc>
        <w:tc>
          <w:tcPr>
            <w:tcW w:w="1118" w:type="dxa"/>
            <w:vAlign w:val="center"/>
          </w:tcPr>
          <w:p w14:paraId="3E6246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6B09C3E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3127F16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240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1F77FE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14C5F2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64BC0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8D83B8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6.2.8</w:t>
            </w:r>
          </w:p>
        </w:tc>
        <w:tc>
          <w:tcPr>
            <w:tcW w:w="4291" w:type="dxa"/>
            <w:vAlign w:val="center"/>
          </w:tcPr>
          <w:p w14:paraId="53DE0EE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设置用水远传计量系统、水质在线监测系统。</w:t>
            </w:r>
          </w:p>
        </w:tc>
        <w:tc>
          <w:tcPr>
            <w:tcW w:w="1118" w:type="dxa"/>
            <w:vAlign w:val="center"/>
          </w:tcPr>
          <w:p w14:paraId="001C7D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2050" w:type="dxa"/>
            <w:gridSpan w:val="2"/>
            <w:vAlign w:val="center"/>
          </w:tcPr>
          <w:p w14:paraId="2A69B9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7DEDC4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3D9AE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8EFB46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C5B207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B2866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ED363F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6.2.9</w:t>
            </w:r>
          </w:p>
        </w:tc>
        <w:tc>
          <w:tcPr>
            <w:tcW w:w="4291" w:type="dxa"/>
            <w:vAlign w:val="center"/>
          </w:tcPr>
          <w:p w14:paraId="1971920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具有家电控制、照明控制、安全报警、环境监测、建筑设备控制、工作生活服务等至少3种类型的服务功能；</w:t>
            </w:r>
          </w:p>
          <w:p w14:paraId="15D34A7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具有远程监控的功能；</w:t>
            </w:r>
          </w:p>
          <w:p w14:paraId="390CBAD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具有接入智慧城市（城区、社区）的功能。</w:t>
            </w:r>
          </w:p>
        </w:tc>
        <w:tc>
          <w:tcPr>
            <w:tcW w:w="1118" w:type="dxa"/>
            <w:vAlign w:val="center"/>
          </w:tcPr>
          <w:p w14:paraId="71E9EC9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68F683A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5FDFA7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7002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3740F48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22DB819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270C7D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096EDE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555C46D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384AF6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2050" w:type="dxa"/>
            <w:gridSpan w:val="2"/>
            <w:vAlign w:val="center"/>
          </w:tcPr>
          <w:p w14:paraId="7F25D9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440" w:type="dxa"/>
            <w:vAlign w:val="center"/>
          </w:tcPr>
          <w:p w14:paraId="051D2F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FD5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50A569C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 资源节约</w:t>
            </w:r>
          </w:p>
        </w:tc>
        <w:tc>
          <w:tcPr>
            <w:tcW w:w="1159" w:type="dxa"/>
            <w:vMerge w:val="restart"/>
            <w:vAlign w:val="center"/>
          </w:tcPr>
          <w:p w14:paraId="3CCD99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2B2B57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ACA85E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7.1.1</w:t>
            </w:r>
          </w:p>
        </w:tc>
        <w:tc>
          <w:tcPr>
            <w:tcW w:w="4291" w:type="dxa"/>
            <w:vAlign w:val="center"/>
          </w:tcPr>
          <w:p w14:paraId="3089D15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应结合场地自然条件和建筑功能需求，对建筑的体形、平面布局、空间尺度、围护结构等进行节能设计，且应符合国家有关节能设计的要求。</w:t>
            </w:r>
          </w:p>
        </w:tc>
        <w:tc>
          <w:tcPr>
            <w:tcW w:w="1118" w:type="dxa"/>
            <w:vAlign w:val="center"/>
          </w:tcPr>
          <w:p w14:paraId="4BF5295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0BC213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13A149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776C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769147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F09219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1A777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EAA5FA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7.1.2</w:t>
            </w:r>
          </w:p>
        </w:tc>
        <w:tc>
          <w:tcPr>
            <w:tcW w:w="4291" w:type="dxa"/>
            <w:vAlign w:val="center"/>
          </w:tcPr>
          <w:p w14:paraId="09199FD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应采取措施降低部分负荷、部分空间使用下的供暖、空调系统能耗。</w:t>
            </w:r>
          </w:p>
        </w:tc>
        <w:tc>
          <w:tcPr>
            <w:tcW w:w="1118" w:type="dxa"/>
            <w:vAlign w:val="center"/>
          </w:tcPr>
          <w:p w14:paraId="7C449D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061B12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243CB6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1898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2DF199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8B60DC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32463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60C8E2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7.1.3</w:t>
            </w:r>
          </w:p>
        </w:tc>
        <w:tc>
          <w:tcPr>
            <w:tcW w:w="4291" w:type="dxa"/>
            <w:vAlign w:val="center"/>
          </w:tcPr>
          <w:p w14:paraId="5484EFE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应根据建筑空间功能设置分区温度，合理降低室内过渡区空间的温度设定标准。</w:t>
            </w:r>
          </w:p>
        </w:tc>
        <w:tc>
          <w:tcPr>
            <w:tcW w:w="1118" w:type="dxa"/>
            <w:vAlign w:val="center"/>
          </w:tcPr>
          <w:p w14:paraId="5A953EB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E7BD96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1C7A68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1963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40719E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1F08FE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77B433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47E6B6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7.1.4</w:t>
            </w:r>
          </w:p>
        </w:tc>
        <w:tc>
          <w:tcPr>
            <w:tcW w:w="4291" w:type="dxa"/>
            <w:vAlign w:val="center"/>
          </w:tcPr>
          <w:p w14:paraId="449D05D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主要功能房间的照明功率密度值不应高于现行国家标准《建筑照明设计标准》GB50034规定的现行值；公共区域的照明系统应采用分区、定时、感应等节能控制；采光区域的照明控制应独立于其他区域的照明控制。</w:t>
            </w:r>
          </w:p>
        </w:tc>
        <w:tc>
          <w:tcPr>
            <w:tcW w:w="1118" w:type="dxa"/>
            <w:vAlign w:val="center"/>
          </w:tcPr>
          <w:p w14:paraId="361312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A9C7B4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AE235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6BEA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8FC109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A92BA5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47BE6F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2A737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7.1.5</w:t>
            </w:r>
          </w:p>
        </w:tc>
        <w:tc>
          <w:tcPr>
            <w:tcW w:w="4291" w:type="dxa"/>
            <w:vAlign w:val="center"/>
          </w:tcPr>
          <w:p w14:paraId="47B4E14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冷热源、输配系统和照明等各部分能耗应进行独立分项计量。</w:t>
            </w:r>
          </w:p>
        </w:tc>
        <w:tc>
          <w:tcPr>
            <w:tcW w:w="1118" w:type="dxa"/>
            <w:vAlign w:val="center"/>
          </w:tcPr>
          <w:p w14:paraId="5D2749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C8923C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56465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2B3F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D9470F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5598A7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24B53A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0D69D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7.1.6</w:t>
            </w:r>
          </w:p>
        </w:tc>
        <w:tc>
          <w:tcPr>
            <w:tcW w:w="4291" w:type="dxa"/>
            <w:vAlign w:val="center"/>
          </w:tcPr>
          <w:p w14:paraId="639668C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垂直电梯应采取群控、变频调速或能量反馈等节能措施；自动扶梯应采用变频感应启动等节能控制措施。</w:t>
            </w:r>
          </w:p>
        </w:tc>
        <w:tc>
          <w:tcPr>
            <w:tcW w:w="1118" w:type="dxa"/>
            <w:vAlign w:val="center"/>
          </w:tcPr>
          <w:p w14:paraId="3F5A600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54E44B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CD7C5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A3D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8AE23D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6D3F1D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F171A7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BDB1B4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7.1.7</w:t>
            </w:r>
          </w:p>
        </w:tc>
        <w:tc>
          <w:tcPr>
            <w:tcW w:w="4291" w:type="dxa"/>
            <w:vAlign w:val="center"/>
          </w:tcPr>
          <w:p w14:paraId="75FEC16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应制定水资源利用方案，统筹利用各种水资源。</w:t>
            </w:r>
          </w:p>
        </w:tc>
        <w:tc>
          <w:tcPr>
            <w:tcW w:w="1118" w:type="dxa"/>
            <w:vAlign w:val="center"/>
          </w:tcPr>
          <w:p w14:paraId="1049648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D54034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EF63C3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7F2D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A7606F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1D58FA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7A7F4D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AFA41C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7.1.8</w:t>
            </w:r>
          </w:p>
        </w:tc>
        <w:tc>
          <w:tcPr>
            <w:tcW w:w="4291" w:type="dxa"/>
            <w:vAlign w:val="center"/>
          </w:tcPr>
          <w:p w14:paraId="161C10D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不应采用建筑形体和布置严重不规则的建筑结构。</w:t>
            </w:r>
          </w:p>
        </w:tc>
        <w:tc>
          <w:tcPr>
            <w:tcW w:w="1118" w:type="dxa"/>
            <w:vAlign w:val="center"/>
          </w:tcPr>
          <w:p w14:paraId="5C9B3D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C11123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CBD379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11BC8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1DDA60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24642F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E3E724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3C2B7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7.1.9</w:t>
            </w:r>
          </w:p>
        </w:tc>
        <w:tc>
          <w:tcPr>
            <w:tcW w:w="4291" w:type="dxa"/>
            <w:vAlign w:val="center"/>
          </w:tcPr>
          <w:p w14:paraId="649470B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建筑造型要素应简约，应无大量装饰性构件。</w:t>
            </w:r>
          </w:p>
        </w:tc>
        <w:tc>
          <w:tcPr>
            <w:tcW w:w="1118" w:type="dxa"/>
            <w:vAlign w:val="center"/>
          </w:tcPr>
          <w:p w14:paraId="121F734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C0E96F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62EBAB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421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DDBB0F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458081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4493D4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0BF2F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7.1.10</w:t>
            </w:r>
          </w:p>
        </w:tc>
        <w:tc>
          <w:tcPr>
            <w:tcW w:w="4291" w:type="dxa"/>
            <w:vAlign w:val="center"/>
          </w:tcPr>
          <w:p w14:paraId="553963A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选用的建筑材料应符合下列要求：</w:t>
            </w:r>
          </w:p>
          <w:p w14:paraId="4D98E6F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1 500km以内生产的建筑材料重量占建筑材料总重量的比例应大于60%；</w:t>
            </w:r>
          </w:p>
          <w:p w14:paraId="3C3C19F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现浇混凝土应采用预拌混凝土，建筑砂浆应采用预拌砂浆。</w:t>
            </w:r>
          </w:p>
        </w:tc>
        <w:tc>
          <w:tcPr>
            <w:tcW w:w="1118" w:type="dxa"/>
            <w:vAlign w:val="center"/>
          </w:tcPr>
          <w:p w14:paraId="1B4AC85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14C41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7F9371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03CDDCE4">
        <w:tblPrEx>
          <w:tblCellMar>
            <w:top w:w="0" w:type="dxa"/>
            <w:left w:w="108" w:type="dxa"/>
            <w:bottom w:w="0" w:type="dxa"/>
            <w:right w:w="108" w:type="dxa"/>
          </w:tblCellMar>
        </w:tblPrEx>
        <w:trPr>
          <w:jc w:val="center"/>
        </w:trPr>
        <w:tc>
          <w:tcPr>
            <w:tcW w:w="1798" w:type="dxa"/>
            <w:vMerge w:val="continue"/>
            <w:vAlign w:val="center"/>
          </w:tcPr>
          <w:p w14:paraId="65AE829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313F5AD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718E7C9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节地与土地利用</w:t>
            </w:r>
          </w:p>
        </w:tc>
        <w:tc>
          <w:tcPr>
            <w:tcW w:w="1145" w:type="dxa"/>
            <w:vAlign w:val="center"/>
          </w:tcPr>
          <w:p w14:paraId="5357D45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w:t>
            </w:r>
          </w:p>
        </w:tc>
        <w:tc>
          <w:tcPr>
            <w:tcW w:w="4291" w:type="dxa"/>
            <w:vAlign w:val="center"/>
          </w:tcPr>
          <w:p w14:paraId="652362CF">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节约集约利用土地。</w:t>
            </w:r>
          </w:p>
        </w:tc>
        <w:tc>
          <w:tcPr>
            <w:tcW w:w="1118" w:type="dxa"/>
            <w:vAlign w:val="center"/>
          </w:tcPr>
          <w:p w14:paraId="7A2647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18D996D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B1E84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781E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A6C7A9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2838F5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DAC41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28E5D4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7.2.2</w:t>
            </w:r>
          </w:p>
        </w:tc>
        <w:tc>
          <w:tcPr>
            <w:tcW w:w="4291" w:type="dxa"/>
            <w:vAlign w:val="center"/>
          </w:tcPr>
          <w:p w14:paraId="1B08584E">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合理开发利用地下空间。</w:t>
            </w:r>
          </w:p>
        </w:tc>
        <w:tc>
          <w:tcPr>
            <w:tcW w:w="1118" w:type="dxa"/>
            <w:vAlign w:val="center"/>
          </w:tcPr>
          <w:p w14:paraId="34DE0E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38E7778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1440" w:type="dxa"/>
            <w:vAlign w:val="center"/>
          </w:tcPr>
          <w:p w14:paraId="142244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65D4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17B0DE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2D1EB9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2661D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7F4AF7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7.2.3</w:t>
            </w:r>
          </w:p>
        </w:tc>
        <w:tc>
          <w:tcPr>
            <w:tcW w:w="4291" w:type="dxa"/>
            <w:vAlign w:val="center"/>
          </w:tcPr>
          <w:p w14:paraId="791FEE7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采用机械式停车设施、地下停车库或地面停车楼等方式。</w:t>
            </w:r>
          </w:p>
        </w:tc>
        <w:tc>
          <w:tcPr>
            <w:tcW w:w="1118" w:type="dxa"/>
            <w:vAlign w:val="center"/>
          </w:tcPr>
          <w:p w14:paraId="7DBF6DF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C9E9A9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4569FD5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638F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E95988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E1758C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02F030F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节能与能源利用</w:t>
            </w:r>
          </w:p>
        </w:tc>
        <w:tc>
          <w:tcPr>
            <w:tcW w:w="1145" w:type="dxa"/>
            <w:vAlign w:val="center"/>
          </w:tcPr>
          <w:p w14:paraId="3CC698D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7.2.4</w:t>
            </w:r>
          </w:p>
        </w:tc>
        <w:tc>
          <w:tcPr>
            <w:tcW w:w="4291" w:type="dxa"/>
            <w:vAlign w:val="center"/>
          </w:tcPr>
          <w:p w14:paraId="77D10C0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优化建筑围护结构的热工性能。</w:t>
            </w:r>
          </w:p>
        </w:tc>
        <w:tc>
          <w:tcPr>
            <w:tcW w:w="1118" w:type="dxa"/>
            <w:vAlign w:val="center"/>
          </w:tcPr>
          <w:p w14:paraId="44ACC8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207CD4B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42800DD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143F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41C491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689819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414F5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4792DD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7.2.5</w:t>
            </w:r>
          </w:p>
        </w:tc>
        <w:tc>
          <w:tcPr>
            <w:tcW w:w="4291" w:type="dxa"/>
            <w:vAlign w:val="center"/>
          </w:tcPr>
          <w:p w14:paraId="16A9EB2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供暖空调系统的冷、热源机组能效均优于现行国家标准《公共建筑节能设计标准》GB50189的规定以及现行有关国家标准能效限定值的要求。</w:t>
            </w:r>
          </w:p>
        </w:tc>
        <w:tc>
          <w:tcPr>
            <w:tcW w:w="1118" w:type="dxa"/>
            <w:vAlign w:val="center"/>
          </w:tcPr>
          <w:p w14:paraId="3F6760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6A09CDA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B3E86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FB7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EF19F9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94C5B1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5FAB04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5AB741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7.2.6</w:t>
            </w:r>
          </w:p>
        </w:tc>
        <w:tc>
          <w:tcPr>
            <w:tcW w:w="4291" w:type="dxa"/>
            <w:vAlign w:val="center"/>
          </w:tcPr>
          <w:p w14:paraId="493E99A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采取有效措施降低供暖空调系统的末端系统及输配系统的能耗。</w:t>
            </w:r>
          </w:p>
        </w:tc>
        <w:tc>
          <w:tcPr>
            <w:tcW w:w="1118" w:type="dxa"/>
            <w:vAlign w:val="center"/>
          </w:tcPr>
          <w:p w14:paraId="7113F4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5AEBAE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7501478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437C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97404A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BBE2D2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DCEFD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5C4E8F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7.2.7</w:t>
            </w:r>
          </w:p>
        </w:tc>
        <w:tc>
          <w:tcPr>
            <w:tcW w:w="4291" w:type="dxa"/>
            <w:vAlign w:val="center"/>
          </w:tcPr>
          <w:p w14:paraId="46F1FAE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采用节能型电气设备及节能控制措施：</w:t>
            </w:r>
          </w:p>
          <w:p w14:paraId="3F80B3C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主要功能房间的照明功率密度值达到现行国家标准《建筑照明设计标准》GB50034规定的目标值；</w:t>
            </w:r>
          </w:p>
          <w:p w14:paraId="15F146F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采光区域的人工照明随天然光照度变化自动调节；</w:t>
            </w:r>
          </w:p>
          <w:p w14:paraId="64B9DC2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照明产品、三相配电变压器、水泵、风机等设备满足国家现行有关标准的节能评价值的要求。</w:t>
            </w:r>
          </w:p>
        </w:tc>
        <w:tc>
          <w:tcPr>
            <w:tcW w:w="1118" w:type="dxa"/>
            <w:vAlign w:val="center"/>
          </w:tcPr>
          <w:p w14:paraId="0988E9E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0FD9729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76F771A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给排水、暖通、电气</w:t>
            </w:r>
          </w:p>
        </w:tc>
      </w:tr>
      <w:tr w14:paraId="4D78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DBBEAD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C08342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DAA2DB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DEEDB6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7.2.8</w:t>
            </w:r>
          </w:p>
        </w:tc>
        <w:tc>
          <w:tcPr>
            <w:tcW w:w="4291" w:type="dxa"/>
            <w:vAlign w:val="center"/>
          </w:tcPr>
          <w:p w14:paraId="7B61E70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采取措施降低建筑供暖空调系统和照明系统的能耗。</w:t>
            </w:r>
          </w:p>
        </w:tc>
        <w:tc>
          <w:tcPr>
            <w:tcW w:w="1118" w:type="dxa"/>
            <w:vAlign w:val="center"/>
          </w:tcPr>
          <w:p w14:paraId="65A85C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C4AC14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5568C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BE9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AC3DCD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EB0E9F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85EC7F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5792F1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7.2.9</w:t>
            </w:r>
          </w:p>
        </w:tc>
        <w:tc>
          <w:tcPr>
            <w:tcW w:w="4291" w:type="dxa"/>
            <w:vAlign w:val="center"/>
          </w:tcPr>
          <w:p w14:paraId="4F75C60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结合当地气候和自然资源条件合理利用可再生能源。</w:t>
            </w:r>
          </w:p>
        </w:tc>
        <w:tc>
          <w:tcPr>
            <w:tcW w:w="1118" w:type="dxa"/>
            <w:vAlign w:val="center"/>
          </w:tcPr>
          <w:p w14:paraId="11168A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0B75327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E5E3D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0D5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1A7A41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E46E99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2DA6B85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节水与水资源利用</w:t>
            </w:r>
          </w:p>
        </w:tc>
        <w:tc>
          <w:tcPr>
            <w:tcW w:w="1145" w:type="dxa"/>
            <w:vAlign w:val="center"/>
          </w:tcPr>
          <w:p w14:paraId="3DE275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7.2.10</w:t>
            </w:r>
          </w:p>
        </w:tc>
        <w:tc>
          <w:tcPr>
            <w:tcW w:w="4291" w:type="dxa"/>
            <w:vAlign w:val="center"/>
          </w:tcPr>
          <w:p w14:paraId="17E8545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使用较高用水效率等级的卫生器具。</w:t>
            </w:r>
          </w:p>
        </w:tc>
        <w:tc>
          <w:tcPr>
            <w:tcW w:w="1118" w:type="dxa"/>
            <w:vAlign w:val="center"/>
          </w:tcPr>
          <w:p w14:paraId="1C752C8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6D01B9A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0446519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47AE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8D8748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F3777E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79CC3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D7496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7.2.11</w:t>
            </w:r>
          </w:p>
        </w:tc>
        <w:tc>
          <w:tcPr>
            <w:tcW w:w="4291" w:type="dxa"/>
            <w:vAlign w:val="center"/>
          </w:tcPr>
          <w:p w14:paraId="1B68C20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绿化灌溉及空调冷却水系统采用节水设备或技术。</w:t>
            </w:r>
          </w:p>
        </w:tc>
        <w:tc>
          <w:tcPr>
            <w:tcW w:w="1118" w:type="dxa"/>
            <w:vAlign w:val="center"/>
          </w:tcPr>
          <w:p w14:paraId="37423C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016872B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383983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暖通、景观</w:t>
            </w:r>
          </w:p>
        </w:tc>
      </w:tr>
      <w:tr w14:paraId="26601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796EBD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D0A84C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B29338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2A0C1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7.2.12</w:t>
            </w:r>
          </w:p>
        </w:tc>
        <w:tc>
          <w:tcPr>
            <w:tcW w:w="4291" w:type="dxa"/>
            <w:vAlign w:val="center"/>
          </w:tcPr>
          <w:p w14:paraId="16121B6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结合雨水综合利用设施营造室外景观水体，室外景观水体利用雨水的补水量大于水体蒸发量的60%，且采用保障水体水质的生态水处理技术。</w:t>
            </w:r>
          </w:p>
        </w:tc>
        <w:tc>
          <w:tcPr>
            <w:tcW w:w="1118" w:type="dxa"/>
            <w:vAlign w:val="center"/>
          </w:tcPr>
          <w:p w14:paraId="0FC4260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7DCB563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0181561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01D58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3029AC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E4AE4D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1BDE6F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71646C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7.2.13</w:t>
            </w:r>
          </w:p>
        </w:tc>
        <w:tc>
          <w:tcPr>
            <w:tcW w:w="4291" w:type="dxa"/>
            <w:vAlign w:val="center"/>
          </w:tcPr>
          <w:p w14:paraId="10183C9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绿化灌溉、车库及道路冲洗，洗车用水采用非传统水源的用水量占其总用水量的比例不低于60%，得5分；</w:t>
            </w:r>
          </w:p>
          <w:p w14:paraId="3E9657D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冲厕采用非传统水源的用水量占其总用水量的比例不低于</w:t>
            </w:r>
          </w:p>
          <w:p w14:paraId="4CB8AC1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40%，得5分；</w:t>
            </w:r>
          </w:p>
          <w:p w14:paraId="3635664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冷却水补水采用非传统水源的用水量占其总用水量的比例不低于20%，得5分。</w:t>
            </w:r>
          </w:p>
        </w:tc>
        <w:tc>
          <w:tcPr>
            <w:tcW w:w="1118" w:type="dxa"/>
            <w:vAlign w:val="center"/>
          </w:tcPr>
          <w:p w14:paraId="2238119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312F069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09A41F7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095E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B1928B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EC8A78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7947489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节材与绿色建材</w:t>
            </w:r>
          </w:p>
        </w:tc>
        <w:tc>
          <w:tcPr>
            <w:tcW w:w="1145" w:type="dxa"/>
            <w:vAlign w:val="center"/>
          </w:tcPr>
          <w:p w14:paraId="5555DC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7.2.14</w:t>
            </w:r>
          </w:p>
        </w:tc>
        <w:tc>
          <w:tcPr>
            <w:tcW w:w="4291" w:type="dxa"/>
            <w:vAlign w:val="center"/>
          </w:tcPr>
          <w:p w14:paraId="7E31F32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建筑所有区域实施土建工程与装修工程一体化设计及施工。</w:t>
            </w:r>
          </w:p>
        </w:tc>
        <w:tc>
          <w:tcPr>
            <w:tcW w:w="1118" w:type="dxa"/>
            <w:vAlign w:val="center"/>
          </w:tcPr>
          <w:p w14:paraId="5D2214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027BF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451A7AD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439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234786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AF286A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1D3E1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26F15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7.2.15</w:t>
            </w:r>
          </w:p>
        </w:tc>
        <w:tc>
          <w:tcPr>
            <w:tcW w:w="4291" w:type="dxa"/>
            <w:vAlign w:val="center"/>
          </w:tcPr>
          <w:p w14:paraId="65BE3F7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合理选用建筑结构材料与构件。</w:t>
            </w:r>
          </w:p>
        </w:tc>
        <w:tc>
          <w:tcPr>
            <w:tcW w:w="1118" w:type="dxa"/>
            <w:vAlign w:val="center"/>
          </w:tcPr>
          <w:p w14:paraId="481A82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DEDB8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07D5CF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6335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8CA58B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6A67CF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593FE3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72A53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7.2.16</w:t>
            </w:r>
          </w:p>
        </w:tc>
        <w:tc>
          <w:tcPr>
            <w:tcW w:w="4291" w:type="dxa"/>
            <w:vAlign w:val="center"/>
          </w:tcPr>
          <w:p w14:paraId="25A15A69">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建筑装修选用工业化内装部品。</w:t>
            </w:r>
          </w:p>
        </w:tc>
        <w:tc>
          <w:tcPr>
            <w:tcW w:w="1118" w:type="dxa"/>
            <w:vAlign w:val="center"/>
          </w:tcPr>
          <w:p w14:paraId="73D57D9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16D1B0F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66AC520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8369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45FABE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96B233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493971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C134E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7.2.17</w:t>
            </w:r>
          </w:p>
        </w:tc>
        <w:tc>
          <w:tcPr>
            <w:tcW w:w="4291" w:type="dxa"/>
            <w:vAlign w:val="center"/>
          </w:tcPr>
          <w:p w14:paraId="08A7B59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选用可再循环材料、可再利用材料及利废建材。</w:t>
            </w:r>
          </w:p>
        </w:tc>
        <w:tc>
          <w:tcPr>
            <w:tcW w:w="1118" w:type="dxa"/>
            <w:vAlign w:val="center"/>
          </w:tcPr>
          <w:p w14:paraId="5EC0BC7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4B3C29C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w:t>
            </w:r>
          </w:p>
        </w:tc>
        <w:tc>
          <w:tcPr>
            <w:tcW w:w="1440" w:type="dxa"/>
            <w:vAlign w:val="center"/>
          </w:tcPr>
          <w:p w14:paraId="377D51E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1AF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EFC8A6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7E1D4D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C7DDE4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200DFD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7.2.18</w:t>
            </w:r>
          </w:p>
        </w:tc>
        <w:tc>
          <w:tcPr>
            <w:tcW w:w="4291" w:type="dxa"/>
            <w:vAlign w:val="center"/>
          </w:tcPr>
          <w:p w14:paraId="546D610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选用绿色建材。</w:t>
            </w:r>
          </w:p>
        </w:tc>
        <w:tc>
          <w:tcPr>
            <w:tcW w:w="1118" w:type="dxa"/>
            <w:vAlign w:val="center"/>
          </w:tcPr>
          <w:p w14:paraId="7DA3BF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6DBB594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906DB6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E20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41E4A06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0478172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0B2FEF5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8F1DC4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77F612B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56376C8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200</w:t>
            </w:r>
          </w:p>
        </w:tc>
        <w:tc>
          <w:tcPr>
            <w:tcW w:w="2050" w:type="dxa"/>
            <w:gridSpan w:val="2"/>
            <w:vAlign w:val="center"/>
          </w:tcPr>
          <w:p w14:paraId="5BCFF3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88</w:t>
            </w:r>
          </w:p>
        </w:tc>
        <w:tc>
          <w:tcPr>
            <w:tcW w:w="1440" w:type="dxa"/>
            <w:vAlign w:val="center"/>
          </w:tcPr>
          <w:p w14:paraId="76030B6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77D89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7B5B7B1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 环境宜居</w:t>
            </w:r>
          </w:p>
        </w:tc>
        <w:tc>
          <w:tcPr>
            <w:tcW w:w="1159" w:type="dxa"/>
            <w:vMerge w:val="restart"/>
            <w:vAlign w:val="center"/>
          </w:tcPr>
          <w:p w14:paraId="30AE93C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0CD706B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AEA23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8.1.1</w:t>
            </w:r>
          </w:p>
        </w:tc>
        <w:tc>
          <w:tcPr>
            <w:tcW w:w="4291" w:type="dxa"/>
            <w:vAlign w:val="center"/>
          </w:tcPr>
          <w:p w14:paraId="549BA7D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建筑规划布局应满足日照标准，且不得降低周边建筑的日照标准。</w:t>
            </w:r>
          </w:p>
        </w:tc>
        <w:tc>
          <w:tcPr>
            <w:tcW w:w="1118" w:type="dxa"/>
            <w:vAlign w:val="center"/>
          </w:tcPr>
          <w:p w14:paraId="4D510E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E1BC60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A4F08C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6030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CA2B89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D9F116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D1D69B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424C6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8.1.2</w:t>
            </w:r>
          </w:p>
        </w:tc>
        <w:tc>
          <w:tcPr>
            <w:tcW w:w="4291" w:type="dxa"/>
            <w:vAlign w:val="center"/>
          </w:tcPr>
          <w:p w14:paraId="3EC5371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室外热环境应满足国家现行有关标准的要求。</w:t>
            </w:r>
          </w:p>
        </w:tc>
        <w:tc>
          <w:tcPr>
            <w:tcW w:w="1118" w:type="dxa"/>
            <w:vAlign w:val="center"/>
          </w:tcPr>
          <w:p w14:paraId="4E3887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4D0446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A8500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5E23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9CC7A4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F83225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E7D69B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513EE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8.1.3</w:t>
            </w:r>
          </w:p>
        </w:tc>
        <w:tc>
          <w:tcPr>
            <w:tcW w:w="4291" w:type="dxa"/>
            <w:vAlign w:val="center"/>
          </w:tcPr>
          <w:p w14:paraId="35B9EB6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配建的绿地应符合所在地城乡规划的要求，应合理选择绿化方式，植物种植应适应当地气候和土壤，且应无毒害、易维护，种植区域覆土深度和排水能力应满足植物生长需求，并应采用复层绿化方式。</w:t>
            </w:r>
          </w:p>
        </w:tc>
        <w:tc>
          <w:tcPr>
            <w:tcW w:w="1118" w:type="dxa"/>
            <w:vAlign w:val="center"/>
          </w:tcPr>
          <w:p w14:paraId="1D86CBD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7F6536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B6221D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294F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93DCDB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12F2C3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25BCD1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5B1C65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8.1.4</w:t>
            </w:r>
          </w:p>
        </w:tc>
        <w:tc>
          <w:tcPr>
            <w:tcW w:w="4291" w:type="dxa"/>
            <w:vAlign w:val="center"/>
          </w:tcPr>
          <w:p w14:paraId="090FB82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场地的竖向设计应有利于雨水的收集或排放，应有效组织雨水的下渗、滞蓄或再利用；对大于10hm</w:t>
            </w:r>
            <w:r>
              <w:rPr>
                <w:rStyle w:val="30"/>
                <w:rFonts w:hint="eastAsia" w:ascii="仿宋_GB2312" w:hAnsi="仿宋_GB2312" w:eastAsia="仿宋_GB2312" w:cs="仿宋_GB2312"/>
                <w:color w:val="auto"/>
                <w:sz w:val="24"/>
                <w:szCs w:val="24"/>
                <w:highlight w:val="none"/>
                <w:vertAlign w:val="superscript"/>
                <w:lang w:val="en-US" w:eastAsia="zh-CN"/>
              </w:rPr>
              <w:t>2</w:t>
            </w:r>
            <w:r>
              <w:rPr>
                <w:rStyle w:val="30"/>
                <w:rFonts w:hint="eastAsia" w:ascii="仿宋_GB2312" w:hAnsi="仿宋_GB2312" w:eastAsia="仿宋_GB2312" w:cs="仿宋_GB2312"/>
                <w:color w:val="auto"/>
                <w:sz w:val="24"/>
                <w:szCs w:val="24"/>
                <w:highlight w:val="none"/>
                <w:vertAlign w:val="baseline"/>
                <w:lang w:val="en-US" w:eastAsia="zh-CN"/>
              </w:rPr>
              <w:t>的场地应进行雨水控制利用专项设计。</w:t>
            </w:r>
          </w:p>
        </w:tc>
        <w:tc>
          <w:tcPr>
            <w:tcW w:w="1118" w:type="dxa"/>
            <w:vAlign w:val="center"/>
          </w:tcPr>
          <w:p w14:paraId="55A618B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7821A0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DDF2C9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7717E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73BFF9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5B9C67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070CD9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B79F73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8.1.5</w:t>
            </w:r>
          </w:p>
        </w:tc>
        <w:tc>
          <w:tcPr>
            <w:tcW w:w="4291" w:type="dxa"/>
            <w:vAlign w:val="center"/>
          </w:tcPr>
          <w:p w14:paraId="5F90E78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建筑内外均应设置便于识别和使用的标识系统。</w:t>
            </w:r>
          </w:p>
        </w:tc>
        <w:tc>
          <w:tcPr>
            <w:tcW w:w="1118" w:type="dxa"/>
            <w:vAlign w:val="center"/>
          </w:tcPr>
          <w:p w14:paraId="3DB8D0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7E5075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026BAD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66BF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0C07FD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15C1B1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9BB71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63849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8.1.6</w:t>
            </w:r>
          </w:p>
        </w:tc>
        <w:tc>
          <w:tcPr>
            <w:tcW w:w="4291" w:type="dxa"/>
            <w:vAlign w:val="center"/>
          </w:tcPr>
          <w:p w14:paraId="5FBD514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场地内不应有排放超标的污染源。</w:t>
            </w:r>
          </w:p>
        </w:tc>
        <w:tc>
          <w:tcPr>
            <w:tcW w:w="1118" w:type="dxa"/>
            <w:vAlign w:val="center"/>
          </w:tcPr>
          <w:p w14:paraId="07FD53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2A8382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C128A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1BFE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4651EE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BD17A5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5DA63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D5DB43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8.1.7</w:t>
            </w:r>
          </w:p>
        </w:tc>
        <w:tc>
          <w:tcPr>
            <w:tcW w:w="4291" w:type="dxa"/>
            <w:vAlign w:val="center"/>
          </w:tcPr>
          <w:p w14:paraId="4DB58C5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生活垃圾应分类收集，垃圾容器和收集点的设置应合理并应与周围景观协调。</w:t>
            </w:r>
          </w:p>
        </w:tc>
        <w:tc>
          <w:tcPr>
            <w:tcW w:w="1118" w:type="dxa"/>
            <w:vAlign w:val="center"/>
          </w:tcPr>
          <w:p w14:paraId="6CE1C9C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3D8069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C43120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70BF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6BEADB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0AAA79D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206033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场地生态与景观</w:t>
            </w:r>
          </w:p>
        </w:tc>
        <w:tc>
          <w:tcPr>
            <w:tcW w:w="1145" w:type="dxa"/>
            <w:vAlign w:val="center"/>
          </w:tcPr>
          <w:p w14:paraId="79EF6FB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8.2.1</w:t>
            </w:r>
          </w:p>
        </w:tc>
        <w:tc>
          <w:tcPr>
            <w:tcW w:w="4291" w:type="dxa"/>
            <w:vAlign w:val="center"/>
          </w:tcPr>
          <w:p w14:paraId="4A34919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充分保护或修复场地生态环境，合理布局建筑及景观。</w:t>
            </w:r>
          </w:p>
        </w:tc>
        <w:tc>
          <w:tcPr>
            <w:tcW w:w="1118" w:type="dxa"/>
            <w:vAlign w:val="center"/>
          </w:tcPr>
          <w:p w14:paraId="415D6E1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4A5343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5976724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149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D67BB2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A83EFA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E44439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F6DF3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8.2.2</w:t>
            </w:r>
          </w:p>
        </w:tc>
        <w:tc>
          <w:tcPr>
            <w:tcW w:w="4291" w:type="dxa"/>
            <w:vAlign w:val="center"/>
          </w:tcPr>
          <w:p w14:paraId="1E5A2A9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规划场地地表和屋面雨水径流，对场地雨水实施外排总量控制。</w:t>
            </w:r>
          </w:p>
        </w:tc>
        <w:tc>
          <w:tcPr>
            <w:tcW w:w="1118" w:type="dxa"/>
            <w:vAlign w:val="center"/>
          </w:tcPr>
          <w:p w14:paraId="3BE6A2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0DC99E9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34DFBE5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6AB1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6845FE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8BC438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16B06F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935F38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8.2.3</w:t>
            </w:r>
          </w:p>
        </w:tc>
        <w:tc>
          <w:tcPr>
            <w:tcW w:w="4291" w:type="dxa"/>
            <w:vAlign w:val="center"/>
          </w:tcPr>
          <w:p w14:paraId="31C90B8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充分利用场地空间设置绿化用地。</w:t>
            </w:r>
          </w:p>
        </w:tc>
        <w:tc>
          <w:tcPr>
            <w:tcW w:w="1118" w:type="dxa"/>
            <w:vAlign w:val="center"/>
          </w:tcPr>
          <w:p w14:paraId="7185C1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16</w:t>
            </w:r>
          </w:p>
        </w:tc>
        <w:tc>
          <w:tcPr>
            <w:tcW w:w="2050" w:type="dxa"/>
            <w:gridSpan w:val="2"/>
            <w:vAlign w:val="center"/>
          </w:tcPr>
          <w:p w14:paraId="0BDE92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w:t>
            </w:r>
          </w:p>
        </w:tc>
        <w:tc>
          <w:tcPr>
            <w:tcW w:w="1440" w:type="dxa"/>
            <w:vAlign w:val="center"/>
          </w:tcPr>
          <w:p w14:paraId="2A80618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63754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F8108B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B27A62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8E35C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0FDB38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8.2.4</w:t>
            </w:r>
          </w:p>
        </w:tc>
        <w:tc>
          <w:tcPr>
            <w:tcW w:w="4291" w:type="dxa"/>
            <w:vAlign w:val="center"/>
          </w:tcPr>
          <w:p w14:paraId="0BF9C41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室外吸烟区位置布局合理。</w:t>
            </w:r>
          </w:p>
        </w:tc>
        <w:tc>
          <w:tcPr>
            <w:tcW w:w="1118" w:type="dxa"/>
            <w:vAlign w:val="center"/>
          </w:tcPr>
          <w:p w14:paraId="1F8767D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41B4845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1440" w:type="dxa"/>
            <w:vAlign w:val="center"/>
          </w:tcPr>
          <w:p w14:paraId="0B4184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1473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8046EC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887045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985DCD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5D332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8.2.5</w:t>
            </w:r>
          </w:p>
        </w:tc>
        <w:tc>
          <w:tcPr>
            <w:tcW w:w="4291" w:type="dxa"/>
            <w:vAlign w:val="center"/>
          </w:tcPr>
          <w:p w14:paraId="5F158D1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利用场地空间设置绿色雨水基础设施。</w:t>
            </w:r>
          </w:p>
        </w:tc>
        <w:tc>
          <w:tcPr>
            <w:tcW w:w="1118" w:type="dxa"/>
            <w:vAlign w:val="center"/>
          </w:tcPr>
          <w:p w14:paraId="2426214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25FD38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6630082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5531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CCC1B3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AB7D47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7769D3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室外物理环境</w:t>
            </w:r>
          </w:p>
        </w:tc>
        <w:tc>
          <w:tcPr>
            <w:tcW w:w="1145" w:type="dxa"/>
            <w:vAlign w:val="center"/>
          </w:tcPr>
          <w:p w14:paraId="3965464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8.2.6</w:t>
            </w:r>
          </w:p>
        </w:tc>
        <w:tc>
          <w:tcPr>
            <w:tcW w:w="4291" w:type="dxa"/>
            <w:vAlign w:val="center"/>
          </w:tcPr>
          <w:p w14:paraId="369E8F2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场地内的环境噪声优于现行国家标准《声环境质量标准》GB3096的要求。</w:t>
            </w:r>
          </w:p>
        </w:tc>
        <w:tc>
          <w:tcPr>
            <w:tcW w:w="1118" w:type="dxa"/>
            <w:vAlign w:val="center"/>
          </w:tcPr>
          <w:p w14:paraId="1AC8819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453ACE8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1C9940E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7306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544123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817097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3B06F4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5291B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8.2.7</w:t>
            </w:r>
          </w:p>
        </w:tc>
        <w:tc>
          <w:tcPr>
            <w:tcW w:w="4291" w:type="dxa"/>
            <w:vAlign w:val="center"/>
          </w:tcPr>
          <w:p w14:paraId="109EA0A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建筑及照明设计避免产生光污染。</w:t>
            </w:r>
          </w:p>
        </w:tc>
        <w:tc>
          <w:tcPr>
            <w:tcW w:w="1118" w:type="dxa"/>
            <w:vAlign w:val="center"/>
          </w:tcPr>
          <w:p w14:paraId="4F73CC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09769F8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6B09AC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建筑、电气</w:t>
            </w:r>
          </w:p>
        </w:tc>
      </w:tr>
      <w:tr w14:paraId="65DB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FFCD25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6FB5A7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428C5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7A609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8.2.8</w:t>
            </w:r>
          </w:p>
        </w:tc>
        <w:tc>
          <w:tcPr>
            <w:tcW w:w="4291" w:type="dxa"/>
            <w:vAlign w:val="center"/>
          </w:tcPr>
          <w:p w14:paraId="3CECA22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场地内风环境有利于室外行走、活动舒适和建筑的自然通风。</w:t>
            </w:r>
          </w:p>
        </w:tc>
        <w:tc>
          <w:tcPr>
            <w:tcW w:w="1118" w:type="dxa"/>
            <w:vAlign w:val="center"/>
          </w:tcPr>
          <w:p w14:paraId="704D967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058AF7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610F33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0ADB7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CBB9DC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334E88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A1DF3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98199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8.2.9</w:t>
            </w:r>
          </w:p>
        </w:tc>
        <w:tc>
          <w:tcPr>
            <w:tcW w:w="4291" w:type="dxa"/>
            <w:vAlign w:val="center"/>
          </w:tcPr>
          <w:p w14:paraId="0827621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场地中处于建筑阴影区外的步道、游憩场、庭院、广场等室外活动场地设有乔木、花架等遮阴措施的面积比例，住宅建筑达到30%，公共建筑达到10％，得2分；住宅建筑达到50％，公共建筑达到20％，得3分；</w:t>
            </w:r>
          </w:p>
          <w:p w14:paraId="6E48C9A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场地中处于建筑阴影区外的机动车道，路面太阳辐射反射系数不小于0.4或设有遮荫面积较大的行道树的路段长度超过70%；</w:t>
            </w:r>
          </w:p>
          <w:p w14:paraId="2CF5F11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屋顶的绿化面积、太阳能板水平投影面积以及太阳辐射反射系数不小于0.4的屋面面积合计达到75%。</w:t>
            </w:r>
          </w:p>
        </w:tc>
        <w:tc>
          <w:tcPr>
            <w:tcW w:w="1118" w:type="dxa"/>
            <w:vAlign w:val="center"/>
          </w:tcPr>
          <w:p w14:paraId="458A60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1469B7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CAB8E6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3525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6E1183E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7D57C4C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5E0509C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78CD83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78E1540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5C0CA93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4379ECE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65</w:t>
            </w:r>
          </w:p>
        </w:tc>
        <w:tc>
          <w:tcPr>
            <w:tcW w:w="1440" w:type="dxa"/>
            <w:vAlign w:val="center"/>
          </w:tcPr>
          <w:p w14:paraId="658ECFA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74A7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100AF3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 提高创新</w:t>
            </w:r>
          </w:p>
        </w:tc>
        <w:tc>
          <w:tcPr>
            <w:tcW w:w="1159" w:type="dxa"/>
            <w:vMerge w:val="restart"/>
            <w:vAlign w:val="center"/>
          </w:tcPr>
          <w:p w14:paraId="6BB9646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一般规定</w:t>
            </w:r>
          </w:p>
        </w:tc>
        <w:tc>
          <w:tcPr>
            <w:tcW w:w="1173" w:type="dxa"/>
            <w:vMerge w:val="restart"/>
            <w:vAlign w:val="center"/>
          </w:tcPr>
          <w:p w14:paraId="6FE621E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F5BAF8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9.1.1</w:t>
            </w:r>
          </w:p>
        </w:tc>
        <w:tc>
          <w:tcPr>
            <w:tcW w:w="4291" w:type="dxa"/>
            <w:vAlign w:val="center"/>
          </w:tcPr>
          <w:p w14:paraId="4810077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绿色建筑评价时，应按本章规定对提高与创新项进行评价。</w:t>
            </w:r>
          </w:p>
        </w:tc>
        <w:tc>
          <w:tcPr>
            <w:tcW w:w="1118" w:type="dxa"/>
            <w:vAlign w:val="center"/>
          </w:tcPr>
          <w:p w14:paraId="4DD6D7B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2050" w:type="dxa"/>
            <w:gridSpan w:val="2"/>
            <w:vAlign w:val="center"/>
          </w:tcPr>
          <w:p w14:paraId="17CAAF0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440" w:type="dxa"/>
            <w:vAlign w:val="center"/>
          </w:tcPr>
          <w:p w14:paraId="7C74028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0F1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459C04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2BA22D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9E8DA0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7BBAD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9.1.2</w:t>
            </w:r>
          </w:p>
        </w:tc>
        <w:tc>
          <w:tcPr>
            <w:tcW w:w="4291" w:type="dxa"/>
            <w:vAlign w:val="center"/>
          </w:tcPr>
          <w:p w14:paraId="194DF4A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提高与创新项得分为加分项得分之和，当得分大于100分时，应取为100分。</w:t>
            </w:r>
          </w:p>
        </w:tc>
        <w:tc>
          <w:tcPr>
            <w:tcW w:w="1118" w:type="dxa"/>
            <w:vAlign w:val="center"/>
          </w:tcPr>
          <w:p w14:paraId="7089A04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2050" w:type="dxa"/>
            <w:gridSpan w:val="2"/>
            <w:vAlign w:val="center"/>
          </w:tcPr>
          <w:p w14:paraId="57B6F52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440" w:type="dxa"/>
            <w:vAlign w:val="center"/>
          </w:tcPr>
          <w:p w14:paraId="74AC03C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7C2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F32532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690F75B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加分项</w:t>
            </w:r>
          </w:p>
        </w:tc>
        <w:tc>
          <w:tcPr>
            <w:tcW w:w="1173" w:type="dxa"/>
            <w:vMerge w:val="restart"/>
            <w:vAlign w:val="center"/>
          </w:tcPr>
          <w:p w14:paraId="1A66F99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F82EA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9.2.1</w:t>
            </w:r>
          </w:p>
        </w:tc>
        <w:tc>
          <w:tcPr>
            <w:tcW w:w="4291" w:type="dxa"/>
            <w:vAlign w:val="center"/>
          </w:tcPr>
          <w:p w14:paraId="07D6537B">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采取措施进一步降低建筑供暖空调系统的能耗。</w:t>
            </w:r>
          </w:p>
        </w:tc>
        <w:tc>
          <w:tcPr>
            <w:tcW w:w="1118" w:type="dxa"/>
            <w:vAlign w:val="center"/>
          </w:tcPr>
          <w:p w14:paraId="579378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2050" w:type="dxa"/>
            <w:gridSpan w:val="2"/>
            <w:vAlign w:val="center"/>
          </w:tcPr>
          <w:p w14:paraId="5A59C49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CA3A3D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AC5E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61A5B4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0AAE1C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6CD51E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7FB429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9.2.2</w:t>
            </w:r>
          </w:p>
        </w:tc>
        <w:tc>
          <w:tcPr>
            <w:tcW w:w="4291" w:type="dxa"/>
            <w:vAlign w:val="center"/>
          </w:tcPr>
          <w:p w14:paraId="2A0C2A2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采用适宜地区特色的建筑风貌设计，因地制宜传承地域建筑文</w:t>
            </w:r>
          </w:p>
          <w:p w14:paraId="7321EF3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化。</w:t>
            </w:r>
          </w:p>
        </w:tc>
        <w:tc>
          <w:tcPr>
            <w:tcW w:w="1118" w:type="dxa"/>
            <w:vAlign w:val="center"/>
          </w:tcPr>
          <w:p w14:paraId="0AA1BA4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090608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747FB4D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45C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2A1BAA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B415BD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F0BDE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0A250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9.2.3</w:t>
            </w:r>
          </w:p>
        </w:tc>
        <w:tc>
          <w:tcPr>
            <w:tcW w:w="4291" w:type="dxa"/>
            <w:vAlign w:val="center"/>
          </w:tcPr>
          <w:p w14:paraId="7B79DDD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合理选用废弃场地进行建设，或充分利用尚可使用的旧建筑。</w:t>
            </w:r>
          </w:p>
        </w:tc>
        <w:tc>
          <w:tcPr>
            <w:tcW w:w="1118" w:type="dxa"/>
            <w:vAlign w:val="center"/>
          </w:tcPr>
          <w:p w14:paraId="04A8DFB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7A618E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7F8E009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7DC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43667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92AB4B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0798C5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926524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9.2.4</w:t>
            </w:r>
          </w:p>
        </w:tc>
        <w:tc>
          <w:tcPr>
            <w:tcW w:w="4291" w:type="dxa"/>
            <w:vAlign w:val="center"/>
          </w:tcPr>
          <w:p w14:paraId="6653A0E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场地绿容率不低于3.0。</w:t>
            </w:r>
          </w:p>
        </w:tc>
        <w:tc>
          <w:tcPr>
            <w:tcW w:w="1118" w:type="dxa"/>
            <w:vAlign w:val="center"/>
          </w:tcPr>
          <w:p w14:paraId="2AC1D7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7EB19D6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1A9B6C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87C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50C400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67E9C8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6C0293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424306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9.2.5</w:t>
            </w:r>
          </w:p>
        </w:tc>
        <w:tc>
          <w:tcPr>
            <w:tcW w:w="4291" w:type="dxa"/>
            <w:vAlign w:val="center"/>
          </w:tcPr>
          <w:p w14:paraId="64EE84F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采用符合工业化建造要求的结构体系与建筑构件。</w:t>
            </w:r>
          </w:p>
        </w:tc>
        <w:tc>
          <w:tcPr>
            <w:tcW w:w="1118" w:type="dxa"/>
            <w:vAlign w:val="center"/>
          </w:tcPr>
          <w:p w14:paraId="4273494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3ECD1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9358C5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EB0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B79AA7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24ECF1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2306F2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7E62C5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9.2.6</w:t>
            </w:r>
          </w:p>
        </w:tc>
        <w:tc>
          <w:tcPr>
            <w:tcW w:w="4291" w:type="dxa"/>
            <w:vAlign w:val="center"/>
          </w:tcPr>
          <w:p w14:paraId="4260518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应用建筑信息模拟（BIM）技术。</w:t>
            </w:r>
          </w:p>
        </w:tc>
        <w:tc>
          <w:tcPr>
            <w:tcW w:w="1118" w:type="dxa"/>
            <w:vAlign w:val="center"/>
          </w:tcPr>
          <w:p w14:paraId="358650C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5BECBB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0F8B251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全专业</w:t>
            </w:r>
          </w:p>
        </w:tc>
      </w:tr>
      <w:tr w14:paraId="4929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B6ACF2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D821EC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D77736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F18DB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9.2.7</w:t>
            </w:r>
          </w:p>
        </w:tc>
        <w:tc>
          <w:tcPr>
            <w:tcW w:w="4291" w:type="dxa"/>
            <w:vAlign w:val="center"/>
          </w:tcPr>
          <w:p w14:paraId="3904FEB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进行建筑碳排放计算分析，采取措施降低单位建筑面积碳排放强度。</w:t>
            </w:r>
          </w:p>
        </w:tc>
        <w:tc>
          <w:tcPr>
            <w:tcW w:w="1118" w:type="dxa"/>
            <w:vAlign w:val="center"/>
          </w:tcPr>
          <w:p w14:paraId="163F997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68EEF3C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19E6135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全专业</w:t>
            </w:r>
          </w:p>
        </w:tc>
      </w:tr>
      <w:tr w14:paraId="36B2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AF889C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E44C39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C4F7A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04506A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9.2.8</w:t>
            </w:r>
          </w:p>
        </w:tc>
        <w:tc>
          <w:tcPr>
            <w:tcW w:w="4291" w:type="dxa"/>
            <w:vAlign w:val="center"/>
          </w:tcPr>
          <w:p w14:paraId="2E931EC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按照绿色施工的要求进行施工和管理。</w:t>
            </w:r>
          </w:p>
        </w:tc>
        <w:tc>
          <w:tcPr>
            <w:tcW w:w="1118" w:type="dxa"/>
            <w:vAlign w:val="center"/>
          </w:tcPr>
          <w:p w14:paraId="3068CEB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34CE2DF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53C3881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C1A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AC186F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88D959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011B50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B5C6FE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9.2.9</w:t>
            </w:r>
          </w:p>
        </w:tc>
        <w:tc>
          <w:tcPr>
            <w:tcW w:w="4291" w:type="dxa"/>
            <w:vAlign w:val="center"/>
          </w:tcPr>
          <w:p w14:paraId="4980E81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采用建设工程质量潜在缺陷保险产品。</w:t>
            </w:r>
          </w:p>
        </w:tc>
        <w:tc>
          <w:tcPr>
            <w:tcW w:w="1118" w:type="dxa"/>
            <w:vAlign w:val="center"/>
          </w:tcPr>
          <w:p w14:paraId="5F39934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02F574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74D00FC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334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182F9A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829EE4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38363D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6529EC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9.2.10</w:t>
            </w:r>
          </w:p>
        </w:tc>
        <w:tc>
          <w:tcPr>
            <w:tcW w:w="4291" w:type="dxa"/>
            <w:vAlign w:val="center"/>
          </w:tcPr>
          <w:p w14:paraId="58C58DE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采取节约资源、保护生态环境、保障安全健康、智慧友好运行、</w:t>
            </w:r>
          </w:p>
          <w:p w14:paraId="71C607B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传承历史文化等其他创新，并有明显效益。</w:t>
            </w:r>
          </w:p>
        </w:tc>
        <w:tc>
          <w:tcPr>
            <w:tcW w:w="1118" w:type="dxa"/>
            <w:vAlign w:val="center"/>
          </w:tcPr>
          <w:p w14:paraId="3BD650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w:t>
            </w:r>
          </w:p>
        </w:tc>
        <w:tc>
          <w:tcPr>
            <w:tcW w:w="2050" w:type="dxa"/>
            <w:gridSpan w:val="2"/>
            <w:vAlign w:val="center"/>
          </w:tcPr>
          <w:p w14:paraId="070BF6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7CDF90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B89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953B24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049EAE7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350971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8C8DCC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2D34E4E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6329F3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7941F5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22</w:t>
            </w:r>
          </w:p>
        </w:tc>
        <w:tc>
          <w:tcPr>
            <w:tcW w:w="1440" w:type="dxa"/>
            <w:vAlign w:val="center"/>
          </w:tcPr>
          <w:p w14:paraId="3A2267C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bl>
    <w:p w14:paraId="04D827F2">
      <w:pPr>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br w:type="page"/>
      </w:r>
    </w:p>
    <w:p w14:paraId="0D64E003">
      <w:pPr>
        <w:pStyle w:val="38"/>
        <w:adjustRightInd w:val="0"/>
        <w:snapToGrid w:val="0"/>
        <w:spacing w:line="360" w:lineRule="auto"/>
        <w:ind w:firstLine="640" w:firstLineChars="200"/>
        <w:outlineLvl w:val="2"/>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（二）三星级</w:t>
      </w:r>
    </w:p>
    <w:p w14:paraId="454A7948">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申报三星级绿色建筑的楼栋范围：9-1~3#、10-1~2、6~7#超高层住宅。</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159"/>
        <w:gridCol w:w="1173"/>
        <w:gridCol w:w="1145"/>
        <w:gridCol w:w="4291"/>
        <w:gridCol w:w="1118"/>
        <w:gridCol w:w="905"/>
        <w:gridCol w:w="1145"/>
        <w:gridCol w:w="1440"/>
      </w:tblGrid>
      <w:tr w14:paraId="13DC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9"/>
            <w:vAlign w:val="center"/>
          </w:tcPr>
          <w:p w14:paraId="6A4F09B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lang w:val="en-US" w:eastAsia="zh-CN"/>
              </w:rPr>
              <w:t>9-1~3#、10-1~2、6~7#超高层住宅</w:t>
            </w:r>
          </w:p>
        </w:tc>
      </w:tr>
      <w:tr w14:paraId="488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BA182B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59" w:type="dxa"/>
            <w:vAlign w:val="center"/>
          </w:tcPr>
          <w:p w14:paraId="3EFD69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基本级要求</w:t>
            </w:r>
          </w:p>
        </w:tc>
        <w:tc>
          <w:tcPr>
            <w:tcW w:w="1173" w:type="dxa"/>
            <w:vAlign w:val="center"/>
          </w:tcPr>
          <w:p w14:paraId="3DB130B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一星级要求</w:t>
            </w:r>
          </w:p>
        </w:tc>
        <w:tc>
          <w:tcPr>
            <w:tcW w:w="1145" w:type="dxa"/>
            <w:vAlign w:val="center"/>
          </w:tcPr>
          <w:p w14:paraId="6B8ACF5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二星级要求</w:t>
            </w:r>
          </w:p>
        </w:tc>
        <w:tc>
          <w:tcPr>
            <w:tcW w:w="4291" w:type="dxa"/>
            <w:vAlign w:val="center"/>
          </w:tcPr>
          <w:p w14:paraId="07180E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三星级要求</w:t>
            </w:r>
          </w:p>
        </w:tc>
        <w:tc>
          <w:tcPr>
            <w:tcW w:w="4608" w:type="dxa"/>
            <w:gridSpan w:val="4"/>
            <w:vAlign w:val="center"/>
          </w:tcPr>
          <w:p w14:paraId="371B93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评分项和加分项</w:t>
            </w:r>
          </w:p>
        </w:tc>
      </w:tr>
      <w:tr w14:paraId="2B3D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532338D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总得分</w:t>
            </w:r>
          </w:p>
        </w:tc>
        <w:tc>
          <w:tcPr>
            <w:tcW w:w="1159" w:type="dxa"/>
            <w:vAlign w:val="center"/>
          </w:tcPr>
          <w:p w14:paraId="7330746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w:t>
            </w:r>
          </w:p>
        </w:tc>
        <w:tc>
          <w:tcPr>
            <w:tcW w:w="1173" w:type="dxa"/>
            <w:vAlign w:val="center"/>
          </w:tcPr>
          <w:p w14:paraId="56150E1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≥60</w:t>
            </w:r>
          </w:p>
        </w:tc>
        <w:tc>
          <w:tcPr>
            <w:tcW w:w="1145" w:type="dxa"/>
            <w:vAlign w:val="center"/>
          </w:tcPr>
          <w:p w14:paraId="434CCA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4291" w:type="dxa"/>
            <w:vAlign w:val="center"/>
          </w:tcPr>
          <w:p w14:paraId="5ADA45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≥85</w:t>
            </w:r>
          </w:p>
        </w:tc>
        <w:tc>
          <w:tcPr>
            <w:tcW w:w="1118" w:type="dxa"/>
            <w:vAlign w:val="center"/>
          </w:tcPr>
          <w:p w14:paraId="599149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总分</w:t>
            </w:r>
          </w:p>
        </w:tc>
        <w:tc>
          <w:tcPr>
            <w:tcW w:w="905" w:type="dxa"/>
            <w:vAlign w:val="center"/>
          </w:tcPr>
          <w:p w14:paraId="5F22AF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得分</w:t>
            </w:r>
          </w:p>
        </w:tc>
        <w:tc>
          <w:tcPr>
            <w:tcW w:w="1145" w:type="dxa"/>
            <w:vAlign w:val="center"/>
          </w:tcPr>
          <w:p w14:paraId="711C525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得分率</w:t>
            </w:r>
          </w:p>
        </w:tc>
        <w:tc>
          <w:tcPr>
            <w:tcW w:w="1440" w:type="dxa"/>
            <w:vAlign w:val="center"/>
          </w:tcPr>
          <w:p w14:paraId="1AEEB7A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总得分</w:t>
            </w:r>
          </w:p>
        </w:tc>
      </w:tr>
      <w:tr w14:paraId="2238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5D9FB0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安全耐久</w:t>
            </w:r>
          </w:p>
        </w:tc>
        <w:tc>
          <w:tcPr>
            <w:tcW w:w="1159" w:type="dxa"/>
            <w:vMerge w:val="restart"/>
            <w:vAlign w:val="center"/>
          </w:tcPr>
          <w:p w14:paraId="5BAA42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6609" w:type="dxa"/>
            <w:gridSpan w:val="3"/>
            <w:vAlign w:val="center"/>
          </w:tcPr>
          <w:p w14:paraId="61169CE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1C23593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563DD18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w:t>
            </w:r>
          </w:p>
        </w:tc>
        <w:tc>
          <w:tcPr>
            <w:tcW w:w="1145" w:type="dxa"/>
            <w:vAlign w:val="center"/>
          </w:tcPr>
          <w:p w14:paraId="4B9A33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w:t>
            </w:r>
          </w:p>
        </w:tc>
        <w:tc>
          <w:tcPr>
            <w:tcW w:w="1440" w:type="dxa"/>
            <w:vMerge w:val="restart"/>
            <w:vAlign w:val="center"/>
          </w:tcPr>
          <w:p w14:paraId="6FF392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85.8</w:t>
            </w:r>
          </w:p>
        </w:tc>
      </w:tr>
      <w:tr w14:paraId="3AB8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5F8DB6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健康舒适</w:t>
            </w:r>
          </w:p>
        </w:tc>
        <w:tc>
          <w:tcPr>
            <w:tcW w:w="1159" w:type="dxa"/>
            <w:vMerge w:val="continue"/>
            <w:vAlign w:val="center"/>
          </w:tcPr>
          <w:p w14:paraId="23AC6F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15E35A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0FA5B64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6194F4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79</w:t>
            </w:r>
          </w:p>
        </w:tc>
        <w:tc>
          <w:tcPr>
            <w:tcW w:w="1145" w:type="dxa"/>
            <w:vAlign w:val="center"/>
          </w:tcPr>
          <w:p w14:paraId="10A216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79%</w:t>
            </w:r>
          </w:p>
        </w:tc>
        <w:tc>
          <w:tcPr>
            <w:tcW w:w="1440" w:type="dxa"/>
            <w:vMerge w:val="continue"/>
            <w:vAlign w:val="center"/>
          </w:tcPr>
          <w:p w14:paraId="010B52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C14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3A9BAAA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生活便利</w:t>
            </w:r>
          </w:p>
        </w:tc>
        <w:tc>
          <w:tcPr>
            <w:tcW w:w="1159" w:type="dxa"/>
            <w:vMerge w:val="continue"/>
            <w:vAlign w:val="center"/>
          </w:tcPr>
          <w:p w14:paraId="3BEEE7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16044F0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01FBD1F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905" w:type="dxa"/>
            <w:vAlign w:val="center"/>
          </w:tcPr>
          <w:p w14:paraId="217B3B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49</w:t>
            </w:r>
          </w:p>
        </w:tc>
        <w:tc>
          <w:tcPr>
            <w:tcW w:w="1145" w:type="dxa"/>
            <w:vAlign w:val="center"/>
          </w:tcPr>
          <w:p w14:paraId="7AC3449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1440" w:type="dxa"/>
            <w:vMerge w:val="continue"/>
            <w:vAlign w:val="center"/>
          </w:tcPr>
          <w:p w14:paraId="66923E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0B28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7712CD3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资源节约</w:t>
            </w:r>
          </w:p>
        </w:tc>
        <w:tc>
          <w:tcPr>
            <w:tcW w:w="1159" w:type="dxa"/>
            <w:vMerge w:val="continue"/>
            <w:vAlign w:val="center"/>
          </w:tcPr>
          <w:p w14:paraId="6B66526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5FEC03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437A42F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200</w:t>
            </w:r>
          </w:p>
        </w:tc>
        <w:tc>
          <w:tcPr>
            <w:tcW w:w="905" w:type="dxa"/>
            <w:vAlign w:val="center"/>
          </w:tcPr>
          <w:p w14:paraId="36E4E84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146</w:t>
            </w:r>
          </w:p>
        </w:tc>
        <w:tc>
          <w:tcPr>
            <w:tcW w:w="1145" w:type="dxa"/>
            <w:vAlign w:val="center"/>
          </w:tcPr>
          <w:p w14:paraId="0A7F21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73%</w:t>
            </w:r>
          </w:p>
        </w:tc>
        <w:tc>
          <w:tcPr>
            <w:tcW w:w="1440" w:type="dxa"/>
            <w:vMerge w:val="continue"/>
            <w:vAlign w:val="center"/>
          </w:tcPr>
          <w:p w14:paraId="69506E3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BFD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4EB06AF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环境宜居</w:t>
            </w:r>
          </w:p>
        </w:tc>
        <w:tc>
          <w:tcPr>
            <w:tcW w:w="1159" w:type="dxa"/>
            <w:vMerge w:val="continue"/>
            <w:vAlign w:val="center"/>
          </w:tcPr>
          <w:p w14:paraId="392C2B6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565A85B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1118" w:type="dxa"/>
            <w:vAlign w:val="center"/>
          </w:tcPr>
          <w:p w14:paraId="234529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3527A0D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80</w:t>
            </w:r>
          </w:p>
        </w:tc>
        <w:tc>
          <w:tcPr>
            <w:tcW w:w="1145" w:type="dxa"/>
            <w:vAlign w:val="center"/>
          </w:tcPr>
          <w:p w14:paraId="415925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80%</w:t>
            </w:r>
          </w:p>
        </w:tc>
        <w:tc>
          <w:tcPr>
            <w:tcW w:w="1440" w:type="dxa"/>
            <w:vMerge w:val="continue"/>
            <w:vAlign w:val="center"/>
          </w:tcPr>
          <w:p w14:paraId="2397C26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495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454BF7E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提高创新</w:t>
            </w:r>
          </w:p>
        </w:tc>
        <w:tc>
          <w:tcPr>
            <w:tcW w:w="1159" w:type="dxa"/>
            <w:vMerge w:val="continue"/>
            <w:vAlign w:val="center"/>
          </w:tcPr>
          <w:p w14:paraId="6BE30A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6609" w:type="dxa"/>
            <w:gridSpan w:val="3"/>
            <w:vAlign w:val="center"/>
          </w:tcPr>
          <w:p w14:paraId="31174E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118" w:type="dxa"/>
            <w:vAlign w:val="center"/>
          </w:tcPr>
          <w:p w14:paraId="6ACD70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905" w:type="dxa"/>
            <w:vAlign w:val="center"/>
          </w:tcPr>
          <w:p w14:paraId="3A737F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w:t>
            </w:r>
          </w:p>
        </w:tc>
        <w:tc>
          <w:tcPr>
            <w:tcW w:w="1145" w:type="dxa"/>
            <w:vAlign w:val="center"/>
          </w:tcPr>
          <w:p w14:paraId="19DB966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w:t>
            </w:r>
          </w:p>
        </w:tc>
        <w:tc>
          <w:tcPr>
            <w:tcW w:w="1440" w:type="dxa"/>
            <w:vMerge w:val="continue"/>
            <w:vAlign w:val="center"/>
          </w:tcPr>
          <w:p w14:paraId="58FAAC4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768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8" w:type="dxa"/>
            <w:vAlign w:val="center"/>
          </w:tcPr>
          <w:p w14:paraId="5B7DC3E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章节</w:t>
            </w:r>
          </w:p>
        </w:tc>
        <w:tc>
          <w:tcPr>
            <w:tcW w:w="2332" w:type="dxa"/>
            <w:gridSpan w:val="2"/>
            <w:vAlign w:val="center"/>
          </w:tcPr>
          <w:p w14:paraId="5747E07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分类</w:t>
            </w:r>
          </w:p>
        </w:tc>
        <w:tc>
          <w:tcPr>
            <w:tcW w:w="1145" w:type="dxa"/>
            <w:vAlign w:val="center"/>
          </w:tcPr>
          <w:p w14:paraId="756DF8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编号</w:t>
            </w:r>
          </w:p>
        </w:tc>
        <w:tc>
          <w:tcPr>
            <w:tcW w:w="4291" w:type="dxa"/>
            <w:vAlign w:val="center"/>
          </w:tcPr>
          <w:p w14:paraId="68FEF07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条文内容</w:t>
            </w:r>
          </w:p>
        </w:tc>
        <w:tc>
          <w:tcPr>
            <w:tcW w:w="1118" w:type="dxa"/>
            <w:vAlign w:val="center"/>
          </w:tcPr>
          <w:p w14:paraId="333C902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总分值</w:t>
            </w:r>
          </w:p>
        </w:tc>
        <w:tc>
          <w:tcPr>
            <w:tcW w:w="2050" w:type="dxa"/>
            <w:gridSpan w:val="2"/>
            <w:vAlign w:val="center"/>
          </w:tcPr>
          <w:p w14:paraId="70A041B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预评估得分</w:t>
            </w:r>
          </w:p>
        </w:tc>
        <w:tc>
          <w:tcPr>
            <w:tcW w:w="1440" w:type="dxa"/>
            <w:vAlign w:val="center"/>
          </w:tcPr>
          <w:p w14:paraId="326F64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涉及专业</w:t>
            </w:r>
          </w:p>
        </w:tc>
      </w:tr>
      <w:tr w14:paraId="4DB9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57697C9B">
            <w:pPr>
              <w:pStyle w:val="38"/>
              <w:widowControl w:val="0"/>
              <w:adjustRightInd w:val="0"/>
              <w:snapToGrid w:val="0"/>
              <w:spacing w:line="240" w:lineRule="auto"/>
              <w:ind w:firstLine="0" w:firstLineChars="0"/>
              <w:jc w:val="center"/>
              <w:rPr>
                <w:rFonts w:hint="default"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4 安全耐久</w:t>
            </w:r>
          </w:p>
        </w:tc>
        <w:tc>
          <w:tcPr>
            <w:tcW w:w="1159" w:type="dxa"/>
            <w:vMerge w:val="restart"/>
            <w:vAlign w:val="center"/>
          </w:tcPr>
          <w:p w14:paraId="4B0E6D73">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6F57754F">
            <w:pPr>
              <w:pStyle w:val="38"/>
              <w:widowControl w:val="0"/>
              <w:adjustRightInd w:val="0"/>
              <w:snapToGrid w:val="0"/>
              <w:spacing w:line="240" w:lineRule="auto"/>
              <w:ind w:firstLine="0" w:firstLineChars="0"/>
              <w:jc w:val="center"/>
              <w:rPr>
                <w:rFonts w:hint="default" w:ascii="仿宋_GB2312" w:hAnsi="仿宋_GB2312" w:eastAsia="仿宋_GB2312" w:cs="仿宋_GB2312"/>
                <w:color w:val="auto"/>
                <w:kern w:val="2"/>
                <w:sz w:val="24"/>
                <w:szCs w:val="24"/>
                <w:highlight w:val="none"/>
                <w:vertAlign w:val="baseline"/>
                <w:lang w:val="en-US" w:eastAsia="zh-CN" w:bidi="ar-SA"/>
              </w:rPr>
            </w:pPr>
          </w:p>
        </w:tc>
        <w:tc>
          <w:tcPr>
            <w:tcW w:w="1145" w:type="dxa"/>
            <w:vAlign w:val="center"/>
          </w:tcPr>
          <w:p w14:paraId="5E9A3AEF">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4.1.1</w:t>
            </w:r>
          </w:p>
        </w:tc>
        <w:tc>
          <w:tcPr>
            <w:tcW w:w="4291" w:type="dxa"/>
            <w:vAlign w:val="center"/>
          </w:tcPr>
          <w:p w14:paraId="58EC01BB">
            <w:pPr>
              <w:pStyle w:val="38"/>
              <w:widowControl w:val="0"/>
              <w:adjustRightInd w:val="0"/>
              <w:snapToGrid w:val="0"/>
              <w:spacing w:line="240" w:lineRule="auto"/>
              <w:ind w:firstLine="0" w:firstLineChars="0"/>
              <w:jc w:val="left"/>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场地应无洪涝、滑坡、泥石流、地陷、地裂、崩塌等自然灾害的威胁，无危险化学品、易燃易爆危险源的威胁，无电磁辐射、含氡土壤等危害。</w:t>
            </w:r>
          </w:p>
        </w:tc>
        <w:tc>
          <w:tcPr>
            <w:tcW w:w="1118" w:type="dxa"/>
            <w:vAlign w:val="center"/>
          </w:tcPr>
          <w:p w14:paraId="76C73C74">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1EC2014">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B0AAE27">
            <w:pPr>
              <w:pStyle w:val="38"/>
              <w:widowControl w:val="0"/>
              <w:adjustRightInd w:val="0"/>
              <w:snapToGrid w:val="0"/>
              <w:spacing w:line="240" w:lineRule="auto"/>
              <w:ind w:firstLine="0" w:firstLine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0465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E11A1D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0EB25A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A2190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6EB08D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4.1.2</w:t>
            </w:r>
          </w:p>
        </w:tc>
        <w:tc>
          <w:tcPr>
            <w:tcW w:w="4291" w:type="dxa"/>
            <w:vAlign w:val="center"/>
          </w:tcPr>
          <w:p w14:paraId="47EE33B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建筑结构应满足承载力和建筑使用功能要求。建筑外墙、屋面、门窗、幕墙及外保温等围护结构应满足安全、耐久和防护的要求。</w:t>
            </w:r>
          </w:p>
        </w:tc>
        <w:tc>
          <w:tcPr>
            <w:tcW w:w="1118" w:type="dxa"/>
            <w:vAlign w:val="center"/>
          </w:tcPr>
          <w:p w14:paraId="72695F2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847649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3F2C99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329E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48C157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DE75A5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C484F4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EBC34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4.1.3</w:t>
            </w:r>
          </w:p>
        </w:tc>
        <w:tc>
          <w:tcPr>
            <w:tcW w:w="4291" w:type="dxa"/>
            <w:vAlign w:val="center"/>
          </w:tcPr>
          <w:p w14:paraId="5ADB1F8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外遮阳、太阳能设施、空调室外机位、外墙花池等外部设施应与建筑主体结构统一设计、施工，并应具备安装、检修与维护条件。</w:t>
            </w:r>
          </w:p>
        </w:tc>
        <w:tc>
          <w:tcPr>
            <w:tcW w:w="1118" w:type="dxa"/>
            <w:vAlign w:val="center"/>
          </w:tcPr>
          <w:p w14:paraId="2A8E32D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0159AE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202629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3584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26AC54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242A85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BBBF0E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29A27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4.1.4</w:t>
            </w:r>
          </w:p>
        </w:tc>
        <w:tc>
          <w:tcPr>
            <w:tcW w:w="4291" w:type="dxa"/>
            <w:vAlign w:val="center"/>
          </w:tcPr>
          <w:p w14:paraId="028E85B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建筑内部的非结构构件、设备及附属设施等应连接牢固并能适应主体结构变形。</w:t>
            </w:r>
          </w:p>
        </w:tc>
        <w:tc>
          <w:tcPr>
            <w:tcW w:w="1118" w:type="dxa"/>
            <w:vAlign w:val="center"/>
          </w:tcPr>
          <w:p w14:paraId="1FED3FB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C7E3DA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2ECDB8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4B9D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5D0788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959940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09BECA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80B02C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4.1.5</w:t>
            </w:r>
          </w:p>
        </w:tc>
        <w:tc>
          <w:tcPr>
            <w:tcW w:w="4291" w:type="dxa"/>
            <w:vAlign w:val="center"/>
          </w:tcPr>
          <w:p w14:paraId="46AFC97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外门窗的气密性能、水密性能和抗风压性能应根据使用要求确定，且外门窗洞口与外门窗本体的结合部位应严密。</w:t>
            </w:r>
          </w:p>
        </w:tc>
        <w:tc>
          <w:tcPr>
            <w:tcW w:w="1118" w:type="dxa"/>
            <w:vAlign w:val="center"/>
          </w:tcPr>
          <w:p w14:paraId="58F148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1ED57A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393530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1E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3DA86C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7DEB29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C7154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44FC53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4.1.6</w:t>
            </w:r>
          </w:p>
        </w:tc>
        <w:tc>
          <w:tcPr>
            <w:tcW w:w="4291" w:type="dxa"/>
            <w:vAlign w:val="center"/>
          </w:tcPr>
          <w:p w14:paraId="0B51362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卫生间、浴室的地面应设置防水层，墙面、顶棚应设置防潮层。</w:t>
            </w:r>
          </w:p>
        </w:tc>
        <w:tc>
          <w:tcPr>
            <w:tcW w:w="1118" w:type="dxa"/>
            <w:vAlign w:val="center"/>
          </w:tcPr>
          <w:p w14:paraId="4659EB6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744E2CF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4F3E86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A7B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284958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4F0AC7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79F679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A4603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4.1.7</w:t>
            </w:r>
          </w:p>
        </w:tc>
        <w:tc>
          <w:tcPr>
            <w:tcW w:w="4291" w:type="dxa"/>
            <w:vAlign w:val="center"/>
          </w:tcPr>
          <w:p w14:paraId="3DA3837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走廊、疏散通道等通行空间应满足紧急疏散、应急救护等要求，且应保持畅通。</w:t>
            </w:r>
          </w:p>
        </w:tc>
        <w:tc>
          <w:tcPr>
            <w:tcW w:w="1118" w:type="dxa"/>
            <w:vAlign w:val="center"/>
          </w:tcPr>
          <w:p w14:paraId="40CF05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4720E0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DF2A4C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4F5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44D06C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89F275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92231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EEA99A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4.1.8</w:t>
            </w:r>
          </w:p>
        </w:tc>
        <w:tc>
          <w:tcPr>
            <w:tcW w:w="4291" w:type="dxa"/>
            <w:vAlign w:val="center"/>
          </w:tcPr>
          <w:p w14:paraId="169992B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应具有安全防护的警示和引导标识系统。</w:t>
            </w:r>
          </w:p>
        </w:tc>
        <w:tc>
          <w:tcPr>
            <w:tcW w:w="1118" w:type="dxa"/>
            <w:vAlign w:val="center"/>
          </w:tcPr>
          <w:p w14:paraId="62AF73A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F382D2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394A09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7F46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C55542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783D6C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2216F00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安全</w:t>
            </w:r>
          </w:p>
        </w:tc>
        <w:tc>
          <w:tcPr>
            <w:tcW w:w="1145" w:type="dxa"/>
            <w:vAlign w:val="center"/>
          </w:tcPr>
          <w:p w14:paraId="3E6EB5A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4.2.1</w:t>
            </w:r>
          </w:p>
        </w:tc>
        <w:tc>
          <w:tcPr>
            <w:tcW w:w="4291" w:type="dxa"/>
            <w:vAlign w:val="center"/>
          </w:tcPr>
          <w:p w14:paraId="3EFA10B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采用基于性能的抗震设计并合理提高建筑的抗震性能。</w:t>
            </w:r>
          </w:p>
        </w:tc>
        <w:tc>
          <w:tcPr>
            <w:tcW w:w="1118" w:type="dxa"/>
            <w:vAlign w:val="center"/>
          </w:tcPr>
          <w:p w14:paraId="674376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02779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42B56A1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223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F3693F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8AF8DA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5C74C0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A26A0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4.2.2</w:t>
            </w:r>
          </w:p>
        </w:tc>
        <w:tc>
          <w:tcPr>
            <w:tcW w:w="4291" w:type="dxa"/>
            <w:vAlign w:val="center"/>
          </w:tcPr>
          <w:p w14:paraId="2EB2945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采取保障人员安全的防护措施。</w:t>
            </w:r>
          </w:p>
        </w:tc>
        <w:tc>
          <w:tcPr>
            <w:tcW w:w="1118" w:type="dxa"/>
            <w:vAlign w:val="center"/>
          </w:tcPr>
          <w:p w14:paraId="4EC5319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1DB8FC3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1440" w:type="dxa"/>
            <w:vAlign w:val="center"/>
          </w:tcPr>
          <w:p w14:paraId="656680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1F71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9DA459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11EFE0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BCEB5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6801BB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4.2.3</w:t>
            </w:r>
          </w:p>
        </w:tc>
        <w:tc>
          <w:tcPr>
            <w:tcW w:w="4291" w:type="dxa"/>
            <w:vAlign w:val="center"/>
          </w:tcPr>
          <w:p w14:paraId="06B2974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采用具有安全防护功能的产品或配件。</w:t>
            </w:r>
          </w:p>
        </w:tc>
        <w:tc>
          <w:tcPr>
            <w:tcW w:w="1118" w:type="dxa"/>
            <w:vAlign w:val="center"/>
          </w:tcPr>
          <w:p w14:paraId="3A5DC29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4CA17A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3FCA1E9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6D0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4CD11B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AE0C24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548F9D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D6A190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4.2.4</w:t>
            </w:r>
          </w:p>
        </w:tc>
        <w:tc>
          <w:tcPr>
            <w:tcW w:w="4291" w:type="dxa"/>
            <w:vAlign w:val="center"/>
          </w:tcPr>
          <w:p w14:paraId="1932998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室内外地面或路面设置防滑措施。</w:t>
            </w:r>
          </w:p>
        </w:tc>
        <w:tc>
          <w:tcPr>
            <w:tcW w:w="1118" w:type="dxa"/>
            <w:vAlign w:val="center"/>
          </w:tcPr>
          <w:p w14:paraId="1C58ED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5E4544E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395A6D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30F3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0D7C94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70B6F6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1BB790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3DFC2B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4.2.5</w:t>
            </w:r>
          </w:p>
        </w:tc>
        <w:tc>
          <w:tcPr>
            <w:tcW w:w="4291" w:type="dxa"/>
            <w:vAlign w:val="center"/>
          </w:tcPr>
          <w:p w14:paraId="540775D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采取人车分流措施，且步行和自行车交通系统有充足照明。</w:t>
            </w:r>
          </w:p>
        </w:tc>
        <w:tc>
          <w:tcPr>
            <w:tcW w:w="1118" w:type="dxa"/>
            <w:vAlign w:val="center"/>
          </w:tcPr>
          <w:p w14:paraId="259B4D0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7CF38E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2D9461E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7ABB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84755E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E856B2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389554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耐久</w:t>
            </w:r>
          </w:p>
        </w:tc>
        <w:tc>
          <w:tcPr>
            <w:tcW w:w="1145" w:type="dxa"/>
            <w:vAlign w:val="center"/>
          </w:tcPr>
          <w:p w14:paraId="2FD7001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4.2.6</w:t>
            </w:r>
          </w:p>
        </w:tc>
        <w:tc>
          <w:tcPr>
            <w:tcW w:w="4291" w:type="dxa"/>
            <w:vAlign w:val="center"/>
          </w:tcPr>
          <w:p w14:paraId="16AC728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采取通用开放、灵活可变的使用空间设计，或采取建筑使用功能可变措施；</w:t>
            </w:r>
          </w:p>
          <w:p w14:paraId="1F72390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建筑结构与建筑设备管线分离；</w:t>
            </w:r>
          </w:p>
          <w:p w14:paraId="5913A0B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采用与建筑功能和空间变化相适应的设备设施布置方式或控制方式。</w:t>
            </w:r>
          </w:p>
        </w:tc>
        <w:tc>
          <w:tcPr>
            <w:tcW w:w="1118" w:type="dxa"/>
            <w:vAlign w:val="center"/>
          </w:tcPr>
          <w:p w14:paraId="7E76A8F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18</w:t>
            </w:r>
          </w:p>
        </w:tc>
        <w:tc>
          <w:tcPr>
            <w:tcW w:w="2050" w:type="dxa"/>
            <w:gridSpan w:val="2"/>
            <w:vAlign w:val="center"/>
          </w:tcPr>
          <w:p w14:paraId="7532945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2919B30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689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98" w:type="dxa"/>
            <w:vMerge w:val="continue"/>
            <w:vAlign w:val="center"/>
          </w:tcPr>
          <w:p w14:paraId="33A2805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866D4F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1A431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EF3046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4.2.7</w:t>
            </w:r>
          </w:p>
        </w:tc>
        <w:tc>
          <w:tcPr>
            <w:tcW w:w="4291" w:type="dxa"/>
            <w:vAlign w:val="center"/>
          </w:tcPr>
          <w:p w14:paraId="4D7D996A">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采取提升建筑部品部件耐久性的措施。</w:t>
            </w:r>
          </w:p>
        </w:tc>
        <w:tc>
          <w:tcPr>
            <w:tcW w:w="1118" w:type="dxa"/>
            <w:vAlign w:val="center"/>
          </w:tcPr>
          <w:p w14:paraId="07CA004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4C9640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2BE731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给排水、电气</w:t>
            </w:r>
          </w:p>
        </w:tc>
      </w:tr>
      <w:tr w14:paraId="3AED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D8C548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C1DF25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7C0C1F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F34A4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4.2.8</w:t>
            </w:r>
          </w:p>
        </w:tc>
        <w:tc>
          <w:tcPr>
            <w:tcW w:w="4291" w:type="dxa"/>
            <w:vAlign w:val="center"/>
          </w:tcPr>
          <w:p w14:paraId="2DE746D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提高建筑结构材料的耐久性，评价总分值为10分，并按下列规则评分：</w:t>
            </w:r>
          </w:p>
          <w:p w14:paraId="183DDAA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按100年进行耐久性设计。</w:t>
            </w:r>
          </w:p>
          <w:p w14:paraId="5B06318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采用耐久性能好的建筑结构材料，满足下列条件之一：</w:t>
            </w:r>
          </w:p>
          <w:p w14:paraId="2552CD1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1）对于混凝土构件，提高钢筋保护层厚度或采用高耐久混凝土；</w:t>
            </w:r>
          </w:p>
          <w:p w14:paraId="1F34471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2）对于钢构件，采用耐候结构钢及耐候型防腐涂料；</w:t>
            </w:r>
          </w:p>
          <w:p w14:paraId="13ECED3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3）对于木构件，采用防腐木材、耐久木材或耐久木制品。</w:t>
            </w:r>
          </w:p>
        </w:tc>
        <w:tc>
          <w:tcPr>
            <w:tcW w:w="1118" w:type="dxa"/>
            <w:vAlign w:val="center"/>
          </w:tcPr>
          <w:p w14:paraId="5FE100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628BB59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6CFB3AD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75A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5F64FD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292B3D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4BD843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616AD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4.2.9</w:t>
            </w:r>
          </w:p>
        </w:tc>
        <w:tc>
          <w:tcPr>
            <w:tcW w:w="4291" w:type="dxa"/>
            <w:vAlign w:val="center"/>
          </w:tcPr>
          <w:p w14:paraId="2A879CB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采用耐久性好的外饰面材料；</w:t>
            </w:r>
          </w:p>
          <w:p w14:paraId="692948B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采用耐久性好的防水和密封材料；</w:t>
            </w:r>
          </w:p>
          <w:p w14:paraId="1043B2E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采用耐久性好、易维护的室内装饰装修材料。</w:t>
            </w:r>
          </w:p>
        </w:tc>
        <w:tc>
          <w:tcPr>
            <w:tcW w:w="1118" w:type="dxa"/>
            <w:vAlign w:val="center"/>
          </w:tcPr>
          <w:p w14:paraId="7078407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105184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1440" w:type="dxa"/>
            <w:vAlign w:val="center"/>
          </w:tcPr>
          <w:p w14:paraId="749E53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753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20D463A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3E7273B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7F0D4C8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754D05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610E537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4842C2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2846423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w:t>
            </w:r>
          </w:p>
        </w:tc>
        <w:tc>
          <w:tcPr>
            <w:tcW w:w="1440" w:type="dxa"/>
            <w:vAlign w:val="center"/>
          </w:tcPr>
          <w:p w14:paraId="5A6FB7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F46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7D9A8C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 健康舒适</w:t>
            </w:r>
          </w:p>
        </w:tc>
        <w:tc>
          <w:tcPr>
            <w:tcW w:w="1159" w:type="dxa"/>
            <w:vMerge w:val="restart"/>
            <w:vAlign w:val="center"/>
          </w:tcPr>
          <w:p w14:paraId="7C563D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7B405D3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7209C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5.1.1</w:t>
            </w:r>
          </w:p>
        </w:tc>
        <w:tc>
          <w:tcPr>
            <w:tcW w:w="4291" w:type="dxa"/>
            <w:vAlign w:val="center"/>
          </w:tcPr>
          <w:p w14:paraId="05A0185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室内空气中的氨、甲醛、苯、总挥发性有机物、氡等污染物浓度应符合现行国家标准《室内空气质量标准》GB/T 18883的有关规定。建筑室内和建筑主出入口处应禁止吸烟，并应在醒目位置设置禁烟标志。</w:t>
            </w:r>
          </w:p>
        </w:tc>
        <w:tc>
          <w:tcPr>
            <w:tcW w:w="1118" w:type="dxa"/>
            <w:vAlign w:val="center"/>
          </w:tcPr>
          <w:p w14:paraId="3882B5B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FCA90D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C8D71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145A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11BA6C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EF45A8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6051A2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FEA2D8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5.1.2</w:t>
            </w:r>
          </w:p>
        </w:tc>
        <w:tc>
          <w:tcPr>
            <w:tcW w:w="4291" w:type="dxa"/>
            <w:vAlign w:val="center"/>
          </w:tcPr>
          <w:p w14:paraId="6FB80DC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应采取措施避免厨房、餐厅、打印复印室、卫生间、地下车库等区域的空气和污染物串通到其他空间；应防止厨房、卫生间的排气倒灌。</w:t>
            </w:r>
          </w:p>
        </w:tc>
        <w:tc>
          <w:tcPr>
            <w:tcW w:w="1118" w:type="dxa"/>
            <w:vAlign w:val="center"/>
          </w:tcPr>
          <w:p w14:paraId="0C44AE0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794496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ABCC2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3BF2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EF3175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F3D1B4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C564A7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11FC78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5.1.3</w:t>
            </w:r>
          </w:p>
        </w:tc>
        <w:tc>
          <w:tcPr>
            <w:tcW w:w="4291" w:type="dxa"/>
            <w:vAlign w:val="center"/>
          </w:tcPr>
          <w:p w14:paraId="30BBB38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给排水系统的设置应符合下列规定：</w:t>
            </w:r>
          </w:p>
          <w:p w14:paraId="48D0DA5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生活饮用水水质应满足现行国家标准《生活饮用水卫生标准》GB5749的要求；</w:t>
            </w:r>
          </w:p>
          <w:p w14:paraId="790B153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应制定水池、水箱等储水设施定期清洗消毒计划并实施，且生活饮用水储水设施每半年清洗消毒应不少于1次；</w:t>
            </w:r>
          </w:p>
          <w:p w14:paraId="181CABD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应使用构造内自带水封的便器，且其水封深度应不小于50mm；</w:t>
            </w:r>
          </w:p>
          <w:p w14:paraId="5157626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 非传统水源管道和设备应设置明确、清晰的永久性标识。</w:t>
            </w:r>
          </w:p>
        </w:tc>
        <w:tc>
          <w:tcPr>
            <w:tcW w:w="1118" w:type="dxa"/>
            <w:vAlign w:val="center"/>
          </w:tcPr>
          <w:p w14:paraId="6305AED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84376D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F854C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609A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FBF216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44387A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466029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4DAD27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5.1.4</w:t>
            </w:r>
          </w:p>
        </w:tc>
        <w:tc>
          <w:tcPr>
            <w:tcW w:w="4291" w:type="dxa"/>
            <w:vAlign w:val="center"/>
          </w:tcPr>
          <w:p w14:paraId="74A8FEA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主要功能房间的室内噪声级和隔声性能应符合下列规定：</w:t>
            </w:r>
          </w:p>
          <w:p w14:paraId="410B7DA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室内噪声级应满足现行国家标准《民用建筑隔声设计规范》GB50118中的低限要求；</w:t>
            </w:r>
          </w:p>
          <w:p w14:paraId="22B2BFF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外墙、隔墙、楼板和门窗的隔声性能应满足现行国家标准《民用建筑隔声设计规范》GB50118中的低限要求。</w:t>
            </w:r>
          </w:p>
        </w:tc>
        <w:tc>
          <w:tcPr>
            <w:tcW w:w="1118" w:type="dxa"/>
            <w:vAlign w:val="center"/>
          </w:tcPr>
          <w:p w14:paraId="5CFB0D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59E1D2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FA8326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93C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AD3E08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17668A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75F5B6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47CADA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5.1.5</w:t>
            </w:r>
          </w:p>
        </w:tc>
        <w:tc>
          <w:tcPr>
            <w:tcW w:w="4291" w:type="dxa"/>
            <w:vAlign w:val="center"/>
          </w:tcPr>
          <w:p w14:paraId="1C1AAE9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建筑照明数量和质量，照明产品光生物安全性，LED照明产品频闪比。</w:t>
            </w:r>
          </w:p>
        </w:tc>
        <w:tc>
          <w:tcPr>
            <w:tcW w:w="1118" w:type="dxa"/>
            <w:vAlign w:val="center"/>
          </w:tcPr>
          <w:p w14:paraId="1739B1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493469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413A3A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7265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974A7E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E812DF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2F6F5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47853E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5.1.6</w:t>
            </w:r>
          </w:p>
        </w:tc>
        <w:tc>
          <w:tcPr>
            <w:tcW w:w="4291" w:type="dxa"/>
            <w:vAlign w:val="center"/>
          </w:tcPr>
          <w:p w14:paraId="60CD007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采取措施保障室内热环境。采用集中供暖空调系统的建筑，房间内的温度、湿度、新风量等设计参数应符合现行国家标准《民用建筑供暖通风与空气调节设计规范》GB50736的有关规定；采用非集中供暖空调系统的建筑，应具有保障室内热环境的措施或预留条件。</w:t>
            </w:r>
          </w:p>
        </w:tc>
        <w:tc>
          <w:tcPr>
            <w:tcW w:w="1118" w:type="dxa"/>
            <w:vAlign w:val="center"/>
          </w:tcPr>
          <w:p w14:paraId="38D7B32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EEDF28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80E3D6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7BF9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470754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1162C4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99F29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739A57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5.1.7</w:t>
            </w:r>
          </w:p>
        </w:tc>
        <w:tc>
          <w:tcPr>
            <w:tcW w:w="4291" w:type="dxa"/>
            <w:vAlign w:val="center"/>
          </w:tcPr>
          <w:p w14:paraId="73439C7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围护结构热工性能应符合下列规定：</w:t>
            </w:r>
          </w:p>
          <w:p w14:paraId="01D2C5A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在室内设计温、湿度条件下，建筑非透光围护结构内表面不得结露；</w:t>
            </w:r>
          </w:p>
          <w:p w14:paraId="76AACD5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供暖建筑的屋面、外墙内部不应产生冷凝；</w:t>
            </w:r>
          </w:p>
          <w:p w14:paraId="7B2B218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屋顶和外墙隔热性能应满足现行国家标准《民用建筑热工设计规范》GB50176的要求。</w:t>
            </w:r>
          </w:p>
        </w:tc>
        <w:tc>
          <w:tcPr>
            <w:tcW w:w="1118" w:type="dxa"/>
            <w:vAlign w:val="center"/>
          </w:tcPr>
          <w:p w14:paraId="627354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2D1302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231952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6EA1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E1E745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35AF37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D2B9E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6054DC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5.1.8</w:t>
            </w:r>
          </w:p>
        </w:tc>
        <w:tc>
          <w:tcPr>
            <w:tcW w:w="4291" w:type="dxa"/>
            <w:vAlign w:val="center"/>
          </w:tcPr>
          <w:p w14:paraId="60D2069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主要功能房间应具有现场独立控制的热环境调节装置。</w:t>
            </w:r>
          </w:p>
        </w:tc>
        <w:tc>
          <w:tcPr>
            <w:tcW w:w="1118" w:type="dxa"/>
            <w:vAlign w:val="center"/>
          </w:tcPr>
          <w:p w14:paraId="28C6560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3CE719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743D2D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3D26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5ED6D2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0B45C7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B14EB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7B2A05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5.1.9</w:t>
            </w:r>
          </w:p>
        </w:tc>
        <w:tc>
          <w:tcPr>
            <w:tcW w:w="4291" w:type="dxa"/>
            <w:vAlign w:val="center"/>
          </w:tcPr>
          <w:p w14:paraId="5CC095C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地下车库应设置与排风设备联动的一氧化碳浓度监测装置。</w:t>
            </w:r>
          </w:p>
        </w:tc>
        <w:tc>
          <w:tcPr>
            <w:tcW w:w="1118" w:type="dxa"/>
            <w:vAlign w:val="center"/>
          </w:tcPr>
          <w:p w14:paraId="1089A2D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CBB297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C9FC99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50EF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DDB127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066A48D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6721D6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室内空气品质</w:t>
            </w:r>
          </w:p>
        </w:tc>
        <w:tc>
          <w:tcPr>
            <w:tcW w:w="1145" w:type="dxa"/>
            <w:vAlign w:val="center"/>
          </w:tcPr>
          <w:p w14:paraId="1C6466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5.2.1</w:t>
            </w:r>
          </w:p>
        </w:tc>
        <w:tc>
          <w:tcPr>
            <w:tcW w:w="4291" w:type="dxa"/>
            <w:vAlign w:val="center"/>
          </w:tcPr>
          <w:p w14:paraId="4F6EAEF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控制室内主要空气污染物的浓度。</w:t>
            </w:r>
          </w:p>
        </w:tc>
        <w:tc>
          <w:tcPr>
            <w:tcW w:w="1118" w:type="dxa"/>
            <w:vAlign w:val="center"/>
          </w:tcPr>
          <w:p w14:paraId="0EE907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55A392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7DB6383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7F0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8CBD59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074AD2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93250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ECEA9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5.2.2</w:t>
            </w:r>
          </w:p>
        </w:tc>
        <w:tc>
          <w:tcPr>
            <w:tcW w:w="4291" w:type="dxa"/>
            <w:vAlign w:val="center"/>
          </w:tcPr>
          <w:p w14:paraId="7B96D81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选用的装饰装修材料满足国家现行绿色产品评价标准中对有害物质限量的要求。</w:t>
            </w:r>
          </w:p>
        </w:tc>
        <w:tc>
          <w:tcPr>
            <w:tcW w:w="1118" w:type="dxa"/>
            <w:vAlign w:val="center"/>
          </w:tcPr>
          <w:p w14:paraId="0037924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18E7FB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31588B0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AD5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22B2B7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73FAE5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51E30B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水质</w:t>
            </w:r>
          </w:p>
        </w:tc>
        <w:tc>
          <w:tcPr>
            <w:tcW w:w="1145" w:type="dxa"/>
            <w:vAlign w:val="center"/>
          </w:tcPr>
          <w:p w14:paraId="44CAD9E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5.2.3</w:t>
            </w:r>
          </w:p>
        </w:tc>
        <w:tc>
          <w:tcPr>
            <w:tcW w:w="4291" w:type="dxa"/>
            <w:vAlign w:val="center"/>
          </w:tcPr>
          <w:p w14:paraId="0F1BAEB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直饮水、集中生活热水、游泳池水、采暖空调系统用水、景观水体等的水质满足国家现行有关标准的要求。</w:t>
            </w:r>
          </w:p>
        </w:tc>
        <w:tc>
          <w:tcPr>
            <w:tcW w:w="1118" w:type="dxa"/>
            <w:vAlign w:val="center"/>
          </w:tcPr>
          <w:p w14:paraId="20CE09C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445DC0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10BCB1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56CE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F347D2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3B9B66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F298F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19CFD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5.2.4</w:t>
            </w:r>
          </w:p>
        </w:tc>
        <w:tc>
          <w:tcPr>
            <w:tcW w:w="4291" w:type="dxa"/>
            <w:vAlign w:val="center"/>
          </w:tcPr>
          <w:p w14:paraId="696B655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生活饮用水水池、水箱等储水设施采取措施满足卫生要求。</w:t>
            </w:r>
          </w:p>
        </w:tc>
        <w:tc>
          <w:tcPr>
            <w:tcW w:w="1118" w:type="dxa"/>
            <w:vAlign w:val="center"/>
          </w:tcPr>
          <w:p w14:paraId="236CE38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789266F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1440" w:type="dxa"/>
            <w:vAlign w:val="center"/>
          </w:tcPr>
          <w:p w14:paraId="38DFD3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6E12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AD33C6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E54A26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61FECE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801EB4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5.2.5</w:t>
            </w:r>
          </w:p>
        </w:tc>
        <w:tc>
          <w:tcPr>
            <w:tcW w:w="4291" w:type="dxa"/>
            <w:vAlign w:val="center"/>
          </w:tcPr>
          <w:p w14:paraId="2443217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所有给水排水管道、设备、设施设置明确、清晰的永久性标识。</w:t>
            </w:r>
          </w:p>
        </w:tc>
        <w:tc>
          <w:tcPr>
            <w:tcW w:w="1118" w:type="dxa"/>
            <w:vAlign w:val="center"/>
          </w:tcPr>
          <w:p w14:paraId="0C64348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5EDFC1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6ECF71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753F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8D9DF9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781B33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3B59FE1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声环境与光环境</w:t>
            </w:r>
          </w:p>
        </w:tc>
        <w:tc>
          <w:tcPr>
            <w:tcW w:w="1145" w:type="dxa"/>
            <w:vAlign w:val="center"/>
          </w:tcPr>
          <w:p w14:paraId="6E17BD7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5.2.6</w:t>
            </w:r>
          </w:p>
        </w:tc>
        <w:tc>
          <w:tcPr>
            <w:tcW w:w="4291" w:type="dxa"/>
            <w:vAlign w:val="center"/>
          </w:tcPr>
          <w:p w14:paraId="091859C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采取措施优化主要功能房间的室内声环境。</w:t>
            </w:r>
          </w:p>
        </w:tc>
        <w:tc>
          <w:tcPr>
            <w:tcW w:w="1118" w:type="dxa"/>
            <w:vAlign w:val="center"/>
          </w:tcPr>
          <w:p w14:paraId="253AA8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538D992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w:t>
            </w:r>
          </w:p>
        </w:tc>
        <w:tc>
          <w:tcPr>
            <w:tcW w:w="1440" w:type="dxa"/>
            <w:vAlign w:val="center"/>
          </w:tcPr>
          <w:p w14:paraId="5315016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5609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F2EAC7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F081D9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1BD03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86C935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5.2.7</w:t>
            </w:r>
          </w:p>
        </w:tc>
        <w:tc>
          <w:tcPr>
            <w:tcW w:w="4291" w:type="dxa"/>
            <w:vAlign w:val="center"/>
          </w:tcPr>
          <w:p w14:paraId="698A699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主要功能房间的隔声性能良好。</w:t>
            </w:r>
          </w:p>
        </w:tc>
        <w:tc>
          <w:tcPr>
            <w:tcW w:w="1118" w:type="dxa"/>
            <w:vAlign w:val="center"/>
          </w:tcPr>
          <w:p w14:paraId="3A101A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5DF296C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74D47A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DF7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65DDD2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B3137B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69D0A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6F7BB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5.2.8</w:t>
            </w:r>
          </w:p>
        </w:tc>
        <w:tc>
          <w:tcPr>
            <w:tcW w:w="4291" w:type="dxa"/>
            <w:vAlign w:val="center"/>
          </w:tcPr>
          <w:p w14:paraId="09ADBE75">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充分利用天然光。</w:t>
            </w:r>
          </w:p>
        </w:tc>
        <w:tc>
          <w:tcPr>
            <w:tcW w:w="1118" w:type="dxa"/>
            <w:vAlign w:val="center"/>
          </w:tcPr>
          <w:p w14:paraId="770220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329D34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21FD84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0A0D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76505D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8359DC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31287B0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室内热湿环境</w:t>
            </w:r>
          </w:p>
        </w:tc>
        <w:tc>
          <w:tcPr>
            <w:tcW w:w="1145" w:type="dxa"/>
            <w:vAlign w:val="center"/>
          </w:tcPr>
          <w:p w14:paraId="6CA4F51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5.2.9</w:t>
            </w:r>
          </w:p>
        </w:tc>
        <w:tc>
          <w:tcPr>
            <w:tcW w:w="4291" w:type="dxa"/>
            <w:vAlign w:val="center"/>
          </w:tcPr>
          <w:p w14:paraId="71E691C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具有良好的室内热湿环境。</w:t>
            </w:r>
          </w:p>
        </w:tc>
        <w:tc>
          <w:tcPr>
            <w:tcW w:w="1118" w:type="dxa"/>
            <w:vAlign w:val="center"/>
          </w:tcPr>
          <w:p w14:paraId="03642DD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8B0E69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4B071E1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5D6C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699BD9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6E051D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80F287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E8004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5.2.10</w:t>
            </w:r>
          </w:p>
        </w:tc>
        <w:tc>
          <w:tcPr>
            <w:tcW w:w="4291" w:type="dxa"/>
            <w:vAlign w:val="center"/>
          </w:tcPr>
          <w:p w14:paraId="14B7B6D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优化建筑空间和平面布局，改善自然通风效果。</w:t>
            </w:r>
          </w:p>
        </w:tc>
        <w:tc>
          <w:tcPr>
            <w:tcW w:w="1118" w:type="dxa"/>
            <w:vAlign w:val="center"/>
          </w:tcPr>
          <w:p w14:paraId="5142B5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255D24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72A1EE6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565FD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83E30C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49BF93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7A406B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0CB079B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5.2.11</w:t>
            </w:r>
          </w:p>
        </w:tc>
        <w:tc>
          <w:tcPr>
            <w:tcW w:w="4291" w:type="dxa"/>
            <w:vAlign w:val="center"/>
          </w:tcPr>
          <w:p w14:paraId="79D3308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设置可调节遮阳设施，改善室内热舒适。</w:t>
            </w:r>
          </w:p>
        </w:tc>
        <w:tc>
          <w:tcPr>
            <w:tcW w:w="1118" w:type="dxa"/>
            <w:vAlign w:val="center"/>
          </w:tcPr>
          <w:p w14:paraId="2956224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3134EBF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714974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B18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74240A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738CFB7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170A3AC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D55B99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3317A7E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1AFD868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25D7B43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79</w:t>
            </w:r>
          </w:p>
        </w:tc>
        <w:tc>
          <w:tcPr>
            <w:tcW w:w="1440" w:type="dxa"/>
            <w:vAlign w:val="center"/>
          </w:tcPr>
          <w:p w14:paraId="2511631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0A49B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61D4501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 生活便利</w:t>
            </w:r>
          </w:p>
        </w:tc>
        <w:tc>
          <w:tcPr>
            <w:tcW w:w="1159" w:type="dxa"/>
            <w:vMerge w:val="restart"/>
            <w:vAlign w:val="center"/>
          </w:tcPr>
          <w:p w14:paraId="200EE2D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46C3E8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A71810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6.1.1</w:t>
            </w:r>
          </w:p>
        </w:tc>
        <w:tc>
          <w:tcPr>
            <w:tcW w:w="4291" w:type="dxa"/>
            <w:vAlign w:val="center"/>
          </w:tcPr>
          <w:p w14:paraId="3D8F42D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建筑、室外场地、公共绿地、城市道路相互之间应设置连贯的无障碍步行系统。</w:t>
            </w:r>
          </w:p>
        </w:tc>
        <w:tc>
          <w:tcPr>
            <w:tcW w:w="1118" w:type="dxa"/>
            <w:vAlign w:val="center"/>
          </w:tcPr>
          <w:p w14:paraId="47536A8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276F3E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68655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1A86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9F81BB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B12C85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8D7A3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62DC1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6.1.2</w:t>
            </w:r>
          </w:p>
        </w:tc>
        <w:tc>
          <w:tcPr>
            <w:tcW w:w="4291" w:type="dxa"/>
            <w:vAlign w:val="center"/>
          </w:tcPr>
          <w:p w14:paraId="7A9901C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场地人行出入口500m内应设有公共交通站点或配备联系公共交通站点的专用接驳车。</w:t>
            </w:r>
          </w:p>
        </w:tc>
        <w:tc>
          <w:tcPr>
            <w:tcW w:w="1118" w:type="dxa"/>
            <w:vAlign w:val="center"/>
          </w:tcPr>
          <w:p w14:paraId="62FEEA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DEB9D6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6CD3E8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03C7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AA4601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AB0982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C45568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5FE621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6.1.3</w:t>
            </w:r>
          </w:p>
        </w:tc>
        <w:tc>
          <w:tcPr>
            <w:tcW w:w="4291" w:type="dxa"/>
            <w:vAlign w:val="center"/>
          </w:tcPr>
          <w:p w14:paraId="086B655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停车场应具有电动汽车充电设施或具备充电设施的安装条件，并应合理设置电动汽车和无障碍汽车停车位。</w:t>
            </w:r>
          </w:p>
        </w:tc>
        <w:tc>
          <w:tcPr>
            <w:tcW w:w="1118" w:type="dxa"/>
            <w:vAlign w:val="center"/>
          </w:tcPr>
          <w:p w14:paraId="34A4B1E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74B022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4CD5F0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建筑、电气</w:t>
            </w:r>
          </w:p>
        </w:tc>
      </w:tr>
      <w:tr w14:paraId="5A92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69E8BD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41E33B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7E50AC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519ECE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6.1.4</w:t>
            </w:r>
          </w:p>
        </w:tc>
        <w:tc>
          <w:tcPr>
            <w:tcW w:w="4291" w:type="dxa"/>
            <w:vAlign w:val="center"/>
          </w:tcPr>
          <w:p w14:paraId="3AE265D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自行车停车场所应位置合理、方便出入。</w:t>
            </w:r>
          </w:p>
        </w:tc>
        <w:tc>
          <w:tcPr>
            <w:tcW w:w="1118" w:type="dxa"/>
            <w:vAlign w:val="center"/>
          </w:tcPr>
          <w:p w14:paraId="4CBA1D2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87B448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FF454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6CC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03966E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A1DE60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08FFDA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3D1ADD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6.1.5</w:t>
            </w:r>
          </w:p>
        </w:tc>
        <w:tc>
          <w:tcPr>
            <w:tcW w:w="4291" w:type="dxa"/>
            <w:vAlign w:val="center"/>
          </w:tcPr>
          <w:p w14:paraId="4734045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建筑设备管理系统应具有自动监控管理功能。</w:t>
            </w:r>
          </w:p>
        </w:tc>
        <w:tc>
          <w:tcPr>
            <w:tcW w:w="1118" w:type="dxa"/>
            <w:vAlign w:val="center"/>
          </w:tcPr>
          <w:p w14:paraId="2C831E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D03181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C376F6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7BD1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068C0B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A296DB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1D4B70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9636E4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6.1.6</w:t>
            </w:r>
          </w:p>
        </w:tc>
        <w:tc>
          <w:tcPr>
            <w:tcW w:w="4291" w:type="dxa"/>
            <w:vAlign w:val="center"/>
          </w:tcPr>
          <w:p w14:paraId="18F5B9B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建筑应设置信息网络系统。</w:t>
            </w:r>
          </w:p>
        </w:tc>
        <w:tc>
          <w:tcPr>
            <w:tcW w:w="1118" w:type="dxa"/>
            <w:vAlign w:val="center"/>
          </w:tcPr>
          <w:p w14:paraId="6888E98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76E8195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2DD0C3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7A2B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9BF4EC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4AA09C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54CAEA2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出行与无障碍</w:t>
            </w:r>
          </w:p>
        </w:tc>
        <w:tc>
          <w:tcPr>
            <w:tcW w:w="1145" w:type="dxa"/>
            <w:vAlign w:val="center"/>
          </w:tcPr>
          <w:p w14:paraId="39C4DE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6.2.1</w:t>
            </w:r>
          </w:p>
        </w:tc>
        <w:tc>
          <w:tcPr>
            <w:tcW w:w="4291" w:type="dxa"/>
            <w:vAlign w:val="center"/>
          </w:tcPr>
          <w:p w14:paraId="26C02B71">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场地与公共交通站点联系便捷。</w:t>
            </w:r>
          </w:p>
        </w:tc>
        <w:tc>
          <w:tcPr>
            <w:tcW w:w="1118" w:type="dxa"/>
            <w:vAlign w:val="center"/>
          </w:tcPr>
          <w:p w14:paraId="77E98A8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56A7E27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139330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0C18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B937F0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40D602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F374D4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26EF5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6.2.2</w:t>
            </w:r>
          </w:p>
        </w:tc>
        <w:tc>
          <w:tcPr>
            <w:tcW w:w="4291" w:type="dxa"/>
            <w:vAlign w:val="center"/>
          </w:tcPr>
          <w:p w14:paraId="67EC232F">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建筑室内外公共区域满足全年龄化设计要求。</w:t>
            </w:r>
          </w:p>
        </w:tc>
        <w:tc>
          <w:tcPr>
            <w:tcW w:w="1118" w:type="dxa"/>
            <w:vAlign w:val="center"/>
          </w:tcPr>
          <w:p w14:paraId="552325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30A4D60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43765B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建筑、景观</w:t>
            </w:r>
          </w:p>
        </w:tc>
      </w:tr>
      <w:tr w14:paraId="0CC2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5D7BBF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DC6BED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72FBC33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服务设施</w:t>
            </w:r>
          </w:p>
        </w:tc>
        <w:tc>
          <w:tcPr>
            <w:tcW w:w="1145" w:type="dxa"/>
            <w:vAlign w:val="center"/>
          </w:tcPr>
          <w:p w14:paraId="3A9595E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6.2.3</w:t>
            </w:r>
          </w:p>
        </w:tc>
        <w:tc>
          <w:tcPr>
            <w:tcW w:w="4291" w:type="dxa"/>
            <w:vAlign w:val="center"/>
          </w:tcPr>
          <w:p w14:paraId="1FB2128E">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提供便捷的公共服务。</w:t>
            </w:r>
          </w:p>
        </w:tc>
        <w:tc>
          <w:tcPr>
            <w:tcW w:w="1118" w:type="dxa"/>
            <w:vAlign w:val="center"/>
          </w:tcPr>
          <w:p w14:paraId="03A71B0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5E20044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79C040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64F6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9BC86A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A16AA8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CCE9B0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336083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6.2.4</w:t>
            </w:r>
          </w:p>
        </w:tc>
        <w:tc>
          <w:tcPr>
            <w:tcW w:w="4291" w:type="dxa"/>
            <w:vAlign w:val="center"/>
          </w:tcPr>
          <w:p w14:paraId="357D851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城市绿地、广场及公共运动场地等开敞空间，步行可达。</w:t>
            </w:r>
          </w:p>
        </w:tc>
        <w:tc>
          <w:tcPr>
            <w:tcW w:w="1118" w:type="dxa"/>
            <w:vAlign w:val="center"/>
          </w:tcPr>
          <w:p w14:paraId="52B9782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705B255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w:t>
            </w:r>
          </w:p>
        </w:tc>
        <w:tc>
          <w:tcPr>
            <w:tcW w:w="1440" w:type="dxa"/>
            <w:vAlign w:val="center"/>
          </w:tcPr>
          <w:p w14:paraId="5D252B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4E726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6C17A0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7A337A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EB53AC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643FE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6.2.5</w:t>
            </w:r>
          </w:p>
        </w:tc>
        <w:tc>
          <w:tcPr>
            <w:tcW w:w="4291" w:type="dxa"/>
            <w:vAlign w:val="center"/>
          </w:tcPr>
          <w:p w14:paraId="5CE94B7E">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合理设置健身场地和空间。</w:t>
            </w:r>
          </w:p>
        </w:tc>
        <w:tc>
          <w:tcPr>
            <w:tcW w:w="1118" w:type="dxa"/>
            <w:vAlign w:val="center"/>
          </w:tcPr>
          <w:p w14:paraId="577C29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F3CD2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1440" w:type="dxa"/>
            <w:vAlign w:val="center"/>
          </w:tcPr>
          <w:p w14:paraId="0C8CD0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323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D6952E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0DAD2A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1BC7C88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智慧运行</w:t>
            </w:r>
          </w:p>
        </w:tc>
        <w:tc>
          <w:tcPr>
            <w:tcW w:w="1145" w:type="dxa"/>
            <w:vAlign w:val="center"/>
          </w:tcPr>
          <w:p w14:paraId="6D86CD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6.2.6</w:t>
            </w:r>
          </w:p>
        </w:tc>
        <w:tc>
          <w:tcPr>
            <w:tcW w:w="4291" w:type="dxa"/>
            <w:vAlign w:val="center"/>
          </w:tcPr>
          <w:p w14:paraId="493AA7E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设置分类、分级用能自动远传计量系统，且设置能源管理系统实现对建筑能耗的监测、数据分析和管理。</w:t>
            </w:r>
          </w:p>
        </w:tc>
        <w:tc>
          <w:tcPr>
            <w:tcW w:w="1118" w:type="dxa"/>
            <w:vAlign w:val="center"/>
          </w:tcPr>
          <w:p w14:paraId="443C90D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494CC3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03C0A8F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3CA49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622446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53BBBD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B75ED6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13DEF5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6.2.7</w:t>
            </w:r>
          </w:p>
        </w:tc>
        <w:tc>
          <w:tcPr>
            <w:tcW w:w="4291" w:type="dxa"/>
            <w:vAlign w:val="center"/>
          </w:tcPr>
          <w:p w14:paraId="46DE27C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设置PM10、PM2.5、CO</w:t>
            </w:r>
            <w:r>
              <w:rPr>
                <w:rStyle w:val="30"/>
                <w:rFonts w:hint="eastAsia" w:ascii="仿宋_GB2312" w:hAnsi="仿宋_GB2312" w:eastAsia="仿宋_GB2312" w:cs="仿宋_GB2312"/>
                <w:color w:val="auto"/>
                <w:sz w:val="24"/>
                <w:szCs w:val="24"/>
                <w:highlight w:val="none"/>
                <w:vertAlign w:val="subscript"/>
                <w:lang w:val="en-US" w:eastAsia="zh-CN"/>
              </w:rPr>
              <w:t>2</w:t>
            </w:r>
            <w:r>
              <w:rPr>
                <w:rStyle w:val="30"/>
                <w:rFonts w:hint="eastAsia" w:ascii="仿宋_GB2312" w:hAnsi="仿宋_GB2312" w:eastAsia="仿宋_GB2312" w:cs="仿宋_GB2312"/>
                <w:color w:val="auto"/>
                <w:sz w:val="24"/>
                <w:szCs w:val="24"/>
                <w:highlight w:val="none"/>
                <w:vertAlign w:val="baseline"/>
                <w:lang w:val="en-US" w:eastAsia="zh-CN"/>
              </w:rPr>
              <w:t>浓度的空气质量监测系统，且具有存储至少一年的监测数据和实时显示等功能。</w:t>
            </w:r>
          </w:p>
        </w:tc>
        <w:tc>
          <w:tcPr>
            <w:tcW w:w="1118" w:type="dxa"/>
            <w:vAlign w:val="center"/>
          </w:tcPr>
          <w:p w14:paraId="0EC1214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62D90AE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136EA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EF0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8A6AE8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ECDB34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503E3F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3EACDA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6.2.8</w:t>
            </w:r>
          </w:p>
        </w:tc>
        <w:tc>
          <w:tcPr>
            <w:tcW w:w="4291" w:type="dxa"/>
            <w:vAlign w:val="center"/>
          </w:tcPr>
          <w:p w14:paraId="646124F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设置用水远传计量系统、水质在线监测系统。</w:t>
            </w:r>
          </w:p>
        </w:tc>
        <w:tc>
          <w:tcPr>
            <w:tcW w:w="1118" w:type="dxa"/>
            <w:vAlign w:val="center"/>
          </w:tcPr>
          <w:p w14:paraId="02CF50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2050" w:type="dxa"/>
            <w:gridSpan w:val="2"/>
            <w:vAlign w:val="center"/>
          </w:tcPr>
          <w:p w14:paraId="46A81FC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1440" w:type="dxa"/>
            <w:vAlign w:val="center"/>
          </w:tcPr>
          <w:p w14:paraId="3383369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5CEB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77C0FF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19128A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7CC94B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3CDBD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6.2.9</w:t>
            </w:r>
          </w:p>
        </w:tc>
        <w:tc>
          <w:tcPr>
            <w:tcW w:w="4291" w:type="dxa"/>
            <w:vAlign w:val="center"/>
          </w:tcPr>
          <w:p w14:paraId="0CEB434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具有家电控制、照明控制、安全报警、环境监测、建筑设备控制、工作生活服务等至少3种类型的服务功能；</w:t>
            </w:r>
          </w:p>
          <w:p w14:paraId="4219C3F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具有远程监控的功能；</w:t>
            </w:r>
          </w:p>
          <w:p w14:paraId="07CA7D6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具有接入智慧城市（城区、社区）的功能。</w:t>
            </w:r>
          </w:p>
        </w:tc>
        <w:tc>
          <w:tcPr>
            <w:tcW w:w="1118" w:type="dxa"/>
            <w:vAlign w:val="center"/>
          </w:tcPr>
          <w:p w14:paraId="2A4521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3393BA3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w:t>
            </w:r>
          </w:p>
        </w:tc>
        <w:tc>
          <w:tcPr>
            <w:tcW w:w="1440" w:type="dxa"/>
            <w:vAlign w:val="center"/>
          </w:tcPr>
          <w:p w14:paraId="6D9ED3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1D3F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77DDBC8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31B9216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3D03F5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785F63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4FCF9F6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0A8C99C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2050" w:type="dxa"/>
            <w:gridSpan w:val="2"/>
            <w:vAlign w:val="center"/>
          </w:tcPr>
          <w:p w14:paraId="691192D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49</w:t>
            </w:r>
          </w:p>
        </w:tc>
        <w:tc>
          <w:tcPr>
            <w:tcW w:w="1440" w:type="dxa"/>
            <w:vAlign w:val="center"/>
          </w:tcPr>
          <w:p w14:paraId="189615F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B6C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0B4344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 资源节约</w:t>
            </w:r>
          </w:p>
        </w:tc>
        <w:tc>
          <w:tcPr>
            <w:tcW w:w="1159" w:type="dxa"/>
            <w:vMerge w:val="restart"/>
            <w:vAlign w:val="center"/>
          </w:tcPr>
          <w:p w14:paraId="0B510E1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4222990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7BBEE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7.1.1</w:t>
            </w:r>
          </w:p>
        </w:tc>
        <w:tc>
          <w:tcPr>
            <w:tcW w:w="4291" w:type="dxa"/>
            <w:vAlign w:val="center"/>
          </w:tcPr>
          <w:p w14:paraId="4539B86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应结合场地自然条件和建筑功能需求，对建筑的体形、平面布局、空间尺度、围护结构等进行节能设计，且应符合国家有关节能设计的要求。</w:t>
            </w:r>
          </w:p>
        </w:tc>
        <w:tc>
          <w:tcPr>
            <w:tcW w:w="1118" w:type="dxa"/>
            <w:vAlign w:val="center"/>
          </w:tcPr>
          <w:p w14:paraId="25B6CA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D570C7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66DDF7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B68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370972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77012F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EDCC41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11BCAD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7.1.2</w:t>
            </w:r>
          </w:p>
        </w:tc>
        <w:tc>
          <w:tcPr>
            <w:tcW w:w="4291" w:type="dxa"/>
            <w:vAlign w:val="center"/>
          </w:tcPr>
          <w:p w14:paraId="417E66F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应采取措施降低部分负荷、部分空间使用下的供暖、空调系统能耗。</w:t>
            </w:r>
          </w:p>
        </w:tc>
        <w:tc>
          <w:tcPr>
            <w:tcW w:w="1118" w:type="dxa"/>
            <w:vAlign w:val="center"/>
          </w:tcPr>
          <w:p w14:paraId="4C87323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7E39F05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B0627F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62244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BAB4F3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CAEFC6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433556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AF998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7.1.3</w:t>
            </w:r>
          </w:p>
        </w:tc>
        <w:tc>
          <w:tcPr>
            <w:tcW w:w="4291" w:type="dxa"/>
            <w:vAlign w:val="center"/>
          </w:tcPr>
          <w:p w14:paraId="5DE1346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应根据建筑空间功能设置分区温度，合理降低室内过渡区空间的温度设定标准。</w:t>
            </w:r>
          </w:p>
        </w:tc>
        <w:tc>
          <w:tcPr>
            <w:tcW w:w="1118" w:type="dxa"/>
            <w:vAlign w:val="center"/>
          </w:tcPr>
          <w:p w14:paraId="495383C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69E2AAE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A90BE6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0D82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AB65B9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A73BFE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E34B0B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F0D178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7.1.4</w:t>
            </w:r>
          </w:p>
        </w:tc>
        <w:tc>
          <w:tcPr>
            <w:tcW w:w="4291" w:type="dxa"/>
            <w:vAlign w:val="center"/>
          </w:tcPr>
          <w:p w14:paraId="64DAFC5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主要功能房间的照明功率密度值不应高于现行国家标准《建筑照明设计标准》GB50034规定的现行值；公共区域的照明系统应采用分区、定时、感应等节能控制；采光区域的照明控制应独立于其他区域的照明控制。</w:t>
            </w:r>
          </w:p>
        </w:tc>
        <w:tc>
          <w:tcPr>
            <w:tcW w:w="1118" w:type="dxa"/>
            <w:vAlign w:val="center"/>
          </w:tcPr>
          <w:p w14:paraId="44758BE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67E89C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42BE5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2612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ED1BB3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873B7C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8A6EB8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7ACD0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7.1.5</w:t>
            </w:r>
          </w:p>
        </w:tc>
        <w:tc>
          <w:tcPr>
            <w:tcW w:w="4291" w:type="dxa"/>
            <w:vAlign w:val="center"/>
          </w:tcPr>
          <w:p w14:paraId="0902D65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冷热源、输配系统和照明等各部分能耗应进行独立分项计量。</w:t>
            </w:r>
          </w:p>
        </w:tc>
        <w:tc>
          <w:tcPr>
            <w:tcW w:w="1118" w:type="dxa"/>
            <w:vAlign w:val="center"/>
          </w:tcPr>
          <w:p w14:paraId="737DF14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52FAC43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31AAB1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电气</w:t>
            </w:r>
          </w:p>
        </w:tc>
      </w:tr>
      <w:tr w14:paraId="54FA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7D65B0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79E6BC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801CE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B9AD7E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7.1.6</w:t>
            </w:r>
          </w:p>
        </w:tc>
        <w:tc>
          <w:tcPr>
            <w:tcW w:w="4291" w:type="dxa"/>
            <w:vAlign w:val="center"/>
          </w:tcPr>
          <w:p w14:paraId="2F145E8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垂直电梯应采取群控、变频调速或能量反馈等节能措施；自动扶梯应采用变频感应启动等节能控制措施。</w:t>
            </w:r>
          </w:p>
        </w:tc>
        <w:tc>
          <w:tcPr>
            <w:tcW w:w="1118" w:type="dxa"/>
            <w:vAlign w:val="center"/>
          </w:tcPr>
          <w:p w14:paraId="4A9565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FA0A0D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13D6F7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DB8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8D2048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700F4C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ACC87F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2137D1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7.1.7</w:t>
            </w:r>
          </w:p>
        </w:tc>
        <w:tc>
          <w:tcPr>
            <w:tcW w:w="4291" w:type="dxa"/>
            <w:vAlign w:val="center"/>
          </w:tcPr>
          <w:p w14:paraId="44FE0A9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应制定水资源利用方案，统筹利用各种水资源。</w:t>
            </w:r>
          </w:p>
        </w:tc>
        <w:tc>
          <w:tcPr>
            <w:tcW w:w="1118" w:type="dxa"/>
            <w:vAlign w:val="center"/>
          </w:tcPr>
          <w:p w14:paraId="5F5199C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48E1538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329F224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5A366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D52B6E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DDDF68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3825C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390D1D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7.1.8</w:t>
            </w:r>
          </w:p>
        </w:tc>
        <w:tc>
          <w:tcPr>
            <w:tcW w:w="4291" w:type="dxa"/>
            <w:vAlign w:val="center"/>
          </w:tcPr>
          <w:p w14:paraId="58CF9C9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不应采用建筑形体和布置严重不规则的建筑结构。</w:t>
            </w:r>
          </w:p>
        </w:tc>
        <w:tc>
          <w:tcPr>
            <w:tcW w:w="1118" w:type="dxa"/>
            <w:vAlign w:val="center"/>
          </w:tcPr>
          <w:p w14:paraId="5474CC0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7092B4D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7BEEA4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01C5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7D66D6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895B93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983E6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550D4C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7.1.9</w:t>
            </w:r>
          </w:p>
        </w:tc>
        <w:tc>
          <w:tcPr>
            <w:tcW w:w="4291" w:type="dxa"/>
            <w:vAlign w:val="center"/>
          </w:tcPr>
          <w:p w14:paraId="4AD40DE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建筑造型要素应简约，应无大量装饰性构件。</w:t>
            </w:r>
          </w:p>
        </w:tc>
        <w:tc>
          <w:tcPr>
            <w:tcW w:w="1118" w:type="dxa"/>
            <w:vAlign w:val="center"/>
          </w:tcPr>
          <w:p w14:paraId="48CA1B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4B4F45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835B9D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5350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AAC5F1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DFAF4E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49BB2A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B40B04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7.1.10</w:t>
            </w:r>
          </w:p>
        </w:tc>
        <w:tc>
          <w:tcPr>
            <w:tcW w:w="4291" w:type="dxa"/>
            <w:vAlign w:val="center"/>
          </w:tcPr>
          <w:p w14:paraId="23C2057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选用的建筑材料应符合下列要求：</w:t>
            </w:r>
          </w:p>
          <w:p w14:paraId="5859ED6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1 500km以内生产的建筑材料重量占建筑材料总重量的比例应大于60%；</w:t>
            </w:r>
          </w:p>
          <w:p w14:paraId="7AA841C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现浇混凝土应采用预拌混凝土，建筑砂浆应采用预拌砂浆。</w:t>
            </w:r>
          </w:p>
        </w:tc>
        <w:tc>
          <w:tcPr>
            <w:tcW w:w="1118" w:type="dxa"/>
            <w:vAlign w:val="center"/>
          </w:tcPr>
          <w:p w14:paraId="7811456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05944B4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34AD4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1334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A5F842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6BFADC1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565F7BE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节地与土地利用</w:t>
            </w:r>
          </w:p>
        </w:tc>
        <w:tc>
          <w:tcPr>
            <w:tcW w:w="1145" w:type="dxa"/>
            <w:vAlign w:val="center"/>
          </w:tcPr>
          <w:p w14:paraId="62275F2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w:t>
            </w:r>
          </w:p>
        </w:tc>
        <w:tc>
          <w:tcPr>
            <w:tcW w:w="4291" w:type="dxa"/>
            <w:vAlign w:val="center"/>
          </w:tcPr>
          <w:p w14:paraId="39DF3616">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节约集约利用土地。</w:t>
            </w:r>
          </w:p>
        </w:tc>
        <w:tc>
          <w:tcPr>
            <w:tcW w:w="1118" w:type="dxa"/>
            <w:vAlign w:val="center"/>
          </w:tcPr>
          <w:p w14:paraId="3417852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2CFB7F9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1440" w:type="dxa"/>
            <w:vAlign w:val="center"/>
          </w:tcPr>
          <w:p w14:paraId="0FBA128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416E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B2E1BD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47730A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4F40A8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2C86BA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7.2.2</w:t>
            </w:r>
          </w:p>
        </w:tc>
        <w:tc>
          <w:tcPr>
            <w:tcW w:w="4291" w:type="dxa"/>
            <w:vAlign w:val="center"/>
          </w:tcPr>
          <w:p w14:paraId="6E30A425">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合理开发利用地下空间。</w:t>
            </w:r>
          </w:p>
        </w:tc>
        <w:tc>
          <w:tcPr>
            <w:tcW w:w="1118" w:type="dxa"/>
            <w:vAlign w:val="center"/>
          </w:tcPr>
          <w:p w14:paraId="036C59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7B7F4C9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1440" w:type="dxa"/>
            <w:vAlign w:val="center"/>
          </w:tcPr>
          <w:p w14:paraId="1265860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6009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A0D0DB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00E093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14966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2BE7B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7.2.3</w:t>
            </w:r>
          </w:p>
        </w:tc>
        <w:tc>
          <w:tcPr>
            <w:tcW w:w="4291" w:type="dxa"/>
            <w:vAlign w:val="center"/>
          </w:tcPr>
          <w:p w14:paraId="0CB6687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采用机械式停车设施、地下停车库或地面停车楼等方式。</w:t>
            </w:r>
          </w:p>
        </w:tc>
        <w:tc>
          <w:tcPr>
            <w:tcW w:w="1118" w:type="dxa"/>
            <w:vAlign w:val="center"/>
          </w:tcPr>
          <w:p w14:paraId="241F4EE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5AEB27C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7753C75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EE5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64CA29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43C471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07F58E0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节能与能源利用</w:t>
            </w:r>
          </w:p>
        </w:tc>
        <w:tc>
          <w:tcPr>
            <w:tcW w:w="1145" w:type="dxa"/>
            <w:vAlign w:val="center"/>
          </w:tcPr>
          <w:p w14:paraId="33E8377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7.2.4</w:t>
            </w:r>
          </w:p>
        </w:tc>
        <w:tc>
          <w:tcPr>
            <w:tcW w:w="4291" w:type="dxa"/>
            <w:vAlign w:val="center"/>
          </w:tcPr>
          <w:p w14:paraId="19D9918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优化建筑围护结构的热工性能。</w:t>
            </w:r>
          </w:p>
        </w:tc>
        <w:tc>
          <w:tcPr>
            <w:tcW w:w="1118" w:type="dxa"/>
            <w:vAlign w:val="center"/>
          </w:tcPr>
          <w:p w14:paraId="13825BD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1D7DF29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1440" w:type="dxa"/>
            <w:vAlign w:val="center"/>
          </w:tcPr>
          <w:p w14:paraId="5DD8E9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7437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5D8549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C04FB7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87758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1F3932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7.2.5</w:t>
            </w:r>
          </w:p>
        </w:tc>
        <w:tc>
          <w:tcPr>
            <w:tcW w:w="4291" w:type="dxa"/>
            <w:vAlign w:val="center"/>
          </w:tcPr>
          <w:p w14:paraId="62E6EA8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供暖空调系统的冷、热源机组能效均优于现行国家标准《公共建筑节能设计标准》GB50189的规定以及现行有关国家标准能效限定值的要求。</w:t>
            </w:r>
          </w:p>
        </w:tc>
        <w:tc>
          <w:tcPr>
            <w:tcW w:w="1118" w:type="dxa"/>
            <w:vAlign w:val="center"/>
          </w:tcPr>
          <w:p w14:paraId="4DAB036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6DBED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6E5F107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AB4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C64AB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4B889A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702A3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9DF6C4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7.2.6</w:t>
            </w:r>
          </w:p>
        </w:tc>
        <w:tc>
          <w:tcPr>
            <w:tcW w:w="4291" w:type="dxa"/>
            <w:vAlign w:val="center"/>
          </w:tcPr>
          <w:p w14:paraId="58FCA1A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采取有效措施降低供暖空调系统的末端系统及输配系统的能耗。</w:t>
            </w:r>
          </w:p>
        </w:tc>
        <w:tc>
          <w:tcPr>
            <w:tcW w:w="1118" w:type="dxa"/>
            <w:vAlign w:val="center"/>
          </w:tcPr>
          <w:p w14:paraId="4EBD65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09AAAC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38F11A0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w:t>
            </w:r>
          </w:p>
        </w:tc>
      </w:tr>
      <w:tr w14:paraId="5F46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3A1D4D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6F1499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3D8953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C08CD4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7.2.7</w:t>
            </w:r>
          </w:p>
        </w:tc>
        <w:tc>
          <w:tcPr>
            <w:tcW w:w="4291" w:type="dxa"/>
            <w:vAlign w:val="center"/>
          </w:tcPr>
          <w:p w14:paraId="224BE6D2">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采用节能型电气设备及节能控制措施：</w:t>
            </w:r>
          </w:p>
          <w:p w14:paraId="642455D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主要功能房间的照明功率密度值达到现行国家标准《建筑照明设计标准》GB50034规定的目标值；</w:t>
            </w:r>
          </w:p>
          <w:p w14:paraId="7D2B2A7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采光区域的人工照明随天然光照度变化自动调节；</w:t>
            </w:r>
          </w:p>
          <w:p w14:paraId="4C7C2F7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照明产品、三相配电变压器、水泵、风机等设备满足国家现行有关标准的节能评价值的要求。</w:t>
            </w:r>
          </w:p>
        </w:tc>
        <w:tc>
          <w:tcPr>
            <w:tcW w:w="1118" w:type="dxa"/>
            <w:vAlign w:val="center"/>
          </w:tcPr>
          <w:p w14:paraId="5E1BA9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2FC541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5CD3639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给排水、暖通、电气</w:t>
            </w:r>
          </w:p>
        </w:tc>
      </w:tr>
      <w:tr w14:paraId="4CE1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480070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F63B32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B7C07C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511C43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7.2.8</w:t>
            </w:r>
          </w:p>
        </w:tc>
        <w:tc>
          <w:tcPr>
            <w:tcW w:w="4291" w:type="dxa"/>
            <w:vAlign w:val="center"/>
          </w:tcPr>
          <w:p w14:paraId="687CB0C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采取措施降低建筑供暖空调系统和照明系统的能耗。</w:t>
            </w:r>
          </w:p>
        </w:tc>
        <w:tc>
          <w:tcPr>
            <w:tcW w:w="1118" w:type="dxa"/>
            <w:vAlign w:val="center"/>
          </w:tcPr>
          <w:p w14:paraId="5F9650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69D64C8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5FB058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暖通、电气</w:t>
            </w:r>
          </w:p>
        </w:tc>
      </w:tr>
      <w:tr w14:paraId="55FB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ABE931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AD0BC6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274FB0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9F2829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7.2.9</w:t>
            </w:r>
          </w:p>
        </w:tc>
        <w:tc>
          <w:tcPr>
            <w:tcW w:w="4291" w:type="dxa"/>
            <w:vAlign w:val="center"/>
          </w:tcPr>
          <w:p w14:paraId="1246154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结合当地气候和自然资源条件合理利用可再生能源。</w:t>
            </w:r>
          </w:p>
        </w:tc>
        <w:tc>
          <w:tcPr>
            <w:tcW w:w="1118" w:type="dxa"/>
            <w:vAlign w:val="center"/>
          </w:tcPr>
          <w:p w14:paraId="3AC6DFA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484E6FC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1CD4BA1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0105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094864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9E049A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7BE101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节水与水资源利用</w:t>
            </w:r>
          </w:p>
        </w:tc>
        <w:tc>
          <w:tcPr>
            <w:tcW w:w="1145" w:type="dxa"/>
            <w:vAlign w:val="center"/>
          </w:tcPr>
          <w:p w14:paraId="52B816A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7.2.10</w:t>
            </w:r>
          </w:p>
        </w:tc>
        <w:tc>
          <w:tcPr>
            <w:tcW w:w="4291" w:type="dxa"/>
            <w:vAlign w:val="center"/>
          </w:tcPr>
          <w:p w14:paraId="5867442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使用较高用水效率等级的卫生器具。</w:t>
            </w:r>
          </w:p>
        </w:tc>
        <w:tc>
          <w:tcPr>
            <w:tcW w:w="1118" w:type="dxa"/>
            <w:vAlign w:val="center"/>
          </w:tcPr>
          <w:p w14:paraId="2DEECB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4CEDAD1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1440" w:type="dxa"/>
            <w:vAlign w:val="center"/>
          </w:tcPr>
          <w:p w14:paraId="13C7420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0C12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1F81A0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385C66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1462B8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4EEF08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7.2.11</w:t>
            </w:r>
          </w:p>
        </w:tc>
        <w:tc>
          <w:tcPr>
            <w:tcW w:w="4291" w:type="dxa"/>
            <w:vAlign w:val="center"/>
          </w:tcPr>
          <w:p w14:paraId="7502984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绿化灌溉及空调冷却水系统采用节水设备或技术。</w:t>
            </w:r>
          </w:p>
        </w:tc>
        <w:tc>
          <w:tcPr>
            <w:tcW w:w="1118" w:type="dxa"/>
            <w:vAlign w:val="center"/>
          </w:tcPr>
          <w:p w14:paraId="435334F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2B52A4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79EDE3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暖通、景观</w:t>
            </w:r>
          </w:p>
        </w:tc>
      </w:tr>
      <w:tr w14:paraId="4389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8B9F78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49B172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220A6C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261CD3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7.2.12</w:t>
            </w:r>
          </w:p>
        </w:tc>
        <w:tc>
          <w:tcPr>
            <w:tcW w:w="4291" w:type="dxa"/>
            <w:vAlign w:val="center"/>
          </w:tcPr>
          <w:p w14:paraId="710C24A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结合雨水综合利用设施营造室外景观水体，室外景观水体利用雨水的补水量大于水体蒸发量的60%，且采用保障水体水质的生态水处理技术。</w:t>
            </w:r>
          </w:p>
        </w:tc>
        <w:tc>
          <w:tcPr>
            <w:tcW w:w="1118" w:type="dxa"/>
            <w:vAlign w:val="center"/>
          </w:tcPr>
          <w:p w14:paraId="6251C1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494BD62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64FBA69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7DCD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DD52E6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243169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20843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400042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7.2.13</w:t>
            </w:r>
          </w:p>
        </w:tc>
        <w:tc>
          <w:tcPr>
            <w:tcW w:w="4291" w:type="dxa"/>
            <w:vAlign w:val="center"/>
          </w:tcPr>
          <w:p w14:paraId="6121CCD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绿化灌溉、车库及道路冲洗，洗车用水采用非传统水源的用水量占其总用水量的比例不低于60%，得5分；</w:t>
            </w:r>
          </w:p>
          <w:p w14:paraId="6E33F92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冲厕采用非传统水源的用水量占其总用水量的比例不低于</w:t>
            </w:r>
          </w:p>
          <w:p w14:paraId="0ABE3AE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40%，得5分；</w:t>
            </w:r>
          </w:p>
          <w:p w14:paraId="19ADA1F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冷却水补水采用非传统水源的用水量占其总用水量的比例不低于20%，得5分。</w:t>
            </w:r>
          </w:p>
        </w:tc>
        <w:tc>
          <w:tcPr>
            <w:tcW w:w="1118" w:type="dxa"/>
            <w:vAlign w:val="center"/>
          </w:tcPr>
          <w:p w14:paraId="21C6E81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7A502EA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120952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4226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907EA4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43E583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63D53C7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节材与绿色建材</w:t>
            </w:r>
          </w:p>
        </w:tc>
        <w:tc>
          <w:tcPr>
            <w:tcW w:w="1145" w:type="dxa"/>
            <w:vAlign w:val="center"/>
          </w:tcPr>
          <w:p w14:paraId="0B5EF74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7.2.14</w:t>
            </w:r>
          </w:p>
        </w:tc>
        <w:tc>
          <w:tcPr>
            <w:tcW w:w="4291" w:type="dxa"/>
            <w:vAlign w:val="center"/>
          </w:tcPr>
          <w:p w14:paraId="19CF19E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建筑所有区域实施土建工程与装修工程一体化设计及施工。</w:t>
            </w:r>
          </w:p>
        </w:tc>
        <w:tc>
          <w:tcPr>
            <w:tcW w:w="1118" w:type="dxa"/>
            <w:vAlign w:val="center"/>
          </w:tcPr>
          <w:p w14:paraId="1E15BF6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14FC41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11B4E7E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1EBB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164C9B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CB3BE7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B27D0F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D3B723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7.2.15</w:t>
            </w:r>
          </w:p>
        </w:tc>
        <w:tc>
          <w:tcPr>
            <w:tcW w:w="4291" w:type="dxa"/>
            <w:vAlign w:val="center"/>
          </w:tcPr>
          <w:p w14:paraId="528FDCB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合理选用建筑结构材料与构件。</w:t>
            </w:r>
          </w:p>
        </w:tc>
        <w:tc>
          <w:tcPr>
            <w:tcW w:w="1118" w:type="dxa"/>
            <w:vAlign w:val="center"/>
          </w:tcPr>
          <w:p w14:paraId="2C256AD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493956D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1440" w:type="dxa"/>
            <w:vAlign w:val="center"/>
          </w:tcPr>
          <w:p w14:paraId="182DA1A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结构</w:t>
            </w:r>
          </w:p>
        </w:tc>
      </w:tr>
      <w:tr w14:paraId="51FB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F3AB46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9127CD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76C45B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28008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7.2.16</w:t>
            </w:r>
          </w:p>
        </w:tc>
        <w:tc>
          <w:tcPr>
            <w:tcW w:w="4291" w:type="dxa"/>
            <w:vAlign w:val="center"/>
          </w:tcPr>
          <w:p w14:paraId="17317CF7">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建筑装修选用工业化内装部品。</w:t>
            </w:r>
          </w:p>
        </w:tc>
        <w:tc>
          <w:tcPr>
            <w:tcW w:w="1118" w:type="dxa"/>
            <w:vAlign w:val="center"/>
          </w:tcPr>
          <w:p w14:paraId="5954F4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61718C1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w:t>
            </w:r>
          </w:p>
        </w:tc>
        <w:tc>
          <w:tcPr>
            <w:tcW w:w="1440" w:type="dxa"/>
            <w:vAlign w:val="center"/>
          </w:tcPr>
          <w:p w14:paraId="62B7CD0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8D4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179202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A6A553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EE2BEC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178DE8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7.2.17</w:t>
            </w:r>
          </w:p>
        </w:tc>
        <w:tc>
          <w:tcPr>
            <w:tcW w:w="4291" w:type="dxa"/>
            <w:vAlign w:val="center"/>
          </w:tcPr>
          <w:p w14:paraId="1909BE1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选用可再循环材料、可再利用材料及利废建材。</w:t>
            </w:r>
          </w:p>
        </w:tc>
        <w:tc>
          <w:tcPr>
            <w:tcW w:w="1118" w:type="dxa"/>
            <w:vAlign w:val="center"/>
          </w:tcPr>
          <w:p w14:paraId="6E078D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57B1EB4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6</w:t>
            </w:r>
          </w:p>
        </w:tc>
        <w:tc>
          <w:tcPr>
            <w:tcW w:w="1440" w:type="dxa"/>
            <w:vAlign w:val="center"/>
          </w:tcPr>
          <w:p w14:paraId="6FEC784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762E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998DFB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BDCB6E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4602D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2111E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7.2.18</w:t>
            </w:r>
          </w:p>
        </w:tc>
        <w:tc>
          <w:tcPr>
            <w:tcW w:w="4291" w:type="dxa"/>
            <w:vAlign w:val="center"/>
          </w:tcPr>
          <w:p w14:paraId="32A6019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选用绿色建材。</w:t>
            </w:r>
          </w:p>
        </w:tc>
        <w:tc>
          <w:tcPr>
            <w:tcW w:w="1118" w:type="dxa"/>
            <w:vAlign w:val="center"/>
          </w:tcPr>
          <w:p w14:paraId="3639615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4EA23F7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1440" w:type="dxa"/>
            <w:vAlign w:val="center"/>
          </w:tcPr>
          <w:p w14:paraId="279646C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2D6C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77C3D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15FABB2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4E4811D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08F5EF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640FCD1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05DE4BB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200</w:t>
            </w:r>
          </w:p>
        </w:tc>
        <w:tc>
          <w:tcPr>
            <w:tcW w:w="2050" w:type="dxa"/>
            <w:gridSpan w:val="2"/>
            <w:vAlign w:val="center"/>
          </w:tcPr>
          <w:p w14:paraId="6181DA6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146</w:t>
            </w:r>
          </w:p>
        </w:tc>
        <w:tc>
          <w:tcPr>
            <w:tcW w:w="1440" w:type="dxa"/>
            <w:vAlign w:val="center"/>
          </w:tcPr>
          <w:p w14:paraId="56C1F74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7DF2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1C9638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 环境宜居</w:t>
            </w:r>
          </w:p>
        </w:tc>
        <w:tc>
          <w:tcPr>
            <w:tcW w:w="1159" w:type="dxa"/>
            <w:vMerge w:val="restart"/>
            <w:vAlign w:val="center"/>
          </w:tcPr>
          <w:p w14:paraId="2AC3FCE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控制项</w:t>
            </w:r>
          </w:p>
        </w:tc>
        <w:tc>
          <w:tcPr>
            <w:tcW w:w="1173" w:type="dxa"/>
            <w:vMerge w:val="restart"/>
            <w:vAlign w:val="center"/>
          </w:tcPr>
          <w:p w14:paraId="6C97206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F0E3DD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8.1.1</w:t>
            </w:r>
          </w:p>
        </w:tc>
        <w:tc>
          <w:tcPr>
            <w:tcW w:w="4291" w:type="dxa"/>
            <w:vAlign w:val="center"/>
          </w:tcPr>
          <w:p w14:paraId="0C00B4C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建筑规划布局应满足日照标准，且不得降低周边建筑的日照标准。</w:t>
            </w:r>
          </w:p>
        </w:tc>
        <w:tc>
          <w:tcPr>
            <w:tcW w:w="1118" w:type="dxa"/>
            <w:vAlign w:val="center"/>
          </w:tcPr>
          <w:p w14:paraId="1E589AD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B40797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691E0B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5BAA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CD8EAF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7BD626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26EDFF0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213F53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8.1.2</w:t>
            </w:r>
          </w:p>
        </w:tc>
        <w:tc>
          <w:tcPr>
            <w:tcW w:w="4291" w:type="dxa"/>
            <w:vAlign w:val="center"/>
          </w:tcPr>
          <w:p w14:paraId="76E8E6B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室外热环境应满足国家现行有关标准的要求。</w:t>
            </w:r>
          </w:p>
        </w:tc>
        <w:tc>
          <w:tcPr>
            <w:tcW w:w="1118" w:type="dxa"/>
            <w:vAlign w:val="center"/>
          </w:tcPr>
          <w:p w14:paraId="5589D60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C87838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332BF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4E94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93E517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C02719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642877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C61A62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8.1.3</w:t>
            </w:r>
          </w:p>
        </w:tc>
        <w:tc>
          <w:tcPr>
            <w:tcW w:w="4291" w:type="dxa"/>
            <w:vAlign w:val="center"/>
          </w:tcPr>
          <w:p w14:paraId="19876E51">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配建的绿地应符合所在地城乡规划的要求，应合理选择绿化方式，植物种植应适应当地气候和土壤，且应无毒害、易维护，种植区域覆土深度和排水能力应满足植物生长需求，并应采用复层绿化方式。</w:t>
            </w:r>
          </w:p>
        </w:tc>
        <w:tc>
          <w:tcPr>
            <w:tcW w:w="1118" w:type="dxa"/>
            <w:vAlign w:val="center"/>
          </w:tcPr>
          <w:p w14:paraId="6E5EA43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10BE1A0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57029EA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4CE4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F129DE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6CB6F6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12A441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90A48D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8.1.4</w:t>
            </w:r>
          </w:p>
        </w:tc>
        <w:tc>
          <w:tcPr>
            <w:tcW w:w="4291" w:type="dxa"/>
            <w:vAlign w:val="center"/>
          </w:tcPr>
          <w:p w14:paraId="6299A03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场地的竖向设计应有利于雨水的收集或排放，应有效组织雨水的下渗、滞蓄或再利用；对大于10hm</w:t>
            </w:r>
            <w:r>
              <w:rPr>
                <w:rStyle w:val="30"/>
                <w:rFonts w:hint="eastAsia" w:ascii="仿宋_GB2312" w:hAnsi="仿宋_GB2312" w:eastAsia="仿宋_GB2312" w:cs="仿宋_GB2312"/>
                <w:color w:val="auto"/>
                <w:sz w:val="24"/>
                <w:szCs w:val="24"/>
                <w:highlight w:val="none"/>
                <w:vertAlign w:val="superscript"/>
                <w:lang w:val="en-US" w:eastAsia="zh-CN"/>
              </w:rPr>
              <w:t>2</w:t>
            </w:r>
            <w:r>
              <w:rPr>
                <w:rStyle w:val="30"/>
                <w:rFonts w:hint="eastAsia" w:ascii="仿宋_GB2312" w:hAnsi="仿宋_GB2312" w:eastAsia="仿宋_GB2312" w:cs="仿宋_GB2312"/>
                <w:color w:val="auto"/>
                <w:sz w:val="24"/>
                <w:szCs w:val="24"/>
                <w:highlight w:val="none"/>
                <w:vertAlign w:val="baseline"/>
                <w:lang w:val="en-US" w:eastAsia="zh-CN"/>
              </w:rPr>
              <w:t>的场地应进行雨水控制利用专项设计。</w:t>
            </w:r>
          </w:p>
        </w:tc>
        <w:tc>
          <w:tcPr>
            <w:tcW w:w="1118" w:type="dxa"/>
            <w:vAlign w:val="center"/>
          </w:tcPr>
          <w:p w14:paraId="240257A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849345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4E190C7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0303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151DD6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9A2EB8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C89611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017226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8.1.5</w:t>
            </w:r>
          </w:p>
        </w:tc>
        <w:tc>
          <w:tcPr>
            <w:tcW w:w="4291" w:type="dxa"/>
            <w:vAlign w:val="center"/>
          </w:tcPr>
          <w:p w14:paraId="12F8ACF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建筑内外均应设置便于识别和使用的标识系统。</w:t>
            </w:r>
          </w:p>
        </w:tc>
        <w:tc>
          <w:tcPr>
            <w:tcW w:w="1118" w:type="dxa"/>
            <w:vAlign w:val="center"/>
          </w:tcPr>
          <w:p w14:paraId="7BFA288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C92D85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3F237C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3F35D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5ED3A9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20301B6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3FEA6A4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31DF3B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8.1.6</w:t>
            </w:r>
          </w:p>
        </w:tc>
        <w:tc>
          <w:tcPr>
            <w:tcW w:w="4291" w:type="dxa"/>
            <w:vAlign w:val="center"/>
          </w:tcPr>
          <w:p w14:paraId="443B4B8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场地内不应有排放超标的污染源。</w:t>
            </w:r>
          </w:p>
        </w:tc>
        <w:tc>
          <w:tcPr>
            <w:tcW w:w="1118" w:type="dxa"/>
            <w:vAlign w:val="center"/>
          </w:tcPr>
          <w:p w14:paraId="2F01221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3C970DD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B1B6E6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3F78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6848D0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205D67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C3D08A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E60D5E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8.1.7</w:t>
            </w:r>
          </w:p>
        </w:tc>
        <w:tc>
          <w:tcPr>
            <w:tcW w:w="4291" w:type="dxa"/>
            <w:vAlign w:val="center"/>
          </w:tcPr>
          <w:p w14:paraId="2E4780F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生活垃圾应分类收集，垃圾容器和收集点的设置应合理并应与周围景观协调。</w:t>
            </w:r>
          </w:p>
        </w:tc>
        <w:tc>
          <w:tcPr>
            <w:tcW w:w="1118" w:type="dxa"/>
            <w:vAlign w:val="center"/>
          </w:tcPr>
          <w:p w14:paraId="32FAFB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2050" w:type="dxa"/>
            <w:gridSpan w:val="2"/>
            <w:vAlign w:val="center"/>
          </w:tcPr>
          <w:p w14:paraId="2566AEE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w:t>
            </w:r>
          </w:p>
        </w:tc>
        <w:tc>
          <w:tcPr>
            <w:tcW w:w="1440" w:type="dxa"/>
            <w:vAlign w:val="center"/>
          </w:tcPr>
          <w:p w14:paraId="0CF3D10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5A01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29E845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0903FCB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评分项</w:t>
            </w:r>
          </w:p>
        </w:tc>
        <w:tc>
          <w:tcPr>
            <w:tcW w:w="1173" w:type="dxa"/>
            <w:vMerge w:val="restart"/>
            <w:vAlign w:val="center"/>
          </w:tcPr>
          <w:p w14:paraId="4A72530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场地生态与景观</w:t>
            </w:r>
          </w:p>
        </w:tc>
        <w:tc>
          <w:tcPr>
            <w:tcW w:w="1145" w:type="dxa"/>
            <w:vAlign w:val="center"/>
          </w:tcPr>
          <w:p w14:paraId="18097B3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8.2.1</w:t>
            </w:r>
          </w:p>
        </w:tc>
        <w:tc>
          <w:tcPr>
            <w:tcW w:w="4291" w:type="dxa"/>
            <w:vAlign w:val="center"/>
          </w:tcPr>
          <w:p w14:paraId="255DBD3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充分保护或修复场地生态环境，合理布局建筑及景观。</w:t>
            </w:r>
          </w:p>
        </w:tc>
        <w:tc>
          <w:tcPr>
            <w:tcW w:w="1118" w:type="dxa"/>
            <w:vAlign w:val="center"/>
          </w:tcPr>
          <w:p w14:paraId="09169C8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7038AA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3FF50CF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FEE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725B03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A6723E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2FF5C5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43E46C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8.2.2</w:t>
            </w:r>
          </w:p>
        </w:tc>
        <w:tc>
          <w:tcPr>
            <w:tcW w:w="4291" w:type="dxa"/>
            <w:vAlign w:val="center"/>
          </w:tcPr>
          <w:p w14:paraId="3C1BD2E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规划场地地表和屋面雨水径流，对场地雨水实施外排总量控制。</w:t>
            </w:r>
          </w:p>
        </w:tc>
        <w:tc>
          <w:tcPr>
            <w:tcW w:w="1118" w:type="dxa"/>
            <w:vAlign w:val="center"/>
          </w:tcPr>
          <w:p w14:paraId="068D0AA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6DE931F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3F676F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0328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3AFFA5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DD095B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8C6969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DF9073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8.2.3</w:t>
            </w:r>
          </w:p>
        </w:tc>
        <w:tc>
          <w:tcPr>
            <w:tcW w:w="4291" w:type="dxa"/>
            <w:vAlign w:val="center"/>
          </w:tcPr>
          <w:p w14:paraId="2DBB023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充分利用场地空间设置绿化用地。</w:t>
            </w:r>
          </w:p>
        </w:tc>
        <w:tc>
          <w:tcPr>
            <w:tcW w:w="1118" w:type="dxa"/>
            <w:vAlign w:val="center"/>
          </w:tcPr>
          <w:p w14:paraId="459BD7C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16</w:t>
            </w:r>
          </w:p>
        </w:tc>
        <w:tc>
          <w:tcPr>
            <w:tcW w:w="2050" w:type="dxa"/>
            <w:gridSpan w:val="2"/>
            <w:vAlign w:val="center"/>
          </w:tcPr>
          <w:p w14:paraId="4EC4C02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16</w:t>
            </w:r>
          </w:p>
        </w:tc>
        <w:tc>
          <w:tcPr>
            <w:tcW w:w="1440" w:type="dxa"/>
            <w:vAlign w:val="center"/>
          </w:tcPr>
          <w:p w14:paraId="1DDCD48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6D8C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21C376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CB07B1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9FF173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63C137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8.2.4</w:t>
            </w:r>
          </w:p>
        </w:tc>
        <w:tc>
          <w:tcPr>
            <w:tcW w:w="4291" w:type="dxa"/>
            <w:vAlign w:val="center"/>
          </w:tcPr>
          <w:p w14:paraId="7671BC9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室外吸烟区位置布局合理。</w:t>
            </w:r>
          </w:p>
        </w:tc>
        <w:tc>
          <w:tcPr>
            <w:tcW w:w="1118" w:type="dxa"/>
            <w:vAlign w:val="center"/>
          </w:tcPr>
          <w:p w14:paraId="538ADFE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2050" w:type="dxa"/>
            <w:gridSpan w:val="2"/>
            <w:vAlign w:val="center"/>
          </w:tcPr>
          <w:p w14:paraId="531B40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w:t>
            </w:r>
          </w:p>
        </w:tc>
        <w:tc>
          <w:tcPr>
            <w:tcW w:w="1440" w:type="dxa"/>
            <w:vAlign w:val="center"/>
          </w:tcPr>
          <w:p w14:paraId="3B9065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景观</w:t>
            </w:r>
          </w:p>
        </w:tc>
      </w:tr>
      <w:tr w14:paraId="0497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BFFA34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E191B3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8634AB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292E22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8.2.5</w:t>
            </w:r>
          </w:p>
        </w:tc>
        <w:tc>
          <w:tcPr>
            <w:tcW w:w="4291" w:type="dxa"/>
            <w:vAlign w:val="center"/>
          </w:tcPr>
          <w:p w14:paraId="59CE3DC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利用场地空间设置绿色雨水基础设施。</w:t>
            </w:r>
          </w:p>
        </w:tc>
        <w:tc>
          <w:tcPr>
            <w:tcW w:w="1118" w:type="dxa"/>
            <w:vAlign w:val="center"/>
          </w:tcPr>
          <w:p w14:paraId="304870B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2431CBE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13</w:t>
            </w:r>
          </w:p>
        </w:tc>
        <w:tc>
          <w:tcPr>
            <w:tcW w:w="1440" w:type="dxa"/>
            <w:vAlign w:val="center"/>
          </w:tcPr>
          <w:p w14:paraId="4CA8204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给排水</w:t>
            </w:r>
          </w:p>
        </w:tc>
      </w:tr>
      <w:tr w14:paraId="5F23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1E816C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C9271B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restart"/>
            <w:vAlign w:val="center"/>
          </w:tcPr>
          <w:p w14:paraId="60174BC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室外物理环境</w:t>
            </w:r>
          </w:p>
        </w:tc>
        <w:tc>
          <w:tcPr>
            <w:tcW w:w="1145" w:type="dxa"/>
            <w:vAlign w:val="center"/>
          </w:tcPr>
          <w:p w14:paraId="3E4649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8.2.6</w:t>
            </w:r>
          </w:p>
        </w:tc>
        <w:tc>
          <w:tcPr>
            <w:tcW w:w="4291" w:type="dxa"/>
            <w:vAlign w:val="center"/>
          </w:tcPr>
          <w:p w14:paraId="109588C6">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场地内的环境噪声优于现行国家标准《声环境质量标准》GB3096的要求。</w:t>
            </w:r>
          </w:p>
        </w:tc>
        <w:tc>
          <w:tcPr>
            <w:tcW w:w="1118" w:type="dxa"/>
            <w:vAlign w:val="center"/>
          </w:tcPr>
          <w:p w14:paraId="7643FE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7F4AC2F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2D61720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w:t>
            </w:r>
          </w:p>
        </w:tc>
      </w:tr>
      <w:tr w14:paraId="5A72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5B4ECE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FA4A6A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242AF5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5A7C5C3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8.2.7</w:t>
            </w:r>
          </w:p>
        </w:tc>
        <w:tc>
          <w:tcPr>
            <w:tcW w:w="4291" w:type="dxa"/>
            <w:vAlign w:val="center"/>
          </w:tcPr>
          <w:p w14:paraId="79510D0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建筑及照明设计避免产生光污染。</w:t>
            </w:r>
          </w:p>
        </w:tc>
        <w:tc>
          <w:tcPr>
            <w:tcW w:w="1118" w:type="dxa"/>
            <w:vAlign w:val="center"/>
          </w:tcPr>
          <w:p w14:paraId="47AEF77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41DD54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52C1E49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建筑、电气</w:t>
            </w:r>
          </w:p>
        </w:tc>
      </w:tr>
      <w:tr w14:paraId="4EAE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0B276C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8F7544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E344F5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5DCE56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8.2.8</w:t>
            </w:r>
          </w:p>
        </w:tc>
        <w:tc>
          <w:tcPr>
            <w:tcW w:w="4291" w:type="dxa"/>
            <w:vAlign w:val="center"/>
          </w:tcPr>
          <w:p w14:paraId="0A0EF56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场地内风环境有利于室外行走、活动舒适和建筑的自然通风。</w:t>
            </w:r>
          </w:p>
        </w:tc>
        <w:tc>
          <w:tcPr>
            <w:tcW w:w="1118" w:type="dxa"/>
            <w:vAlign w:val="center"/>
          </w:tcPr>
          <w:p w14:paraId="072DF8B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305B774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w:t>
            </w:r>
          </w:p>
        </w:tc>
        <w:tc>
          <w:tcPr>
            <w:tcW w:w="1440" w:type="dxa"/>
            <w:vAlign w:val="center"/>
          </w:tcPr>
          <w:p w14:paraId="4B77B4E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w:t>
            </w:r>
          </w:p>
        </w:tc>
      </w:tr>
      <w:tr w14:paraId="70E2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5DD3EC4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7308F4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E645A9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F024AD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8.2.9</w:t>
            </w:r>
          </w:p>
        </w:tc>
        <w:tc>
          <w:tcPr>
            <w:tcW w:w="4291" w:type="dxa"/>
            <w:vAlign w:val="center"/>
          </w:tcPr>
          <w:p w14:paraId="2324734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 场地中处于建筑阴影区外的步道、游憩场、庭院、广场等室外活动场地设有乔木、花架等遮阴措施的面积比例，住宅建筑达到30%，公共建筑达到10％，得2分；住宅建筑达到50％，公共建筑达到20％，得3分；</w:t>
            </w:r>
          </w:p>
          <w:p w14:paraId="5887BA4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 场地中处于建筑阴影区外的机动车道，路面太阳辐射反射系数不小于0.4或设有遮荫面积较大的行道树的路段长度超过70%；</w:t>
            </w:r>
          </w:p>
          <w:p w14:paraId="38BA859B">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 屋顶的绿化面积、太阳能板水平投影面积以及太阳辐射反射系数不小于0.4的屋面面积合计达到75%。</w:t>
            </w:r>
          </w:p>
        </w:tc>
        <w:tc>
          <w:tcPr>
            <w:tcW w:w="1118" w:type="dxa"/>
            <w:vAlign w:val="center"/>
          </w:tcPr>
          <w:p w14:paraId="40F9E5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5F3658C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290155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规划、建筑、景观</w:t>
            </w:r>
          </w:p>
        </w:tc>
      </w:tr>
      <w:tr w14:paraId="4446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6F7CF6C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1F2C14D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1C5546C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875BD7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479D6027">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56193BE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0CC94FC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80</w:t>
            </w:r>
          </w:p>
        </w:tc>
        <w:tc>
          <w:tcPr>
            <w:tcW w:w="1440" w:type="dxa"/>
            <w:vAlign w:val="center"/>
          </w:tcPr>
          <w:p w14:paraId="1823AA9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767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restart"/>
            <w:vAlign w:val="center"/>
          </w:tcPr>
          <w:p w14:paraId="0F1C4C0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 提高创新</w:t>
            </w:r>
          </w:p>
        </w:tc>
        <w:tc>
          <w:tcPr>
            <w:tcW w:w="1159" w:type="dxa"/>
            <w:vMerge w:val="restart"/>
            <w:vAlign w:val="center"/>
          </w:tcPr>
          <w:p w14:paraId="2DE3E30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一般规定</w:t>
            </w:r>
          </w:p>
        </w:tc>
        <w:tc>
          <w:tcPr>
            <w:tcW w:w="1173" w:type="dxa"/>
            <w:vMerge w:val="restart"/>
            <w:vAlign w:val="center"/>
          </w:tcPr>
          <w:p w14:paraId="4EB300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C4097C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9.1.1</w:t>
            </w:r>
          </w:p>
        </w:tc>
        <w:tc>
          <w:tcPr>
            <w:tcW w:w="4291" w:type="dxa"/>
            <w:vAlign w:val="center"/>
          </w:tcPr>
          <w:p w14:paraId="42A66095">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绿色建筑评价时，应按本章规定对提高与创新项进行评价。</w:t>
            </w:r>
          </w:p>
        </w:tc>
        <w:tc>
          <w:tcPr>
            <w:tcW w:w="1118" w:type="dxa"/>
            <w:vAlign w:val="center"/>
          </w:tcPr>
          <w:p w14:paraId="4D6337C5">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2050" w:type="dxa"/>
            <w:gridSpan w:val="2"/>
            <w:vAlign w:val="center"/>
          </w:tcPr>
          <w:p w14:paraId="4DBA23B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440" w:type="dxa"/>
            <w:vAlign w:val="center"/>
          </w:tcPr>
          <w:p w14:paraId="1E837B6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778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8B171A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1123998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2D089A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663FB61">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9.1.2</w:t>
            </w:r>
          </w:p>
        </w:tc>
        <w:tc>
          <w:tcPr>
            <w:tcW w:w="4291" w:type="dxa"/>
            <w:vAlign w:val="center"/>
          </w:tcPr>
          <w:p w14:paraId="7C05F340">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提高与创新项得分为加分项得分之和，当得分大于100分时，应取为100分。</w:t>
            </w:r>
          </w:p>
        </w:tc>
        <w:tc>
          <w:tcPr>
            <w:tcW w:w="1118" w:type="dxa"/>
            <w:vAlign w:val="center"/>
          </w:tcPr>
          <w:p w14:paraId="68421754">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2050" w:type="dxa"/>
            <w:gridSpan w:val="2"/>
            <w:vAlign w:val="center"/>
          </w:tcPr>
          <w:p w14:paraId="748E7A4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440" w:type="dxa"/>
            <w:vAlign w:val="center"/>
          </w:tcPr>
          <w:p w14:paraId="1C254FF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C80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1AC914EF">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restart"/>
            <w:vAlign w:val="center"/>
          </w:tcPr>
          <w:p w14:paraId="4B284EF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加分项</w:t>
            </w:r>
          </w:p>
        </w:tc>
        <w:tc>
          <w:tcPr>
            <w:tcW w:w="1173" w:type="dxa"/>
            <w:vMerge w:val="restart"/>
            <w:vAlign w:val="center"/>
          </w:tcPr>
          <w:p w14:paraId="49019EA9">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825A8F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9.2.1</w:t>
            </w:r>
          </w:p>
        </w:tc>
        <w:tc>
          <w:tcPr>
            <w:tcW w:w="4291" w:type="dxa"/>
            <w:vAlign w:val="center"/>
          </w:tcPr>
          <w:p w14:paraId="0794F1A2">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采取措施进一步降低建筑供暖空调系统的能耗。</w:t>
            </w:r>
          </w:p>
        </w:tc>
        <w:tc>
          <w:tcPr>
            <w:tcW w:w="1118" w:type="dxa"/>
            <w:vAlign w:val="center"/>
          </w:tcPr>
          <w:p w14:paraId="48E6588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30</w:t>
            </w:r>
          </w:p>
        </w:tc>
        <w:tc>
          <w:tcPr>
            <w:tcW w:w="2050" w:type="dxa"/>
            <w:gridSpan w:val="2"/>
            <w:vAlign w:val="center"/>
          </w:tcPr>
          <w:p w14:paraId="763E0AB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55C7194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6FD2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E22BFA3">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4EDECA2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49F0A3F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7A077D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9.2.2</w:t>
            </w:r>
          </w:p>
        </w:tc>
        <w:tc>
          <w:tcPr>
            <w:tcW w:w="4291" w:type="dxa"/>
            <w:vAlign w:val="center"/>
          </w:tcPr>
          <w:p w14:paraId="789943CE">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采用适宜地区特色的建筑风貌设计，因地制宜传承地域建筑文</w:t>
            </w:r>
          </w:p>
          <w:p w14:paraId="2A9F779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化。</w:t>
            </w:r>
          </w:p>
        </w:tc>
        <w:tc>
          <w:tcPr>
            <w:tcW w:w="1118" w:type="dxa"/>
            <w:vAlign w:val="center"/>
          </w:tcPr>
          <w:p w14:paraId="021D77E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012178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617F2E2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141D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72B0BB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00ED8622">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C2A767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24C2363">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9.2.3</w:t>
            </w:r>
          </w:p>
        </w:tc>
        <w:tc>
          <w:tcPr>
            <w:tcW w:w="4291" w:type="dxa"/>
            <w:vAlign w:val="center"/>
          </w:tcPr>
          <w:p w14:paraId="4533C13D">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合理选用废弃场地进行建设，或充分利用尚可使用的旧建筑。</w:t>
            </w:r>
          </w:p>
        </w:tc>
        <w:tc>
          <w:tcPr>
            <w:tcW w:w="1118" w:type="dxa"/>
            <w:vAlign w:val="center"/>
          </w:tcPr>
          <w:p w14:paraId="7FA1E1E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8</w:t>
            </w:r>
          </w:p>
        </w:tc>
        <w:tc>
          <w:tcPr>
            <w:tcW w:w="2050" w:type="dxa"/>
            <w:gridSpan w:val="2"/>
            <w:vAlign w:val="center"/>
          </w:tcPr>
          <w:p w14:paraId="016FC0B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EF9F5C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A25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37785EB1">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B61C8F8">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95CAFF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182FBBF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9.2.4</w:t>
            </w:r>
          </w:p>
        </w:tc>
        <w:tc>
          <w:tcPr>
            <w:tcW w:w="4291" w:type="dxa"/>
            <w:vAlign w:val="center"/>
          </w:tcPr>
          <w:p w14:paraId="15A2E7AF">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场地绿容率不低于3.0。</w:t>
            </w:r>
          </w:p>
        </w:tc>
        <w:tc>
          <w:tcPr>
            <w:tcW w:w="1118" w:type="dxa"/>
            <w:vAlign w:val="center"/>
          </w:tcPr>
          <w:p w14:paraId="1C6414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5</w:t>
            </w:r>
          </w:p>
        </w:tc>
        <w:tc>
          <w:tcPr>
            <w:tcW w:w="2050" w:type="dxa"/>
            <w:gridSpan w:val="2"/>
            <w:vAlign w:val="center"/>
          </w:tcPr>
          <w:p w14:paraId="4554AB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564C83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2791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038B4086">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5831807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77F4D37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3C5D385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9.2.5</w:t>
            </w:r>
          </w:p>
        </w:tc>
        <w:tc>
          <w:tcPr>
            <w:tcW w:w="4291" w:type="dxa"/>
            <w:vAlign w:val="center"/>
          </w:tcPr>
          <w:p w14:paraId="17CB6854">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采用符合工业化建造要求的结构体系与建筑构件。</w:t>
            </w:r>
          </w:p>
        </w:tc>
        <w:tc>
          <w:tcPr>
            <w:tcW w:w="1118" w:type="dxa"/>
            <w:vAlign w:val="center"/>
          </w:tcPr>
          <w:p w14:paraId="020BAFF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2050" w:type="dxa"/>
            <w:gridSpan w:val="2"/>
            <w:vAlign w:val="center"/>
          </w:tcPr>
          <w:p w14:paraId="240A004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005E35B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986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4EA2A4C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664895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A0F29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D233BE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9.2.6</w:t>
            </w:r>
          </w:p>
        </w:tc>
        <w:tc>
          <w:tcPr>
            <w:tcW w:w="4291" w:type="dxa"/>
            <w:vAlign w:val="center"/>
          </w:tcPr>
          <w:p w14:paraId="432712F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应用建筑信息模拟（BIM）技术。</w:t>
            </w:r>
          </w:p>
        </w:tc>
        <w:tc>
          <w:tcPr>
            <w:tcW w:w="1118" w:type="dxa"/>
            <w:vAlign w:val="center"/>
          </w:tcPr>
          <w:p w14:paraId="67F4723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15</w:t>
            </w:r>
          </w:p>
        </w:tc>
        <w:tc>
          <w:tcPr>
            <w:tcW w:w="2050" w:type="dxa"/>
            <w:gridSpan w:val="2"/>
            <w:vAlign w:val="center"/>
          </w:tcPr>
          <w:p w14:paraId="2FCB56A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w:t>
            </w:r>
          </w:p>
        </w:tc>
        <w:tc>
          <w:tcPr>
            <w:tcW w:w="1440" w:type="dxa"/>
            <w:vAlign w:val="center"/>
          </w:tcPr>
          <w:p w14:paraId="13EC00E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全专业</w:t>
            </w:r>
          </w:p>
        </w:tc>
      </w:tr>
      <w:tr w14:paraId="560D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DA95449">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6675D9FE">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1FA6E57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7B1028B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9.2.7</w:t>
            </w:r>
          </w:p>
        </w:tc>
        <w:tc>
          <w:tcPr>
            <w:tcW w:w="4291" w:type="dxa"/>
            <w:vAlign w:val="center"/>
          </w:tcPr>
          <w:p w14:paraId="40228B0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进行建筑碳排放计算分析，采取措施降低单位建筑面积碳排放强度。</w:t>
            </w:r>
          </w:p>
        </w:tc>
        <w:tc>
          <w:tcPr>
            <w:tcW w:w="1118" w:type="dxa"/>
            <w:vAlign w:val="center"/>
          </w:tcPr>
          <w:p w14:paraId="3D15F5F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2050" w:type="dxa"/>
            <w:gridSpan w:val="2"/>
            <w:vAlign w:val="center"/>
          </w:tcPr>
          <w:p w14:paraId="6DD3A1DF">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12</w:t>
            </w:r>
          </w:p>
        </w:tc>
        <w:tc>
          <w:tcPr>
            <w:tcW w:w="1440" w:type="dxa"/>
            <w:vAlign w:val="center"/>
          </w:tcPr>
          <w:p w14:paraId="0E3ADE3D">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全专业</w:t>
            </w:r>
          </w:p>
        </w:tc>
      </w:tr>
      <w:tr w14:paraId="6F11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63709A5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D7A9AB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593233B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7BCE35B">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9.2.8</w:t>
            </w:r>
          </w:p>
        </w:tc>
        <w:tc>
          <w:tcPr>
            <w:tcW w:w="4291" w:type="dxa"/>
            <w:vAlign w:val="center"/>
          </w:tcPr>
          <w:p w14:paraId="65602A29">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按照绿色施工的要求进行施工和管理。</w:t>
            </w:r>
          </w:p>
        </w:tc>
        <w:tc>
          <w:tcPr>
            <w:tcW w:w="1118" w:type="dxa"/>
            <w:vAlign w:val="center"/>
          </w:tcPr>
          <w:p w14:paraId="729C9A4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6E2C17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60CCC36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4B0A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2F845CAA">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35707C4D">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6AEAB71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6F002C6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9.2.9</w:t>
            </w:r>
          </w:p>
        </w:tc>
        <w:tc>
          <w:tcPr>
            <w:tcW w:w="4291" w:type="dxa"/>
            <w:vAlign w:val="center"/>
          </w:tcPr>
          <w:p w14:paraId="53847F9A">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采用建设工程质量潜在缺陷保险产品。</w:t>
            </w:r>
          </w:p>
        </w:tc>
        <w:tc>
          <w:tcPr>
            <w:tcW w:w="1118" w:type="dxa"/>
            <w:vAlign w:val="center"/>
          </w:tcPr>
          <w:p w14:paraId="31D3D9A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2050" w:type="dxa"/>
            <w:gridSpan w:val="2"/>
            <w:vAlign w:val="center"/>
          </w:tcPr>
          <w:p w14:paraId="3AF7691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20</w:t>
            </w:r>
          </w:p>
        </w:tc>
        <w:tc>
          <w:tcPr>
            <w:tcW w:w="1440" w:type="dxa"/>
            <w:vAlign w:val="center"/>
          </w:tcPr>
          <w:p w14:paraId="3C71D40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其他</w:t>
            </w:r>
          </w:p>
        </w:tc>
      </w:tr>
      <w:tr w14:paraId="190E7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Merge w:val="continue"/>
            <w:vAlign w:val="center"/>
          </w:tcPr>
          <w:p w14:paraId="7F964CA0">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59" w:type="dxa"/>
            <w:vMerge w:val="continue"/>
            <w:vAlign w:val="center"/>
          </w:tcPr>
          <w:p w14:paraId="75792C6C">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Merge w:val="continue"/>
            <w:vAlign w:val="center"/>
          </w:tcPr>
          <w:p w14:paraId="063C694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2EC43FD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9.2.10</w:t>
            </w:r>
          </w:p>
        </w:tc>
        <w:tc>
          <w:tcPr>
            <w:tcW w:w="4291" w:type="dxa"/>
            <w:vAlign w:val="center"/>
          </w:tcPr>
          <w:p w14:paraId="71FBEEB3">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采取节约资源、保护生态环境、保障安全健康、智慧友好运行、</w:t>
            </w:r>
          </w:p>
          <w:p w14:paraId="58C57B5C">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传承历史文化等其他创新，并有明显效益。</w:t>
            </w:r>
          </w:p>
        </w:tc>
        <w:tc>
          <w:tcPr>
            <w:tcW w:w="1118" w:type="dxa"/>
            <w:vAlign w:val="center"/>
          </w:tcPr>
          <w:p w14:paraId="76638E0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w:t>
            </w:r>
          </w:p>
        </w:tc>
        <w:tc>
          <w:tcPr>
            <w:tcW w:w="2050" w:type="dxa"/>
            <w:gridSpan w:val="2"/>
            <w:vAlign w:val="center"/>
          </w:tcPr>
          <w:p w14:paraId="0F26869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0</w:t>
            </w:r>
          </w:p>
        </w:tc>
        <w:tc>
          <w:tcPr>
            <w:tcW w:w="1440" w:type="dxa"/>
            <w:vAlign w:val="center"/>
          </w:tcPr>
          <w:p w14:paraId="41EB390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3BC0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8" w:type="dxa"/>
            <w:vAlign w:val="center"/>
          </w:tcPr>
          <w:p w14:paraId="0949B49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小计</w:t>
            </w:r>
          </w:p>
        </w:tc>
        <w:tc>
          <w:tcPr>
            <w:tcW w:w="1159" w:type="dxa"/>
            <w:vAlign w:val="center"/>
          </w:tcPr>
          <w:p w14:paraId="24D4C0E7">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1173" w:type="dxa"/>
            <w:vAlign w:val="center"/>
          </w:tcPr>
          <w:p w14:paraId="48EF596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c>
          <w:tcPr>
            <w:tcW w:w="1145" w:type="dxa"/>
            <w:vAlign w:val="center"/>
          </w:tcPr>
          <w:p w14:paraId="4F5CD74B">
            <w:pPr>
              <w:pStyle w:val="38"/>
              <w:widowControl w:val="0"/>
              <w:adjustRightInd w:val="0"/>
              <w:snapToGrid w:val="0"/>
              <w:spacing w:line="240" w:lineRule="auto"/>
              <w:ind w:firstLine="0"/>
              <w:jc w:val="center"/>
              <w:rPr>
                <w:rFonts w:hint="eastAsia" w:ascii="仿宋_GB2312" w:hAnsi="仿宋_GB2312" w:eastAsia="仿宋_GB2312" w:cs="仿宋_GB2312"/>
                <w:color w:val="auto"/>
                <w:sz w:val="24"/>
                <w:szCs w:val="24"/>
                <w:highlight w:val="none"/>
                <w:vertAlign w:val="baseline"/>
                <w:lang w:val="en-US" w:eastAsia="zh-CN"/>
              </w:rPr>
            </w:pPr>
          </w:p>
        </w:tc>
        <w:tc>
          <w:tcPr>
            <w:tcW w:w="4291" w:type="dxa"/>
            <w:vAlign w:val="center"/>
          </w:tcPr>
          <w:p w14:paraId="14ED2678">
            <w:pPr>
              <w:pStyle w:val="38"/>
              <w:widowControl w:val="0"/>
              <w:adjustRightInd w:val="0"/>
              <w:snapToGrid w:val="0"/>
              <w:spacing w:line="240" w:lineRule="auto"/>
              <w:ind w:firstLine="0"/>
              <w:jc w:val="left"/>
              <w:rPr>
                <w:rFonts w:hint="eastAsia" w:ascii="仿宋_GB2312" w:hAnsi="仿宋_GB2312" w:eastAsia="仿宋_GB2312" w:cs="仿宋_GB2312"/>
                <w:color w:val="auto"/>
                <w:sz w:val="24"/>
                <w:szCs w:val="24"/>
                <w:highlight w:val="none"/>
                <w:vertAlign w:val="baseline"/>
                <w:lang w:val="en-US" w:eastAsia="zh-CN"/>
              </w:rPr>
            </w:pPr>
          </w:p>
        </w:tc>
        <w:tc>
          <w:tcPr>
            <w:tcW w:w="1118" w:type="dxa"/>
            <w:vAlign w:val="center"/>
          </w:tcPr>
          <w:p w14:paraId="1A38F9F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100</w:t>
            </w:r>
          </w:p>
        </w:tc>
        <w:tc>
          <w:tcPr>
            <w:tcW w:w="2050" w:type="dxa"/>
            <w:gridSpan w:val="2"/>
            <w:vAlign w:val="center"/>
          </w:tcPr>
          <w:p w14:paraId="221D490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42</w:t>
            </w:r>
          </w:p>
        </w:tc>
        <w:tc>
          <w:tcPr>
            <w:tcW w:w="1440" w:type="dxa"/>
            <w:vAlign w:val="center"/>
          </w:tcPr>
          <w:p w14:paraId="6B4A9F7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bl>
    <w:p w14:paraId="7495EA17">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186C7728">
      <w:pPr>
        <w:rPr>
          <w:color w:val="auto"/>
          <w:highlight w:val="none"/>
        </w:rPr>
        <w:sectPr>
          <w:pgSz w:w="16838" w:h="11906" w:orient="landscape"/>
          <w:pgMar w:top="1800" w:right="1440" w:bottom="1800" w:left="1440" w:header="851" w:footer="992" w:gutter="0"/>
          <w:cols w:space="425" w:num="1"/>
          <w:docGrid w:type="lines" w:linePitch="312" w:charSpace="0"/>
        </w:sectPr>
      </w:pPr>
    </w:p>
    <w:p w14:paraId="374FEA82">
      <w:pPr>
        <w:pStyle w:val="38"/>
        <w:adjustRightInd w:val="0"/>
        <w:snapToGrid w:val="0"/>
        <w:spacing w:line="360" w:lineRule="auto"/>
        <w:ind w:firstLine="0" w:firstLineChars="0"/>
        <w:jc w:val="center"/>
        <w:outlineLvl w:val="0"/>
        <w:rPr>
          <w:rFonts w:hint="eastAsia" w:ascii="黑体" w:hAnsi="黑体" w:eastAsia="黑体" w:cs="黑体"/>
          <w:color w:val="auto"/>
          <w:sz w:val="32"/>
          <w:szCs w:val="32"/>
          <w:highlight w:val="none"/>
          <w:lang w:val="en-US" w:eastAsia="zh-CN"/>
        </w:rPr>
      </w:pPr>
      <w:r>
        <w:rPr>
          <w:rStyle w:val="30"/>
          <w:rFonts w:hint="eastAsia" w:ascii="黑体" w:hAnsi="黑体" w:eastAsia="黑体" w:cs="黑体"/>
          <w:color w:val="auto"/>
          <w:sz w:val="32"/>
          <w:szCs w:val="32"/>
          <w:highlight w:val="none"/>
          <w:lang w:val="en-US" w:eastAsia="zh-CN"/>
        </w:rPr>
        <w:t>第十一章 海绵城市设计专篇</w:t>
      </w:r>
    </w:p>
    <w:p w14:paraId="32163AC7">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楷体" w:hAnsi="楷体" w:eastAsia="楷体" w:cs="楷体"/>
          <w:color w:val="auto"/>
          <w:sz w:val="32"/>
          <w:szCs w:val="32"/>
          <w:highlight w:val="none"/>
          <w:lang w:val="en-US" w:eastAsia="zh-CN"/>
        </w:rPr>
        <w:t>第一条</w:t>
      </w:r>
      <w:r>
        <w:rPr>
          <w:rStyle w:val="30"/>
          <w:rFonts w:hint="eastAsia" w:ascii="仿宋_GB2312" w:hAnsi="仿宋_GB2312" w:eastAsia="仿宋_GB2312" w:cs="仿宋_GB2312"/>
          <w:color w:val="auto"/>
          <w:sz w:val="32"/>
          <w:szCs w:val="32"/>
          <w:highlight w:val="none"/>
          <w:lang w:val="en-US" w:eastAsia="zh-CN"/>
        </w:rPr>
        <w:t xml:space="preserve"> 海绵城市设计要求及内容</w:t>
      </w:r>
    </w:p>
    <w:p w14:paraId="481B5A0C">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（一）设计要求</w:t>
      </w:r>
    </w:p>
    <w:p w14:paraId="56739011">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1.在限额设计的基础上保障安置区海绵城市专项设计满足广州市海绵城市建设要求。使设计满足安全、卫生、适用、经济等性能要求。</w:t>
      </w:r>
    </w:p>
    <w:p w14:paraId="202D99EE">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2.制定各控制指标项，实现安置区设计的标准化。</w:t>
      </w:r>
    </w:p>
    <w:p w14:paraId="361D4F1C">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3.主要设计规范</w:t>
      </w:r>
    </w:p>
    <w:p w14:paraId="59ADC193">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（1）《广州市建设项目雨水径流控制办法》（广州市人民政府令第107号）</w:t>
      </w:r>
    </w:p>
    <w:p w14:paraId="212CC699">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（2）《广州市海绵城市规划设计导则——低影响开发系统构建》2017.11</w:t>
      </w:r>
    </w:p>
    <w:p w14:paraId="2159AE41">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（3）《广州市海绵城市专项规划（2012～2030）》</w:t>
      </w:r>
    </w:p>
    <w:p w14:paraId="4F920F8D">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（4）《广州市建设项目海绵城市建设管控指标分类指引（试行）》（穗水河湖〔2020〕7号）</w:t>
      </w:r>
    </w:p>
    <w:p w14:paraId="7178C991">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（5）《广州市海绵城市建设专篇编制要点》（2021年5月1日执行）</w:t>
      </w:r>
    </w:p>
    <w:p w14:paraId="57B49806">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（6）《广州市海绵城市建设实施方案（2021-2025年）</w:t>
      </w:r>
    </w:p>
    <w:p w14:paraId="7E49A3C1">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（二）设计内容</w:t>
      </w:r>
    </w:p>
    <w:p w14:paraId="057980BF">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1.关键指标</w:t>
      </w:r>
    </w:p>
    <w:p w14:paraId="0BBCFDAF">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（1）总体控制指标详见下表：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82"/>
        <w:gridCol w:w="1778"/>
        <w:gridCol w:w="1789"/>
        <w:gridCol w:w="2705"/>
      </w:tblGrid>
      <w:tr w14:paraId="44C85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Align w:val="center"/>
          </w:tcPr>
          <w:p w14:paraId="5401547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编号</w:t>
            </w:r>
          </w:p>
        </w:tc>
        <w:tc>
          <w:tcPr>
            <w:tcW w:w="1582" w:type="dxa"/>
            <w:vAlign w:val="center"/>
          </w:tcPr>
          <w:p w14:paraId="24C4A4A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指标</w:t>
            </w:r>
          </w:p>
        </w:tc>
        <w:tc>
          <w:tcPr>
            <w:tcW w:w="1778" w:type="dxa"/>
            <w:vAlign w:val="center"/>
          </w:tcPr>
          <w:p w14:paraId="7437F35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控制值</w:t>
            </w:r>
          </w:p>
        </w:tc>
        <w:tc>
          <w:tcPr>
            <w:tcW w:w="1789" w:type="dxa"/>
            <w:vAlign w:val="center"/>
          </w:tcPr>
          <w:p w14:paraId="70BC8444">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类型</w:t>
            </w:r>
          </w:p>
        </w:tc>
        <w:tc>
          <w:tcPr>
            <w:tcW w:w="2705" w:type="dxa"/>
            <w:vAlign w:val="center"/>
          </w:tcPr>
          <w:p w14:paraId="2FE060E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备注</w:t>
            </w:r>
          </w:p>
        </w:tc>
      </w:tr>
      <w:tr w14:paraId="0279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Align w:val="center"/>
          </w:tcPr>
          <w:p w14:paraId="1DC2C1A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1</w:t>
            </w:r>
          </w:p>
        </w:tc>
        <w:tc>
          <w:tcPr>
            <w:tcW w:w="1582" w:type="dxa"/>
            <w:vAlign w:val="center"/>
          </w:tcPr>
          <w:p w14:paraId="7EBE98B9">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年径流总量控制率</w:t>
            </w:r>
          </w:p>
        </w:tc>
        <w:tc>
          <w:tcPr>
            <w:tcW w:w="1778" w:type="dxa"/>
            <w:vAlign w:val="center"/>
          </w:tcPr>
          <w:p w14:paraId="44684353">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按规划中管控单元取值</w:t>
            </w:r>
          </w:p>
        </w:tc>
        <w:tc>
          <w:tcPr>
            <w:tcW w:w="1789" w:type="dxa"/>
            <w:vAlign w:val="center"/>
          </w:tcPr>
          <w:p w14:paraId="69DDCC7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强制性指标</w:t>
            </w:r>
          </w:p>
        </w:tc>
        <w:tc>
          <w:tcPr>
            <w:tcW w:w="2705" w:type="dxa"/>
            <w:vAlign w:val="center"/>
          </w:tcPr>
          <w:p w14:paraId="2FA69A69">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实际控制率以不超过规划指标2%为宜，控制工程量。</w:t>
            </w:r>
          </w:p>
        </w:tc>
      </w:tr>
      <w:tr w14:paraId="01C8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Align w:val="center"/>
          </w:tcPr>
          <w:p w14:paraId="5952BFF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2</w:t>
            </w:r>
          </w:p>
        </w:tc>
        <w:tc>
          <w:tcPr>
            <w:tcW w:w="1582" w:type="dxa"/>
            <w:vAlign w:val="center"/>
          </w:tcPr>
          <w:p w14:paraId="426E0A59">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年径流污染削减率</w:t>
            </w:r>
          </w:p>
        </w:tc>
        <w:tc>
          <w:tcPr>
            <w:tcW w:w="1778" w:type="dxa"/>
            <w:vAlign w:val="center"/>
          </w:tcPr>
          <w:p w14:paraId="46058BCE">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按规划中管控单元取值</w:t>
            </w:r>
          </w:p>
        </w:tc>
        <w:tc>
          <w:tcPr>
            <w:tcW w:w="1789" w:type="dxa"/>
            <w:vAlign w:val="center"/>
          </w:tcPr>
          <w:p w14:paraId="40271467">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强制性指标</w:t>
            </w:r>
          </w:p>
        </w:tc>
        <w:tc>
          <w:tcPr>
            <w:tcW w:w="2705" w:type="dxa"/>
            <w:vAlign w:val="center"/>
          </w:tcPr>
          <w:p w14:paraId="03BD35A5">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1F6C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Align w:val="center"/>
          </w:tcPr>
          <w:p w14:paraId="2391146A">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3</w:t>
            </w:r>
          </w:p>
        </w:tc>
        <w:tc>
          <w:tcPr>
            <w:tcW w:w="1582" w:type="dxa"/>
            <w:vAlign w:val="center"/>
          </w:tcPr>
          <w:p w14:paraId="36815792">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室外可渗透地面率</w:t>
            </w:r>
          </w:p>
        </w:tc>
        <w:tc>
          <w:tcPr>
            <w:tcW w:w="1778" w:type="dxa"/>
            <w:vAlign w:val="center"/>
          </w:tcPr>
          <w:p w14:paraId="0C41ED7E">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40%</w:t>
            </w:r>
          </w:p>
        </w:tc>
        <w:tc>
          <w:tcPr>
            <w:tcW w:w="1789" w:type="dxa"/>
            <w:vAlign w:val="center"/>
          </w:tcPr>
          <w:p w14:paraId="34B8293C">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强制性指标</w:t>
            </w:r>
          </w:p>
        </w:tc>
        <w:tc>
          <w:tcPr>
            <w:tcW w:w="2705" w:type="dxa"/>
            <w:vAlign w:val="center"/>
          </w:tcPr>
          <w:p w14:paraId="287EEF2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5AF5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Align w:val="center"/>
          </w:tcPr>
          <w:p w14:paraId="1960EF2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4</w:t>
            </w:r>
          </w:p>
        </w:tc>
        <w:tc>
          <w:tcPr>
            <w:tcW w:w="1582" w:type="dxa"/>
            <w:vAlign w:val="center"/>
          </w:tcPr>
          <w:p w14:paraId="449E23A6">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透水铺装率</w:t>
            </w:r>
          </w:p>
        </w:tc>
        <w:tc>
          <w:tcPr>
            <w:tcW w:w="1778" w:type="dxa"/>
            <w:vAlign w:val="center"/>
          </w:tcPr>
          <w:p w14:paraId="5A0CA972">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70%</w:t>
            </w:r>
          </w:p>
        </w:tc>
        <w:tc>
          <w:tcPr>
            <w:tcW w:w="1789" w:type="dxa"/>
            <w:vAlign w:val="center"/>
          </w:tcPr>
          <w:p w14:paraId="67A0E338">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强制性指标</w:t>
            </w:r>
          </w:p>
        </w:tc>
        <w:tc>
          <w:tcPr>
            <w:tcW w:w="2705" w:type="dxa"/>
            <w:vAlign w:val="center"/>
          </w:tcPr>
          <w:p w14:paraId="43713E90">
            <w:pPr>
              <w:pStyle w:val="38"/>
              <w:widowControl w:val="0"/>
              <w:adjustRightInd w:val="0"/>
              <w:snapToGrid w:val="0"/>
              <w:spacing w:line="240" w:lineRule="auto"/>
              <w:ind w:firstLine="0"/>
              <w:jc w:val="center"/>
              <w:rPr>
                <w:rFonts w:hint="default" w:ascii="仿宋_GB2312" w:hAnsi="仿宋_GB2312" w:eastAsia="仿宋_GB2312" w:cs="仿宋_GB2312"/>
                <w:color w:val="auto"/>
                <w:sz w:val="24"/>
                <w:szCs w:val="24"/>
                <w:highlight w:val="none"/>
                <w:vertAlign w:val="baseline"/>
                <w:lang w:val="en-US" w:eastAsia="zh-CN"/>
              </w:rPr>
            </w:pPr>
          </w:p>
        </w:tc>
      </w:tr>
      <w:tr w14:paraId="0393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18" w:type="dxa"/>
            <w:gridSpan w:val="5"/>
            <w:vAlign w:val="center"/>
          </w:tcPr>
          <w:p w14:paraId="42C75FB3">
            <w:pPr>
              <w:pStyle w:val="38"/>
              <w:widowControl w:val="0"/>
              <w:adjustRightInd w:val="0"/>
              <w:snapToGrid w:val="0"/>
              <w:spacing w:line="240" w:lineRule="auto"/>
              <w:ind w:firstLine="0"/>
              <w:jc w:val="left"/>
              <w:rPr>
                <w:rFonts w:hint="default" w:ascii="仿宋_GB2312" w:hAnsi="仿宋_GB2312" w:eastAsia="仿宋_GB2312" w:cs="仿宋_GB2312"/>
                <w:color w:val="auto"/>
                <w:sz w:val="24"/>
                <w:szCs w:val="24"/>
                <w:highlight w:val="none"/>
                <w:vertAlign w:val="baseline"/>
                <w:lang w:val="en-US" w:eastAsia="zh-CN"/>
              </w:rPr>
            </w:pPr>
            <w:r>
              <w:rPr>
                <w:rStyle w:val="30"/>
                <w:rFonts w:hint="eastAsia" w:ascii="仿宋_GB2312" w:hAnsi="仿宋_GB2312" w:eastAsia="仿宋_GB2312" w:cs="仿宋_GB2312"/>
                <w:color w:val="auto"/>
                <w:sz w:val="24"/>
                <w:szCs w:val="24"/>
                <w:highlight w:val="none"/>
                <w:vertAlign w:val="baseline"/>
                <w:lang w:val="en-US" w:eastAsia="zh-CN"/>
              </w:rPr>
              <w:t>注：广州新建项目1万平方米以上的项目，每万平米硬化面积应当配建不少于500立方米的雨水调蓄设施。</w:t>
            </w:r>
          </w:p>
        </w:tc>
      </w:tr>
    </w:tbl>
    <w:p w14:paraId="4E036EF5">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p>
    <w:p w14:paraId="60071BA4">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（2）《广州市建设项目海绵城市建设管控指标分类指引》（穗水河湖〔2020〕7号）中的透水铺装率指标为鼓励项，建议将该指标修改为以规划条件为准，如规划条件为鼓励项可按鼓励项执行。</w:t>
      </w:r>
    </w:p>
    <w:p w14:paraId="1AD4FAAD">
      <w:pPr>
        <w:pStyle w:val="38"/>
        <w:adjustRightInd w:val="0"/>
        <w:snapToGrid w:val="0"/>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2.通用指标</w:t>
      </w:r>
    </w:p>
    <w:p w14:paraId="4085FE8C">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default" w:ascii="仿宋_GB2312" w:hAnsi="仿宋_GB2312" w:eastAsia="仿宋_GB2312" w:cs="仿宋_GB2312"/>
          <w:color w:val="auto"/>
          <w:sz w:val="32"/>
          <w:szCs w:val="32"/>
          <w:highlight w:val="none"/>
          <w:lang w:val="en-US" w:eastAsia="zh-CN"/>
        </w:rPr>
        <w:t>海绵城市措施设计选择时，应结合景观设计要求采用下凹绿地、雨水花园、透水铺装、绿色屋面等绿色生态形式，尽量减少雨水调蓄池等设施规模。主要措施推荐做法如下：</w:t>
      </w:r>
    </w:p>
    <w:p w14:paraId="77DF02D8">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（1）</w:t>
      </w:r>
      <w:r>
        <w:rPr>
          <w:rStyle w:val="30"/>
          <w:rFonts w:hint="default" w:ascii="仿宋_GB2312" w:hAnsi="仿宋_GB2312" w:eastAsia="仿宋_GB2312" w:cs="仿宋_GB2312"/>
          <w:color w:val="auto"/>
          <w:sz w:val="32"/>
          <w:szCs w:val="32"/>
          <w:highlight w:val="none"/>
          <w:lang w:val="en-US" w:eastAsia="zh-CN"/>
        </w:rPr>
        <w:t>下沉式绿地：下凹绿地标高按照比周边地坪低0.20m控制，调蓄深度按照0.15m设计。下沉式绿地内设置溢流口，超过蓄存容量的雨水通过溢流口进入到场地的雨水管网中。</w:t>
      </w:r>
    </w:p>
    <w:p w14:paraId="59604715">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（2）</w:t>
      </w:r>
      <w:r>
        <w:rPr>
          <w:rStyle w:val="30"/>
          <w:rFonts w:hint="default" w:ascii="仿宋_GB2312" w:hAnsi="仿宋_GB2312" w:eastAsia="仿宋_GB2312" w:cs="仿宋_GB2312"/>
          <w:color w:val="auto"/>
          <w:sz w:val="32"/>
          <w:szCs w:val="32"/>
          <w:highlight w:val="none"/>
          <w:lang w:val="en-US" w:eastAsia="zh-CN"/>
        </w:rPr>
        <w:t>雨水花园：雨水花园标高按照比周边地坪低0.30m控制，调蓄深度按照0.25m设计。花园内设置溢流口，超过蓄存容量的雨水通过溢流口进入到场地的雨水管网中。</w:t>
      </w:r>
    </w:p>
    <w:p w14:paraId="291C12C2">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（3）</w:t>
      </w:r>
      <w:r>
        <w:rPr>
          <w:rStyle w:val="30"/>
          <w:rFonts w:hint="default" w:ascii="仿宋_GB2312" w:hAnsi="仿宋_GB2312" w:eastAsia="仿宋_GB2312" w:cs="仿宋_GB2312"/>
          <w:color w:val="auto"/>
          <w:sz w:val="32"/>
          <w:szCs w:val="32"/>
          <w:highlight w:val="none"/>
          <w:lang w:val="en-US" w:eastAsia="zh-CN"/>
        </w:rPr>
        <w:t>透水铺装：要景观园路及活动广场材料选用透水砖为主，主园路采用透水砖与透水沥青相结合的设计方式。景观地面停车位饰面为植草砖材料。</w:t>
      </w:r>
    </w:p>
    <w:p w14:paraId="2217CDC0">
      <w:pPr>
        <w:pStyle w:val="38"/>
        <w:adjustRightInd w:val="0"/>
        <w:snapToGrid w:val="0"/>
        <w:spacing w:line="360" w:lineRule="auto"/>
        <w:ind w:firstLine="640" w:firstLineChars="200"/>
        <w:rPr>
          <w:rFonts w:hint="default" w:ascii="仿宋_GB2312" w:hAnsi="仿宋_GB2312" w:eastAsia="仿宋_GB2312" w:cs="仿宋_GB2312"/>
          <w:color w:val="auto"/>
          <w:sz w:val="32"/>
          <w:szCs w:val="32"/>
          <w:highlight w:val="none"/>
          <w:lang w:val="en-US" w:eastAsia="zh-CN"/>
        </w:rPr>
      </w:pPr>
      <w:r>
        <w:rPr>
          <w:rStyle w:val="30"/>
          <w:rFonts w:hint="eastAsia" w:ascii="仿宋_GB2312" w:hAnsi="仿宋_GB2312" w:eastAsia="仿宋_GB2312" w:cs="仿宋_GB2312"/>
          <w:color w:val="auto"/>
          <w:sz w:val="32"/>
          <w:szCs w:val="32"/>
          <w:highlight w:val="none"/>
          <w:lang w:val="en-US" w:eastAsia="zh-CN"/>
        </w:rPr>
        <w:t>（4）</w:t>
      </w:r>
      <w:r>
        <w:rPr>
          <w:rStyle w:val="30"/>
          <w:rFonts w:hint="default" w:ascii="仿宋_GB2312" w:hAnsi="仿宋_GB2312" w:eastAsia="仿宋_GB2312" w:cs="仿宋_GB2312"/>
          <w:color w:val="auto"/>
          <w:sz w:val="32"/>
          <w:szCs w:val="32"/>
          <w:highlight w:val="none"/>
          <w:lang w:val="en-US" w:eastAsia="zh-CN"/>
        </w:rPr>
        <w:t>雨水调蓄池：雨水调蓄池的形式有调蓄池结合地下室设置、室外现浇调蓄池、室外成品PPP模块调蓄池或钢筋混凝土成品罐。根据项目实际情况选择相应形式的调蓄池。</w:t>
      </w:r>
    </w:p>
    <w:bookmarkEnd w:id="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BF81">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E259D">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0E259D">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8A8B4"/>
    <w:multiLevelType w:val="singleLevel"/>
    <w:tmpl w:val="8288A8B4"/>
    <w:lvl w:ilvl="0" w:tentative="0">
      <w:start w:val="1"/>
      <w:numFmt w:val="decimal"/>
      <w:suff w:val="space"/>
      <w:lvlText w:val="%1."/>
      <w:lvlJc w:val="left"/>
    </w:lvl>
  </w:abstractNum>
  <w:abstractNum w:abstractNumId="1">
    <w:nsid w:val="A53F12CB"/>
    <w:multiLevelType w:val="singleLevel"/>
    <w:tmpl w:val="A53F12CB"/>
    <w:lvl w:ilvl="0" w:tentative="0">
      <w:start w:val="1"/>
      <w:numFmt w:val="lowerLetter"/>
      <w:suff w:val="space"/>
      <w:lvlText w:val="%1."/>
      <w:lvlJc w:val="left"/>
    </w:lvl>
  </w:abstractNum>
  <w:abstractNum w:abstractNumId="2">
    <w:nsid w:val="A64568C2"/>
    <w:multiLevelType w:val="singleLevel"/>
    <w:tmpl w:val="A64568C2"/>
    <w:lvl w:ilvl="0" w:tentative="0">
      <w:start w:val="2"/>
      <w:numFmt w:val="chineseCounting"/>
      <w:suff w:val="space"/>
      <w:lvlText w:val="第%1条"/>
      <w:lvlJc w:val="left"/>
      <w:rPr>
        <w:rFonts w:hint="eastAsia"/>
      </w:rPr>
    </w:lvl>
  </w:abstractNum>
  <w:abstractNum w:abstractNumId="3">
    <w:nsid w:val="AC6ECBB5"/>
    <w:multiLevelType w:val="singleLevel"/>
    <w:tmpl w:val="AC6ECBB5"/>
    <w:lvl w:ilvl="0" w:tentative="0">
      <w:start w:val="16"/>
      <w:numFmt w:val="decimal"/>
      <w:suff w:val="nothing"/>
      <w:lvlText w:val="（%1）"/>
      <w:lvlJc w:val="left"/>
    </w:lvl>
  </w:abstractNum>
  <w:abstractNum w:abstractNumId="4">
    <w:nsid w:val="ACFEB37A"/>
    <w:multiLevelType w:val="singleLevel"/>
    <w:tmpl w:val="ACFEB37A"/>
    <w:lvl w:ilvl="0" w:tentative="0">
      <w:start w:val="2"/>
      <w:numFmt w:val="chineseCounting"/>
      <w:suff w:val="space"/>
      <w:lvlText w:val="（%1）"/>
      <w:lvlJc w:val="left"/>
      <w:rPr>
        <w:rFonts w:hint="eastAsia"/>
      </w:rPr>
    </w:lvl>
  </w:abstractNum>
  <w:abstractNum w:abstractNumId="5">
    <w:nsid w:val="B8F2A493"/>
    <w:multiLevelType w:val="singleLevel"/>
    <w:tmpl w:val="B8F2A493"/>
    <w:lvl w:ilvl="0" w:tentative="0">
      <w:start w:val="1"/>
      <w:numFmt w:val="chineseCounting"/>
      <w:suff w:val="space"/>
      <w:lvlText w:val="第%1章"/>
      <w:lvlJc w:val="left"/>
      <w:rPr>
        <w:rFonts w:hint="eastAsia"/>
      </w:rPr>
    </w:lvl>
  </w:abstractNum>
  <w:abstractNum w:abstractNumId="6">
    <w:nsid w:val="CC6DE6F0"/>
    <w:multiLevelType w:val="singleLevel"/>
    <w:tmpl w:val="CC6DE6F0"/>
    <w:lvl w:ilvl="0" w:tentative="0">
      <w:start w:val="1"/>
      <w:numFmt w:val="upperLetter"/>
      <w:suff w:val="space"/>
      <w:lvlText w:val="%1."/>
      <w:lvlJc w:val="left"/>
    </w:lvl>
  </w:abstractNum>
  <w:abstractNum w:abstractNumId="7">
    <w:nsid w:val="EF51EB77"/>
    <w:multiLevelType w:val="singleLevel"/>
    <w:tmpl w:val="EF51EB77"/>
    <w:lvl w:ilvl="0" w:tentative="0">
      <w:start w:val="4"/>
      <w:numFmt w:val="chineseCounting"/>
      <w:suff w:val="space"/>
      <w:lvlText w:val="第%1章"/>
      <w:lvlJc w:val="left"/>
      <w:rPr>
        <w:rFonts w:hint="eastAsia"/>
      </w:rPr>
    </w:lvl>
  </w:abstractNum>
  <w:abstractNum w:abstractNumId="8">
    <w:nsid w:val="F8AEBECD"/>
    <w:multiLevelType w:val="singleLevel"/>
    <w:tmpl w:val="F8AEBECD"/>
    <w:lvl w:ilvl="0" w:tentative="0">
      <w:start w:val="1"/>
      <w:numFmt w:val="decimal"/>
      <w:suff w:val="space"/>
      <w:lvlText w:val="%1."/>
      <w:lvlJc w:val="left"/>
    </w:lvl>
  </w:abstractNum>
  <w:abstractNum w:abstractNumId="9">
    <w:nsid w:val="FCD30232"/>
    <w:multiLevelType w:val="singleLevel"/>
    <w:tmpl w:val="FCD30232"/>
    <w:lvl w:ilvl="0" w:tentative="0">
      <w:start w:val="1"/>
      <w:numFmt w:val="lowerLetter"/>
      <w:suff w:val="space"/>
      <w:lvlText w:val="%1."/>
      <w:lvlJc w:val="left"/>
    </w:lvl>
  </w:abstractNum>
  <w:abstractNum w:abstractNumId="10">
    <w:nsid w:val="08627A19"/>
    <w:multiLevelType w:val="singleLevel"/>
    <w:tmpl w:val="08627A19"/>
    <w:lvl w:ilvl="0" w:tentative="0">
      <w:start w:val="6"/>
      <w:numFmt w:val="decimal"/>
      <w:suff w:val="nothing"/>
      <w:lvlText w:val="（%1）"/>
      <w:lvlJc w:val="left"/>
    </w:lvl>
  </w:abstractNum>
  <w:abstractNum w:abstractNumId="11">
    <w:nsid w:val="0C5EE44E"/>
    <w:multiLevelType w:val="singleLevel"/>
    <w:tmpl w:val="0C5EE44E"/>
    <w:lvl w:ilvl="0" w:tentative="0">
      <w:start w:val="1"/>
      <w:numFmt w:val="decimal"/>
      <w:suff w:val="space"/>
      <w:lvlText w:val="%1."/>
      <w:lvlJc w:val="left"/>
    </w:lvl>
  </w:abstractNum>
  <w:abstractNum w:abstractNumId="12">
    <w:nsid w:val="177A4885"/>
    <w:multiLevelType w:val="singleLevel"/>
    <w:tmpl w:val="177A4885"/>
    <w:lvl w:ilvl="0" w:tentative="0">
      <w:start w:val="1"/>
      <w:numFmt w:val="decimal"/>
      <w:suff w:val="space"/>
      <w:lvlText w:val="%1."/>
      <w:lvlJc w:val="left"/>
    </w:lvl>
  </w:abstractNum>
  <w:abstractNum w:abstractNumId="13">
    <w:nsid w:val="1F8E50AF"/>
    <w:multiLevelType w:val="multilevel"/>
    <w:tmpl w:val="1F8E50AF"/>
    <w:lvl w:ilvl="0" w:tentative="0">
      <w:start w:val="1"/>
      <w:numFmt w:val="upperLetter"/>
      <w:lvlText w:val="%1."/>
      <w:lvlJc w:val="left"/>
      <w:pPr>
        <w:ind w:left="420" w:hanging="420"/>
      </w:pPr>
      <w:rPr>
        <w:rFonts w:hint="eastAsia"/>
        <w:color w:val="auto"/>
      </w:rPr>
    </w:lvl>
    <w:lvl w:ilvl="1" w:tentative="0">
      <w:start w:val="1"/>
      <w:numFmt w:val="upp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2683A66"/>
    <w:multiLevelType w:val="multilevel"/>
    <w:tmpl w:val="22683A66"/>
    <w:lvl w:ilvl="0" w:tentative="0">
      <w:start w:val="1"/>
      <w:numFmt w:val="chineseCountingThousand"/>
      <w:suff w:val="nothing"/>
      <w:lvlText w:val="%1.  "/>
      <w:lvlJc w:val="left"/>
      <w:pPr>
        <w:ind w:left="0" w:firstLine="0"/>
      </w:pPr>
      <w:rPr>
        <w:rFonts w:hint="eastAsia" w:ascii="宋体" w:hAnsi="宋体" w:eastAsia="宋体" w:cs="宋体"/>
      </w:rPr>
    </w:lvl>
    <w:lvl w:ilvl="1" w:tentative="0">
      <w:start w:val="1"/>
      <w:numFmt w:val="decimal"/>
      <w:isLgl/>
      <w:suff w:val="nothing"/>
      <w:lvlText w:val="%1.%2 "/>
      <w:lvlJc w:val="left"/>
      <w:pPr>
        <w:ind w:left="0" w:firstLine="0"/>
      </w:pPr>
      <w:rPr>
        <w:rFonts w:hint="eastAsia" w:ascii="宋体" w:hAnsi="宋体" w:eastAsia="宋体" w:cs="宋体"/>
      </w:rPr>
    </w:lvl>
    <w:lvl w:ilvl="2" w:tentative="0">
      <w:start w:val="1"/>
      <w:numFmt w:val="decimal"/>
      <w:isLgl/>
      <w:suff w:val="nothing"/>
      <w:lvlText w:val="%1.%2.%3 "/>
      <w:lvlJc w:val="left"/>
      <w:pPr>
        <w:ind w:left="0" w:firstLine="0"/>
      </w:pPr>
      <w:rPr>
        <w:rFonts w:hint="eastAsia" w:ascii="宋体" w:hAnsi="宋体" w:eastAsia="宋体" w:cs="宋体"/>
      </w:rPr>
    </w:lvl>
    <w:lvl w:ilvl="3" w:tentative="0">
      <w:start w:val="1"/>
      <w:numFmt w:val="decimal"/>
      <w:suff w:val="nothing"/>
      <w:lvlText w:val="（%4） "/>
      <w:lvlJc w:val="left"/>
      <w:pPr>
        <w:ind w:left="425" w:firstLine="0"/>
      </w:pPr>
      <w:rPr>
        <w:rFonts w:hint="eastAsia" w:ascii="宋体" w:hAnsi="宋体" w:eastAsia="宋体" w:cs="宋体"/>
        <w:lang w:val="en-US"/>
      </w:rPr>
    </w:lvl>
    <w:lvl w:ilvl="4" w:tentative="0">
      <w:start w:val="1"/>
      <w:numFmt w:val="decimal"/>
      <w:suff w:val="nothing"/>
      <w:lvlText w:val="%5) "/>
      <w:lvlJc w:val="left"/>
      <w:pPr>
        <w:ind w:left="0" w:firstLine="0"/>
      </w:pPr>
      <w:rPr>
        <w:rFonts w:hint="eastAsia" w:ascii="宋体" w:hAnsi="宋体" w:eastAsia="宋体" w:cs="宋体"/>
      </w:rPr>
    </w:lvl>
    <w:lvl w:ilvl="5" w:tentative="0">
      <w:start w:val="1"/>
      <w:numFmt w:val="upperLetter"/>
      <w:lvlText w:val="%6."/>
      <w:lvlJc w:val="left"/>
      <w:pPr>
        <w:ind w:left="0" w:firstLine="0"/>
      </w:pPr>
      <w:rPr>
        <w:rFonts w:hint="eastAsia" w:cs="宋体"/>
      </w:rPr>
    </w:lvl>
    <w:lvl w:ilvl="6" w:tentative="0">
      <w:start w:val="1"/>
      <w:numFmt w:val="lowerLetter"/>
      <w:suff w:val="nothing"/>
      <w:lvlText w:val="%7. "/>
      <w:lvlJc w:val="left"/>
      <w:pPr>
        <w:ind w:left="0" w:firstLine="0"/>
      </w:pPr>
      <w:rPr>
        <w:rFonts w:hint="eastAsia" w:ascii="宋体" w:hAnsi="宋体" w:eastAsia="宋体" w:cs="宋体"/>
      </w:rPr>
    </w:lvl>
    <w:lvl w:ilvl="7" w:tentative="0">
      <w:start w:val="1"/>
      <w:numFmt w:val="bullet"/>
      <w:suff w:val="nothing"/>
      <w:lvlText w:val=""/>
      <w:lvlJc w:val="left"/>
      <w:pPr>
        <w:ind w:left="0" w:firstLine="0"/>
      </w:pPr>
      <w:rPr>
        <w:rFonts w:hint="eastAsia" w:ascii="宋体" w:hAnsi="宋体" w:eastAsia="宋体" w:cs="宋体"/>
      </w:rPr>
    </w:lvl>
    <w:lvl w:ilvl="8" w:tentative="0">
      <w:start w:val="1"/>
      <w:numFmt w:val="bullet"/>
      <w:suff w:val="nothing"/>
      <w:lvlText w:val=""/>
      <w:lvlJc w:val="left"/>
      <w:pPr>
        <w:ind w:left="0" w:firstLine="0"/>
      </w:pPr>
      <w:rPr>
        <w:rFonts w:hint="eastAsia" w:ascii="Wingdings" w:hAnsi="Wingdings" w:eastAsia="宋体" w:cs="Wingdings"/>
      </w:rPr>
    </w:lvl>
  </w:abstractNum>
  <w:abstractNum w:abstractNumId="15">
    <w:nsid w:val="2C894E68"/>
    <w:multiLevelType w:val="multilevel"/>
    <w:tmpl w:val="2C894E68"/>
    <w:lvl w:ilvl="0" w:tentative="0">
      <w:start w:val="1"/>
      <w:numFmt w:val="chineseCountingThousand"/>
      <w:suff w:val="nothing"/>
      <w:lvlText w:val="%1.  "/>
      <w:lvlJc w:val="left"/>
      <w:pPr>
        <w:ind w:left="0" w:firstLine="0"/>
      </w:pPr>
      <w:rPr>
        <w:rFonts w:hint="eastAsia" w:ascii="宋体" w:hAnsi="宋体" w:eastAsia="宋体" w:cs="宋体"/>
      </w:rPr>
    </w:lvl>
    <w:lvl w:ilvl="1" w:tentative="0">
      <w:start w:val="1"/>
      <w:numFmt w:val="decimal"/>
      <w:isLgl/>
      <w:suff w:val="nothing"/>
      <w:lvlText w:val="%1.%2 "/>
      <w:lvlJc w:val="left"/>
      <w:pPr>
        <w:ind w:left="567" w:firstLine="0"/>
      </w:pPr>
      <w:rPr>
        <w:rFonts w:hint="eastAsia" w:ascii="宋体" w:hAnsi="宋体" w:eastAsia="宋体" w:cs="宋体"/>
      </w:rPr>
    </w:lvl>
    <w:lvl w:ilvl="2" w:tentative="0">
      <w:start w:val="1"/>
      <w:numFmt w:val="decimal"/>
      <w:isLgl/>
      <w:suff w:val="nothing"/>
      <w:lvlText w:val="%1.%2.%3 "/>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rPr>
    </w:lvl>
    <w:lvl w:ilvl="3" w:tentative="0">
      <w:start w:val="1"/>
      <w:numFmt w:val="decimal"/>
      <w:suff w:val="nothing"/>
      <w:lvlText w:val="（%4） "/>
      <w:lvlJc w:val="left"/>
      <w:pPr>
        <w:ind w:left="426" w:firstLine="0"/>
      </w:pPr>
      <w:rPr>
        <w:rFonts w:hint="eastAsia" w:ascii="宋体" w:hAnsi="宋体" w:eastAsia="宋体" w:cs="宋体"/>
        <w:b w:val="0"/>
      </w:rPr>
    </w:lvl>
    <w:lvl w:ilvl="4" w:tentative="0">
      <w:start w:val="1"/>
      <w:numFmt w:val="decimal"/>
      <w:suff w:val="nothing"/>
      <w:lvlText w:val="%5) "/>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lang w:eastAsia="zh-TW"/>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rPr>
    </w:lvl>
    <w:lvl w:ilvl="5" w:tentative="0">
      <w:start w:val="1"/>
      <w:numFmt w:val="upperLetter"/>
      <w:suff w:val="nothing"/>
      <w:lvlText w:val="%6. "/>
      <w:lvlJc w:val="left"/>
      <w:pPr>
        <w:ind w:left="0" w:firstLine="0"/>
      </w:pPr>
      <w:rPr>
        <w:rFonts w:hint="eastAsia" w:ascii="宋体" w:hAnsi="宋体" w:eastAsia="宋体" w:cs="宋体"/>
      </w:rPr>
    </w:lvl>
    <w:lvl w:ilvl="6" w:tentative="0">
      <w:start w:val="1"/>
      <w:numFmt w:val="lowerLetter"/>
      <w:suff w:val="nothing"/>
      <w:lvlText w:val="%7. "/>
      <w:lvlJc w:val="left"/>
      <w:pPr>
        <w:ind w:left="0" w:firstLine="0"/>
      </w:pPr>
      <w:rPr>
        <w:rFonts w:hint="eastAsia" w:ascii="宋体" w:hAnsi="宋体" w:eastAsia="宋体" w:cs="宋体"/>
      </w:rPr>
    </w:lvl>
    <w:lvl w:ilvl="7" w:tentative="0">
      <w:start w:val="1"/>
      <w:numFmt w:val="bullet"/>
      <w:suff w:val="nothing"/>
      <w:lvlText w:val=""/>
      <w:lvlJc w:val="left"/>
      <w:pPr>
        <w:ind w:left="0" w:firstLine="0"/>
      </w:pPr>
      <w:rPr>
        <w:rFonts w:hint="eastAsia" w:ascii="宋体" w:hAnsi="宋体" w:eastAsia="宋体" w:cs="宋体"/>
      </w:rPr>
    </w:lvl>
    <w:lvl w:ilvl="8" w:tentative="0">
      <w:start w:val="1"/>
      <w:numFmt w:val="bullet"/>
      <w:suff w:val="nothing"/>
      <w:lvlText w:val=""/>
      <w:lvlJc w:val="left"/>
      <w:pPr>
        <w:ind w:left="0" w:firstLine="0"/>
      </w:pPr>
      <w:rPr>
        <w:rFonts w:hint="eastAsia" w:ascii="Wingdings" w:hAnsi="Wingdings" w:eastAsia="宋体" w:cs="Wingdings"/>
      </w:rPr>
    </w:lvl>
  </w:abstractNum>
  <w:abstractNum w:abstractNumId="16">
    <w:nsid w:val="41D1DA61"/>
    <w:multiLevelType w:val="singleLevel"/>
    <w:tmpl w:val="41D1DA61"/>
    <w:lvl w:ilvl="0" w:tentative="0">
      <w:start w:val="2"/>
      <w:numFmt w:val="decimal"/>
      <w:suff w:val="space"/>
      <w:lvlText w:val="%1."/>
      <w:lvlJc w:val="left"/>
    </w:lvl>
  </w:abstractNum>
  <w:abstractNum w:abstractNumId="17">
    <w:nsid w:val="496E3FB5"/>
    <w:multiLevelType w:val="multilevel"/>
    <w:tmpl w:val="496E3FB5"/>
    <w:lvl w:ilvl="0" w:tentative="0">
      <w:start w:val="1"/>
      <w:numFmt w:val="upperLetter"/>
      <w:pStyle w:val="36"/>
      <w:lvlText w:val="%1."/>
      <w:lvlJc w:val="left"/>
      <w:pPr>
        <w:tabs>
          <w:tab w:val="left" w:pos="1500"/>
        </w:tabs>
        <w:ind w:left="1500" w:hanging="420"/>
      </w:pPr>
      <w:rPr>
        <w:rFonts w:hint="default" w:ascii="Arial" w:hAnsi="Arial" w:cs="Times New Roman"/>
        <w:b w:val="0"/>
        <w:bCs w:val="0"/>
        <w:i w:val="0"/>
        <w:iCs w:val="0"/>
        <w:caps w:val="0"/>
        <w:smallCaps w:val="0"/>
        <w:strike w:val="0"/>
        <w:dstrike w:val="0"/>
        <w:vanish w:val="0"/>
        <w:color w:val="99CC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1203"/>
        </w:tabs>
        <w:ind w:left="1203" w:hanging="420"/>
      </w:pPr>
    </w:lvl>
    <w:lvl w:ilvl="2" w:tentative="0">
      <w:start w:val="1"/>
      <w:numFmt w:val="lowerRoman"/>
      <w:lvlText w:val="%3."/>
      <w:lvlJc w:val="right"/>
      <w:pPr>
        <w:tabs>
          <w:tab w:val="left" w:pos="1623"/>
        </w:tabs>
        <w:ind w:left="1623" w:hanging="420"/>
      </w:pPr>
    </w:lvl>
    <w:lvl w:ilvl="3" w:tentative="0">
      <w:start w:val="1"/>
      <w:numFmt w:val="decimal"/>
      <w:lvlText w:val="%4."/>
      <w:lvlJc w:val="left"/>
      <w:pPr>
        <w:tabs>
          <w:tab w:val="left" w:pos="2043"/>
        </w:tabs>
        <w:ind w:left="2043" w:hanging="420"/>
      </w:pPr>
    </w:lvl>
    <w:lvl w:ilvl="4" w:tentative="0">
      <w:start w:val="1"/>
      <w:numFmt w:val="lowerLetter"/>
      <w:lvlText w:val="%5)"/>
      <w:lvlJc w:val="left"/>
      <w:pPr>
        <w:tabs>
          <w:tab w:val="left" w:pos="2463"/>
        </w:tabs>
        <w:ind w:left="2463" w:hanging="420"/>
      </w:pPr>
    </w:lvl>
    <w:lvl w:ilvl="5" w:tentative="0">
      <w:start w:val="1"/>
      <w:numFmt w:val="lowerRoman"/>
      <w:lvlText w:val="%6."/>
      <w:lvlJc w:val="right"/>
      <w:pPr>
        <w:tabs>
          <w:tab w:val="left" w:pos="2883"/>
        </w:tabs>
        <w:ind w:left="2883" w:hanging="420"/>
      </w:pPr>
    </w:lvl>
    <w:lvl w:ilvl="6" w:tentative="0">
      <w:start w:val="1"/>
      <w:numFmt w:val="decimal"/>
      <w:lvlText w:val="%7."/>
      <w:lvlJc w:val="left"/>
      <w:pPr>
        <w:tabs>
          <w:tab w:val="left" w:pos="3303"/>
        </w:tabs>
        <w:ind w:left="3303" w:hanging="420"/>
      </w:pPr>
    </w:lvl>
    <w:lvl w:ilvl="7" w:tentative="0">
      <w:start w:val="1"/>
      <w:numFmt w:val="lowerLetter"/>
      <w:lvlText w:val="%8)"/>
      <w:lvlJc w:val="left"/>
      <w:pPr>
        <w:tabs>
          <w:tab w:val="left" w:pos="3723"/>
        </w:tabs>
        <w:ind w:left="3723" w:hanging="420"/>
      </w:pPr>
    </w:lvl>
    <w:lvl w:ilvl="8" w:tentative="0">
      <w:start w:val="1"/>
      <w:numFmt w:val="lowerRoman"/>
      <w:lvlText w:val="%9."/>
      <w:lvlJc w:val="right"/>
      <w:pPr>
        <w:tabs>
          <w:tab w:val="left" w:pos="4143"/>
        </w:tabs>
        <w:ind w:left="4143" w:hanging="420"/>
      </w:pPr>
    </w:lvl>
  </w:abstractNum>
  <w:abstractNum w:abstractNumId="18">
    <w:nsid w:val="500D47D4"/>
    <w:multiLevelType w:val="multilevel"/>
    <w:tmpl w:val="500D47D4"/>
    <w:lvl w:ilvl="0" w:tentative="0">
      <w:start w:val="1"/>
      <w:numFmt w:val="decimalZero"/>
      <w:pStyle w:val="39"/>
      <w:lvlText w:val="%1)"/>
      <w:lvlJc w:val="left"/>
      <w:pPr>
        <w:tabs>
          <w:tab w:val="left" w:pos="964"/>
        </w:tabs>
        <w:ind w:left="851" w:hanging="312"/>
      </w:pPr>
      <w:rPr>
        <w:rFonts w:hint="eastAsia"/>
      </w:rPr>
    </w:lvl>
    <w:lvl w:ilvl="1" w:tentative="0">
      <w:start w:val="1"/>
      <w:numFmt w:val="upperLetter"/>
      <w:lvlText w:val="%2."/>
      <w:lvlJc w:val="left"/>
      <w:pPr>
        <w:tabs>
          <w:tab w:val="left" w:pos="780"/>
        </w:tabs>
        <w:ind w:left="780" w:hanging="360"/>
      </w:pPr>
      <w:rPr>
        <w:rFonts w:hint="default"/>
        <w:u w:val="none"/>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76B6B78A"/>
    <w:multiLevelType w:val="singleLevel"/>
    <w:tmpl w:val="76B6B78A"/>
    <w:lvl w:ilvl="0" w:tentative="0">
      <w:start w:val="1"/>
      <w:numFmt w:val="decimal"/>
      <w:suff w:val="space"/>
      <w:lvlText w:val="%1."/>
      <w:lvlJc w:val="left"/>
    </w:lvl>
  </w:abstractNum>
  <w:num w:numId="1">
    <w:abstractNumId w:val="17"/>
    <w:lvlOverride w:ilvl="0">
      <w:startOverride w:val="1"/>
    </w:lvlOverride>
  </w:num>
  <w:num w:numId="2">
    <w:abstractNumId w:val="18"/>
  </w:num>
  <w:num w:numId="3">
    <w:abstractNumId w:val="5"/>
  </w:num>
  <w:num w:numId="4">
    <w:abstractNumId w:val="7"/>
  </w:num>
  <w:num w:numId="5">
    <w:abstractNumId w:val="13"/>
  </w:num>
  <w:num w:numId="6">
    <w:abstractNumId w:val="12"/>
  </w:num>
  <w:num w:numId="7">
    <w:abstractNumId w:val="16"/>
  </w:num>
  <w:num w:numId="8">
    <w:abstractNumId w:val="19"/>
  </w:num>
  <w:num w:numId="9">
    <w:abstractNumId w:val="11"/>
  </w:num>
  <w:num w:numId="10">
    <w:abstractNumId w:val="4"/>
  </w:num>
  <w:num w:numId="11">
    <w:abstractNumId w:val="8"/>
  </w:num>
  <w:num w:numId="12">
    <w:abstractNumId w:val="0"/>
  </w:num>
  <w:num w:numId="13">
    <w:abstractNumId w:val="2"/>
  </w:num>
  <w:num w:numId="14">
    <w:abstractNumId w:val="9"/>
  </w:num>
  <w:num w:numId="15">
    <w:abstractNumId w:val="1"/>
  </w:num>
  <w:num w:numId="16">
    <w:abstractNumId w:val="10"/>
  </w:num>
  <w:num w:numId="17">
    <w:abstractNumId w:val="3"/>
  </w:num>
  <w:num w:numId="18">
    <w:abstractNumId w:val="15"/>
  </w:num>
  <w:num w:numId="19">
    <w:abstractNumId w:val="1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D7B3E8F"/>
    <w:rsid w:val="00A3560E"/>
    <w:rsid w:val="00E807B4"/>
    <w:rsid w:val="018B632D"/>
    <w:rsid w:val="01B73010"/>
    <w:rsid w:val="01F42F34"/>
    <w:rsid w:val="02286C59"/>
    <w:rsid w:val="023866F7"/>
    <w:rsid w:val="03811E50"/>
    <w:rsid w:val="041221F1"/>
    <w:rsid w:val="043C5B95"/>
    <w:rsid w:val="048779B0"/>
    <w:rsid w:val="04CE3D21"/>
    <w:rsid w:val="050D64D6"/>
    <w:rsid w:val="052F34D8"/>
    <w:rsid w:val="0548540E"/>
    <w:rsid w:val="059A28E6"/>
    <w:rsid w:val="05AC3439"/>
    <w:rsid w:val="05BD722F"/>
    <w:rsid w:val="05C051B6"/>
    <w:rsid w:val="05FD6F5C"/>
    <w:rsid w:val="061C3690"/>
    <w:rsid w:val="06A74AA2"/>
    <w:rsid w:val="06F134AE"/>
    <w:rsid w:val="071C7643"/>
    <w:rsid w:val="074260B7"/>
    <w:rsid w:val="079B55A8"/>
    <w:rsid w:val="08236132"/>
    <w:rsid w:val="087D2C79"/>
    <w:rsid w:val="08AC2A63"/>
    <w:rsid w:val="09B53C41"/>
    <w:rsid w:val="09D3232E"/>
    <w:rsid w:val="0A1531FF"/>
    <w:rsid w:val="0A834D8E"/>
    <w:rsid w:val="0AF20084"/>
    <w:rsid w:val="0B4209FD"/>
    <w:rsid w:val="0BB74318"/>
    <w:rsid w:val="0BCC3B52"/>
    <w:rsid w:val="0C0F517A"/>
    <w:rsid w:val="0C9C567E"/>
    <w:rsid w:val="0CC65B11"/>
    <w:rsid w:val="0D7B3E8F"/>
    <w:rsid w:val="0DBA07FF"/>
    <w:rsid w:val="0DCA1028"/>
    <w:rsid w:val="0DCE1532"/>
    <w:rsid w:val="0E587866"/>
    <w:rsid w:val="0E776C64"/>
    <w:rsid w:val="0EF146A7"/>
    <w:rsid w:val="0F4D0AAA"/>
    <w:rsid w:val="0F612EEA"/>
    <w:rsid w:val="0FE33CAE"/>
    <w:rsid w:val="10301D50"/>
    <w:rsid w:val="107D459E"/>
    <w:rsid w:val="108A31F2"/>
    <w:rsid w:val="10C8211A"/>
    <w:rsid w:val="10D5452A"/>
    <w:rsid w:val="10FE5FDA"/>
    <w:rsid w:val="110F2925"/>
    <w:rsid w:val="11341884"/>
    <w:rsid w:val="11CA00C6"/>
    <w:rsid w:val="12280E57"/>
    <w:rsid w:val="12B6407B"/>
    <w:rsid w:val="12C12EBE"/>
    <w:rsid w:val="135A37BF"/>
    <w:rsid w:val="140E0F10"/>
    <w:rsid w:val="14223741"/>
    <w:rsid w:val="14240488"/>
    <w:rsid w:val="144D675B"/>
    <w:rsid w:val="15C805C1"/>
    <w:rsid w:val="160D6070"/>
    <w:rsid w:val="1638724C"/>
    <w:rsid w:val="169930BE"/>
    <w:rsid w:val="16B34836"/>
    <w:rsid w:val="16EC13FB"/>
    <w:rsid w:val="175F63C6"/>
    <w:rsid w:val="18D21BDA"/>
    <w:rsid w:val="195B2865"/>
    <w:rsid w:val="19ED130F"/>
    <w:rsid w:val="1A0438EF"/>
    <w:rsid w:val="1A131B1A"/>
    <w:rsid w:val="1A1E100A"/>
    <w:rsid w:val="1A253F36"/>
    <w:rsid w:val="1A3C6226"/>
    <w:rsid w:val="1A617CF2"/>
    <w:rsid w:val="1A6F2866"/>
    <w:rsid w:val="1AB9456C"/>
    <w:rsid w:val="1AF635DE"/>
    <w:rsid w:val="1B743B50"/>
    <w:rsid w:val="1B99253B"/>
    <w:rsid w:val="1C746976"/>
    <w:rsid w:val="1CCE79DF"/>
    <w:rsid w:val="1D943DE5"/>
    <w:rsid w:val="1DA93B2B"/>
    <w:rsid w:val="1DDE69A4"/>
    <w:rsid w:val="1E551534"/>
    <w:rsid w:val="1EB015AC"/>
    <w:rsid w:val="1ED756A7"/>
    <w:rsid w:val="1F43794A"/>
    <w:rsid w:val="1F4E5D76"/>
    <w:rsid w:val="1F761DB3"/>
    <w:rsid w:val="202A5E84"/>
    <w:rsid w:val="20644F65"/>
    <w:rsid w:val="20DB53A4"/>
    <w:rsid w:val="213608D5"/>
    <w:rsid w:val="217C26E3"/>
    <w:rsid w:val="21893A13"/>
    <w:rsid w:val="21BD7BF5"/>
    <w:rsid w:val="22102D84"/>
    <w:rsid w:val="22314829"/>
    <w:rsid w:val="22813D29"/>
    <w:rsid w:val="236F1AD4"/>
    <w:rsid w:val="23834AD2"/>
    <w:rsid w:val="23BD17E3"/>
    <w:rsid w:val="23FA4013"/>
    <w:rsid w:val="24AE16EC"/>
    <w:rsid w:val="24F5317E"/>
    <w:rsid w:val="24FB5E82"/>
    <w:rsid w:val="25752744"/>
    <w:rsid w:val="261E5939"/>
    <w:rsid w:val="26E008AC"/>
    <w:rsid w:val="270A69E3"/>
    <w:rsid w:val="28084BE3"/>
    <w:rsid w:val="2823484F"/>
    <w:rsid w:val="290A0CDC"/>
    <w:rsid w:val="291F2805"/>
    <w:rsid w:val="2A6A23ED"/>
    <w:rsid w:val="2AC66B26"/>
    <w:rsid w:val="2AE5008E"/>
    <w:rsid w:val="2B01621D"/>
    <w:rsid w:val="2B8D1801"/>
    <w:rsid w:val="2C547B44"/>
    <w:rsid w:val="2CD315B8"/>
    <w:rsid w:val="2CF62DC0"/>
    <w:rsid w:val="2D004F50"/>
    <w:rsid w:val="2D010B86"/>
    <w:rsid w:val="2D053812"/>
    <w:rsid w:val="2D237A86"/>
    <w:rsid w:val="2D662499"/>
    <w:rsid w:val="2DDC47E7"/>
    <w:rsid w:val="2EDF4E0D"/>
    <w:rsid w:val="2F511CE2"/>
    <w:rsid w:val="2FB66E2E"/>
    <w:rsid w:val="30130F01"/>
    <w:rsid w:val="302503E9"/>
    <w:rsid w:val="30536D5B"/>
    <w:rsid w:val="31230DCD"/>
    <w:rsid w:val="313A5ABF"/>
    <w:rsid w:val="3167366E"/>
    <w:rsid w:val="319B1F18"/>
    <w:rsid w:val="32327F16"/>
    <w:rsid w:val="323D738C"/>
    <w:rsid w:val="32AC6A32"/>
    <w:rsid w:val="33F22240"/>
    <w:rsid w:val="342B01D7"/>
    <w:rsid w:val="346E5E67"/>
    <w:rsid w:val="34742F0A"/>
    <w:rsid w:val="347A3BF6"/>
    <w:rsid w:val="34F40A43"/>
    <w:rsid w:val="34F549D8"/>
    <w:rsid w:val="351971ED"/>
    <w:rsid w:val="359F696E"/>
    <w:rsid w:val="35A617BD"/>
    <w:rsid w:val="363A3C25"/>
    <w:rsid w:val="365903D6"/>
    <w:rsid w:val="36E83689"/>
    <w:rsid w:val="37151641"/>
    <w:rsid w:val="372F1B5B"/>
    <w:rsid w:val="3756532C"/>
    <w:rsid w:val="37CB11F6"/>
    <w:rsid w:val="38AC0B82"/>
    <w:rsid w:val="38F92385"/>
    <w:rsid w:val="394418E0"/>
    <w:rsid w:val="398D772B"/>
    <w:rsid w:val="3A2141AE"/>
    <w:rsid w:val="3A601248"/>
    <w:rsid w:val="3A7864F6"/>
    <w:rsid w:val="3AA9483E"/>
    <w:rsid w:val="3AD50F46"/>
    <w:rsid w:val="3AD55272"/>
    <w:rsid w:val="3B002DFD"/>
    <w:rsid w:val="3B2246C5"/>
    <w:rsid w:val="3B635E86"/>
    <w:rsid w:val="3C404497"/>
    <w:rsid w:val="3C8A25ED"/>
    <w:rsid w:val="3CF40034"/>
    <w:rsid w:val="3D005E63"/>
    <w:rsid w:val="3DE26CB9"/>
    <w:rsid w:val="3FE931D3"/>
    <w:rsid w:val="40166F50"/>
    <w:rsid w:val="40835707"/>
    <w:rsid w:val="40C24AD6"/>
    <w:rsid w:val="40CD7F77"/>
    <w:rsid w:val="42227E6F"/>
    <w:rsid w:val="423B3B37"/>
    <w:rsid w:val="427F2494"/>
    <w:rsid w:val="42EF3456"/>
    <w:rsid w:val="42F9028D"/>
    <w:rsid w:val="43106092"/>
    <w:rsid w:val="441E042F"/>
    <w:rsid w:val="441F3D1E"/>
    <w:rsid w:val="44494453"/>
    <w:rsid w:val="444E45C7"/>
    <w:rsid w:val="45501426"/>
    <w:rsid w:val="458622C0"/>
    <w:rsid w:val="45CD7101"/>
    <w:rsid w:val="461E7EE4"/>
    <w:rsid w:val="462C40E4"/>
    <w:rsid w:val="466E0C68"/>
    <w:rsid w:val="46777CCC"/>
    <w:rsid w:val="46BD49C6"/>
    <w:rsid w:val="4720473F"/>
    <w:rsid w:val="473B751F"/>
    <w:rsid w:val="47971DFB"/>
    <w:rsid w:val="480B4597"/>
    <w:rsid w:val="485038CF"/>
    <w:rsid w:val="486C78A0"/>
    <w:rsid w:val="4879111E"/>
    <w:rsid w:val="48DF33D4"/>
    <w:rsid w:val="49000053"/>
    <w:rsid w:val="494B13CC"/>
    <w:rsid w:val="495000CF"/>
    <w:rsid w:val="49607538"/>
    <w:rsid w:val="49671439"/>
    <w:rsid w:val="49A6285E"/>
    <w:rsid w:val="4A1E1CDA"/>
    <w:rsid w:val="4A474538"/>
    <w:rsid w:val="4AD50ED4"/>
    <w:rsid w:val="4B03457A"/>
    <w:rsid w:val="4B655ADB"/>
    <w:rsid w:val="4BBC4823"/>
    <w:rsid w:val="4C1830F5"/>
    <w:rsid w:val="4C3976B4"/>
    <w:rsid w:val="4D5F3EA0"/>
    <w:rsid w:val="4DCF13D9"/>
    <w:rsid w:val="4E140128"/>
    <w:rsid w:val="4E25740F"/>
    <w:rsid w:val="4EA56695"/>
    <w:rsid w:val="4EEA510D"/>
    <w:rsid w:val="4F020A92"/>
    <w:rsid w:val="4F043B94"/>
    <w:rsid w:val="4F0501A3"/>
    <w:rsid w:val="4F30645F"/>
    <w:rsid w:val="4F42332D"/>
    <w:rsid w:val="4F5C734B"/>
    <w:rsid w:val="4F801362"/>
    <w:rsid w:val="4FBA5D39"/>
    <w:rsid w:val="4FF476BC"/>
    <w:rsid w:val="50455D91"/>
    <w:rsid w:val="506908F3"/>
    <w:rsid w:val="509727E6"/>
    <w:rsid w:val="50A770B4"/>
    <w:rsid w:val="511C3BA4"/>
    <w:rsid w:val="512A55A8"/>
    <w:rsid w:val="52416EAD"/>
    <w:rsid w:val="52B77F78"/>
    <w:rsid w:val="52E734F7"/>
    <w:rsid w:val="530A6505"/>
    <w:rsid w:val="532D32E0"/>
    <w:rsid w:val="53E53072"/>
    <w:rsid w:val="54487998"/>
    <w:rsid w:val="54826BBF"/>
    <w:rsid w:val="54A5757B"/>
    <w:rsid w:val="54FA5FC7"/>
    <w:rsid w:val="54FD0B7C"/>
    <w:rsid w:val="55603AEE"/>
    <w:rsid w:val="55A70260"/>
    <w:rsid w:val="55DD513F"/>
    <w:rsid w:val="56020701"/>
    <w:rsid w:val="565E54C1"/>
    <w:rsid w:val="56D92529"/>
    <w:rsid w:val="57BD63A2"/>
    <w:rsid w:val="57CB10B2"/>
    <w:rsid w:val="58835B67"/>
    <w:rsid w:val="58923791"/>
    <w:rsid w:val="59304610"/>
    <w:rsid w:val="599A19BC"/>
    <w:rsid w:val="59AE4624"/>
    <w:rsid w:val="5A793771"/>
    <w:rsid w:val="5ACB4792"/>
    <w:rsid w:val="5B200BBC"/>
    <w:rsid w:val="5B2A14BB"/>
    <w:rsid w:val="5B3726BB"/>
    <w:rsid w:val="5CF4010E"/>
    <w:rsid w:val="5D10443A"/>
    <w:rsid w:val="5D366AE0"/>
    <w:rsid w:val="5D874F28"/>
    <w:rsid w:val="5D8B587C"/>
    <w:rsid w:val="5DD706C5"/>
    <w:rsid w:val="5DD85AC8"/>
    <w:rsid w:val="5E09009A"/>
    <w:rsid w:val="5E99463E"/>
    <w:rsid w:val="5E9C3F7E"/>
    <w:rsid w:val="5EAA0A9E"/>
    <w:rsid w:val="5F194F46"/>
    <w:rsid w:val="5F8159E5"/>
    <w:rsid w:val="608A69F8"/>
    <w:rsid w:val="60BE43A5"/>
    <w:rsid w:val="60C0201A"/>
    <w:rsid w:val="6162474A"/>
    <w:rsid w:val="61A20F12"/>
    <w:rsid w:val="61BA4B64"/>
    <w:rsid w:val="621F17F2"/>
    <w:rsid w:val="6230416D"/>
    <w:rsid w:val="62D27807"/>
    <w:rsid w:val="62DF59FE"/>
    <w:rsid w:val="63220205"/>
    <w:rsid w:val="63DA2CBD"/>
    <w:rsid w:val="63F01872"/>
    <w:rsid w:val="6408782B"/>
    <w:rsid w:val="64265282"/>
    <w:rsid w:val="645B04F3"/>
    <w:rsid w:val="64635DDC"/>
    <w:rsid w:val="646D1B4F"/>
    <w:rsid w:val="64964E36"/>
    <w:rsid w:val="64CC0858"/>
    <w:rsid w:val="64DF4CA3"/>
    <w:rsid w:val="64FD34BB"/>
    <w:rsid w:val="65302A21"/>
    <w:rsid w:val="65694C64"/>
    <w:rsid w:val="656B7753"/>
    <w:rsid w:val="65934FF5"/>
    <w:rsid w:val="65A67ED0"/>
    <w:rsid w:val="66254614"/>
    <w:rsid w:val="667747F4"/>
    <w:rsid w:val="667A111E"/>
    <w:rsid w:val="667F0AB2"/>
    <w:rsid w:val="66F05776"/>
    <w:rsid w:val="66F9206F"/>
    <w:rsid w:val="67AB74FF"/>
    <w:rsid w:val="68095A33"/>
    <w:rsid w:val="681662CF"/>
    <w:rsid w:val="68F1288C"/>
    <w:rsid w:val="69286B4D"/>
    <w:rsid w:val="69516C0C"/>
    <w:rsid w:val="696E1131"/>
    <w:rsid w:val="69DA174D"/>
    <w:rsid w:val="6A2D678D"/>
    <w:rsid w:val="6AA83179"/>
    <w:rsid w:val="6B254A6F"/>
    <w:rsid w:val="6B534390"/>
    <w:rsid w:val="6B66725B"/>
    <w:rsid w:val="6B9A4F39"/>
    <w:rsid w:val="6BA70533"/>
    <w:rsid w:val="6BEF424E"/>
    <w:rsid w:val="6C354F35"/>
    <w:rsid w:val="6C3D0F42"/>
    <w:rsid w:val="6C4B6B68"/>
    <w:rsid w:val="6C885ADD"/>
    <w:rsid w:val="6CB472C1"/>
    <w:rsid w:val="6CC03F92"/>
    <w:rsid w:val="6CD41265"/>
    <w:rsid w:val="6CF27377"/>
    <w:rsid w:val="6D025F8D"/>
    <w:rsid w:val="6D5C6F95"/>
    <w:rsid w:val="6D622950"/>
    <w:rsid w:val="6EC85C71"/>
    <w:rsid w:val="6EED4FB3"/>
    <w:rsid w:val="6F7C3433"/>
    <w:rsid w:val="6F9B77A5"/>
    <w:rsid w:val="6FCF7B66"/>
    <w:rsid w:val="6FD34297"/>
    <w:rsid w:val="702B0EE2"/>
    <w:rsid w:val="70680501"/>
    <w:rsid w:val="70871AD7"/>
    <w:rsid w:val="70D60EBF"/>
    <w:rsid w:val="70E61BF2"/>
    <w:rsid w:val="70F62033"/>
    <w:rsid w:val="71A32F30"/>
    <w:rsid w:val="724B5908"/>
    <w:rsid w:val="730A578D"/>
    <w:rsid w:val="738F5F04"/>
    <w:rsid w:val="73C052D3"/>
    <w:rsid w:val="74054F23"/>
    <w:rsid w:val="74581611"/>
    <w:rsid w:val="74F91BBA"/>
    <w:rsid w:val="75267742"/>
    <w:rsid w:val="75952484"/>
    <w:rsid w:val="76095052"/>
    <w:rsid w:val="76521B17"/>
    <w:rsid w:val="77372348"/>
    <w:rsid w:val="77460711"/>
    <w:rsid w:val="77480157"/>
    <w:rsid w:val="775E1AE9"/>
    <w:rsid w:val="77E45A61"/>
    <w:rsid w:val="77F41E5F"/>
    <w:rsid w:val="78317CAE"/>
    <w:rsid w:val="79053EE1"/>
    <w:rsid w:val="79300438"/>
    <w:rsid w:val="79336619"/>
    <w:rsid w:val="794060AD"/>
    <w:rsid w:val="795B20B4"/>
    <w:rsid w:val="7AA47E99"/>
    <w:rsid w:val="7ACB36BA"/>
    <w:rsid w:val="7B532510"/>
    <w:rsid w:val="7B7D2BD2"/>
    <w:rsid w:val="7BDF72B7"/>
    <w:rsid w:val="7BE06966"/>
    <w:rsid w:val="7C070043"/>
    <w:rsid w:val="7C4979E1"/>
    <w:rsid w:val="7C977FCC"/>
    <w:rsid w:val="7CAD66A6"/>
    <w:rsid w:val="7CCE4C63"/>
    <w:rsid w:val="7D2169B7"/>
    <w:rsid w:val="7D2C5738"/>
    <w:rsid w:val="7D802E3C"/>
    <w:rsid w:val="7D91198D"/>
    <w:rsid w:val="7F003134"/>
    <w:rsid w:val="7F4D55E8"/>
    <w:rsid w:val="7F4F7386"/>
    <w:rsid w:val="7FD459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黑体"/>
      <w:b/>
      <w:bCs/>
      <w:kern w:val="44"/>
      <w:sz w:val="32"/>
      <w:szCs w:val="30"/>
    </w:rPr>
  </w:style>
  <w:style w:type="paragraph" w:styleId="3">
    <w:name w:val="heading 2"/>
    <w:basedOn w:val="1"/>
    <w:next w:val="1"/>
    <w:autoRedefine/>
    <w:qFormat/>
    <w:uiPriority w:val="0"/>
    <w:pPr>
      <w:keepNext/>
      <w:keepLines/>
      <w:spacing w:before="260" w:after="260"/>
      <w:outlineLvl w:val="1"/>
    </w:pPr>
    <w:rPr>
      <w:rFonts w:ascii="Arial" w:hAnsi="Arial" w:eastAsia="宋体"/>
      <w:b/>
      <w:bCs/>
      <w:sz w:val="24"/>
      <w:szCs w:val="32"/>
    </w:rPr>
  </w:style>
  <w:style w:type="paragraph" w:styleId="4">
    <w:name w:val="heading 3"/>
    <w:basedOn w:val="1"/>
    <w:next w:val="1"/>
    <w:qFormat/>
    <w:uiPriority w:val="0"/>
    <w:pPr>
      <w:keepNext/>
      <w:keepLines/>
      <w:spacing w:before="260" w:after="260" w:line="416"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spacing w:before="280" w:after="290" w:line="376" w:lineRule="auto"/>
      <w:outlineLvl w:val="3"/>
    </w:pPr>
    <w:rPr>
      <w:rFonts w:ascii="Calibri Light" w:hAnsi="Calibri Light" w:eastAsia="宋体" w:cs="Times New Roman"/>
      <w:b/>
      <w:bCs/>
      <w:kern w:val="0"/>
      <w:sz w:val="28"/>
      <w:szCs w:val="28"/>
    </w:rPr>
  </w:style>
  <w:style w:type="paragraph" w:styleId="6">
    <w:name w:val="heading 5"/>
    <w:basedOn w:val="1"/>
    <w:next w:val="1"/>
    <w:autoRedefine/>
    <w:qFormat/>
    <w:uiPriority w:val="0"/>
    <w:pPr>
      <w:keepNext/>
      <w:keepLines/>
      <w:spacing w:before="280" w:after="290" w:line="376" w:lineRule="auto"/>
      <w:outlineLvl w:val="4"/>
    </w:pPr>
    <w:rPr>
      <w:rFonts w:ascii="Calibri" w:hAnsi="Calibri" w:eastAsia="宋体" w:cs="Times New Roman"/>
      <w:b/>
      <w:bCs/>
      <w:sz w:val="28"/>
      <w:szCs w:val="28"/>
    </w:rPr>
  </w:style>
  <w:style w:type="paragraph" w:styleId="7">
    <w:name w:val="heading 6"/>
    <w:basedOn w:val="1"/>
    <w:next w:val="1"/>
    <w:autoRedefine/>
    <w:qFormat/>
    <w:uiPriority w:val="0"/>
    <w:pPr>
      <w:keepNext/>
      <w:keepLines/>
      <w:spacing w:before="240" w:after="64" w:line="320" w:lineRule="auto"/>
      <w:outlineLvl w:val="5"/>
    </w:pPr>
    <w:rPr>
      <w:rFonts w:ascii="Calibri Light" w:hAnsi="Calibri Light" w:eastAsia="宋体" w:cs="Times New Roman"/>
      <w:b/>
      <w:bCs/>
      <w:kern w:val="0"/>
      <w:sz w:val="24"/>
      <w:szCs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Indent 2"/>
    <w:basedOn w:val="1"/>
    <w:qFormat/>
    <w:uiPriority w:val="0"/>
    <w:pPr>
      <w:ind w:firstLine="480" w:firstLineChars="200"/>
    </w:pPr>
    <w:rPr>
      <w:sz w:val="24"/>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pPr>
      <w:widowControl/>
      <w:spacing w:after="100" w:line="276" w:lineRule="auto"/>
      <w:jc w:val="left"/>
    </w:pPr>
    <w:rPr>
      <w:rFonts w:ascii="Calibri" w:hAnsi="Calibri"/>
      <w:kern w:val="0"/>
      <w:sz w:val="22"/>
      <w:szCs w:val="22"/>
    </w:rPr>
  </w:style>
  <w:style w:type="paragraph" w:styleId="13">
    <w:name w:val="toc 2"/>
    <w:basedOn w:val="1"/>
    <w:next w:val="1"/>
    <w:autoRedefine/>
    <w:unhideWhenUsed/>
    <w:qFormat/>
    <w:uiPriority w:val="39"/>
    <w:pPr>
      <w:ind w:left="210"/>
      <w:jc w:val="left"/>
    </w:pPr>
    <w:rPr>
      <w:smallCaps/>
      <w:sz w:val="20"/>
      <w:szCs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paragraph" w:customStyle="1" w:styleId="18">
    <w:name w:val="_Style 9"/>
    <w:basedOn w:val="1"/>
    <w:qFormat/>
    <w:uiPriority w:val="0"/>
    <w:pPr>
      <w:widowControl/>
      <w:ind w:firstLine="420" w:firstLineChars="200"/>
      <w:jc w:val="left"/>
    </w:pPr>
    <w:rPr>
      <w:rFonts w:hint="eastAsia" w:ascii="Calibri" w:hAnsi="Calibri" w:eastAsia="Arial Unicode MS" w:cs="Arial Unicode MS"/>
      <w:color w:val="000000"/>
      <w:kern w:val="0"/>
      <w:sz w:val="24"/>
      <w:szCs w:val="21"/>
      <w:lang w:val="zh-TW" w:eastAsia="zh-TW"/>
    </w:rPr>
  </w:style>
  <w:style w:type="paragraph" w:customStyle="1" w:styleId="19">
    <w:name w:val="样式 样式 样式 样式 样式 样式 样式 样式 样式 样式 样式 正文文本缩进 + 小四 黑色 首行缩进:  2 字符 + 左侧..."/>
    <w:basedOn w:val="20"/>
    <w:qFormat/>
    <w:uiPriority w:val="0"/>
    <w:pPr>
      <w:kinsoku w:val="0"/>
      <w:adjustRightInd w:val="0"/>
      <w:snapToGrid w:val="0"/>
      <w:spacing w:line="360" w:lineRule="auto"/>
      <w:ind w:left="200" w:leftChars="50" w:hanging="150" w:hangingChars="150"/>
    </w:pPr>
    <w:rPr>
      <w:rFonts w:cs="宋体"/>
      <w:color w:val="000000"/>
      <w:sz w:val="24"/>
    </w:rPr>
  </w:style>
  <w:style w:type="paragraph" w:customStyle="1" w:styleId="20">
    <w:name w:val="样式 样式 样式 样式 样式 样式 样式 样式 样式 样式 正文文本缩进 + 小四 黑色 首行缩进:  2 字符 + 左侧:  ..."/>
    <w:basedOn w:val="21"/>
    <w:autoRedefine/>
    <w:qFormat/>
    <w:uiPriority w:val="0"/>
  </w:style>
  <w:style w:type="paragraph" w:customStyle="1" w:styleId="21">
    <w:name w:val="样式 样式 样式 样式 样式 样式 样式 样式 样式 正文文本缩进 + 小四 黑色 首行缩进:  2 字符 + 左侧:  0 磅..."/>
    <w:basedOn w:val="22"/>
    <w:autoRedefine/>
    <w:qFormat/>
    <w:uiPriority w:val="0"/>
  </w:style>
  <w:style w:type="paragraph" w:customStyle="1" w:styleId="22">
    <w:name w:val="样式 样式 样式 样式 样式 样式 样式 样式 正文文本缩进 + 小四 黑色 首行缩进:  2 字符 + 左侧:  0 磅 悬挂..."/>
    <w:basedOn w:val="23"/>
    <w:autoRedefine/>
    <w:qFormat/>
    <w:uiPriority w:val="0"/>
    <w:pPr>
      <w:snapToGrid w:val="0"/>
    </w:pPr>
  </w:style>
  <w:style w:type="paragraph" w:customStyle="1" w:styleId="23">
    <w:name w:val="样式 样式 样式 样式 样式 样式 样式 正文文本缩进 + 小四 黑色 首行缩进:  2 字符 + 左侧:  0 磅 悬挂缩进:..."/>
    <w:basedOn w:val="24"/>
    <w:autoRedefine/>
    <w:qFormat/>
    <w:uiPriority w:val="0"/>
    <w:pPr>
      <w:ind w:left="200" w:leftChars="50"/>
    </w:pPr>
  </w:style>
  <w:style w:type="paragraph" w:customStyle="1" w:styleId="24">
    <w:name w:val="样式 样式 样式 样式 样式 样式 正文文本缩进 + 小四 黑色 首行缩进:  2 字符 + 左侧:  0 磅 悬挂缩进: 2 ..."/>
    <w:basedOn w:val="25"/>
    <w:qFormat/>
    <w:uiPriority w:val="0"/>
    <w:pPr>
      <w:ind w:left="400" w:leftChars="250"/>
    </w:pPr>
  </w:style>
  <w:style w:type="paragraph" w:customStyle="1" w:styleId="25">
    <w:name w:val="样式 样式 样式 样式 样式 正文文本缩进 + 小四 黑色 首行缩进:  2 字符 + 左侧:  0 磅 悬挂缩进: 2 字符 ..."/>
    <w:basedOn w:val="26"/>
    <w:autoRedefine/>
    <w:qFormat/>
    <w:uiPriority w:val="0"/>
    <w:pPr>
      <w:ind w:left="450" w:hanging="150" w:hangingChars="150"/>
    </w:pPr>
  </w:style>
  <w:style w:type="paragraph" w:customStyle="1" w:styleId="26">
    <w:name w:val="样式 样式 样式 样式 正文文本缩进 + 小四 黑色 首行缩进:  2 字符 + 左侧:  0 磅 悬挂缩进: 2 字符 + 左..."/>
    <w:basedOn w:val="27"/>
    <w:qFormat/>
    <w:uiPriority w:val="0"/>
    <w:pPr>
      <w:ind w:left="500" w:leftChars="300"/>
    </w:pPr>
  </w:style>
  <w:style w:type="paragraph" w:customStyle="1" w:styleId="27">
    <w:name w:val="样式 样式 样式 正文文本缩进 + 小四 黑色 首行缩进:  2 字符 + 左侧:  0 磅 悬挂缩进: 2 字符 + 左侧: ..."/>
    <w:basedOn w:val="28"/>
    <w:qFormat/>
    <w:uiPriority w:val="0"/>
    <w:pPr>
      <w:ind w:left="450" w:leftChars="250"/>
    </w:pPr>
  </w:style>
  <w:style w:type="paragraph" w:customStyle="1" w:styleId="28">
    <w:name w:val="样式 样式 正文文本缩进 + 小四 黑色 首行缩进:  2 字符 + 左侧:  0 磅 悬挂缩进: 2 字符"/>
    <w:basedOn w:val="1"/>
    <w:autoRedefine/>
    <w:qFormat/>
    <w:uiPriority w:val="0"/>
    <w:pPr>
      <w:spacing w:line="360" w:lineRule="auto"/>
      <w:ind w:left="400" w:leftChars="200" w:hanging="200" w:hangingChars="200"/>
    </w:pPr>
    <w:rPr>
      <w:rFonts w:ascii="宋体" w:hAnsi="宋体" w:cs="宋体"/>
      <w:color w:val="000000"/>
      <w:sz w:val="24"/>
      <w:szCs w:val="20"/>
    </w:rPr>
  </w:style>
  <w:style w:type="paragraph" w:customStyle="1" w:styleId="29">
    <w:name w:val="列出段落12"/>
    <w:autoRedefine/>
    <w:qFormat/>
    <w:uiPriority w:val="0"/>
    <w:pPr>
      <w:ind w:firstLine="420"/>
    </w:pPr>
    <w:rPr>
      <w:rFonts w:ascii="Calibri" w:hAnsi="Calibri" w:eastAsia="Calibri" w:cs="Calibri"/>
      <w:color w:val="000000"/>
      <w:kern w:val="2"/>
      <w:sz w:val="24"/>
      <w:szCs w:val="24"/>
      <w:lang w:val="en-US" w:eastAsia="zh-CN" w:bidi="ar-SA"/>
    </w:rPr>
  </w:style>
  <w:style w:type="character" w:customStyle="1" w:styleId="30">
    <w:name w:val="无"/>
    <w:qFormat/>
    <w:uiPriority w:val="0"/>
  </w:style>
  <w:style w:type="paragraph" w:customStyle="1" w:styleId="31">
    <w:name w:val="列出段落8"/>
    <w:basedOn w:val="1"/>
    <w:autoRedefine/>
    <w:qFormat/>
    <w:uiPriority w:val="0"/>
    <w:pPr>
      <w:ind w:firstLine="420" w:firstLineChars="200"/>
    </w:pPr>
    <w:rPr>
      <w:rFonts w:ascii="Calibri" w:hAnsi="Calibri" w:eastAsia="宋体" w:cs="Times New Roman"/>
      <w:kern w:val="0"/>
      <w:sz w:val="20"/>
      <w:szCs w:val="20"/>
      <w:lang w:val="zh-CN"/>
    </w:rPr>
  </w:style>
  <w:style w:type="paragraph" w:customStyle="1" w:styleId="32">
    <w:name w:val="List Paragraph"/>
    <w:basedOn w:val="1"/>
    <w:autoRedefine/>
    <w:qFormat/>
    <w:uiPriority w:val="34"/>
    <w:pPr>
      <w:ind w:firstLine="420" w:firstLineChars="200"/>
    </w:pPr>
  </w:style>
  <w:style w:type="paragraph" w:customStyle="1" w:styleId="33">
    <w:name w:val="列出段落1"/>
    <w:basedOn w:val="1"/>
    <w:autoRedefine/>
    <w:qFormat/>
    <w:uiPriority w:val="34"/>
    <w:pPr>
      <w:ind w:firstLine="420" w:firstLineChars="200"/>
    </w:pPr>
    <w:rPr>
      <w:rFonts w:ascii="Calibri" w:hAnsi="Calibri" w:eastAsia="宋体" w:cs="Times New Roman"/>
    </w:rPr>
  </w:style>
  <w:style w:type="paragraph" w:customStyle="1" w:styleId="34">
    <w:name w:val="样式 样式 样式 正文文本缩进 2 + 首行缩进:  2 字符1 + 首行缩进:  2 字符 + 首行缩进:  2 字符"/>
    <w:basedOn w:val="1"/>
    <w:qFormat/>
    <w:uiPriority w:val="0"/>
    <w:pPr>
      <w:snapToGrid w:val="0"/>
      <w:spacing w:line="360" w:lineRule="auto"/>
      <w:ind w:firstLine="200" w:firstLineChars="200"/>
      <w:jc w:val="left"/>
    </w:pPr>
    <w:rPr>
      <w:rFonts w:ascii="宋体" w:hAnsi="宋体" w:cs="宋体"/>
      <w:sz w:val="24"/>
      <w:szCs w:val="20"/>
    </w:rPr>
  </w:style>
  <w:style w:type="paragraph" w:customStyle="1" w:styleId="35">
    <w:name w:val="列出段落2"/>
    <w:qFormat/>
    <w:uiPriority w:val="0"/>
    <w:pPr>
      <w:ind w:firstLine="420"/>
    </w:pPr>
    <w:rPr>
      <w:rFonts w:ascii="Arial Unicode MS" w:hAnsi="Arial Unicode MS" w:eastAsia="Arial Unicode MS" w:cs="Arial Unicode MS"/>
      <w:color w:val="000000"/>
      <w:sz w:val="24"/>
      <w:szCs w:val="24"/>
      <w:lang w:val="zh-TW" w:eastAsia="zh-TW" w:bidi="ar-SA"/>
    </w:rPr>
  </w:style>
  <w:style w:type="paragraph" w:customStyle="1" w:styleId="36">
    <w:name w:val="AB编号"/>
    <w:basedOn w:val="1"/>
    <w:autoRedefine/>
    <w:qFormat/>
    <w:uiPriority w:val="0"/>
    <w:pPr>
      <w:numPr>
        <w:ilvl w:val="0"/>
        <w:numId w:val="1"/>
      </w:numPr>
      <w:spacing w:line="360" w:lineRule="exact"/>
    </w:pPr>
    <w:rPr>
      <w:rFonts w:ascii="Arial" w:hAnsi="Arial"/>
      <w:szCs w:val="21"/>
    </w:rPr>
  </w:style>
  <w:style w:type="paragraph" w:customStyle="1" w:styleId="37">
    <w:name w:val="列出段落6"/>
    <w:basedOn w:val="1"/>
    <w:qFormat/>
    <w:uiPriority w:val="0"/>
    <w:pPr>
      <w:ind w:firstLine="420" w:firstLineChars="200"/>
    </w:pPr>
    <w:rPr>
      <w:rFonts w:ascii="Calibri" w:hAnsi="Calibri" w:eastAsia="宋体" w:cs="Times New Roman"/>
      <w:kern w:val="0"/>
      <w:sz w:val="20"/>
      <w:szCs w:val="20"/>
      <w:lang w:val="zh-CN"/>
    </w:rPr>
  </w:style>
  <w:style w:type="paragraph" w:customStyle="1" w:styleId="38">
    <w:name w:val="正文 A"/>
    <w:autoRedefine/>
    <w:qFormat/>
    <w:uiPriority w:val="0"/>
    <w:pPr>
      <w:ind w:firstLine="640"/>
    </w:pPr>
    <w:rPr>
      <w:rFonts w:ascii="Calibri" w:hAnsi="Calibri" w:eastAsia="Calibri" w:cs="Calibri"/>
      <w:color w:val="000000"/>
      <w:kern w:val="2"/>
      <w:sz w:val="24"/>
      <w:szCs w:val="24"/>
      <w:lang w:val="en-US" w:eastAsia="zh-CN" w:bidi="ar-SA"/>
    </w:rPr>
  </w:style>
  <w:style w:type="paragraph" w:customStyle="1" w:styleId="39">
    <w:name w:val="01)编号"/>
    <w:basedOn w:val="1"/>
    <w:qFormat/>
    <w:uiPriority w:val="0"/>
    <w:pPr>
      <w:numPr>
        <w:ilvl w:val="0"/>
        <w:numId w:val="2"/>
      </w:numPr>
      <w:spacing w:before="78" w:beforeLines="25" w:line="360" w:lineRule="exact"/>
    </w:pPr>
    <w:rPr>
      <w:rFonts w:ascii="Arial" w:hAnsi="Arial"/>
      <w:szCs w:val="21"/>
    </w:rPr>
  </w:style>
  <w:style w:type="paragraph" w:customStyle="1" w:styleId="40">
    <w:name w:val="列出段落4"/>
    <w:autoRedefine/>
    <w:qFormat/>
    <w:uiPriority w:val="0"/>
    <w:pPr>
      <w:ind w:firstLine="420"/>
    </w:pPr>
    <w:rPr>
      <w:rFonts w:ascii="Arial Unicode MS" w:hAnsi="Arial Unicode MS" w:eastAsia="Arial Unicode MS" w:cs="Arial Unicode MS"/>
      <w:color w:val="000000"/>
      <w:sz w:val="24"/>
      <w:szCs w:val="24"/>
      <w:lang w:val="zh-TW" w:eastAsia="zh-TW" w:bidi="ar-SA"/>
    </w:rPr>
  </w:style>
  <w:style w:type="paragraph" w:customStyle="1" w:styleId="41">
    <w:name w:val="样式 样式 正文文本缩进 2 + 首行缩进:  2 字符1 + 黑色 首行缩进:  2 字符"/>
    <w:basedOn w:val="1"/>
    <w:autoRedefine/>
    <w:qFormat/>
    <w:uiPriority w:val="0"/>
    <w:pPr>
      <w:spacing w:line="360" w:lineRule="auto"/>
      <w:ind w:firstLine="20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144</Pages>
  <Words>16685</Words>
  <Characters>17432</Characters>
  <TotalTime>6</TotalTime>
  <ScaleCrop>false</ScaleCrop>
  <LinksUpToDate>false</LinksUpToDate>
  <CharactersWithSpaces>17512</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2024-09-13T12:56:00Z</dcterms:created>
  <dc:creator>Lenovo</dc:creator>
  <cp:lastModifiedBy>Administrator</cp:lastModifiedBy>
  <dcterms:modified xsi:type="dcterms:W3CDTF">2025-04-29T11:22:40Z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44F775EE527F4BEB9FB9D5C5181E1AD0_13</vt:lpwstr>
  </property>
  <property fmtid="{D5CDD505-2E9C-101B-9397-08002B2CF9AE}" pid="4" name="KSOTemplateDocerSaveRecord">
    <vt:lpwstr>eyJoZGlkIjoiYzFlYzU0ZWY2OTk0M2IwOGI2OGY0MWEzNDNiOWM4ODYifQ==</vt:lpwstr>
  </property>
</Properties>
</file>