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028AC">
      <w:pPr>
        <w:pStyle w:val="7"/>
        <w:ind w:firstLine="1680"/>
        <w:jc w:val="center"/>
        <w:rPr>
          <w:rFonts w:ascii="Times New Roman" w:hAnsi="Times New Roman" w:eastAsia="黑体"/>
          <w:sz w:val="24"/>
          <w:highlight w:val="none"/>
        </w:rPr>
      </w:pPr>
    </w:p>
    <w:p w14:paraId="507545EB">
      <w:pPr>
        <w:pStyle w:val="7"/>
        <w:ind w:firstLine="1680"/>
        <w:jc w:val="center"/>
        <w:rPr>
          <w:rFonts w:ascii="Times New Roman" w:hAnsi="Times New Roman" w:eastAsia="黑体"/>
          <w:sz w:val="84"/>
          <w:highlight w:val="none"/>
        </w:rPr>
      </w:pPr>
    </w:p>
    <w:p w14:paraId="3E0836BE">
      <w:pPr>
        <w:pStyle w:val="7"/>
        <w:ind w:firstLine="1680"/>
        <w:jc w:val="center"/>
        <w:rPr>
          <w:rFonts w:ascii="Times New Roman" w:hAnsi="Times New Roman" w:eastAsia="黑体"/>
          <w:sz w:val="84"/>
          <w:highlight w:val="none"/>
        </w:rPr>
      </w:pPr>
    </w:p>
    <w:p w14:paraId="5C28DFDA">
      <w:pPr>
        <w:pStyle w:val="7"/>
        <w:jc w:val="center"/>
        <w:rPr>
          <w:rFonts w:ascii="Times New Roman" w:hAnsi="Times New Roman"/>
          <w:b/>
          <w:bCs/>
          <w:sz w:val="52"/>
          <w:szCs w:val="52"/>
          <w:highlight w:val="none"/>
        </w:rPr>
      </w:pPr>
      <w:r>
        <w:rPr>
          <w:rFonts w:ascii="Times New Roman" w:hAnsi="Times New Roman" w:eastAsia="黑体"/>
          <w:sz w:val="52"/>
          <w:szCs w:val="52"/>
          <w:highlight w:val="none"/>
        </w:rPr>
        <w:t>建设工程检测</w:t>
      </w:r>
      <w:r>
        <w:rPr>
          <w:rFonts w:hint="eastAsia" w:ascii="Times New Roman" w:hAnsi="Times New Roman" w:eastAsia="黑体"/>
          <w:sz w:val="52"/>
          <w:szCs w:val="52"/>
          <w:highlight w:val="none"/>
        </w:rPr>
        <w:t>、监测服务</w:t>
      </w:r>
      <w:r>
        <w:rPr>
          <w:rFonts w:ascii="Times New Roman" w:hAnsi="Times New Roman" w:eastAsia="黑体"/>
          <w:sz w:val="52"/>
          <w:szCs w:val="52"/>
          <w:highlight w:val="none"/>
        </w:rPr>
        <w:t>合同</w:t>
      </w:r>
    </w:p>
    <w:p w14:paraId="27209D51">
      <w:pPr>
        <w:pStyle w:val="7"/>
        <w:ind w:firstLine="723"/>
        <w:rPr>
          <w:rFonts w:ascii="Times New Roman" w:hAnsi="Times New Roman"/>
          <w:b/>
          <w:bCs/>
          <w:sz w:val="36"/>
          <w:highlight w:val="none"/>
        </w:rPr>
      </w:pPr>
    </w:p>
    <w:p w14:paraId="293FEE37">
      <w:pPr>
        <w:pStyle w:val="7"/>
        <w:ind w:firstLine="723"/>
        <w:rPr>
          <w:rFonts w:ascii="Times New Roman" w:hAnsi="Times New Roman"/>
          <w:b/>
          <w:bCs/>
          <w:sz w:val="36"/>
          <w:highlight w:val="none"/>
        </w:rPr>
      </w:pPr>
    </w:p>
    <w:p w14:paraId="14A279E4">
      <w:pPr>
        <w:pStyle w:val="7"/>
        <w:rPr>
          <w:rFonts w:ascii="Times New Roman" w:hAnsi="Times New Roman"/>
          <w:b/>
          <w:bCs/>
          <w:sz w:val="36"/>
          <w:highlight w:val="none"/>
        </w:rPr>
      </w:pPr>
    </w:p>
    <w:p w14:paraId="382AE55D">
      <w:pPr>
        <w:pStyle w:val="7"/>
        <w:ind w:firstLine="723"/>
        <w:rPr>
          <w:rFonts w:ascii="Times New Roman" w:hAnsi="Times New Roman"/>
          <w:b/>
          <w:bCs/>
          <w:sz w:val="36"/>
          <w:highlight w:val="none"/>
        </w:rPr>
      </w:pPr>
    </w:p>
    <w:p w14:paraId="60ADE9D7">
      <w:pPr>
        <w:pStyle w:val="7"/>
        <w:ind w:firstLine="723"/>
        <w:rPr>
          <w:rFonts w:ascii="Times New Roman" w:hAnsi="Times New Roman"/>
          <w:b/>
          <w:bCs/>
          <w:sz w:val="36"/>
          <w:highlight w:val="none"/>
        </w:rPr>
      </w:pPr>
    </w:p>
    <w:p w14:paraId="0AF0BAC5">
      <w:pPr>
        <w:pStyle w:val="7"/>
        <w:ind w:firstLine="723"/>
        <w:rPr>
          <w:rFonts w:ascii="Times New Roman" w:hAnsi="Times New Roman"/>
          <w:b/>
          <w:bCs/>
          <w:sz w:val="32"/>
          <w:szCs w:val="32"/>
          <w:highlight w:val="none"/>
        </w:rPr>
      </w:pPr>
    </w:p>
    <w:p w14:paraId="5039CCFD">
      <w:pPr>
        <w:pStyle w:val="7"/>
        <w:ind w:firstLine="723"/>
        <w:rPr>
          <w:rFonts w:ascii="Times New Roman" w:hAnsi="Times New Roman"/>
          <w:b/>
          <w:bCs/>
          <w:sz w:val="32"/>
          <w:szCs w:val="32"/>
          <w:highlight w:val="none"/>
        </w:rPr>
      </w:pPr>
    </w:p>
    <w:p w14:paraId="5479F34E">
      <w:pPr>
        <w:spacing w:line="600" w:lineRule="exact"/>
        <w:ind w:left="1566" w:leftChars="135" w:right="55" w:rightChars="26" w:hanging="1283" w:hangingChars="401"/>
        <w:jc w:val="left"/>
        <w:rPr>
          <w:rFonts w:hint="eastAsia" w:ascii="宋体" w:hAnsi="宋体" w:eastAsia="宋体" w:cs="宋体"/>
          <w:sz w:val="32"/>
          <w:szCs w:val="32"/>
          <w:highlight w:val="none"/>
          <w:u w:val="single"/>
          <w:lang w:eastAsia="zh-CN"/>
        </w:rPr>
      </w:pPr>
      <w:r>
        <w:rPr>
          <w:rFonts w:hint="eastAsia" w:ascii="宋体" w:hAnsi="宋体" w:cs="宋体"/>
          <w:sz w:val="32"/>
          <w:szCs w:val="32"/>
          <w:highlight w:val="none"/>
        </w:rPr>
        <w:t>工程</w:t>
      </w:r>
      <w:r>
        <w:rPr>
          <w:rFonts w:ascii="宋体" w:hAnsi="宋体" w:cs="宋体"/>
          <w:sz w:val="32"/>
          <w:szCs w:val="32"/>
          <w:highlight w:val="none"/>
        </w:rPr>
        <w:t>名称：</w:t>
      </w:r>
      <w:r>
        <w:rPr>
          <w:rFonts w:hint="eastAsia" w:ascii="宋体" w:hAnsi="宋体" w:cs="宋体"/>
          <w:sz w:val="32"/>
          <w:szCs w:val="32"/>
          <w:highlight w:val="none"/>
          <w:u w:val="single"/>
          <w:lang w:eastAsia="zh-CN"/>
        </w:rPr>
        <w:t>花都区职业技术学校综合实训楼项目检验检测监测</w:t>
      </w:r>
    </w:p>
    <w:p w14:paraId="6577D8AA">
      <w:pPr>
        <w:pStyle w:val="7"/>
        <w:spacing w:line="600" w:lineRule="exact"/>
        <w:ind w:left="283" w:leftChars="135"/>
        <w:rPr>
          <w:rFonts w:hint="eastAsia" w:hAnsi="宋体" w:cs="宋体"/>
          <w:kern w:val="2"/>
          <w:sz w:val="32"/>
          <w:szCs w:val="32"/>
          <w:highlight w:val="none"/>
        </w:rPr>
      </w:pPr>
      <w:r>
        <w:rPr>
          <w:rFonts w:hAnsi="宋体" w:cs="宋体"/>
          <w:kern w:val="2"/>
          <w:sz w:val="32"/>
          <w:szCs w:val="32"/>
          <w:highlight w:val="none"/>
        </w:rPr>
        <w:t>发包人（甲方）：广州市花都区教育局</w:t>
      </w:r>
    </w:p>
    <w:p w14:paraId="41BFF016">
      <w:pPr>
        <w:pStyle w:val="7"/>
        <w:spacing w:line="600" w:lineRule="exact"/>
        <w:ind w:left="283" w:leftChars="135"/>
        <w:rPr>
          <w:rFonts w:hint="eastAsia" w:hAnsi="宋体" w:cs="宋体"/>
          <w:kern w:val="2"/>
          <w:sz w:val="32"/>
          <w:szCs w:val="32"/>
          <w:highlight w:val="none"/>
        </w:rPr>
      </w:pPr>
      <w:r>
        <w:rPr>
          <w:rFonts w:hAnsi="宋体" w:cs="宋体"/>
          <w:kern w:val="2"/>
          <w:sz w:val="32"/>
          <w:szCs w:val="32"/>
          <w:highlight w:val="none"/>
        </w:rPr>
        <w:t>承包人（乙方）：</w:t>
      </w:r>
    </w:p>
    <w:p w14:paraId="7B6A5F45">
      <w:pPr>
        <w:pStyle w:val="7"/>
        <w:spacing w:line="600" w:lineRule="exact"/>
        <w:ind w:left="2394" w:leftChars="1140"/>
        <w:rPr>
          <w:rFonts w:hint="eastAsia" w:hAnsi="宋体" w:cs="宋体"/>
          <w:kern w:val="2"/>
          <w:sz w:val="28"/>
          <w:szCs w:val="28"/>
          <w:highlight w:val="none"/>
          <w:u w:val="single"/>
        </w:rPr>
      </w:pPr>
    </w:p>
    <w:p w14:paraId="3AD5CDC2">
      <w:pPr>
        <w:pStyle w:val="7"/>
        <w:spacing w:line="600" w:lineRule="exact"/>
        <w:rPr>
          <w:rFonts w:ascii="Times New Roman" w:hAnsi="Times New Roman"/>
          <w:b/>
          <w:bCs/>
          <w:sz w:val="30"/>
          <w:szCs w:val="30"/>
          <w:highlight w:val="none"/>
          <w:u w:val="single"/>
        </w:rPr>
      </w:pPr>
    </w:p>
    <w:p w14:paraId="37435056">
      <w:pPr>
        <w:pStyle w:val="2"/>
        <w:ind w:firstLine="562"/>
        <w:rPr>
          <w:b/>
          <w:sz w:val="28"/>
          <w:szCs w:val="28"/>
          <w:highlight w:val="none"/>
          <w:u w:val="single"/>
        </w:rPr>
      </w:pPr>
    </w:p>
    <w:p w14:paraId="1912A7D8">
      <w:pPr>
        <w:pStyle w:val="7"/>
        <w:spacing w:line="600" w:lineRule="exact"/>
        <w:jc w:val="center"/>
        <w:rPr>
          <w:rFonts w:ascii="Times New Roman" w:hAnsi="Times New Roman"/>
          <w:b/>
          <w:bCs/>
          <w:sz w:val="30"/>
          <w:szCs w:val="30"/>
          <w:highlight w:val="none"/>
        </w:rPr>
        <w:sectPr>
          <w:headerReference r:id="rId3" w:type="first"/>
          <w:footerReference r:id="rId5" w:type="first"/>
          <w:footerReference r:id="rId4" w:type="default"/>
          <w:pgSz w:w="11906" w:h="16838"/>
          <w:pgMar w:top="1077" w:right="1361" w:bottom="1077" w:left="1361" w:header="851" w:footer="850" w:gutter="0"/>
          <w:cols w:space="720" w:num="1"/>
          <w:titlePg/>
          <w:docGrid w:type="lines" w:linePitch="312" w:charSpace="0"/>
        </w:sectPr>
      </w:pPr>
      <w:r>
        <w:rPr>
          <w:rFonts w:ascii="Times New Roman" w:hAnsi="Times New Roman"/>
          <w:spacing w:val="10"/>
          <w:sz w:val="30"/>
          <w:szCs w:val="30"/>
          <w:highlight w:val="none"/>
        </w:rPr>
        <w:t>签订日期</w:t>
      </w:r>
      <w:r>
        <w:rPr>
          <w:rFonts w:ascii="Times New Roman" w:hAnsi="Times New Roman"/>
          <w:sz w:val="30"/>
          <w:szCs w:val="30"/>
          <w:highlight w:val="none"/>
        </w:rPr>
        <w:t>：</w:t>
      </w:r>
      <w:r>
        <w:rPr>
          <w:rFonts w:ascii="Times New Roman" w:hAnsi="Times New Roman"/>
          <w:bCs/>
          <w:sz w:val="30"/>
          <w:szCs w:val="30"/>
          <w:highlight w:val="none"/>
        </w:rPr>
        <w:t xml:space="preserve">     年   月   日</w:t>
      </w:r>
    </w:p>
    <w:p w14:paraId="43F0C568">
      <w:pPr>
        <w:spacing w:line="560" w:lineRule="exact"/>
        <w:jc w:val="center"/>
        <w:rPr>
          <w:sz w:val="32"/>
          <w:highlight w:val="none"/>
        </w:rPr>
      </w:pPr>
      <w:r>
        <w:rPr>
          <w:b/>
          <w:bCs/>
          <w:sz w:val="36"/>
          <w:szCs w:val="30"/>
          <w:highlight w:val="none"/>
        </w:rPr>
        <w:t xml:space="preserve">建 设 工 程 检 测 </w:t>
      </w:r>
      <w:r>
        <w:rPr>
          <w:rFonts w:hint="eastAsia"/>
          <w:b/>
          <w:bCs/>
          <w:sz w:val="36"/>
          <w:szCs w:val="30"/>
          <w:highlight w:val="none"/>
        </w:rPr>
        <w:t xml:space="preserve">监 测 服 务 </w:t>
      </w:r>
      <w:r>
        <w:rPr>
          <w:b/>
          <w:bCs/>
          <w:sz w:val="36"/>
          <w:szCs w:val="30"/>
          <w:highlight w:val="none"/>
        </w:rPr>
        <w:t>合 同 书</w:t>
      </w:r>
    </w:p>
    <w:p w14:paraId="06D20D83">
      <w:pPr>
        <w:spacing w:line="560" w:lineRule="exact"/>
        <w:jc w:val="center"/>
        <w:rPr>
          <w:sz w:val="24"/>
          <w:highlight w:val="none"/>
        </w:rPr>
      </w:pPr>
    </w:p>
    <w:p w14:paraId="435D0F31">
      <w:pPr>
        <w:spacing w:line="560" w:lineRule="exact"/>
        <w:rPr>
          <w:rFonts w:hint="eastAsia" w:ascii="宋体" w:hAnsi="宋体" w:cs="宋体"/>
          <w:b/>
          <w:bCs/>
          <w:sz w:val="28"/>
          <w:szCs w:val="28"/>
          <w:highlight w:val="none"/>
        </w:rPr>
      </w:pPr>
      <w:r>
        <w:rPr>
          <w:rFonts w:hint="eastAsia" w:ascii="宋体" w:hAnsi="宋体" w:cs="宋体"/>
          <w:b/>
          <w:bCs/>
          <w:sz w:val="28"/>
          <w:szCs w:val="28"/>
          <w:highlight w:val="none"/>
        </w:rPr>
        <w:t>发包人（甲方）：</w:t>
      </w:r>
      <w:r>
        <w:rPr>
          <w:rFonts w:hint="eastAsia" w:ascii="宋体" w:hAnsi="宋体" w:cs="宋体"/>
          <w:sz w:val="28"/>
          <w:szCs w:val="28"/>
          <w:highlight w:val="none"/>
          <w:u w:val="single"/>
        </w:rPr>
        <w:t>广州市花都区教育局</w:t>
      </w:r>
    </w:p>
    <w:p w14:paraId="641C91E8">
      <w:pPr>
        <w:pStyle w:val="7"/>
        <w:spacing w:line="560" w:lineRule="exact"/>
        <w:ind w:left="2249" w:hanging="2249" w:hangingChars="800"/>
        <w:jc w:val="left"/>
        <w:rPr>
          <w:rFonts w:hint="eastAsia" w:hAnsi="宋体" w:cs="宋体"/>
          <w:b/>
          <w:bCs/>
          <w:sz w:val="28"/>
          <w:szCs w:val="28"/>
          <w:highlight w:val="none"/>
          <w:u w:val="single"/>
        </w:rPr>
      </w:pPr>
      <w:r>
        <w:rPr>
          <w:rFonts w:hint="eastAsia" w:hAnsi="宋体" w:cs="宋体"/>
          <w:b/>
          <w:bCs/>
          <w:sz w:val="28"/>
          <w:szCs w:val="28"/>
          <w:highlight w:val="none"/>
        </w:rPr>
        <w:t>承包人（乙方）：</w:t>
      </w:r>
    </w:p>
    <w:p w14:paraId="37165995">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根据《中华人民共和国民法典》等法律法规的规定，甲方委托乙方承担</w:t>
      </w:r>
      <w:r>
        <w:rPr>
          <w:rFonts w:hint="eastAsia" w:ascii="宋体" w:hAnsi="宋体" w:cs="宋体"/>
          <w:sz w:val="28"/>
          <w:szCs w:val="28"/>
          <w:highlight w:val="none"/>
          <w:u w:val="single"/>
          <w:lang w:eastAsia="zh-CN"/>
        </w:rPr>
        <w:t>花都区职业技术学校综合实训楼项目检验检测监测</w:t>
      </w:r>
      <w:r>
        <w:rPr>
          <w:rFonts w:hint="eastAsia" w:ascii="宋体" w:hAnsi="宋体" w:cs="宋体"/>
          <w:sz w:val="28"/>
          <w:szCs w:val="28"/>
          <w:highlight w:val="none"/>
        </w:rPr>
        <w:t>任务。为明确权责，保护当事人双方的合法权利，经双方协商一致，签订本合同，以资共同遵守。</w:t>
      </w:r>
    </w:p>
    <w:p w14:paraId="6F777CF9">
      <w:pPr>
        <w:adjustRightInd w:val="0"/>
        <w:snapToGrid w:val="0"/>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第一条 工程名称、地点、规模、特征</w:t>
      </w:r>
    </w:p>
    <w:p w14:paraId="5602401C">
      <w:pPr>
        <w:adjustRightInd w:val="0"/>
        <w:snapToGrid w:val="0"/>
        <w:spacing w:line="560" w:lineRule="exact"/>
        <w:ind w:firstLine="562" w:firstLineChars="200"/>
        <w:rPr>
          <w:rFonts w:hint="eastAsia" w:ascii="宋体" w:hAnsi="宋体" w:eastAsia="宋体" w:cs="宋体"/>
          <w:sz w:val="28"/>
          <w:szCs w:val="28"/>
          <w:highlight w:val="none"/>
          <w:lang w:eastAsia="zh-CN"/>
        </w:rPr>
      </w:pPr>
      <w:r>
        <w:rPr>
          <w:rFonts w:hint="eastAsia" w:ascii="宋体" w:hAnsi="宋体" w:cs="宋体"/>
          <w:b/>
          <w:bCs/>
          <w:sz w:val="28"/>
          <w:szCs w:val="28"/>
          <w:highlight w:val="none"/>
        </w:rPr>
        <w:t>工程名称：</w:t>
      </w:r>
      <w:r>
        <w:rPr>
          <w:rFonts w:hint="eastAsia" w:ascii="宋体" w:hAnsi="宋体" w:cs="宋体"/>
          <w:sz w:val="28"/>
          <w:szCs w:val="28"/>
          <w:highlight w:val="none"/>
          <w:lang w:eastAsia="zh-CN"/>
        </w:rPr>
        <w:t>花都区职业技术学校综合实训楼项目检验检测监测</w:t>
      </w:r>
    </w:p>
    <w:p w14:paraId="2F62627E">
      <w:pPr>
        <w:adjustRightInd w:val="0"/>
        <w:snapToGrid w:val="0"/>
        <w:spacing w:line="560" w:lineRule="exact"/>
        <w:ind w:firstLine="562" w:firstLineChars="200"/>
        <w:rPr>
          <w:rFonts w:hint="eastAsia" w:ascii="宋体" w:hAnsi="宋体" w:cs="宋体"/>
          <w:sz w:val="28"/>
          <w:szCs w:val="28"/>
          <w:highlight w:val="none"/>
        </w:rPr>
      </w:pPr>
      <w:r>
        <w:rPr>
          <w:rFonts w:hint="eastAsia" w:ascii="宋体" w:hAnsi="宋体" w:cs="宋体"/>
          <w:b/>
          <w:bCs/>
          <w:sz w:val="28"/>
          <w:szCs w:val="28"/>
          <w:highlight w:val="none"/>
        </w:rPr>
        <w:t>工程地点：</w:t>
      </w:r>
      <w:r>
        <w:rPr>
          <w:rFonts w:hint="eastAsia" w:ascii="宋体" w:hAnsi="宋体" w:cs="宋体"/>
          <w:sz w:val="28"/>
          <w:szCs w:val="28"/>
          <w:highlight w:val="none"/>
        </w:rPr>
        <w:t>广州市花都区炭步镇</w:t>
      </w:r>
    </w:p>
    <w:p w14:paraId="6C6939F6">
      <w:pPr>
        <w:spacing w:line="560" w:lineRule="exact"/>
        <w:ind w:firstLine="562" w:firstLineChars="200"/>
        <w:outlineLvl w:val="0"/>
        <w:rPr>
          <w:rStyle w:val="20"/>
          <w:rFonts w:hint="eastAsia" w:ascii="宋体" w:hAnsi="宋体" w:cs="宋体"/>
          <w:sz w:val="28"/>
          <w:szCs w:val="28"/>
          <w:highlight w:val="none"/>
        </w:rPr>
      </w:pPr>
      <w:r>
        <w:rPr>
          <w:rFonts w:hint="eastAsia" w:ascii="宋体" w:hAnsi="宋体" w:cs="宋体"/>
          <w:b/>
          <w:bCs/>
          <w:sz w:val="28"/>
          <w:szCs w:val="28"/>
          <w:highlight w:val="none"/>
        </w:rPr>
        <w:t>工程规模：</w:t>
      </w:r>
      <w:bookmarkStart w:id="11" w:name="_GoBack"/>
      <w:r>
        <w:rPr>
          <w:rFonts w:hint="eastAsia" w:ascii="宋体" w:hAnsi="宋体" w:cs="宋体"/>
          <w:b w:val="0"/>
          <w:bCs w:val="0"/>
          <w:sz w:val="28"/>
          <w:szCs w:val="28"/>
          <w:highlight w:val="none"/>
        </w:rPr>
        <w:t>本项目主要建设内容包括拆除实训场地及食堂，总面积1278㎡；新建一栋综合实训楼，新建总建筑面积14710㎡，包含实训教室、食堂、风雨操场等，最大建筑高度为24m，最大跨度31m。（以上建设内容和规模最终以政府主管部门和规划建设管理部门最终批复为准）。</w:t>
      </w:r>
      <w:bookmarkEnd w:id="11"/>
    </w:p>
    <w:p w14:paraId="1BE1896E">
      <w:pPr>
        <w:spacing w:line="560" w:lineRule="exact"/>
        <w:ind w:firstLine="562" w:firstLineChars="200"/>
        <w:outlineLvl w:val="0"/>
        <w:rPr>
          <w:rFonts w:hint="eastAsia" w:ascii="宋体" w:hAnsi="宋体" w:cs="宋体"/>
          <w:bCs/>
          <w:sz w:val="28"/>
          <w:szCs w:val="28"/>
          <w:highlight w:val="none"/>
        </w:rPr>
      </w:pPr>
      <w:r>
        <w:rPr>
          <w:rFonts w:hint="eastAsia" w:ascii="宋体" w:hAnsi="宋体" w:cs="宋体"/>
          <w:b/>
          <w:bCs/>
          <w:sz w:val="28"/>
          <w:szCs w:val="28"/>
          <w:highlight w:val="none"/>
        </w:rPr>
        <w:t>工程总投资：</w:t>
      </w:r>
      <w:r>
        <w:rPr>
          <w:rFonts w:hint="eastAsia" w:ascii="宋体" w:hAnsi="宋体" w:cs="宋体"/>
          <w:bCs/>
          <w:sz w:val="28"/>
          <w:szCs w:val="28"/>
          <w:highlight w:val="none"/>
        </w:rPr>
        <w:t>约</w:t>
      </w:r>
      <w:r>
        <w:rPr>
          <w:rFonts w:hint="eastAsia" w:ascii="宋体" w:hAnsi="宋体" w:cs="宋体"/>
          <w:bCs/>
          <w:sz w:val="28"/>
          <w:szCs w:val="28"/>
          <w:highlight w:val="none"/>
          <w:lang w:val="en-US" w:eastAsia="zh-CN"/>
        </w:rPr>
        <w:t>9950.83</w:t>
      </w:r>
      <w:r>
        <w:rPr>
          <w:rFonts w:hint="eastAsia" w:ascii="宋体" w:hAnsi="宋体" w:cs="宋体"/>
          <w:bCs/>
          <w:sz w:val="28"/>
          <w:szCs w:val="28"/>
          <w:highlight w:val="none"/>
        </w:rPr>
        <w:t>万元，工程建安费用约</w:t>
      </w:r>
      <w:r>
        <w:rPr>
          <w:rFonts w:hint="eastAsia" w:ascii="宋体" w:hAnsi="宋体" w:cs="宋体"/>
          <w:bCs/>
          <w:sz w:val="28"/>
          <w:szCs w:val="28"/>
          <w:highlight w:val="none"/>
          <w:lang w:val="en-US" w:eastAsia="zh-CN"/>
        </w:rPr>
        <w:t>7525.41</w:t>
      </w:r>
      <w:r>
        <w:rPr>
          <w:rFonts w:hint="eastAsia" w:ascii="宋体" w:hAnsi="宋体" w:cs="宋体"/>
          <w:bCs/>
          <w:sz w:val="28"/>
          <w:szCs w:val="28"/>
          <w:highlight w:val="none"/>
        </w:rPr>
        <w:t>万元。</w:t>
      </w:r>
    </w:p>
    <w:p w14:paraId="36620C91">
      <w:pPr>
        <w:adjustRightInd w:val="0"/>
        <w:snapToGrid w:val="0"/>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第二条 工程检测、监测内容、范围及分包要求</w:t>
      </w:r>
    </w:p>
    <w:p w14:paraId="6A88D4B7">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color w:val="000000"/>
          <w:sz w:val="28"/>
          <w:szCs w:val="28"/>
          <w:highlight w:val="none"/>
        </w:rPr>
        <w:t xml:space="preserve"> 1. 检测、监测</w:t>
      </w:r>
      <w:r>
        <w:rPr>
          <w:rFonts w:hint="eastAsia" w:ascii="宋体" w:hAnsi="宋体" w:cs="宋体"/>
          <w:color w:val="000000"/>
          <w:kern w:val="0"/>
          <w:sz w:val="28"/>
          <w:szCs w:val="28"/>
          <w:highlight w:val="none"/>
        </w:rPr>
        <w:t>包括但不限于以下内容：</w:t>
      </w:r>
      <w:r>
        <w:rPr>
          <w:rFonts w:hint="eastAsia" w:ascii="宋体" w:hAnsi="宋体" w:cs="宋体"/>
          <w:color w:val="000000"/>
          <w:sz w:val="28"/>
          <w:szCs w:val="28"/>
          <w:highlight w:val="none"/>
        </w:rPr>
        <w:t>（1）施工过程中所有材料设备的第三方检验检测部分含见证取样检测、地基基础检测、主体结构工程检测、智能化系统检测等。（2）监测部分为主体沉降观测、基坑监测及高支模监测，其中基坑安全等级为</w:t>
      </w:r>
      <w:r>
        <w:rPr>
          <w:rFonts w:hint="eastAsia" w:ascii="宋体" w:hAnsi="宋体" w:cs="宋体"/>
          <w:color w:val="000000"/>
          <w:sz w:val="28"/>
          <w:szCs w:val="28"/>
          <w:highlight w:val="none"/>
          <w:lang w:val="en-US" w:eastAsia="zh-CN"/>
        </w:rPr>
        <w:t>二</w:t>
      </w:r>
      <w:r>
        <w:rPr>
          <w:rFonts w:hint="eastAsia" w:ascii="宋体" w:hAnsi="宋体" w:cs="宋体"/>
          <w:color w:val="000000"/>
          <w:sz w:val="28"/>
          <w:szCs w:val="28"/>
          <w:highlight w:val="none"/>
        </w:rPr>
        <w:t>级，地基基础设计等级为</w:t>
      </w:r>
      <w:r>
        <w:rPr>
          <w:rFonts w:hint="eastAsia" w:ascii="宋体" w:hAnsi="宋体" w:cs="宋体"/>
          <w:color w:val="000000"/>
          <w:sz w:val="28"/>
          <w:szCs w:val="28"/>
          <w:highlight w:val="none"/>
          <w:lang w:val="en-US" w:eastAsia="zh-CN"/>
        </w:rPr>
        <w:t>乙</w:t>
      </w:r>
      <w:r>
        <w:rPr>
          <w:rFonts w:hint="eastAsia" w:ascii="宋体" w:hAnsi="宋体" w:cs="宋体"/>
          <w:color w:val="000000"/>
          <w:sz w:val="28"/>
          <w:szCs w:val="28"/>
          <w:highlight w:val="none"/>
        </w:rPr>
        <w:t>级</w:t>
      </w:r>
      <w:r>
        <w:rPr>
          <w:rFonts w:hint="eastAsia" w:ascii="宋体" w:hAnsi="宋体" w:cs="宋体"/>
          <w:sz w:val="28"/>
          <w:szCs w:val="28"/>
          <w:highlight w:val="none"/>
        </w:rPr>
        <w:t>。</w:t>
      </w:r>
    </w:p>
    <w:p w14:paraId="0CE3AD73">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 服务范围除以上工程检测、监测工作外，还包括：（1）根据《广州市城乡建设委员会关于启用地下工程及深基坑安全监测信息管理系统的通知》要求，中标单位需配合做好信息化管理工作。中标单位需按广州市住房和城乡建设局的规定，开通基坑监测数据管理系统账号，配备能实时上传监测数据的相关仪器设备，并具备将监测数据实时上传至广州市地下工程和深基坑安全监测信息管理系统的能力及经验。</w:t>
      </w:r>
    </w:p>
    <w:p w14:paraId="1581BAF5">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与工程所在行政区域的相关建设行政主管部门和监督部门进行监测工作的协调，申报监测技术成果的审批。保证技术成果能够通过相关部门认可，确保不因监测和建筑物主体沉降观工作影响本工程项目的建设进度、项目竣工验收和在城建档案馆备案。</w:t>
      </w:r>
    </w:p>
    <w:p w14:paraId="2CEDFE3E">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（3）在进行监测任务的过程中与该工程相关的施工单位、监理单位、设计单位、代建单位、建设主管部门等相关单位的协调工作，投标人需在投标报价中综合考虑该项协调工作的费用。</w:t>
      </w:r>
    </w:p>
    <w:p w14:paraId="1E55599B">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（4）监测数据的有关信息如需通过连接系统进行传输报送，投标人需在投标报价中综合考虑该项协调工作的费用。</w:t>
      </w:r>
    </w:p>
    <w:p w14:paraId="4B5B6314">
      <w:pPr>
        <w:snapToGrid w:val="0"/>
        <w:spacing w:line="560" w:lineRule="exact"/>
        <w:ind w:firstLine="644" w:firstLineChars="200"/>
        <w:rPr>
          <w:rFonts w:hint="eastAsia" w:ascii="宋体" w:hAnsi="宋体" w:cs="宋体"/>
          <w:sz w:val="28"/>
          <w:szCs w:val="28"/>
          <w:highlight w:val="none"/>
        </w:rPr>
      </w:pPr>
      <w:r>
        <w:rPr>
          <w:rFonts w:hint="eastAsia" w:ascii="宋体" w:hAnsi="宋体" w:cs="宋体"/>
          <w:spacing w:val="21"/>
          <w:sz w:val="28"/>
          <w:szCs w:val="28"/>
          <w:highlight w:val="none"/>
        </w:rPr>
        <w:t>3.技术服务</w:t>
      </w:r>
      <w:r>
        <w:rPr>
          <w:rFonts w:hint="eastAsia" w:ascii="宋体" w:hAnsi="宋体" w:cs="宋体"/>
          <w:sz w:val="28"/>
          <w:szCs w:val="28"/>
          <w:highlight w:val="none"/>
        </w:rPr>
        <w:t>承包方式：（1）本技术服务合同采用综合单价包干，包工期、包质量、包安全、包文明、包服务和工作成果的形式承包本技术服务项目，按下浮率下浮，工程量按实结算。（2）参考计费依据：国家发展计划委员会、建设部颁发的《工程勘察设计收费标准》（2002年修订本）、《关于印发&lt;广东省房屋建筑和市政工程质量安全检测收费指导价(第一批)&gt;和&lt;广东省既有房屋建筑安全性鉴定收费指导价&gt;的通知》（粤建检协[2015]8号文）、关于印发《广州市建设工程基坑监测、变形点监测收费项目及标准指导性意见》的通知（穗建检协字（2013）12号）有关的检测收费规定等。（3）乙方按有关国家及行业标准，出具《检（监）测报告》一式十份（含电子版）。</w:t>
      </w:r>
    </w:p>
    <w:p w14:paraId="0BF4D2F5">
      <w:pPr>
        <w:adjustRightInd w:val="0"/>
        <w:snapToGrid w:val="0"/>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4、分包要求：</w:t>
      </w:r>
    </w:p>
    <w:p w14:paraId="4A4DA891">
      <w:pPr>
        <w:pStyle w:val="12"/>
        <w:adjustRightInd w:val="0"/>
        <w:snapToGrid w:val="0"/>
        <w:spacing w:after="0"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原则上不得转包和分包。如乙方检测、监测资质不能涵盖的项目，经监理单位确认后，报甲方书面批准同意后，由乙方委托具有相应资质的第三方实施，乙方应对该第三方出具的结果负责，并取得相关行业管理部门的确认。</w:t>
      </w:r>
    </w:p>
    <w:p w14:paraId="204898EC">
      <w:pPr>
        <w:pStyle w:val="12"/>
        <w:adjustRightInd w:val="0"/>
        <w:snapToGrid w:val="0"/>
        <w:spacing w:after="0"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乙方应当在检测、监测报告中注明分包的检测、监测项目以及承担分包项目的检测、监测机构。</w:t>
      </w:r>
    </w:p>
    <w:p w14:paraId="1C1F4BD6">
      <w:pPr>
        <w:pStyle w:val="12"/>
        <w:adjustRightInd w:val="0"/>
        <w:snapToGrid w:val="0"/>
        <w:spacing w:after="0"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分包不能解除乙方任何责任与义务。乙方应在分包场地派驻相应管理人员，保证本合同的履行。分包单位的任何违约行为或疏忽导致工程损害或给甲方造成其他损失，乙方承担连带责任。</w:t>
      </w:r>
    </w:p>
    <w:p w14:paraId="77AD09C2">
      <w:pPr>
        <w:adjustRightInd w:val="0"/>
        <w:snapToGrid w:val="0"/>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第三条 检测、监测方法与目的</w:t>
      </w:r>
    </w:p>
    <w:p w14:paraId="445C6072">
      <w:pPr>
        <w:tabs>
          <w:tab w:val="center" w:pos="4573"/>
        </w:tabs>
        <w:adjustRightInd w:val="0"/>
        <w:snapToGrid w:val="0"/>
        <w:spacing w:line="560" w:lineRule="exact"/>
        <w:ind w:firstLine="562" w:firstLineChars="200"/>
        <w:jc w:val="left"/>
        <w:rPr>
          <w:rFonts w:hint="eastAsia" w:ascii="宋体" w:hAnsi="宋体" w:cs="宋体"/>
          <w:b/>
          <w:bCs/>
          <w:sz w:val="28"/>
          <w:szCs w:val="28"/>
          <w:highlight w:val="none"/>
        </w:rPr>
      </w:pPr>
      <w:r>
        <w:rPr>
          <w:rFonts w:hint="eastAsia" w:ascii="宋体" w:hAnsi="宋体" w:cs="宋体"/>
          <w:b/>
          <w:bCs/>
          <w:sz w:val="28"/>
          <w:szCs w:val="28"/>
          <w:highlight w:val="none"/>
        </w:rPr>
        <w:t>1、检测、监测方法</w:t>
      </w:r>
    </w:p>
    <w:p w14:paraId="26ECD0C1">
      <w:pPr>
        <w:tabs>
          <w:tab w:val="center" w:pos="4573"/>
        </w:tabs>
        <w:adjustRightInd w:val="0"/>
        <w:snapToGrid w:val="0"/>
        <w:spacing w:line="560" w:lineRule="exact"/>
        <w:ind w:firstLine="560" w:firstLineChars="200"/>
        <w:jc w:val="left"/>
        <w:rPr>
          <w:rFonts w:hint="eastAsia" w:ascii="宋体" w:hAnsi="宋体" w:cs="宋体"/>
          <w:sz w:val="28"/>
          <w:szCs w:val="28"/>
          <w:highlight w:val="none"/>
          <w:lang w:val="zh-CN"/>
        </w:rPr>
      </w:pPr>
      <w:r>
        <w:rPr>
          <w:rFonts w:hint="eastAsia" w:ascii="宋体" w:hAnsi="宋体" w:cs="宋体"/>
          <w:sz w:val="28"/>
          <w:szCs w:val="28"/>
          <w:highlight w:val="none"/>
        </w:rPr>
        <w:t>按照中华人民共和国行业标准</w:t>
      </w:r>
      <w:r>
        <w:rPr>
          <w:rFonts w:hint="eastAsia" w:ascii="宋体" w:hAnsi="宋体" w:cs="宋体"/>
          <w:sz w:val="28"/>
          <w:szCs w:val="28"/>
          <w:highlight w:val="none"/>
          <w:lang w:val="zh-CN"/>
        </w:rPr>
        <w:t>及</w:t>
      </w:r>
      <w:r>
        <w:rPr>
          <w:rFonts w:hint="eastAsia" w:ascii="宋体" w:hAnsi="宋体" w:cs="宋体"/>
          <w:sz w:val="28"/>
          <w:szCs w:val="28"/>
          <w:highlight w:val="none"/>
        </w:rPr>
        <w:t>现行</w:t>
      </w:r>
      <w:r>
        <w:rPr>
          <w:rFonts w:hint="eastAsia" w:ascii="宋体" w:hAnsi="宋体" w:cs="宋体"/>
          <w:sz w:val="28"/>
          <w:szCs w:val="28"/>
          <w:highlight w:val="none"/>
          <w:lang w:val="zh-CN"/>
        </w:rPr>
        <w:t>规范进行检测和判定，</w:t>
      </w:r>
      <w:r>
        <w:rPr>
          <w:rFonts w:hint="eastAsia" w:ascii="宋体" w:hAnsi="宋体" w:cs="宋体"/>
          <w:sz w:val="28"/>
          <w:szCs w:val="28"/>
          <w:highlight w:val="none"/>
        </w:rPr>
        <w:t>如合同履行期间标准或规范有更新的，应按照更新后的标准及规范进行检测和判定，并</w:t>
      </w:r>
      <w:r>
        <w:rPr>
          <w:rFonts w:hint="eastAsia" w:ascii="宋体" w:hAnsi="宋体" w:cs="宋体"/>
          <w:sz w:val="28"/>
          <w:szCs w:val="28"/>
          <w:highlight w:val="none"/>
          <w:lang w:val="zh-CN"/>
        </w:rPr>
        <w:t>出具完整检测报告。</w:t>
      </w:r>
    </w:p>
    <w:p w14:paraId="66113FB2">
      <w:pPr>
        <w:adjustRightInd w:val="0"/>
        <w:snapToGrid w:val="0"/>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2、检测、监测目的</w:t>
      </w:r>
    </w:p>
    <w:p w14:paraId="3EC589B9">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对本工程项目进行检测、监测，并依据规范作出评价，为该工程的相关工程的验收提供依据。</w:t>
      </w:r>
    </w:p>
    <w:p w14:paraId="3B4153ED">
      <w:pPr>
        <w:adjustRightInd w:val="0"/>
        <w:snapToGrid w:val="0"/>
        <w:spacing w:line="560" w:lineRule="exact"/>
        <w:ind w:firstLine="562" w:firstLineChars="200"/>
        <w:rPr>
          <w:rFonts w:hint="eastAsia" w:ascii="宋体" w:hAnsi="宋体" w:cs="宋体"/>
          <w:sz w:val="28"/>
          <w:szCs w:val="28"/>
          <w:highlight w:val="none"/>
        </w:rPr>
      </w:pPr>
      <w:r>
        <w:rPr>
          <w:rFonts w:hint="eastAsia" w:ascii="宋体" w:hAnsi="宋体" w:cs="宋体"/>
          <w:b/>
          <w:bCs/>
          <w:sz w:val="28"/>
          <w:szCs w:val="28"/>
          <w:highlight w:val="none"/>
        </w:rPr>
        <w:t>第四条 技术要求</w:t>
      </w:r>
    </w:p>
    <w:p w14:paraId="543D7D25">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主要使用的检测规范：①《建设工程质量管理条例文件汇编》（广州地区建设工程质量安全监督站编制），②相关检测规范：国家行业标准《建筑桩基技术规范》（JGJ94—2008）、国家标准《建筑地基基础设计规范》（GB50007-2011）、国家标准《岩土工程勘测规范》（GB50021-2001（2009版））、国家行业标准《建筑基桩检测技术规程》（JGJ106—2014）、国家行业标准《建筑地基处理技术规程》（JGJ79—2012）、国家标准《钻芯法检测混凝土强度技术规程》(（JGJ/T384-2016）、国家行业标准《建筑变形测量规程》（JGJ8—2016）、国家标准《超声回弹综合法检测混凝土强度技术规范》（CECS02：2005），③《转发省建设厅〈广东省桩基质量检测技术规定〉（试行）的通知》（穗建筑[2001]395号），④《关于印发〈广州市建筑工程结构实体质量监督抽检暂行办法〉的通知》（穗建质监字[2007]31号），⑤《民用建筑工程室内环境污染控制规范》（GB50325—2010）(2013年版)），⑥国家其他检测规范、强制性标准，⑦以上标准若有更新，以最新版本为准。</w:t>
      </w:r>
    </w:p>
    <w:p w14:paraId="55F6CA4F">
      <w:pPr>
        <w:adjustRightInd w:val="0"/>
        <w:snapToGrid w:val="0"/>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第五条 检测、监测周期或提供检测报告的时间</w:t>
      </w:r>
    </w:p>
    <w:p w14:paraId="77BC18AE">
      <w:pPr>
        <w:adjustRightInd w:val="0"/>
        <w:snapToGrid w:val="0"/>
        <w:spacing w:line="560" w:lineRule="exact"/>
        <w:ind w:firstLine="562" w:firstLineChars="200"/>
        <w:rPr>
          <w:rFonts w:hint="eastAsia" w:ascii="宋体" w:hAnsi="宋体" w:cs="宋体"/>
          <w:sz w:val="28"/>
          <w:szCs w:val="28"/>
          <w:highlight w:val="none"/>
        </w:rPr>
      </w:pPr>
      <w:r>
        <w:rPr>
          <w:rFonts w:hint="eastAsia" w:ascii="宋体" w:hAnsi="宋体" w:cs="宋体"/>
          <w:b/>
          <w:bCs/>
          <w:sz w:val="28"/>
          <w:szCs w:val="28"/>
          <w:highlight w:val="none"/>
        </w:rPr>
        <w:t>1、</w:t>
      </w:r>
      <w:r>
        <w:rPr>
          <w:rFonts w:hint="eastAsia" w:ascii="宋体" w:hAnsi="宋体" w:cs="宋体"/>
          <w:sz w:val="28"/>
          <w:szCs w:val="28"/>
          <w:highlight w:val="none"/>
        </w:rPr>
        <w:t>服务周期：</w:t>
      </w:r>
      <w:r>
        <w:rPr>
          <w:rFonts w:hint="eastAsia" w:ascii="宋体" w:hAnsi="宋体" w:cs="宋体"/>
          <w:color w:val="000000"/>
          <w:sz w:val="28"/>
          <w:szCs w:val="28"/>
          <w:highlight w:val="none"/>
        </w:rPr>
        <w:t>自本项目中标通知书发出之日起至所有检验检测、监测项目完成，服务周期必须满足实际施工及验收工作要求。</w:t>
      </w:r>
    </w:p>
    <w:p w14:paraId="060BBF34">
      <w:pPr>
        <w:adjustRightInd w:val="0"/>
        <w:snapToGrid w:val="0"/>
        <w:spacing w:line="560" w:lineRule="exact"/>
        <w:ind w:firstLine="562" w:firstLineChars="200"/>
        <w:rPr>
          <w:rFonts w:hint="eastAsia" w:ascii="宋体" w:hAnsi="宋体" w:cs="宋体"/>
          <w:sz w:val="28"/>
          <w:szCs w:val="28"/>
          <w:highlight w:val="none"/>
        </w:rPr>
      </w:pPr>
      <w:r>
        <w:rPr>
          <w:rFonts w:hint="eastAsia" w:ascii="宋体" w:hAnsi="宋体" w:cs="宋体"/>
          <w:b/>
          <w:bCs/>
          <w:sz w:val="28"/>
          <w:szCs w:val="28"/>
          <w:highlight w:val="none"/>
        </w:rPr>
        <w:t>2、提供检测、监测报告的时间：</w:t>
      </w:r>
      <w:r>
        <w:rPr>
          <w:rFonts w:hint="eastAsia" w:ascii="宋体" w:hAnsi="宋体" w:cs="宋体"/>
          <w:sz w:val="28"/>
          <w:szCs w:val="28"/>
          <w:highlight w:val="none"/>
        </w:rPr>
        <w:t>现场作业完成及资料搜集齐后30天内提供正式</w:t>
      </w:r>
      <w:r>
        <w:rPr>
          <w:rFonts w:hint="eastAsia" w:ascii="宋体" w:hAnsi="宋体" w:cs="宋体"/>
          <w:b/>
          <w:bCs/>
          <w:sz w:val="28"/>
          <w:szCs w:val="28"/>
          <w:highlight w:val="none"/>
        </w:rPr>
        <w:t>检测、监测</w:t>
      </w:r>
      <w:r>
        <w:rPr>
          <w:rFonts w:hint="eastAsia" w:ascii="宋体" w:hAnsi="宋体" w:cs="宋体"/>
          <w:sz w:val="28"/>
          <w:szCs w:val="28"/>
          <w:highlight w:val="none"/>
        </w:rPr>
        <w:t>报告。</w:t>
      </w:r>
    </w:p>
    <w:p w14:paraId="0BB2E843">
      <w:pPr>
        <w:adjustRightInd w:val="0"/>
        <w:snapToGrid w:val="0"/>
        <w:spacing w:line="560" w:lineRule="exact"/>
        <w:ind w:firstLine="562" w:firstLineChars="200"/>
        <w:rPr>
          <w:rFonts w:hint="eastAsia" w:ascii="宋体" w:hAnsi="宋体" w:cs="宋体"/>
          <w:sz w:val="28"/>
          <w:szCs w:val="28"/>
          <w:highlight w:val="none"/>
        </w:rPr>
      </w:pPr>
      <w:r>
        <w:rPr>
          <w:rFonts w:hint="eastAsia" w:ascii="宋体" w:hAnsi="宋体" w:cs="宋体"/>
          <w:b/>
          <w:bCs/>
          <w:sz w:val="28"/>
          <w:szCs w:val="28"/>
          <w:highlight w:val="none"/>
        </w:rPr>
        <w:t>第六条  检测、监测数量、造价、结算及付款方式</w:t>
      </w:r>
    </w:p>
    <w:p w14:paraId="698518EC">
      <w:pPr>
        <w:adjustRightInd w:val="0"/>
        <w:snapToGrid w:val="0"/>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1、检测、监测数量和费用：</w:t>
      </w:r>
    </w:p>
    <w:p w14:paraId="3219F39F">
      <w:pPr>
        <w:adjustRightInd w:val="0"/>
        <w:snapToGrid w:val="0"/>
        <w:spacing w:line="560" w:lineRule="exact"/>
        <w:ind w:firstLine="562" w:firstLineChars="200"/>
        <w:rPr>
          <w:rFonts w:hint="eastAsia" w:ascii="宋体" w:hAnsi="宋体" w:cs="宋体"/>
          <w:sz w:val="28"/>
          <w:szCs w:val="28"/>
          <w:highlight w:val="none"/>
        </w:rPr>
      </w:pPr>
      <w:r>
        <w:rPr>
          <w:rFonts w:hint="eastAsia" w:ascii="宋体" w:hAnsi="宋体" w:cs="宋体"/>
          <w:b/>
          <w:bCs/>
          <w:sz w:val="28"/>
          <w:szCs w:val="28"/>
          <w:highlight w:val="none"/>
        </w:rPr>
        <w:t>检测、监测</w:t>
      </w:r>
      <w:r>
        <w:rPr>
          <w:rFonts w:hint="eastAsia" w:ascii="宋体" w:hAnsi="宋体" w:cs="宋体"/>
          <w:sz w:val="28"/>
          <w:szCs w:val="28"/>
          <w:highlight w:val="none"/>
        </w:rPr>
        <w:t>数量按实结算，检测、监测综合结算单价原则：（1）《关于印发&lt;广东省房屋建筑和市政工程质量安全检测收费指导价(第一批)&gt;和&lt;广东省既有房屋建筑安全性鉴定收费指导价&gt;的通知》（粤建检协[2015]8号文）、关于印发《广州市建设工程基坑监测、变形点监测收费项目及标准指导性意见》的通知（穗建检协字（2013）12号）等有关的检测、监测收费规定相适应的单价乘以（1-投标下浮率），实际检测、监测数量以甲方、监理单位、乙方现场确认的工程量为准。最终结算价以财政部门或第三方审核单位审定价为准。</w:t>
      </w:r>
    </w:p>
    <w:p w14:paraId="28A3E518">
      <w:pPr>
        <w:adjustRightInd w:val="0"/>
        <w:snapToGrid w:val="0"/>
        <w:spacing w:line="560" w:lineRule="exact"/>
        <w:ind w:firstLine="562" w:firstLineChars="200"/>
        <w:rPr>
          <w:rFonts w:hint="eastAsia" w:ascii="宋体" w:hAnsi="宋体" w:cs="宋体"/>
          <w:b/>
          <w:bCs/>
          <w:sz w:val="28"/>
          <w:szCs w:val="28"/>
          <w:highlight w:val="none"/>
          <w:u w:val="single"/>
        </w:rPr>
      </w:pPr>
      <w:r>
        <w:rPr>
          <w:rFonts w:hint="eastAsia" w:ascii="宋体" w:hAnsi="宋体" w:cs="宋体"/>
          <w:b/>
          <w:bCs/>
          <w:sz w:val="28"/>
          <w:szCs w:val="28"/>
          <w:highlight w:val="none"/>
        </w:rPr>
        <w:t>2、合同暂定总价：</w:t>
      </w:r>
      <w:r>
        <w:rPr>
          <w:rFonts w:hint="eastAsia" w:ascii="宋体" w:hAnsi="宋体" w:cs="宋体"/>
          <w:bCs/>
          <w:sz w:val="28"/>
          <w:szCs w:val="28"/>
          <w:highlight w:val="none"/>
          <w:u w:val="single"/>
        </w:rPr>
        <w:t>人民币           元（大写：），投标下浮率    %。</w:t>
      </w:r>
    </w:p>
    <w:p w14:paraId="32988464">
      <w:pPr>
        <w:adjustRightInd w:val="0"/>
        <w:snapToGrid w:val="0"/>
        <w:spacing w:line="560" w:lineRule="exact"/>
        <w:ind w:firstLine="560" w:firstLineChars="200"/>
        <w:rPr>
          <w:rFonts w:hint="eastAsia" w:ascii="宋体" w:hAnsi="宋体" w:cs="宋体"/>
          <w:b/>
          <w:sz w:val="28"/>
          <w:szCs w:val="28"/>
          <w:highlight w:val="none"/>
          <w:u w:val="single"/>
        </w:rPr>
      </w:pPr>
      <w:r>
        <w:rPr>
          <w:rFonts w:hint="eastAsia" w:ascii="宋体" w:hAnsi="宋体" w:cs="宋体"/>
          <w:sz w:val="28"/>
          <w:szCs w:val="28"/>
          <w:highlight w:val="none"/>
        </w:rPr>
        <w:t>检测、监测综</w:t>
      </w:r>
      <w:r>
        <w:rPr>
          <w:rFonts w:hint="eastAsia" w:ascii="宋体" w:hAnsi="宋体" w:cs="宋体"/>
          <w:bCs/>
          <w:sz w:val="28"/>
          <w:szCs w:val="28"/>
          <w:highlight w:val="none"/>
        </w:rPr>
        <w:t>合含税单价</w:t>
      </w:r>
      <w:r>
        <w:rPr>
          <w:rFonts w:hint="eastAsia" w:ascii="宋体" w:hAnsi="宋体" w:cs="宋体"/>
          <w:sz w:val="28"/>
          <w:szCs w:val="28"/>
          <w:highlight w:val="none"/>
        </w:rPr>
        <w:t>包括但不限于为实施和完成本项目全部试验检测工作所需的材料费、劳务费、技术服务费、试验检测仪器设备使用费、机械进退场费、车辆通行费、食宿费、资料费、管理费、规费（按广州市花都区建设项目收费标准）、保险费（含建筑工程一切险和第三方责任险）、其他一切建设使用费（含驻地建设费、临时用水、用电费）、</w:t>
      </w:r>
      <w:r>
        <w:rPr>
          <w:rFonts w:hint="eastAsia" w:ascii="宋体" w:hAnsi="宋体" w:cs="宋体"/>
          <w:bCs/>
          <w:sz w:val="28"/>
          <w:szCs w:val="28"/>
          <w:highlight w:val="none"/>
        </w:rPr>
        <w:t>一切税费</w:t>
      </w:r>
      <w:r>
        <w:rPr>
          <w:rFonts w:hint="eastAsia" w:ascii="宋体" w:hAnsi="宋体" w:cs="宋体"/>
          <w:sz w:val="28"/>
          <w:szCs w:val="28"/>
          <w:highlight w:val="none"/>
        </w:rPr>
        <w:t>以及合同明示或暗示的所有一般风险、责任和义务等，以及为完成本项目检测的全部利润等所有的服务费用。若有变动或未尽事宜，经双方协商，可签订补充协议。</w:t>
      </w:r>
    </w:p>
    <w:p w14:paraId="201BAC6C">
      <w:pPr>
        <w:adjustRightInd w:val="0"/>
        <w:snapToGrid w:val="0"/>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3、计费依据：</w:t>
      </w:r>
    </w:p>
    <w:p w14:paraId="60B278A2">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工程的检测、监测费用按《国家发展计划委员会、建设部监测关于发布&lt;工程勘察收费标准&gt;的通知》（2002年修订本）、《广东省建设工程质量安全检测和鉴定协会关于印发&lt;广东省房屋建筑和市政工程质量安全检测收费指导价（第一批）》和《广东省既有房屋建筑安全性鉴定收费指导价&gt;的通知》（粤建检协〔2015〕8号）等有关的检测收费规定。</w:t>
      </w:r>
    </w:p>
    <w:p w14:paraId="39CAD10B">
      <w:pPr>
        <w:numPr>
          <w:ilvl w:val="0"/>
          <w:numId w:val="1"/>
        </w:numPr>
        <w:adjustRightInd w:val="0"/>
        <w:snapToGrid w:val="0"/>
        <w:spacing w:line="560" w:lineRule="exact"/>
        <w:ind w:left="0"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付款方式：</w:t>
      </w:r>
    </w:p>
    <w:p w14:paraId="34C265F1">
      <w:pPr>
        <w:adjustRightInd w:val="0"/>
        <w:snapToGrid w:val="0"/>
        <w:spacing w:line="560" w:lineRule="exact"/>
        <w:rPr>
          <w:rFonts w:hint="eastAsia" w:ascii="宋体" w:hAnsi="宋体" w:cs="宋体"/>
          <w:bCs/>
          <w:sz w:val="28"/>
          <w:szCs w:val="28"/>
          <w:highlight w:val="none"/>
        </w:rPr>
      </w:pPr>
      <w:r>
        <w:rPr>
          <w:rFonts w:hint="eastAsia" w:ascii="宋体" w:hAnsi="宋体" w:cs="宋体"/>
          <w:bCs/>
          <w:sz w:val="28"/>
          <w:szCs w:val="28"/>
          <w:highlight w:val="none"/>
        </w:rPr>
        <w:t xml:space="preserve">    （1）合同签订后，乙方按要求提交请款资料，申请支付至已启动区域检测、监测费用的20%。</w:t>
      </w:r>
    </w:p>
    <w:p w14:paraId="20CDAB50">
      <w:pPr>
        <w:adjustRightInd w:val="0"/>
        <w:snapToGrid w:val="0"/>
        <w:spacing w:line="56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2）已启动区域工程施工进度完成至50%时，乙方完成已完工项目的全部现场检测、监测工作，提交符合合同约定标准的检测、监测报告后，甲方向乙方支付至已启动区域已完成检测、监测费用概算价（已下浮）的40%。</w:t>
      </w:r>
    </w:p>
    <w:p w14:paraId="0D31F0F6">
      <w:pPr>
        <w:numPr>
          <w:ilvl w:val="0"/>
          <w:numId w:val="2"/>
        </w:numPr>
        <w:adjustRightInd w:val="0"/>
        <w:snapToGrid w:val="0"/>
        <w:spacing w:line="56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已启动区域工程竣工，乙方按照甲方要求完成已启动区域所有项目的检测、监测工作，并提交全部检测、监测成果报告后，甲方向乙方支付至已启动区域检测、监测费预算价（已下浮）的80%。</w:t>
      </w:r>
    </w:p>
    <w:p w14:paraId="4FF5B920">
      <w:pPr>
        <w:adjustRightInd w:val="0"/>
        <w:snapToGrid w:val="0"/>
        <w:spacing w:line="56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（4）已启动区域的检测、监测费用待</w:t>
      </w:r>
      <w:r>
        <w:rPr>
          <w:rFonts w:hint="eastAsia" w:ascii="宋体" w:hAnsi="宋体" w:cs="宋体"/>
          <w:sz w:val="28"/>
          <w:szCs w:val="28"/>
          <w:highlight w:val="none"/>
        </w:rPr>
        <w:t>财政部门或第三方审核单位</w:t>
      </w:r>
      <w:r>
        <w:rPr>
          <w:rFonts w:hint="eastAsia" w:ascii="宋体" w:hAnsi="宋体" w:cs="宋体"/>
          <w:bCs/>
          <w:sz w:val="28"/>
          <w:szCs w:val="28"/>
          <w:highlight w:val="none"/>
        </w:rPr>
        <w:t>审定后，乙方向甲方递交请款资料，甲方收到请款资料且审核合格后，申请支付至已启动区域检测、监测费用结算价的100%。</w:t>
      </w:r>
    </w:p>
    <w:p w14:paraId="20CBDD77">
      <w:pPr>
        <w:adjustRightInd w:val="0"/>
        <w:snapToGrid w:val="0"/>
        <w:spacing w:line="56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（5）本合同酬金不论任何情况均不计算利息。</w:t>
      </w:r>
    </w:p>
    <w:p w14:paraId="47FBD3BB">
      <w:pPr>
        <w:adjustRightInd w:val="0"/>
        <w:snapToGrid w:val="0"/>
        <w:spacing w:line="56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（6）每次付款前乙方应提供等额、合法的发票。甲方收到乙方提交的发票及请款资料后15个工作日内上报支付申请，视为甲方已履行付款义务。</w:t>
      </w:r>
    </w:p>
    <w:p w14:paraId="22F67AF0">
      <w:pPr>
        <w:adjustRightInd w:val="0"/>
        <w:snapToGrid w:val="0"/>
        <w:spacing w:line="560" w:lineRule="exact"/>
        <w:ind w:firstLine="562" w:firstLineChars="200"/>
        <w:jc w:val="left"/>
        <w:rPr>
          <w:rFonts w:hint="eastAsia" w:ascii="宋体" w:hAnsi="宋体" w:cs="宋体"/>
          <w:sz w:val="28"/>
          <w:szCs w:val="28"/>
          <w:highlight w:val="none"/>
        </w:rPr>
      </w:pPr>
      <w:r>
        <w:rPr>
          <w:rFonts w:hint="eastAsia" w:ascii="宋体" w:hAnsi="宋体" w:cs="宋体"/>
          <w:b/>
          <w:bCs/>
          <w:sz w:val="28"/>
          <w:szCs w:val="28"/>
          <w:highlight w:val="none"/>
        </w:rPr>
        <w:t>说明：本合同支付参照花财支付〔2013〕1号及花财支付〔2016〕4号文的相关规定，若花都区政府职能管理部门的预结算、支付管理有新规定的，则按新规定执行。</w:t>
      </w:r>
    </w:p>
    <w:p w14:paraId="64D70008">
      <w:pPr>
        <w:numPr>
          <w:ilvl w:val="0"/>
          <w:numId w:val="1"/>
        </w:numPr>
        <w:adjustRightInd w:val="0"/>
        <w:snapToGrid w:val="0"/>
        <w:spacing w:line="560" w:lineRule="exact"/>
        <w:ind w:left="0"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结算方式：</w:t>
      </w:r>
    </w:p>
    <w:p w14:paraId="2729319D">
      <w:pPr>
        <w:adjustRightInd w:val="0"/>
        <w:snapToGrid w:val="0"/>
        <w:spacing w:line="56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（1）参考检测收费指导价的单价×（1-中标下浮率）计算，其中中标下浮率=（招标总价控制价-投标报价）/招标总价控制价×100%，本项目中标下浮率为  %。最终审定结算价以财政部门或第三方审核单位审核意见为准，最终结算价不得高于合同价。</w:t>
      </w:r>
    </w:p>
    <w:p w14:paraId="72610D6D">
      <w:pPr>
        <w:adjustRightInd w:val="0"/>
        <w:snapToGrid w:val="0"/>
        <w:spacing w:line="56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（2）如相关收费标准没有的项目，其计价方式则参考市场价格收费，由甲乙双方协商。</w:t>
      </w:r>
    </w:p>
    <w:p w14:paraId="104D140C">
      <w:pPr>
        <w:adjustRightInd w:val="0"/>
        <w:snapToGrid w:val="0"/>
        <w:spacing w:line="56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3）乙方以经确定的检测方案为依据，工程量以实际发生为准（包干项目除外）。（实际发生的检测工程量须由甲方、监理单位、乙方确认，否则不予结算。经设计单位认可，建设单位有权增加或减少计划表所列检测方法和数量。）</w:t>
      </w:r>
    </w:p>
    <w:p w14:paraId="7806D72A">
      <w:pPr>
        <w:adjustRightInd w:val="0"/>
        <w:snapToGrid w:val="0"/>
        <w:spacing w:line="56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（4）乙方应严格按照中华人民共和国相关规范进行检测，对超出相关规范的的检测工程量，甲方有权不予确认。甲方另有要求的除外。</w:t>
      </w:r>
    </w:p>
    <w:p w14:paraId="3979590C">
      <w:pPr>
        <w:adjustRightInd w:val="0"/>
        <w:snapToGrid w:val="0"/>
        <w:spacing w:line="56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（5）甲方有权要求乙方在竣工验收合格后三十个工作日内编制完整的工程竣工资料及工程结算书报甲方,甲方将竣工结算资料报花都区财政投资评审中心进行审核。</w:t>
      </w:r>
    </w:p>
    <w:p w14:paraId="7F5A05AF">
      <w:pPr>
        <w:adjustRightInd w:val="0"/>
        <w:snapToGrid w:val="0"/>
        <w:spacing w:line="56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甲方向乙方提出结算，如乙方不按要求提交结算资料或不配合结算审核工作以致结算迟迟不能送审、定审，且在甲方规定时间内又提不出正当理由的，则甲方有权与花都区财政投资评审中心共同盖章确认结算审核结果。</w:t>
      </w:r>
    </w:p>
    <w:p w14:paraId="3B991318">
      <w:pPr>
        <w:adjustRightInd w:val="0"/>
        <w:snapToGrid w:val="0"/>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 xml:space="preserve">  6、履约担保：</w:t>
      </w:r>
    </w:p>
    <w:p w14:paraId="7A7E57C2">
      <w:pPr>
        <w:adjustRightInd w:val="0"/>
        <w:snapToGrid w:val="0"/>
        <w:spacing w:line="560" w:lineRule="exact"/>
        <w:ind w:firstLine="560" w:firstLineChars="20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（一）</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提供履约担保</w:t>
      </w:r>
    </w:p>
    <w:p w14:paraId="5BF997B9">
      <w:pPr>
        <w:adjustRightInd w:val="0"/>
        <w:snapToGrid w:val="0"/>
        <w:spacing w:line="560" w:lineRule="exact"/>
        <w:ind w:firstLine="560" w:firstLineChars="20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1、履约保证金：中标价10%的银行履约保函或担保公司履约保函。(注：按已启动区域分别提交履约担保）</w:t>
      </w:r>
    </w:p>
    <w:p w14:paraId="113E83EE">
      <w:pPr>
        <w:pStyle w:val="2"/>
        <w:adjustRightInd w:val="0"/>
        <w:snapToGrid w:val="0"/>
        <w:spacing w:line="560" w:lineRule="exact"/>
        <w:ind w:firstLine="56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2、担保形式：</w:t>
      </w:r>
      <w:r>
        <w:rPr>
          <w:rFonts w:hint="eastAsia" w:ascii="宋体" w:hAnsi="宋体" w:cs="宋体"/>
          <w:bCs/>
          <w:snapToGrid w:val="0"/>
          <w:color w:val="000000" w:themeColor="text1"/>
          <w:spacing w:val="4"/>
          <w:kern w:val="0"/>
          <w:sz w:val="28"/>
          <w:szCs w:val="28"/>
          <w:highlight w:val="none"/>
        </w:rPr>
        <w:t>银行保函或担保公司担保的形式</w:t>
      </w:r>
      <w:r>
        <w:rPr>
          <w:rFonts w:hint="eastAsia" w:ascii="宋体" w:hAnsi="宋体" w:cs="宋体"/>
          <w:snapToGrid w:val="0"/>
          <w:kern w:val="0"/>
          <w:sz w:val="28"/>
          <w:szCs w:val="28"/>
          <w:highlight w:val="none"/>
        </w:rPr>
        <w:t>。</w:t>
      </w:r>
    </w:p>
    <w:p w14:paraId="2657EE45">
      <w:pPr>
        <w:adjustRightInd w:val="0"/>
        <w:snapToGrid w:val="0"/>
        <w:spacing w:line="560" w:lineRule="exact"/>
        <w:ind w:firstLine="560" w:firstLineChars="20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3、履约担保的提交时间：甲方发出中标通知书后30日内。</w:t>
      </w:r>
    </w:p>
    <w:p w14:paraId="165C985F">
      <w:pPr>
        <w:adjustRightInd w:val="0"/>
        <w:snapToGrid w:val="0"/>
        <w:spacing w:line="560" w:lineRule="exact"/>
        <w:ind w:firstLine="560" w:firstLineChars="20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4、履约保函由在中华人民共和国注册且营业地点在广州市行政辖区内的银行或担保公司开具，保函有效期应根据合同规定工期加1年作为暂定时限。未完成合同履约的过期保函，承包人应及时办理银行或担保公司履约保函展期工作。最终以竣工验收合格且发包人签收完整符合要求的竣工档案和完整的结算资料28天后作为保函失效时间。</w:t>
      </w:r>
    </w:p>
    <w:p w14:paraId="794E3D0A">
      <w:pPr>
        <w:adjustRightInd w:val="0"/>
        <w:snapToGrid w:val="0"/>
        <w:spacing w:line="560" w:lineRule="exact"/>
        <w:ind w:firstLine="560" w:firstLineChars="20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5、中标通知书发出之日起30日内，乙方未按上款的规定递交履约担保，乙方被视为放弃中标资格，原乙方的投标保证金不予退还，且依法承担相应法律责任。</w:t>
      </w:r>
    </w:p>
    <w:p w14:paraId="4988A23E">
      <w:pPr>
        <w:pStyle w:val="2"/>
        <w:adjustRightInd w:val="0"/>
        <w:snapToGrid w:val="0"/>
        <w:spacing w:line="560" w:lineRule="exact"/>
        <w:ind w:firstLine="56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（二）履约银行保函使用流程</w:t>
      </w:r>
    </w:p>
    <w:p w14:paraId="19C4F6DF">
      <w:pPr>
        <w:adjustRightInd w:val="0"/>
        <w:snapToGrid w:val="0"/>
        <w:spacing w:line="560" w:lineRule="exact"/>
        <w:ind w:firstLine="560" w:firstLineChars="20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1、甲方在对履约担保提出索赔要求之前，应书面通知</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，说明导致此项索赔的原因，并及时向担保银行提出索赔文件。担保银行根据履约银行保函的承诺在担保范围内承担担保责任，无须征得</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的同意，直接向甲方支付索赔款项。</w:t>
      </w:r>
    </w:p>
    <w:p w14:paraId="343F9464">
      <w:pPr>
        <w:adjustRightInd w:val="0"/>
        <w:snapToGrid w:val="0"/>
        <w:spacing w:line="560" w:lineRule="exact"/>
        <w:ind w:firstLine="560" w:firstLineChars="20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2、</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不履行或不完全履行合同义务的行为导致甲方通过履约保函向银行索赔履约保函金额的一部分或者全部的，</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必须在甲方规定的时间内补充提交履约保函，使得本合同履行期间有效的履约保函金额不低于</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第一次提交的履约保函金额，同时也不超过本合同暂定合同金额的15%。</w:t>
      </w:r>
    </w:p>
    <w:p w14:paraId="062C8FD5">
      <w:pPr>
        <w:adjustRightInd w:val="0"/>
        <w:snapToGrid w:val="0"/>
        <w:spacing w:line="560" w:lineRule="exact"/>
        <w:ind w:firstLine="560" w:firstLineChars="20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3、履约担保的启用条件</w:t>
      </w:r>
    </w:p>
    <w:p w14:paraId="76968723">
      <w:pPr>
        <w:adjustRightInd w:val="0"/>
        <w:snapToGrid w:val="0"/>
        <w:spacing w:line="560" w:lineRule="exact"/>
        <w:ind w:firstLine="560" w:firstLineChars="20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当出现下列情形时，甲方有权启用履约担保：</w:t>
      </w:r>
    </w:p>
    <w:p w14:paraId="07CB42BA">
      <w:pPr>
        <w:adjustRightInd w:val="0"/>
        <w:snapToGrid w:val="0"/>
        <w:spacing w:line="560" w:lineRule="exact"/>
        <w:ind w:firstLine="560" w:firstLineChars="20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（1）如果</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不能保证项目资金的投入导致本项目进度比约定的节点工期滞后30天以上或因</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原因解除本协议，则甲方有权启用履约担保，用于项目违约金；</w:t>
      </w:r>
    </w:p>
    <w:p w14:paraId="1BCB9A89">
      <w:pPr>
        <w:adjustRightInd w:val="0"/>
        <w:snapToGrid w:val="0"/>
        <w:spacing w:line="560" w:lineRule="exact"/>
        <w:ind w:firstLine="560" w:firstLineChars="20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（2）因</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原因（包括但不限于未按期向专业分包设计单位支付相关款项等引发与第三方的纠纷，导致本项目或甲方受到影响或损失；</w:t>
      </w:r>
    </w:p>
    <w:p w14:paraId="6CF43FC0">
      <w:pPr>
        <w:adjustRightInd w:val="0"/>
        <w:snapToGrid w:val="0"/>
        <w:spacing w:line="560" w:lineRule="exact"/>
        <w:ind w:firstLine="560" w:firstLineChars="20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（3）因</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违约计扣的违约金或赔偿金累计超过应付服务费用总额；</w:t>
      </w:r>
    </w:p>
    <w:p w14:paraId="713E9B9D">
      <w:pPr>
        <w:adjustRightInd w:val="0"/>
        <w:snapToGrid w:val="0"/>
        <w:spacing w:line="560" w:lineRule="exact"/>
        <w:ind w:firstLine="560" w:firstLineChars="20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（4）本协议（含本协议附件）约定的其他部分或全部需要启动履约担保的情形。</w:t>
      </w:r>
    </w:p>
    <w:p w14:paraId="09E4C169">
      <w:pPr>
        <w:adjustRightInd w:val="0"/>
        <w:snapToGrid w:val="0"/>
        <w:spacing w:line="560" w:lineRule="exact"/>
        <w:ind w:firstLine="560" w:firstLineChars="20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（5）</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在履行合同过程中，由于以上且不仅限于以上的违约行为，甲方进行违约处罚，并根据</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的投标承诺书动用履约担保（含现金保证金），</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及</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的履约担保方须无条件执行，且不挑剔、不争辩、不迟延，也不要求甲方出具任何证明或说明背景、理由。</w:t>
      </w:r>
    </w:p>
    <w:p w14:paraId="27DC97DC">
      <w:pPr>
        <w:adjustRightInd w:val="0"/>
        <w:snapToGrid w:val="0"/>
        <w:spacing w:line="560" w:lineRule="exact"/>
        <w:ind w:firstLine="560" w:firstLineChars="20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4、如果</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不按甲方的要求提交保险单、履约保函的，视为违约，则甲方有权部分解除或解除本合同，</w:t>
      </w:r>
      <w:r>
        <w:rPr>
          <w:rFonts w:hint="eastAsia" w:ascii="宋体" w:hAnsi="宋体" w:cs="宋体"/>
          <w:snapToGrid w:val="0"/>
          <w:spacing w:val="4"/>
          <w:kern w:val="0"/>
          <w:sz w:val="28"/>
          <w:szCs w:val="28"/>
          <w:highlight w:val="none"/>
        </w:rPr>
        <w:t>其所提交的投标保证金不予退还。</w:t>
      </w:r>
    </w:p>
    <w:p w14:paraId="54BAAE09">
      <w:pPr>
        <w:adjustRightInd w:val="0"/>
        <w:snapToGrid w:val="0"/>
        <w:spacing w:line="560" w:lineRule="exact"/>
        <w:ind w:firstLine="560" w:firstLineChars="200"/>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5、履约担保到期后，如合同未履行完成，</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应当续期，发生</w:t>
      </w:r>
      <w:r>
        <w:rPr>
          <w:rFonts w:hint="eastAsia" w:ascii="宋体" w:hAnsi="宋体" w:cs="宋体"/>
          <w:sz w:val="28"/>
          <w:szCs w:val="28"/>
          <w:highlight w:val="none"/>
        </w:rPr>
        <w:t>乙方</w:t>
      </w:r>
      <w:r>
        <w:rPr>
          <w:rFonts w:hint="eastAsia" w:ascii="宋体" w:hAnsi="宋体" w:cs="宋体"/>
          <w:snapToGrid w:val="0"/>
          <w:kern w:val="0"/>
          <w:sz w:val="28"/>
          <w:szCs w:val="28"/>
          <w:highlight w:val="none"/>
        </w:rPr>
        <w:t>违约，甲方有权在甲方当期应支付服务费中扣除相应违约款项。</w:t>
      </w:r>
    </w:p>
    <w:p w14:paraId="18B36451">
      <w:pPr>
        <w:topLinePunct/>
        <w:adjustRightInd w:val="0"/>
        <w:snapToGrid w:val="0"/>
        <w:spacing w:line="560" w:lineRule="exact"/>
        <w:ind w:firstLine="560" w:firstLineChars="200"/>
        <w:rPr>
          <w:rFonts w:hint="eastAsia" w:ascii="宋体" w:hAnsi="宋体" w:cs="宋体"/>
          <w:snapToGrid w:val="0"/>
          <w:spacing w:val="4"/>
          <w:kern w:val="0"/>
          <w:sz w:val="28"/>
          <w:szCs w:val="28"/>
          <w:highlight w:val="none"/>
        </w:rPr>
      </w:pPr>
      <w:r>
        <w:rPr>
          <w:rFonts w:hint="eastAsia" w:ascii="宋体" w:hAnsi="宋体" w:cs="宋体"/>
          <w:snapToGrid w:val="0"/>
          <w:kern w:val="0"/>
          <w:sz w:val="28"/>
          <w:szCs w:val="28"/>
          <w:highlight w:val="none"/>
        </w:rPr>
        <w:t>6、</w:t>
      </w:r>
      <w:r>
        <w:rPr>
          <w:rFonts w:hint="eastAsia" w:ascii="宋体" w:hAnsi="宋体" w:cs="宋体"/>
          <w:snapToGrid w:val="0"/>
          <w:spacing w:val="4"/>
          <w:kern w:val="0"/>
          <w:sz w:val="28"/>
          <w:szCs w:val="28"/>
          <w:highlight w:val="none"/>
        </w:rPr>
        <w:t>本项目以竣工验收合格且乙方提交完整符合要求的竣工档案和完整的结算资料28天后，经甲方同意，乙方可向甲方申请退还保函。</w:t>
      </w:r>
    </w:p>
    <w:p w14:paraId="351C311F">
      <w:pPr>
        <w:topLinePunct/>
        <w:adjustRightInd w:val="0"/>
        <w:snapToGrid w:val="0"/>
        <w:spacing w:line="560" w:lineRule="exact"/>
        <w:ind w:firstLine="560" w:firstLineChars="200"/>
        <w:rPr>
          <w:rFonts w:hint="eastAsia" w:ascii="宋体" w:hAnsi="宋体" w:cs="宋体"/>
          <w:snapToGrid w:val="0"/>
          <w:spacing w:val="4"/>
          <w:kern w:val="0"/>
          <w:sz w:val="28"/>
          <w:szCs w:val="28"/>
          <w:highlight w:val="none"/>
        </w:rPr>
      </w:pPr>
      <w:r>
        <w:rPr>
          <w:rFonts w:hint="eastAsia" w:ascii="宋体" w:hAnsi="宋体" w:cs="宋体"/>
          <w:snapToGrid w:val="0"/>
          <w:kern w:val="0"/>
          <w:sz w:val="28"/>
          <w:szCs w:val="28"/>
          <w:highlight w:val="none"/>
        </w:rPr>
        <w:t>7、</w:t>
      </w:r>
      <w:r>
        <w:rPr>
          <w:rFonts w:hint="eastAsia" w:ascii="宋体" w:hAnsi="宋体" w:cs="宋体"/>
          <w:sz w:val="28"/>
          <w:szCs w:val="28"/>
          <w:highlight w:val="none"/>
        </w:rPr>
        <w:t>乙方</w:t>
      </w:r>
      <w:r>
        <w:rPr>
          <w:rFonts w:hint="eastAsia" w:ascii="宋体" w:hAnsi="宋体" w:cs="宋体"/>
          <w:snapToGrid w:val="0"/>
          <w:spacing w:val="4"/>
          <w:kern w:val="0"/>
          <w:sz w:val="28"/>
          <w:szCs w:val="28"/>
          <w:highlight w:val="none"/>
        </w:rPr>
        <w:t>应在咨询服务期内，办理派驻到项目所在地人员人身和自备财产的有关保险，保险时间应随服务时间的延长而顺延，并在出险后自行办理索赔。如果</w:t>
      </w:r>
      <w:r>
        <w:rPr>
          <w:rFonts w:hint="eastAsia" w:ascii="宋体" w:hAnsi="宋体" w:cs="宋体"/>
          <w:sz w:val="28"/>
          <w:szCs w:val="28"/>
          <w:highlight w:val="none"/>
        </w:rPr>
        <w:t>乙方</w:t>
      </w:r>
      <w:r>
        <w:rPr>
          <w:rFonts w:hint="eastAsia" w:ascii="宋体" w:hAnsi="宋体" w:cs="宋体"/>
          <w:snapToGrid w:val="0"/>
          <w:spacing w:val="4"/>
          <w:kern w:val="0"/>
          <w:sz w:val="28"/>
          <w:szCs w:val="28"/>
          <w:highlight w:val="none"/>
        </w:rPr>
        <w:t>不办理上述保险，则应对有关风险及后果自负其责。同时，</w:t>
      </w:r>
      <w:r>
        <w:rPr>
          <w:rFonts w:hint="eastAsia" w:ascii="宋体" w:hAnsi="宋体" w:cs="宋体"/>
          <w:sz w:val="28"/>
          <w:szCs w:val="28"/>
          <w:highlight w:val="none"/>
        </w:rPr>
        <w:t>乙方</w:t>
      </w:r>
      <w:r>
        <w:rPr>
          <w:rFonts w:hint="eastAsia" w:ascii="宋体" w:hAnsi="宋体" w:cs="宋体"/>
          <w:snapToGrid w:val="0"/>
          <w:spacing w:val="4"/>
          <w:kern w:val="0"/>
          <w:sz w:val="28"/>
          <w:szCs w:val="28"/>
          <w:highlight w:val="none"/>
        </w:rPr>
        <w:t>应该尽一切合理的努力，按甲方可接受的条件对</w:t>
      </w:r>
      <w:r>
        <w:rPr>
          <w:rFonts w:hint="eastAsia" w:ascii="宋体" w:hAnsi="宋体" w:cs="宋体"/>
          <w:sz w:val="28"/>
          <w:szCs w:val="28"/>
          <w:highlight w:val="none"/>
        </w:rPr>
        <w:t>乙方</w:t>
      </w:r>
      <w:r>
        <w:rPr>
          <w:rFonts w:hint="eastAsia" w:ascii="宋体" w:hAnsi="宋体" w:cs="宋体"/>
          <w:snapToGrid w:val="0"/>
          <w:spacing w:val="4"/>
          <w:kern w:val="0"/>
          <w:sz w:val="28"/>
          <w:szCs w:val="28"/>
          <w:highlight w:val="none"/>
        </w:rPr>
        <w:t>的责任、第三方的责任以及甲方为咨询服务提供的财产等进行保险。上述有关费用由</w:t>
      </w:r>
      <w:r>
        <w:rPr>
          <w:rFonts w:hint="eastAsia" w:ascii="宋体" w:hAnsi="宋体" w:cs="宋体"/>
          <w:sz w:val="28"/>
          <w:szCs w:val="28"/>
          <w:highlight w:val="none"/>
        </w:rPr>
        <w:t>乙方</w:t>
      </w:r>
      <w:r>
        <w:rPr>
          <w:rFonts w:hint="eastAsia" w:ascii="宋体" w:hAnsi="宋体" w:cs="宋体"/>
          <w:snapToGrid w:val="0"/>
          <w:spacing w:val="4"/>
          <w:kern w:val="0"/>
          <w:sz w:val="28"/>
          <w:szCs w:val="28"/>
          <w:highlight w:val="none"/>
        </w:rPr>
        <w:t>承担。</w:t>
      </w:r>
    </w:p>
    <w:p w14:paraId="159546DC">
      <w:pPr>
        <w:topLinePunct/>
        <w:adjustRightInd w:val="0"/>
        <w:snapToGrid w:val="0"/>
        <w:spacing w:line="560" w:lineRule="exact"/>
        <w:ind w:firstLine="560" w:firstLineChars="200"/>
        <w:rPr>
          <w:rFonts w:hint="eastAsia" w:ascii="宋体" w:hAnsi="宋体" w:cs="宋体"/>
          <w:snapToGrid w:val="0"/>
          <w:spacing w:val="4"/>
          <w:kern w:val="0"/>
          <w:sz w:val="28"/>
          <w:szCs w:val="28"/>
          <w:highlight w:val="none"/>
        </w:rPr>
      </w:pPr>
      <w:r>
        <w:rPr>
          <w:rFonts w:hint="eastAsia" w:ascii="宋体" w:hAnsi="宋体" w:cs="宋体"/>
          <w:snapToGrid w:val="0"/>
          <w:kern w:val="0"/>
          <w:sz w:val="28"/>
          <w:szCs w:val="28"/>
          <w:highlight w:val="none"/>
        </w:rPr>
        <w:t>8、</w:t>
      </w:r>
      <w:r>
        <w:rPr>
          <w:rFonts w:hint="eastAsia" w:ascii="宋体" w:hAnsi="宋体" w:cs="宋体"/>
          <w:snapToGrid w:val="0"/>
          <w:spacing w:val="4"/>
          <w:kern w:val="0"/>
          <w:sz w:val="28"/>
          <w:szCs w:val="28"/>
          <w:highlight w:val="none"/>
        </w:rPr>
        <w:t>乙方不按上述约定购买保险所产生的后果，由乙方自行承担。</w:t>
      </w:r>
    </w:p>
    <w:p w14:paraId="1ACC1C2C">
      <w:pPr>
        <w:adjustRightInd w:val="0"/>
        <w:snapToGrid w:val="0"/>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第七条 组成合同的文件</w:t>
      </w:r>
    </w:p>
    <w:p w14:paraId="23618AF2">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下列文件应被认为是组成本合同的一部分，并互为补充和解释，如各文件存在冲突之处，以如下排列次序在前者优先适用：</w:t>
      </w:r>
    </w:p>
    <w:p w14:paraId="701C19E9">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(1)履行本合同的相关补充协议（含工程洽商记录、会议纪要、变更、现场签证、索赔和合同价款调整报告等修正文件）；</w:t>
      </w:r>
    </w:p>
    <w:p w14:paraId="011B0219">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(2)协议书；</w:t>
      </w:r>
    </w:p>
    <w:p w14:paraId="042C35B4">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(3)中标通知书</w:t>
      </w:r>
    </w:p>
    <w:p w14:paraId="2F14EBD9">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(4)投标函及投标函附录</w:t>
      </w:r>
    </w:p>
    <w:p w14:paraId="50A89E4F">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(5)专用条款及附件；</w:t>
      </w:r>
    </w:p>
    <w:p w14:paraId="6FCE1945">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(6)通用条款；</w:t>
      </w:r>
    </w:p>
    <w:p w14:paraId="50AC690C">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(7)招标文件（包括补充、修改、澄清的文件、答疑纪要及总说明等）；</w:t>
      </w:r>
    </w:p>
    <w:p w14:paraId="0146CA4E">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（8）组成合同的其他文件。</w:t>
      </w:r>
    </w:p>
    <w:p w14:paraId="13CBB6C1">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通过上述顺序解释仍无法明确的事项，由甲方与乙方协商解决。</w:t>
      </w:r>
    </w:p>
    <w:p w14:paraId="092EC83C">
      <w:pPr>
        <w:adjustRightInd w:val="0"/>
        <w:snapToGrid w:val="0"/>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第八条 甲方责任</w:t>
      </w:r>
    </w:p>
    <w:p w14:paraId="62C454AA">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w:t>
      </w:r>
      <w:r>
        <w:rPr>
          <w:rFonts w:hint="eastAsia" w:ascii="宋体" w:hAnsi="宋体" w:cs="宋体"/>
          <w:sz w:val="28"/>
          <w:szCs w:val="28"/>
          <w:highlight w:val="none"/>
        </w:rPr>
        <w:t>甲方委派专人负责行使现场管理、监督的权利，负责协调乙方与施工单位的关系，解决应由甲方解决的问题，甲方更换上述联系人的，应于变更当日书面通知乙方；</w:t>
      </w:r>
    </w:p>
    <w:p w14:paraId="20F0DC0F">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2、</w:t>
      </w:r>
      <w:r>
        <w:rPr>
          <w:rFonts w:hint="eastAsia" w:ascii="宋体" w:hAnsi="宋体" w:cs="宋体"/>
          <w:sz w:val="28"/>
          <w:szCs w:val="28"/>
          <w:highlight w:val="none"/>
        </w:rPr>
        <w:t>负责确定受检项目的数量和位置，按检测、监测方案做好进场检测的现场准备工作。</w:t>
      </w:r>
    </w:p>
    <w:p w14:paraId="5336E298">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3、</w:t>
      </w:r>
      <w:r>
        <w:rPr>
          <w:rFonts w:hint="eastAsia" w:ascii="宋体" w:hAnsi="宋体" w:cs="宋体"/>
          <w:sz w:val="28"/>
          <w:szCs w:val="28"/>
          <w:highlight w:val="none"/>
        </w:rPr>
        <w:t>及时为乙方提供并解决检测、监测现场的工作条件和出现的问题（如拆除地上地下障碍物、平整施工现场、修好通行道路、接通电源水源），并承担其费用。</w:t>
      </w:r>
    </w:p>
    <w:p w14:paraId="7B9FD56E">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4、</w:t>
      </w:r>
      <w:r>
        <w:rPr>
          <w:rFonts w:hint="eastAsia" w:ascii="宋体" w:hAnsi="宋体" w:cs="宋体"/>
          <w:sz w:val="28"/>
          <w:szCs w:val="28"/>
          <w:highlight w:val="none"/>
        </w:rPr>
        <w:t>检测、监测人员进入场地前，按要求处理好地基基底。</w:t>
      </w:r>
    </w:p>
    <w:p w14:paraId="3DCBD299">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5、</w:t>
      </w:r>
      <w:r>
        <w:rPr>
          <w:rFonts w:hint="eastAsia" w:ascii="宋体" w:hAnsi="宋体" w:cs="宋体"/>
          <w:sz w:val="28"/>
          <w:szCs w:val="28"/>
          <w:highlight w:val="none"/>
        </w:rPr>
        <w:t>检测、监测前应提供以下资料：工程概况、工程地质资料、施工资料、施工平面分布图及其他资料，并对其准确性、可靠性负责。</w:t>
      </w:r>
    </w:p>
    <w:p w14:paraId="4F5B1850">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6、</w:t>
      </w:r>
      <w:r>
        <w:rPr>
          <w:rFonts w:hint="eastAsia" w:ascii="宋体" w:hAnsi="宋体" w:cs="宋体"/>
          <w:sz w:val="28"/>
          <w:szCs w:val="28"/>
          <w:highlight w:val="none"/>
        </w:rPr>
        <w:t>甲方应至少提前</w:t>
      </w:r>
      <w:r>
        <w:rPr>
          <w:rFonts w:hint="eastAsia" w:ascii="宋体" w:hAnsi="宋体" w:cs="宋体"/>
          <w:sz w:val="28"/>
          <w:szCs w:val="28"/>
          <w:highlight w:val="none"/>
          <w:u w:val="single"/>
        </w:rPr>
        <w:t xml:space="preserve"> 两 </w:t>
      </w:r>
      <w:r>
        <w:rPr>
          <w:rFonts w:hint="eastAsia" w:ascii="宋体" w:hAnsi="宋体" w:cs="宋体"/>
          <w:sz w:val="28"/>
          <w:szCs w:val="28"/>
          <w:highlight w:val="none"/>
        </w:rPr>
        <w:t>天将检测、监测的进度、质量要求通知乙方，特殊情况不得少于</w:t>
      </w:r>
      <w:r>
        <w:rPr>
          <w:rFonts w:hint="eastAsia" w:ascii="宋体" w:hAnsi="宋体" w:cs="宋体"/>
          <w:sz w:val="28"/>
          <w:szCs w:val="28"/>
          <w:highlight w:val="none"/>
          <w:u w:val="single"/>
        </w:rPr>
        <w:t xml:space="preserve"> 一 </w:t>
      </w:r>
      <w:r>
        <w:rPr>
          <w:rFonts w:hint="eastAsia" w:ascii="宋体" w:hAnsi="宋体" w:cs="宋体"/>
          <w:sz w:val="28"/>
          <w:szCs w:val="28"/>
          <w:highlight w:val="none"/>
        </w:rPr>
        <w:t>天。</w:t>
      </w:r>
    </w:p>
    <w:p w14:paraId="74C0A201">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7、</w:t>
      </w:r>
      <w:r>
        <w:rPr>
          <w:rFonts w:hint="eastAsia" w:ascii="宋体" w:hAnsi="宋体" w:cs="宋体"/>
          <w:sz w:val="28"/>
          <w:szCs w:val="28"/>
          <w:highlight w:val="none"/>
        </w:rPr>
        <w:t>若检测、监测进度等要求发生变化时，则应及时以书面形式通知乙方，否则乙方仍按原来进度要求进行检测。</w:t>
      </w:r>
    </w:p>
    <w:p w14:paraId="1D14049D">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8、</w:t>
      </w:r>
      <w:r>
        <w:rPr>
          <w:rFonts w:hint="eastAsia" w:ascii="宋体" w:hAnsi="宋体" w:cs="宋体"/>
          <w:sz w:val="28"/>
          <w:szCs w:val="28"/>
          <w:highlight w:val="none"/>
        </w:rPr>
        <w:t>按约定的期限验收检、监测测报告，审核结算，支付乙方应得的款项。</w:t>
      </w:r>
    </w:p>
    <w:p w14:paraId="2401C571">
      <w:pPr>
        <w:pStyle w:val="2"/>
        <w:adjustRightInd w:val="0"/>
        <w:snapToGrid w:val="0"/>
        <w:spacing w:line="560" w:lineRule="exact"/>
        <w:ind w:firstLine="560"/>
        <w:rPr>
          <w:rFonts w:hint="eastAsia" w:ascii="宋体" w:hAnsi="宋体" w:cs="宋体"/>
          <w:sz w:val="28"/>
          <w:szCs w:val="28"/>
          <w:highlight w:val="none"/>
        </w:rPr>
      </w:pPr>
      <w:r>
        <w:rPr>
          <w:rFonts w:hint="eastAsia" w:ascii="宋体" w:hAnsi="宋体" w:cs="宋体"/>
          <w:bCs/>
          <w:sz w:val="28"/>
          <w:szCs w:val="28"/>
          <w:highlight w:val="none"/>
        </w:rPr>
        <w:t>9、</w:t>
      </w:r>
      <w:r>
        <w:rPr>
          <w:rFonts w:hint="eastAsia" w:ascii="宋体" w:hAnsi="宋体" w:cs="宋体"/>
          <w:sz w:val="28"/>
          <w:szCs w:val="28"/>
          <w:highlight w:val="none"/>
        </w:rPr>
        <w:t>由于甲方原因合同终止的，应确认乙方已完成的工作量，并支付乙方已完成部分的费用。</w:t>
      </w:r>
    </w:p>
    <w:p w14:paraId="730041AF">
      <w:pPr>
        <w:adjustRightInd w:val="0"/>
        <w:snapToGrid w:val="0"/>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第九条 乙方责任</w:t>
      </w:r>
    </w:p>
    <w:p w14:paraId="6BE4DB45">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1、乙方应投入的</w:t>
      </w:r>
      <w:r>
        <w:rPr>
          <w:rFonts w:hint="eastAsia" w:ascii="宋体" w:hAnsi="宋体" w:cs="宋体"/>
          <w:sz w:val="28"/>
          <w:szCs w:val="28"/>
          <w:highlight w:val="none"/>
        </w:rPr>
        <w:t>检测、监测人员最低配置为项目负责人</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人，技术负责人</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人，主要检测、监测人员</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人。</w:t>
      </w:r>
    </w:p>
    <w:p w14:paraId="45BCDA48">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bCs/>
          <w:sz w:val="28"/>
          <w:szCs w:val="28"/>
          <w:highlight w:val="none"/>
        </w:rPr>
        <w:t>、</w:t>
      </w:r>
      <w:r>
        <w:rPr>
          <w:rFonts w:hint="eastAsia" w:ascii="宋体" w:hAnsi="宋体" w:cs="宋体"/>
          <w:sz w:val="28"/>
          <w:szCs w:val="28"/>
          <w:highlight w:val="none"/>
        </w:rPr>
        <w:t>乙方委派项目负责人统筹协调现场检测进度、质量和安全进行管理。</w:t>
      </w:r>
    </w:p>
    <w:p w14:paraId="790ECB81">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3、</w:t>
      </w:r>
      <w:r>
        <w:rPr>
          <w:rFonts w:hint="eastAsia" w:ascii="宋体" w:hAnsi="宋体" w:cs="宋体"/>
          <w:sz w:val="28"/>
          <w:szCs w:val="28"/>
          <w:highlight w:val="none"/>
        </w:rPr>
        <w:t>保证检测、监测人员具有检测资格，保证持有的检测、监测资质满足地方管理要求，并向甲方提供相关资质复印件，备有关部门检查。</w:t>
      </w:r>
    </w:p>
    <w:p w14:paraId="47A1FB6A">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4、</w:t>
      </w:r>
      <w:r>
        <w:rPr>
          <w:rFonts w:hint="eastAsia" w:ascii="宋体" w:hAnsi="宋体" w:cs="宋体"/>
          <w:sz w:val="28"/>
          <w:szCs w:val="28"/>
          <w:highlight w:val="none"/>
        </w:rPr>
        <w:t>应按合同要求，接到检测、监测通知后，提出具体的现场检测、监测前准备工作要求，以便甲方做好准备。</w:t>
      </w:r>
    </w:p>
    <w:p w14:paraId="2C36EC8C">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5、</w:t>
      </w:r>
      <w:r>
        <w:rPr>
          <w:rFonts w:hint="eastAsia" w:ascii="宋体" w:hAnsi="宋体" w:cs="宋体"/>
          <w:sz w:val="28"/>
          <w:szCs w:val="28"/>
          <w:highlight w:val="none"/>
        </w:rPr>
        <w:t>提供检测、监测仪器设备，负责仪器设备安装及场内中转、进退场，保证检测计量器具在计量检定有效周期内。</w:t>
      </w:r>
    </w:p>
    <w:p w14:paraId="521D84EF">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6、</w:t>
      </w:r>
      <w:r>
        <w:rPr>
          <w:rFonts w:hint="eastAsia" w:ascii="宋体" w:hAnsi="宋体" w:cs="宋体"/>
          <w:sz w:val="28"/>
          <w:szCs w:val="28"/>
          <w:highlight w:val="none"/>
        </w:rPr>
        <w:t xml:space="preserve">现场检测、监测过程中，发现初步检测、监测结果异常时，需及时通知甲方、施工及监理到现场见证。                                                                                                                                                                                                                                                                                                                                                                                                                                                                                                                                                     </w:t>
      </w:r>
    </w:p>
    <w:p w14:paraId="5181A901">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7、</w:t>
      </w:r>
      <w:r>
        <w:rPr>
          <w:rFonts w:hint="eastAsia" w:ascii="宋体" w:hAnsi="宋体" w:cs="宋体"/>
          <w:sz w:val="28"/>
          <w:szCs w:val="28"/>
          <w:highlight w:val="none"/>
        </w:rPr>
        <w:t>保证检测、监测的公正性、准确性、及时性，保证检测、监测工作符合合同约定的规范要求。</w:t>
      </w:r>
    </w:p>
    <w:p w14:paraId="763D5F94">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8、</w:t>
      </w:r>
      <w:r>
        <w:rPr>
          <w:rFonts w:hint="eastAsia" w:ascii="宋体" w:hAnsi="宋体" w:cs="宋体"/>
          <w:sz w:val="28"/>
          <w:szCs w:val="28"/>
          <w:highlight w:val="none"/>
        </w:rPr>
        <w:t>对技术资料有保密责任，无甲方许可不能将技术资料转让给第三方。</w:t>
      </w:r>
    </w:p>
    <w:p w14:paraId="3C6E7FF0">
      <w:pPr>
        <w:pStyle w:val="2"/>
        <w:rPr>
          <w:rFonts w:hint="eastAsia" w:eastAsia="宋体"/>
          <w:highlight w:val="none"/>
          <w:lang w:val="en-US" w:eastAsia="zh-CN"/>
        </w:rPr>
      </w:pPr>
      <w:r>
        <w:rPr>
          <w:rFonts w:hint="eastAsia" w:ascii="宋体" w:hAnsi="宋体" w:cs="宋体"/>
          <w:sz w:val="28"/>
          <w:szCs w:val="28"/>
          <w:highlight w:val="none"/>
          <w:lang w:val="en-US" w:eastAsia="zh-CN"/>
        </w:rPr>
        <w:t>9、</w:t>
      </w:r>
      <w:r>
        <w:rPr>
          <w:rFonts w:hint="eastAsia" w:ascii="宋体" w:hAnsi="宋体" w:eastAsia="宋体"/>
          <w:sz w:val="28"/>
          <w:szCs w:val="28"/>
          <w:highlight w:val="none"/>
        </w:rPr>
        <w:t>乙方为完成本协议服务内容所派出的工作人员所涉劳动争议、工伤、人身损害等一切纠纷责任均由乙方负责，与甲方无关。</w:t>
      </w:r>
    </w:p>
    <w:p w14:paraId="2B88B743">
      <w:pPr>
        <w:adjustRightInd w:val="0"/>
        <w:snapToGrid w:val="0"/>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第十条 违约责任</w:t>
      </w:r>
    </w:p>
    <w:p w14:paraId="36EB60FA">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w:t>
      </w:r>
      <w:r>
        <w:rPr>
          <w:rFonts w:hint="eastAsia" w:ascii="宋体" w:hAnsi="宋体" w:cs="宋体"/>
          <w:sz w:val="28"/>
          <w:szCs w:val="28"/>
          <w:highlight w:val="none"/>
        </w:rPr>
        <w:t>如甲方对乙方出具的检测、监测成果报告存有异议，双方经协商一致可聘请有资质的第三方单位进行鉴定检测、监测。若第三方鉴定检测、监测结论与乙方结论不一致且系因乙方故意或重大过失造成检测错误的，乙方需负责第三方鉴定检测、监测费用及由此造成的甲方经济损失；否则应由甲方负责相关鉴定检测、监测费用及由此给乙方造成的损失。</w:t>
      </w:r>
    </w:p>
    <w:p w14:paraId="7EF43647">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2、</w:t>
      </w:r>
      <w:r>
        <w:rPr>
          <w:rFonts w:hint="eastAsia" w:ascii="宋体" w:hAnsi="宋体" w:cs="宋体"/>
          <w:sz w:val="28"/>
          <w:szCs w:val="28"/>
          <w:highlight w:val="none"/>
        </w:rPr>
        <w:t>在合同期内，由于工程停建或甲方要求终止解除合同，甲方应按乙方实际完成的工作量支付检测、监测费用。</w:t>
      </w:r>
    </w:p>
    <w:p w14:paraId="79D32B5D">
      <w:pPr>
        <w:adjustRightInd w:val="0"/>
        <w:snapToGrid w:val="0"/>
        <w:spacing w:line="560" w:lineRule="exact"/>
        <w:ind w:firstLine="560" w:firstLineChars="200"/>
        <w:rPr>
          <w:rFonts w:hint="eastAsia" w:ascii="宋体" w:hAnsi="宋体" w:cs="宋体"/>
          <w:bCs/>
          <w:snapToGrid w:val="0"/>
          <w:kern w:val="0"/>
          <w:sz w:val="28"/>
          <w:szCs w:val="28"/>
          <w:highlight w:val="none"/>
        </w:rPr>
      </w:pPr>
      <w:r>
        <w:rPr>
          <w:rFonts w:hint="eastAsia" w:ascii="宋体" w:hAnsi="宋体" w:cs="宋体"/>
          <w:bCs/>
          <w:sz w:val="28"/>
          <w:szCs w:val="28"/>
          <w:highlight w:val="none"/>
        </w:rPr>
        <w:t>3、</w:t>
      </w:r>
      <w:r>
        <w:rPr>
          <w:rFonts w:hint="eastAsia" w:ascii="宋体" w:hAnsi="宋体" w:cs="宋体"/>
          <w:bCs/>
          <w:snapToGrid w:val="0"/>
          <w:kern w:val="0"/>
          <w:sz w:val="28"/>
          <w:szCs w:val="28"/>
          <w:highlight w:val="none"/>
        </w:rPr>
        <w:t>乙方</w:t>
      </w:r>
      <w:r>
        <w:rPr>
          <w:rFonts w:hint="eastAsia" w:ascii="宋体" w:hAnsi="宋体" w:cs="宋体"/>
          <w:sz w:val="28"/>
          <w:szCs w:val="28"/>
          <w:highlight w:val="none"/>
        </w:rPr>
        <w:t>确保检测、监测过程中的安全生产，承担检测、监测过程中的因乙方原因而发生的安全责任，</w:t>
      </w:r>
      <w:r>
        <w:rPr>
          <w:rFonts w:hint="eastAsia" w:ascii="宋体" w:hAnsi="宋体" w:cs="宋体"/>
          <w:snapToGrid w:val="0"/>
          <w:kern w:val="0"/>
          <w:sz w:val="28"/>
          <w:szCs w:val="28"/>
          <w:highlight w:val="none"/>
        </w:rPr>
        <w:t>并承担被侵权人的全部赔偿责任，如甲方已偿还被侵权人赔偿款项，则有权向乙方追偿</w:t>
      </w:r>
      <w:r>
        <w:rPr>
          <w:rFonts w:hint="eastAsia" w:ascii="宋体" w:hAnsi="宋体" w:cs="宋体"/>
          <w:sz w:val="28"/>
          <w:szCs w:val="28"/>
          <w:highlight w:val="none"/>
        </w:rPr>
        <w:t>；</w:t>
      </w:r>
      <w:r>
        <w:rPr>
          <w:rFonts w:hint="eastAsia" w:ascii="宋体" w:hAnsi="宋体" w:cs="宋体"/>
          <w:bCs/>
          <w:snapToGrid w:val="0"/>
          <w:kern w:val="0"/>
          <w:sz w:val="28"/>
          <w:szCs w:val="28"/>
          <w:highlight w:val="none"/>
        </w:rPr>
        <w:t>乙方因自身原因造成安全事故的，除按国家规定由主管部门处罚外，乙方必须依照下列约定承担违约责任：</w:t>
      </w:r>
    </w:p>
    <w:p w14:paraId="35338C71">
      <w:pPr>
        <w:adjustRightInd w:val="0"/>
        <w:snapToGrid w:val="0"/>
        <w:spacing w:line="560" w:lineRule="exact"/>
        <w:ind w:firstLine="560" w:firstLineChars="200"/>
        <w:rPr>
          <w:rFonts w:hint="eastAsia" w:ascii="宋体" w:hAnsi="宋体" w:cs="宋体"/>
          <w:bCs/>
          <w:snapToGrid w:val="0"/>
          <w:kern w:val="0"/>
          <w:sz w:val="28"/>
          <w:szCs w:val="28"/>
          <w:highlight w:val="none"/>
        </w:rPr>
      </w:pPr>
      <w:r>
        <w:rPr>
          <w:rFonts w:hint="eastAsia" w:ascii="宋体" w:hAnsi="宋体" w:cs="宋体"/>
          <w:bCs/>
          <w:snapToGrid w:val="0"/>
          <w:kern w:val="0"/>
          <w:sz w:val="28"/>
          <w:szCs w:val="28"/>
          <w:highlight w:val="none"/>
        </w:rPr>
        <w:t>（1）发生特别重大事故，乙方按事故所造成损失金额的15%向甲方支付违约金；</w:t>
      </w:r>
    </w:p>
    <w:p w14:paraId="159F960F">
      <w:pPr>
        <w:adjustRightInd w:val="0"/>
        <w:snapToGrid w:val="0"/>
        <w:spacing w:line="560" w:lineRule="exact"/>
        <w:ind w:firstLine="560" w:firstLineChars="200"/>
        <w:rPr>
          <w:rFonts w:hint="eastAsia" w:ascii="宋体" w:hAnsi="宋体" w:cs="宋体"/>
          <w:bCs/>
          <w:snapToGrid w:val="0"/>
          <w:kern w:val="0"/>
          <w:sz w:val="28"/>
          <w:szCs w:val="28"/>
          <w:highlight w:val="none"/>
        </w:rPr>
      </w:pPr>
      <w:r>
        <w:rPr>
          <w:rFonts w:hint="eastAsia" w:ascii="宋体" w:hAnsi="宋体" w:cs="宋体"/>
          <w:bCs/>
          <w:snapToGrid w:val="0"/>
          <w:kern w:val="0"/>
          <w:sz w:val="28"/>
          <w:szCs w:val="28"/>
          <w:highlight w:val="none"/>
        </w:rPr>
        <w:t>（2）发生重大事故，乙方按事故所造成损失金额的12%向甲方支付违约金；</w:t>
      </w:r>
    </w:p>
    <w:p w14:paraId="264C6A1C">
      <w:pPr>
        <w:adjustRightInd w:val="0"/>
        <w:snapToGrid w:val="0"/>
        <w:spacing w:line="560" w:lineRule="exact"/>
        <w:ind w:firstLine="560" w:firstLineChars="200"/>
        <w:rPr>
          <w:rFonts w:hint="eastAsia" w:ascii="宋体" w:hAnsi="宋体" w:cs="宋体"/>
          <w:bCs/>
          <w:snapToGrid w:val="0"/>
          <w:kern w:val="0"/>
          <w:sz w:val="28"/>
          <w:szCs w:val="28"/>
          <w:highlight w:val="none"/>
        </w:rPr>
      </w:pPr>
      <w:r>
        <w:rPr>
          <w:rFonts w:hint="eastAsia" w:ascii="宋体" w:hAnsi="宋体" w:cs="宋体"/>
          <w:bCs/>
          <w:snapToGrid w:val="0"/>
          <w:kern w:val="0"/>
          <w:sz w:val="28"/>
          <w:szCs w:val="28"/>
          <w:highlight w:val="none"/>
        </w:rPr>
        <w:t>（3）发生较大事故，乙方按事故所造成损失金额的10%向甲方支付违约金；</w:t>
      </w:r>
    </w:p>
    <w:p w14:paraId="5C8F7189">
      <w:pPr>
        <w:adjustRightInd w:val="0"/>
        <w:snapToGrid w:val="0"/>
        <w:spacing w:line="560" w:lineRule="exact"/>
        <w:ind w:firstLine="560" w:firstLineChars="200"/>
        <w:rPr>
          <w:rFonts w:hint="eastAsia" w:ascii="宋体" w:hAnsi="宋体" w:cs="宋体"/>
          <w:bCs/>
          <w:snapToGrid w:val="0"/>
          <w:kern w:val="0"/>
          <w:sz w:val="28"/>
          <w:szCs w:val="28"/>
          <w:highlight w:val="none"/>
        </w:rPr>
      </w:pPr>
      <w:r>
        <w:rPr>
          <w:rFonts w:hint="eastAsia" w:ascii="宋体" w:hAnsi="宋体" w:cs="宋体"/>
          <w:bCs/>
          <w:snapToGrid w:val="0"/>
          <w:kern w:val="0"/>
          <w:sz w:val="28"/>
          <w:szCs w:val="28"/>
          <w:highlight w:val="none"/>
        </w:rPr>
        <w:t>（4）发生一般事故，乙方按事故所造成损失金额的8%向甲方支付违约金。</w:t>
      </w:r>
    </w:p>
    <w:p w14:paraId="06038BE9">
      <w:pPr>
        <w:adjustRightInd w:val="0"/>
        <w:snapToGrid w:val="0"/>
        <w:spacing w:line="560" w:lineRule="exact"/>
        <w:ind w:firstLine="562" w:firstLineChars="200"/>
        <w:rPr>
          <w:rFonts w:hint="eastAsia" w:ascii="宋体" w:hAnsi="宋体" w:cs="宋体"/>
          <w:b/>
          <w:snapToGrid w:val="0"/>
          <w:kern w:val="0"/>
          <w:sz w:val="28"/>
          <w:szCs w:val="28"/>
          <w:highlight w:val="none"/>
        </w:rPr>
      </w:pPr>
      <w:r>
        <w:rPr>
          <w:rFonts w:hint="eastAsia" w:ascii="宋体" w:hAnsi="宋体" w:cs="宋体"/>
          <w:b/>
          <w:snapToGrid w:val="0"/>
          <w:kern w:val="0"/>
          <w:sz w:val="28"/>
          <w:szCs w:val="28"/>
          <w:highlight w:val="none"/>
        </w:rPr>
        <w:t>注：事故等级认定按《国家安全监管总局关于修改&lt;生产安全事故报告和调查处理条例&gt;罚款处罚暂行规定等四部规章的决定》。</w:t>
      </w:r>
    </w:p>
    <w:p w14:paraId="511B15C7">
      <w:pPr>
        <w:adjustRightInd w:val="0"/>
        <w:snapToGrid w:val="0"/>
        <w:spacing w:line="560" w:lineRule="exact"/>
        <w:ind w:firstLine="560" w:firstLineChars="200"/>
        <w:rPr>
          <w:rFonts w:hint="eastAsia" w:ascii="宋体" w:hAnsi="宋体" w:cs="宋体"/>
          <w:bCs/>
          <w:snapToGrid w:val="0"/>
          <w:kern w:val="0"/>
          <w:sz w:val="28"/>
          <w:szCs w:val="28"/>
          <w:highlight w:val="none"/>
        </w:rPr>
      </w:pPr>
      <w:r>
        <w:rPr>
          <w:rFonts w:hint="eastAsia" w:ascii="宋体" w:hAnsi="宋体" w:cs="宋体"/>
          <w:snapToGrid w:val="0"/>
          <w:kern w:val="0"/>
          <w:sz w:val="28"/>
          <w:szCs w:val="28"/>
          <w:highlight w:val="none"/>
        </w:rPr>
        <w:t>4、</w:t>
      </w:r>
      <w:r>
        <w:rPr>
          <w:rFonts w:hint="eastAsia" w:ascii="宋体" w:hAnsi="宋体" w:cs="宋体"/>
          <w:bCs/>
          <w:snapToGrid w:val="0"/>
          <w:kern w:val="0"/>
          <w:sz w:val="28"/>
          <w:szCs w:val="28"/>
          <w:highlight w:val="none"/>
        </w:rPr>
        <w:t>乙方依照上述约定支付违约金后，所支付的违约金不足以弥补由此给甲方造成的损失的，乙方还须补偿甲方的其他损失，损失不超过合同金额的30%。</w:t>
      </w:r>
    </w:p>
    <w:p w14:paraId="171F4C9C">
      <w:pPr>
        <w:pStyle w:val="7"/>
        <w:adjustRightInd w:val="0"/>
        <w:snapToGrid w:val="0"/>
        <w:spacing w:line="560" w:lineRule="exact"/>
        <w:ind w:firstLine="560" w:firstLineChars="200"/>
        <w:rPr>
          <w:rFonts w:hint="eastAsia" w:hAnsi="宋体" w:cs="宋体"/>
          <w:sz w:val="28"/>
          <w:szCs w:val="28"/>
          <w:highlight w:val="none"/>
        </w:rPr>
      </w:pPr>
      <w:r>
        <w:rPr>
          <w:rFonts w:hint="eastAsia" w:hAnsi="宋体" w:cs="宋体"/>
          <w:bCs/>
          <w:sz w:val="28"/>
          <w:szCs w:val="28"/>
          <w:highlight w:val="none"/>
        </w:rPr>
        <w:t>5、乙方</w:t>
      </w:r>
      <w:r>
        <w:rPr>
          <w:rFonts w:hint="eastAsia" w:hAnsi="宋体" w:cs="宋体"/>
          <w:sz w:val="28"/>
          <w:szCs w:val="28"/>
          <w:highlight w:val="none"/>
        </w:rPr>
        <w:t>在单项检测、监测全部工作完成及资料搜集齐后</w:t>
      </w:r>
      <w:r>
        <w:rPr>
          <w:rFonts w:hint="eastAsia" w:hAnsi="宋体" w:cs="宋体"/>
          <w:sz w:val="28"/>
          <w:szCs w:val="28"/>
          <w:highlight w:val="none"/>
          <w:u w:val="single"/>
        </w:rPr>
        <w:t>10</w:t>
      </w:r>
      <w:r>
        <w:rPr>
          <w:rFonts w:hint="eastAsia" w:hAnsi="宋体" w:cs="宋体"/>
          <w:sz w:val="28"/>
          <w:szCs w:val="28"/>
          <w:highlight w:val="none"/>
        </w:rPr>
        <w:t>个工作日内，向甲方提交检测、监测成果试验报告</w:t>
      </w:r>
      <w:r>
        <w:rPr>
          <w:rFonts w:hint="eastAsia" w:hAnsi="宋体" w:cs="宋体"/>
          <w:sz w:val="28"/>
          <w:szCs w:val="28"/>
          <w:highlight w:val="none"/>
          <w:u w:val="single"/>
        </w:rPr>
        <w:t>一式十份</w:t>
      </w:r>
      <w:r>
        <w:rPr>
          <w:rFonts w:hint="eastAsia" w:hAnsi="宋体" w:cs="宋体"/>
          <w:sz w:val="28"/>
          <w:szCs w:val="28"/>
          <w:highlight w:val="none"/>
        </w:rPr>
        <w:t>，盖章后的检测、监测报告具有法律效力；如果乙方未能按时提供检测、监测报告资料给甲方，每延迟一天，甲方扣除本批次检测、监测项目款项暂定价的</w:t>
      </w:r>
      <w:r>
        <w:rPr>
          <w:rFonts w:hint="eastAsia" w:hAnsi="宋体" w:cs="宋体"/>
          <w:sz w:val="28"/>
          <w:szCs w:val="28"/>
          <w:highlight w:val="none"/>
          <w:u w:val="single"/>
        </w:rPr>
        <w:t xml:space="preserve"> 3‰ </w:t>
      </w:r>
      <w:r>
        <w:rPr>
          <w:rFonts w:hint="eastAsia" w:hAnsi="宋体" w:cs="宋体"/>
          <w:sz w:val="28"/>
          <w:szCs w:val="28"/>
          <w:highlight w:val="none"/>
        </w:rPr>
        <w:t>作为罚金。因乙方自身原因，造成施工总工期延误，乙方承担相关责任并赔偿经济损失。</w:t>
      </w:r>
    </w:p>
    <w:p w14:paraId="26CAC3EE">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 xml:space="preserve"> 6、</w:t>
      </w:r>
      <w:r>
        <w:rPr>
          <w:rFonts w:hint="eastAsia" w:ascii="宋体" w:hAnsi="宋体" w:cs="宋体"/>
          <w:sz w:val="28"/>
          <w:szCs w:val="28"/>
          <w:highlight w:val="none"/>
        </w:rPr>
        <w:t>乙方违反合同规定，造成甲方经济损失的，应根据其所承担的责任向甲方赔偿，并根据损失程度向甲方支付赔偿金，赔偿金为直接损失部分检测、监测费的100%。造成第三方损失的，由乙方承担全部法律责任，违约金不得超过合同金额的30%。</w:t>
      </w:r>
    </w:p>
    <w:p w14:paraId="4BCB5156">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7、</w:t>
      </w:r>
      <w:r>
        <w:rPr>
          <w:rFonts w:hint="eastAsia" w:ascii="宋体" w:hAnsi="宋体" w:cs="宋体"/>
          <w:sz w:val="28"/>
          <w:szCs w:val="28"/>
          <w:highlight w:val="none"/>
        </w:rPr>
        <w:t>出现恶劣天气等不可抗力因素使或现场不具备检测、监测条件本工程无法继续进行，工期可以顺延，双方各自承担损失。</w:t>
      </w:r>
    </w:p>
    <w:p w14:paraId="51FC1BD8">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8、</w:t>
      </w:r>
      <w:r>
        <w:rPr>
          <w:rFonts w:hint="eastAsia" w:ascii="宋体" w:hAnsi="宋体" w:cs="宋体"/>
          <w:sz w:val="28"/>
          <w:szCs w:val="28"/>
          <w:highlight w:val="none"/>
        </w:rPr>
        <w:t>任何一方向对方提出经济赔偿要求的，都应在赔偿事件发生后十天内以书面形式提出。</w:t>
      </w:r>
    </w:p>
    <w:p w14:paraId="4FC511DF">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9、</w:t>
      </w:r>
      <w:r>
        <w:rPr>
          <w:rFonts w:hint="eastAsia" w:ascii="宋体" w:hAnsi="宋体" w:cs="宋体"/>
          <w:sz w:val="28"/>
          <w:szCs w:val="28"/>
          <w:highlight w:val="none"/>
        </w:rPr>
        <w:t>检测、监测过程中发生建筑材料见证取样质量检测及节能工程检测因施工单位工程质量不合格造成甲方增加检测、监测项目及费用由施工单位全部负责，甲方协调施工单位支付该检测、监测费用给检测单位，且甲方有权追究施工单位责任。</w:t>
      </w:r>
    </w:p>
    <w:p w14:paraId="4047136A">
      <w:pPr>
        <w:adjustRightInd w:val="0"/>
        <w:snapToGri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10、若乙方违反本合同的任一约定，乙</w:t>
      </w:r>
      <w:r>
        <w:rPr>
          <w:rFonts w:hint="eastAsia" w:ascii="宋体" w:hAnsi="宋体" w:eastAsia="宋体" w:cs="宋体"/>
          <w:sz w:val="28"/>
          <w:szCs w:val="28"/>
          <w:highlight w:val="none"/>
        </w:rPr>
        <w:t>方除承担本合同约定的违约责任外，还须赔偿因其违约行为造成的</w:t>
      </w:r>
      <w:r>
        <w:rPr>
          <w:rFonts w:hint="eastAsia" w:ascii="宋体" w:hAnsi="宋体" w:eastAsia="宋体" w:cs="宋体"/>
          <w:sz w:val="28"/>
          <w:szCs w:val="28"/>
          <w:highlight w:val="none"/>
          <w:lang w:val="en-US" w:eastAsia="zh-CN"/>
        </w:rPr>
        <w:t>甲</w:t>
      </w:r>
      <w:r>
        <w:rPr>
          <w:rFonts w:hint="eastAsia" w:ascii="宋体" w:hAnsi="宋体" w:eastAsia="宋体" w:cs="宋体"/>
          <w:sz w:val="28"/>
          <w:szCs w:val="28"/>
          <w:highlight w:val="none"/>
        </w:rPr>
        <w:t>方损失（包括直接损失和间接损失），同时甲方为此而发生的相关司法及法律服务费用(包括但不限于诉讼或仲裁费用、鉴定费、评估费、公证费、诉讼保全费、</w:t>
      </w:r>
      <w:r>
        <w:rPr>
          <w:rFonts w:hint="eastAsia" w:ascii="宋体" w:hAnsi="宋体" w:eastAsia="宋体" w:cs="宋体"/>
          <w:sz w:val="28"/>
          <w:szCs w:val="28"/>
          <w:highlight w:val="none"/>
          <w:lang w:val="en-US" w:eastAsia="zh-CN"/>
        </w:rPr>
        <w:t>财产保全</w:t>
      </w:r>
      <w:r>
        <w:rPr>
          <w:rFonts w:hint="eastAsia" w:ascii="宋体" w:hAnsi="宋体" w:eastAsia="宋体" w:cs="宋体"/>
          <w:sz w:val="28"/>
          <w:szCs w:val="28"/>
          <w:highlight w:val="none"/>
        </w:rPr>
        <w:t>担保费、调查费、律师费、差旅费等)均由</w:t>
      </w:r>
      <w:r>
        <w:rPr>
          <w:rFonts w:hint="eastAsia" w:ascii="宋体" w:hAnsi="宋体" w:eastAsia="宋体" w:cs="宋体"/>
          <w:sz w:val="28"/>
          <w:szCs w:val="28"/>
          <w:highlight w:val="none"/>
          <w:lang w:val="en-US" w:eastAsia="zh-CN"/>
        </w:rPr>
        <w:t>乙</w:t>
      </w:r>
      <w:r>
        <w:rPr>
          <w:rFonts w:hint="eastAsia" w:ascii="宋体" w:hAnsi="宋体" w:eastAsia="宋体" w:cs="宋体"/>
          <w:sz w:val="28"/>
          <w:szCs w:val="28"/>
          <w:highlight w:val="none"/>
        </w:rPr>
        <w:t>方承担。</w:t>
      </w:r>
    </w:p>
    <w:p w14:paraId="3CFC4C2E">
      <w:pPr>
        <w:adjustRightInd w:val="0"/>
        <w:snapToGrid w:val="0"/>
        <w:spacing w:line="560" w:lineRule="exact"/>
        <w:ind w:firstLine="560" w:firstLineChars="200"/>
        <w:rPr>
          <w:rFonts w:hint="default" w:ascii="宋体" w:hAnsi="宋体" w:eastAsia="宋体" w:cs="宋体"/>
          <w:sz w:val="28"/>
          <w:szCs w:val="28"/>
          <w:highlight w:val="none"/>
          <w:lang w:val="en-US" w:eastAsia="zh-CN"/>
        </w:rPr>
      </w:pPr>
    </w:p>
    <w:p w14:paraId="564B8123">
      <w:pPr>
        <w:adjustRightInd w:val="0"/>
        <w:snapToGrid w:val="0"/>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第十一条 争议的解决方式</w:t>
      </w:r>
    </w:p>
    <w:p w14:paraId="29A5EF7D">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争议的解决程序：因本合同或者履行本合同所产生的争议，由甲方与乙方双方协商解决，经协商达成一致意见的，应签订书面协议；协商不成的，由工程所在地建设行政主管部门调解。在争议提交调解之日起30日内，双方仍存有争议时，或合同任何一方不同意调解的，按法律相关规定处理。</w:t>
      </w:r>
    </w:p>
    <w:p w14:paraId="5DE144BB">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双方约定其他事宜：争议发生后，乙方必须在做好现场证据保全后继续按照合同要求施工，不得以解决争议为由单方面停工或者拖延施工；在调解无效的情况下，甲方有权先行解除与乙方的合同，乙方必须在7天内撤场。乙方的撤场不影响甲方和乙方另行解决争议和索赔的权利。合同执行过程中如有争议，双方应及时进行沟通和协商。协商无效时，任何一方均可向</w:t>
      </w:r>
      <w:r>
        <w:rPr>
          <w:rFonts w:hint="eastAsia" w:ascii="宋体" w:hAnsi="宋体" w:cs="宋体"/>
          <w:b/>
          <w:sz w:val="28"/>
          <w:szCs w:val="28"/>
          <w:highlight w:val="none"/>
          <w:u w:val="single"/>
        </w:rPr>
        <w:t>广州市花都区人民法院</w:t>
      </w:r>
      <w:r>
        <w:rPr>
          <w:rFonts w:hint="eastAsia" w:ascii="宋体" w:hAnsi="宋体" w:cs="宋体"/>
          <w:sz w:val="28"/>
          <w:szCs w:val="28"/>
          <w:highlight w:val="none"/>
        </w:rPr>
        <w:t>起诉。</w:t>
      </w:r>
    </w:p>
    <w:p w14:paraId="2616AE39">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如人民法院/仲裁机构作出的生效判决/裁决认定甲方存在过错故意不向结算审核单位提交评审材料导致乙方无法结算的，乙方有权向甲方主张利息，利息计算约定如下：按照双方均认可工程价款或者双方认可的鉴定机构鉴定价款为本金、不超过合同订立时全国银行间同业拆借中心发布的一年期贷款市场报价利率，从生效判决书/裁决书确定甲方须承担责任之日起计算逾期付款利息。除此以外，乙方不得向甲方主张违约金或者利息。</w:t>
      </w:r>
    </w:p>
    <w:p w14:paraId="4F2696F3">
      <w:pPr>
        <w:adjustRightInd w:val="0"/>
        <w:snapToGrid w:val="0"/>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第十二条 附则</w:t>
      </w:r>
    </w:p>
    <w:p w14:paraId="1679C4BE">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w:t>
      </w:r>
      <w:r>
        <w:rPr>
          <w:rFonts w:hint="eastAsia" w:ascii="宋体" w:hAnsi="宋体" w:cs="宋体"/>
          <w:sz w:val="28"/>
          <w:szCs w:val="28"/>
          <w:highlight w:val="none"/>
        </w:rPr>
        <w:t>本合同未载明事项，一律按国家有关法律、法规执行。</w:t>
      </w:r>
    </w:p>
    <w:p w14:paraId="587D660B">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2、</w:t>
      </w:r>
      <w:r>
        <w:rPr>
          <w:rFonts w:hint="eastAsia" w:ascii="宋体" w:hAnsi="宋体" w:cs="宋体"/>
          <w:sz w:val="28"/>
          <w:szCs w:val="28"/>
          <w:highlight w:val="none"/>
        </w:rPr>
        <w:t>本合同一式份，合同双方各执份，自合同各方法定代表人或签约代表人签字并加盖公章之日起生效。</w:t>
      </w:r>
    </w:p>
    <w:p w14:paraId="5DC0969A">
      <w:pPr>
        <w:pStyle w:val="2"/>
        <w:adjustRightInd w:val="0"/>
        <w:snapToGrid w:val="0"/>
        <w:spacing w:line="560" w:lineRule="exact"/>
        <w:ind w:firstLine="560"/>
        <w:rPr>
          <w:rFonts w:hint="eastAsia" w:ascii="宋体" w:hAnsi="宋体" w:cs="宋体"/>
          <w:sz w:val="28"/>
          <w:szCs w:val="28"/>
          <w:highlight w:val="none"/>
        </w:rPr>
      </w:pPr>
    </w:p>
    <w:p w14:paraId="405E6D49">
      <w:pPr>
        <w:adjustRightInd w:val="0"/>
        <w:snapToGrid w:val="0"/>
        <w:spacing w:line="560" w:lineRule="exact"/>
        <w:ind w:left="495" w:hanging="495" w:hangingChars="176"/>
        <w:rPr>
          <w:rFonts w:hint="eastAsia" w:ascii="宋体" w:hAnsi="宋体" w:cs="宋体"/>
          <w:b/>
          <w:bCs/>
          <w:sz w:val="28"/>
          <w:szCs w:val="28"/>
          <w:highlight w:val="none"/>
        </w:rPr>
      </w:pPr>
      <w:r>
        <w:rPr>
          <w:rFonts w:hint="eastAsia" w:ascii="宋体" w:hAnsi="宋体" w:cs="宋体"/>
          <w:b/>
          <w:bCs/>
          <w:sz w:val="28"/>
          <w:szCs w:val="28"/>
          <w:highlight w:val="none"/>
        </w:rPr>
        <w:t>附件：1.廉政合同</w:t>
      </w:r>
    </w:p>
    <w:p w14:paraId="01934D1C">
      <w:pPr>
        <w:adjustRightInd w:val="0"/>
        <w:snapToGrid w:val="0"/>
        <w:spacing w:line="560" w:lineRule="exact"/>
        <w:rPr>
          <w:rFonts w:hint="eastAsia" w:ascii="宋体" w:hAnsi="宋体" w:cs="宋体"/>
          <w:b/>
          <w:bCs/>
          <w:sz w:val="28"/>
          <w:szCs w:val="28"/>
          <w:highlight w:val="none"/>
        </w:rPr>
      </w:pPr>
      <w:r>
        <w:rPr>
          <w:rFonts w:hint="eastAsia" w:ascii="宋体" w:hAnsi="宋体" w:cs="宋体"/>
          <w:b/>
          <w:bCs/>
          <w:sz w:val="28"/>
          <w:szCs w:val="28"/>
          <w:highlight w:val="none"/>
        </w:rPr>
        <w:t>2.保密协议</w:t>
      </w:r>
    </w:p>
    <w:p w14:paraId="0B01D882">
      <w:pPr>
        <w:adjustRightInd w:val="0"/>
        <w:snapToGrid w:val="0"/>
        <w:spacing w:line="560" w:lineRule="exact"/>
        <w:ind w:left="163" w:hanging="163" w:hangingChars="58"/>
        <w:rPr>
          <w:rFonts w:hint="eastAsia" w:ascii="宋体" w:hAnsi="宋体" w:cs="宋体"/>
          <w:b/>
          <w:bCs/>
          <w:sz w:val="28"/>
          <w:szCs w:val="28"/>
          <w:highlight w:val="none"/>
        </w:rPr>
      </w:pPr>
      <w:r>
        <w:rPr>
          <w:rFonts w:hint="eastAsia" w:ascii="宋体" w:hAnsi="宋体" w:cs="宋体"/>
          <w:b/>
          <w:bCs/>
          <w:sz w:val="28"/>
          <w:szCs w:val="28"/>
          <w:highlight w:val="none"/>
        </w:rPr>
        <w:t>3.结算工作协议书</w:t>
      </w:r>
    </w:p>
    <w:p w14:paraId="60DBA295">
      <w:pPr>
        <w:adjustRightInd w:val="0"/>
        <w:snapToGrid w:val="0"/>
        <w:spacing w:line="560" w:lineRule="exact"/>
        <w:ind w:left="163" w:hanging="163" w:hangingChars="58"/>
        <w:rPr>
          <w:rFonts w:hint="eastAsia" w:ascii="宋体" w:hAnsi="宋体" w:cs="宋体"/>
          <w:b/>
          <w:bCs/>
          <w:sz w:val="28"/>
          <w:szCs w:val="28"/>
          <w:highlight w:val="none"/>
        </w:rPr>
      </w:pPr>
      <w:r>
        <w:rPr>
          <w:rFonts w:hint="eastAsia" w:ascii="宋体" w:hAnsi="宋体" w:cs="宋体"/>
          <w:b/>
          <w:bCs/>
          <w:sz w:val="28"/>
          <w:szCs w:val="28"/>
          <w:highlight w:val="none"/>
        </w:rPr>
        <w:t>4.中标通知书</w:t>
      </w:r>
    </w:p>
    <w:p w14:paraId="64F90BAD">
      <w:pPr>
        <w:adjustRightInd w:val="0"/>
        <w:snapToGrid w:val="0"/>
        <w:spacing w:line="560" w:lineRule="exact"/>
        <w:ind w:left="163" w:hanging="163" w:hangingChars="58"/>
        <w:rPr>
          <w:rFonts w:hint="eastAsia" w:ascii="宋体" w:hAnsi="宋体" w:cs="宋体"/>
          <w:b/>
          <w:bCs/>
          <w:sz w:val="28"/>
          <w:szCs w:val="28"/>
          <w:highlight w:val="none"/>
        </w:rPr>
      </w:pPr>
      <w:r>
        <w:rPr>
          <w:rFonts w:hint="eastAsia" w:ascii="宋体" w:hAnsi="宋体" w:cs="宋体"/>
          <w:b/>
          <w:bCs/>
          <w:sz w:val="28"/>
          <w:szCs w:val="28"/>
          <w:highlight w:val="none"/>
        </w:rPr>
        <w:t>5.联合体协议书（如有）</w:t>
      </w:r>
    </w:p>
    <w:p w14:paraId="4141D067">
      <w:pPr>
        <w:adjustRightInd w:val="0"/>
        <w:snapToGrid w:val="0"/>
        <w:spacing w:line="560" w:lineRule="exact"/>
        <w:rPr>
          <w:b/>
          <w:bCs/>
          <w:sz w:val="24"/>
          <w:highlight w:val="none"/>
        </w:rPr>
      </w:pPr>
    </w:p>
    <w:p w14:paraId="14E4D01E">
      <w:pPr>
        <w:pStyle w:val="2"/>
        <w:spacing w:line="560" w:lineRule="exact"/>
        <w:ind w:firstLine="560"/>
        <w:rPr>
          <w:sz w:val="28"/>
          <w:szCs w:val="28"/>
          <w:highlight w:val="none"/>
        </w:rPr>
      </w:pPr>
      <w:r>
        <w:rPr>
          <w:rFonts w:hint="eastAsia"/>
          <w:sz w:val="28"/>
          <w:szCs w:val="28"/>
          <w:highlight w:val="none"/>
        </w:rPr>
        <w:t>（本页以下无正文）</w:t>
      </w:r>
    </w:p>
    <w:p w14:paraId="2910DA6E">
      <w:pPr>
        <w:widowControl/>
        <w:spacing w:line="560" w:lineRule="exact"/>
        <w:jc w:val="left"/>
        <w:rPr>
          <w:b/>
          <w:bCs/>
          <w:sz w:val="28"/>
          <w:szCs w:val="28"/>
          <w:highlight w:val="none"/>
        </w:rPr>
      </w:pPr>
      <w:r>
        <w:rPr>
          <w:b/>
          <w:bCs/>
          <w:sz w:val="28"/>
          <w:szCs w:val="28"/>
          <w:highlight w:val="none"/>
        </w:rPr>
        <w:br w:type="page"/>
      </w:r>
    </w:p>
    <w:p w14:paraId="06986509">
      <w:pPr>
        <w:adjustRightInd w:val="0"/>
        <w:snapToGrid w:val="0"/>
        <w:spacing w:line="560" w:lineRule="exact"/>
        <w:ind w:left="163" w:hanging="163" w:hangingChars="58"/>
        <w:rPr>
          <w:b/>
          <w:bCs/>
          <w:sz w:val="28"/>
          <w:szCs w:val="28"/>
          <w:highlight w:val="none"/>
        </w:rPr>
      </w:pPr>
    </w:p>
    <w:p w14:paraId="1F68D127">
      <w:pPr>
        <w:pStyle w:val="7"/>
        <w:jc w:val="left"/>
        <w:rPr>
          <w:sz w:val="28"/>
          <w:szCs w:val="28"/>
          <w:highlight w:val="none"/>
        </w:rPr>
      </w:pPr>
      <w:r>
        <w:rPr>
          <w:rFonts w:hint="eastAsia"/>
          <w:sz w:val="28"/>
          <w:szCs w:val="28"/>
          <w:highlight w:val="none"/>
        </w:rPr>
        <w:t>（本页无正文,为</w:t>
      </w:r>
      <w:r>
        <w:rPr>
          <w:rFonts w:hint="eastAsia"/>
          <w:sz w:val="28"/>
          <w:szCs w:val="28"/>
          <w:highlight w:val="none"/>
          <w:lang w:eastAsia="zh-CN"/>
        </w:rPr>
        <w:t>花都区职业技术学校综合实训楼项目检验检测监测</w:t>
      </w:r>
      <w:r>
        <w:rPr>
          <w:rFonts w:hint="eastAsia"/>
          <w:sz w:val="28"/>
          <w:szCs w:val="28"/>
          <w:highlight w:val="none"/>
        </w:rPr>
        <w:t>合同签署页）</w:t>
      </w:r>
    </w:p>
    <w:p w14:paraId="132C9891">
      <w:pPr>
        <w:pStyle w:val="2"/>
        <w:spacing w:line="560" w:lineRule="exact"/>
        <w:ind w:firstLine="0" w:firstLineChars="0"/>
        <w:jc w:val="left"/>
        <w:rPr>
          <w:highlight w:val="none"/>
        </w:rPr>
      </w:pPr>
    </w:p>
    <w:p w14:paraId="30E5AC86">
      <w:pPr>
        <w:pStyle w:val="2"/>
        <w:spacing w:line="560" w:lineRule="exact"/>
        <w:rPr>
          <w:highlight w:val="none"/>
        </w:rPr>
      </w:pPr>
    </w:p>
    <w:p w14:paraId="76184CD8">
      <w:pPr>
        <w:pStyle w:val="2"/>
        <w:spacing w:line="560" w:lineRule="exact"/>
        <w:ind w:firstLine="0" w:firstLineChars="0"/>
        <w:rPr>
          <w:b/>
          <w:bCs/>
          <w:sz w:val="24"/>
          <w:highlight w:val="none"/>
        </w:rPr>
      </w:pPr>
    </w:p>
    <w:tbl>
      <w:tblPr>
        <w:tblStyle w:val="13"/>
        <w:tblW w:w="9736" w:type="dxa"/>
        <w:tblInd w:w="0" w:type="dxa"/>
        <w:tblLayout w:type="fixed"/>
        <w:tblCellMar>
          <w:top w:w="0" w:type="dxa"/>
          <w:left w:w="108" w:type="dxa"/>
          <w:bottom w:w="0" w:type="dxa"/>
          <w:right w:w="108" w:type="dxa"/>
        </w:tblCellMar>
      </w:tblPr>
      <w:tblGrid>
        <w:gridCol w:w="4644"/>
        <w:gridCol w:w="5092"/>
      </w:tblGrid>
      <w:tr w14:paraId="53FF5F96">
        <w:trPr>
          <w:trHeight w:val="1758" w:hRule="exact"/>
        </w:trPr>
        <w:tc>
          <w:tcPr>
            <w:tcW w:w="4644" w:type="dxa"/>
          </w:tcPr>
          <w:p w14:paraId="1D48F534">
            <w:pPr>
              <w:adjustRightInd w:val="0"/>
              <w:snapToGrid w:val="0"/>
              <w:spacing w:line="560" w:lineRule="exact"/>
              <w:rPr>
                <w:sz w:val="28"/>
                <w:szCs w:val="28"/>
                <w:highlight w:val="none"/>
              </w:rPr>
            </w:pPr>
            <w:r>
              <w:rPr>
                <w:snapToGrid w:val="0"/>
                <w:sz w:val="28"/>
                <w:szCs w:val="28"/>
                <w:highlight w:val="none"/>
              </w:rPr>
              <w:t>发包人（甲方）：</w:t>
            </w:r>
          </w:p>
          <w:p w14:paraId="12F393C0">
            <w:pPr>
              <w:adjustRightInd w:val="0"/>
              <w:snapToGrid w:val="0"/>
              <w:spacing w:line="560" w:lineRule="exact"/>
              <w:rPr>
                <w:snapToGrid w:val="0"/>
                <w:sz w:val="28"/>
                <w:szCs w:val="28"/>
                <w:highlight w:val="none"/>
                <w:u w:val="single"/>
              </w:rPr>
            </w:pPr>
            <w:r>
              <w:rPr>
                <w:rFonts w:hint="eastAsia" w:hAnsi="宋体" w:cs="宋体"/>
                <w:sz w:val="28"/>
                <w:szCs w:val="28"/>
                <w:highlight w:val="none"/>
                <w:u w:val="single"/>
              </w:rPr>
              <w:t>广州市花都区教育局</w:t>
            </w:r>
          </w:p>
        </w:tc>
        <w:tc>
          <w:tcPr>
            <w:tcW w:w="5092" w:type="dxa"/>
          </w:tcPr>
          <w:p w14:paraId="2577E7A5">
            <w:pPr>
              <w:adjustRightInd w:val="0"/>
              <w:snapToGrid w:val="0"/>
              <w:spacing w:line="560" w:lineRule="exact"/>
              <w:rPr>
                <w:snapToGrid w:val="0"/>
                <w:sz w:val="28"/>
                <w:szCs w:val="28"/>
                <w:highlight w:val="none"/>
              </w:rPr>
            </w:pPr>
            <w:r>
              <w:rPr>
                <w:snapToGrid w:val="0"/>
                <w:sz w:val="28"/>
                <w:szCs w:val="28"/>
                <w:highlight w:val="none"/>
              </w:rPr>
              <w:t xml:space="preserve">承包人（乙方）： </w:t>
            </w:r>
          </w:p>
          <w:p w14:paraId="03FE75F1">
            <w:pPr>
              <w:adjustRightInd w:val="0"/>
              <w:snapToGrid w:val="0"/>
              <w:spacing w:line="560" w:lineRule="exact"/>
              <w:rPr>
                <w:snapToGrid w:val="0"/>
                <w:sz w:val="28"/>
                <w:szCs w:val="28"/>
                <w:highlight w:val="none"/>
              </w:rPr>
            </w:pPr>
          </w:p>
        </w:tc>
      </w:tr>
      <w:tr w14:paraId="36F90270">
        <w:tblPrEx>
          <w:tblCellMar>
            <w:top w:w="0" w:type="dxa"/>
            <w:left w:w="108" w:type="dxa"/>
            <w:bottom w:w="0" w:type="dxa"/>
            <w:right w:w="108" w:type="dxa"/>
          </w:tblCellMar>
        </w:tblPrEx>
        <w:trPr>
          <w:trHeight w:val="567" w:hRule="exact"/>
        </w:trPr>
        <w:tc>
          <w:tcPr>
            <w:tcW w:w="4644" w:type="dxa"/>
          </w:tcPr>
          <w:p w14:paraId="0702F0D0">
            <w:pPr>
              <w:adjustRightInd w:val="0"/>
              <w:snapToGrid w:val="0"/>
              <w:spacing w:line="560" w:lineRule="exact"/>
              <w:rPr>
                <w:snapToGrid w:val="0"/>
                <w:sz w:val="28"/>
                <w:szCs w:val="28"/>
                <w:highlight w:val="none"/>
              </w:rPr>
            </w:pPr>
            <w:r>
              <w:rPr>
                <w:snapToGrid w:val="0"/>
                <w:sz w:val="28"/>
                <w:szCs w:val="28"/>
                <w:highlight w:val="none"/>
              </w:rPr>
              <w:t>法定代表人：</w:t>
            </w:r>
          </w:p>
        </w:tc>
        <w:tc>
          <w:tcPr>
            <w:tcW w:w="5092" w:type="dxa"/>
          </w:tcPr>
          <w:p w14:paraId="16DCFD95">
            <w:pPr>
              <w:adjustRightInd w:val="0"/>
              <w:snapToGrid w:val="0"/>
              <w:spacing w:line="560" w:lineRule="exact"/>
              <w:rPr>
                <w:snapToGrid w:val="0"/>
                <w:sz w:val="28"/>
                <w:szCs w:val="28"/>
                <w:highlight w:val="none"/>
              </w:rPr>
            </w:pPr>
            <w:r>
              <w:rPr>
                <w:snapToGrid w:val="0"/>
                <w:sz w:val="28"/>
                <w:szCs w:val="28"/>
                <w:highlight w:val="none"/>
              </w:rPr>
              <w:t>法定代表人：</w:t>
            </w:r>
          </w:p>
        </w:tc>
      </w:tr>
      <w:tr w14:paraId="09B696E4">
        <w:tblPrEx>
          <w:tblCellMar>
            <w:top w:w="0" w:type="dxa"/>
            <w:left w:w="108" w:type="dxa"/>
            <w:bottom w:w="0" w:type="dxa"/>
            <w:right w:w="108" w:type="dxa"/>
          </w:tblCellMar>
        </w:tblPrEx>
        <w:trPr>
          <w:trHeight w:val="567" w:hRule="exact"/>
        </w:trPr>
        <w:tc>
          <w:tcPr>
            <w:tcW w:w="4644" w:type="dxa"/>
          </w:tcPr>
          <w:p w14:paraId="09DF5D34">
            <w:pPr>
              <w:adjustRightInd w:val="0"/>
              <w:snapToGrid w:val="0"/>
              <w:spacing w:line="560" w:lineRule="exact"/>
              <w:rPr>
                <w:snapToGrid w:val="0"/>
                <w:sz w:val="28"/>
                <w:szCs w:val="28"/>
                <w:highlight w:val="none"/>
              </w:rPr>
            </w:pPr>
            <w:r>
              <w:rPr>
                <w:sz w:val="28"/>
                <w:szCs w:val="28"/>
                <w:highlight w:val="none"/>
              </w:rPr>
              <w:t>或签约代表人：</w:t>
            </w:r>
          </w:p>
        </w:tc>
        <w:tc>
          <w:tcPr>
            <w:tcW w:w="5092" w:type="dxa"/>
          </w:tcPr>
          <w:p w14:paraId="5907578D">
            <w:pPr>
              <w:adjustRightInd w:val="0"/>
              <w:snapToGrid w:val="0"/>
              <w:spacing w:line="560" w:lineRule="exact"/>
              <w:rPr>
                <w:snapToGrid w:val="0"/>
                <w:sz w:val="28"/>
                <w:szCs w:val="28"/>
                <w:highlight w:val="none"/>
              </w:rPr>
            </w:pPr>
            <w:r>
              <w:rPr>
                <w:sz w:val="28"/>
                <w:szCs w:val="28"/>
                <w:highlight w:val="none"/>
              </w:rPr>
              <w:t>或签约代表人：</w:t>
            </w:r>
          </w:p>
        </w:tc>
      </w:tr>
      <w:tr w14:paraId="3F721C25">
        <w:tblPrEx>
          <w:tblCellMar>
            <w:top w:w="0" w:type="dxa"/>
            <w:left w:w="108" w:type="dxa"/>
            <w:bottom w:w="0" w:type="dxa"/>
            <w:right w:w="108" w:type="dxa"/>
          </w:tblCellMar>
        </w:tblPrEx>
        <w:trPr>
          <w:trHeight w:val="500" w:hRule="exact"/>
        </w:trPr>
        <w:tc>
          <w:tcPr>
            <w:tcW w:w="4644" w:type="dxa"/>
          </w:tcPr>
          <w:p w14:paraId="3CC75410">
            <w:pPr>
              <w:adjustRightInd w:val="0"/>
              <w:snapToGrid w:val="0"/>
              <w:spacing w:line="560" w:lineRule="exact"/>
              <w:rPr>
                <w:snapToGrid w:val="0"/>
                <w:sz w:val="28"/>
                <w:szCs w:val="28"/>
                <w:highlight w:val="none"/>
              </w:rPr>
            </w:pPr>
            <w:r>
              <w:rPr>
                <w:snapToGrid w:val="0"/>
                <w:sz w:val="28"/>
                <w:szCs w:val="28"/>
                <w:highlight w:val="none"/>
              </w:rPr>
              <w:t>地址：</w:t>
            </w:r>
          </w:p>
        </w:tc>
        <w:tc>
          <w:tcPr>
            <w:tcW w:w="5092" w:type="dxa"/>
          </w:tcPr>
          <w:p w14:paraId="45F0BC3C">
            <w:pPr>
              <w:adjustRightInd w:val="0"/>
              <w:snapToGrid w:val="0"/>
              <w:spacing w:line="560" w:lineRule="exact"/>
              <w:rPr>
                <w:snapToGrid w:val="0"/>
                <w:sz w:val="28"/>
                <w:szCs w:val="28"/>
                <w:highlight w:val="none"/>
              </w:rPr>
            </w:pPr>
            <w:r>
              <w:rPr>
                <w:snapToGrid w:val="0"/>
                <w:sz w:val="28"/>
                <w:szCs w:val="28"/>
                <w:highlight w:val="none"/>
              </w:rPr>
              <w:t>地址：</w:t>
            </w:r>
          </w:p>
        </w:tc>
      </w:tr>
      <w:tr w14:paraId="78C8F181">
        <w:tblPrEx>
          <w:tblCellMar>
            <w:top w:w="0" w:type="dxa"/>
            <w:left w:w="108" w:type="dxa"/>
            <w:bottom w:w="0" w:type="dxa"/>
            <w:right w:w="108" w:type="dxa"/>
          </w:tblCellMar>
        </w:tblPrEx>
        <w:trPr>
          <w:trHeight w:val="567" w:hRule="exact"/>
        </w:trPr>
        <w:tc>
          <w:tcPr>
            <w:tcW w:w="4644" w:type="dxa"/>
            <w:shd w:val="clear" w:color="auto" w:fill="auto"/>
          </w:tcPr>
          <w:p w14:paraId="17AE82D2">
            <w:pPr>
              <w:adjustRightInd w:val="0"/>
              <w:snapToGrid w:val="0"/>
              <w:spacing w:line="560" w:lineRule="exact"/>
              <w:rPr>
                <w:snapToGrid w:val="0"/>
                <w:sz w:val="28"/>
                <w:szCs w:val="28"/>
                <w:highlight w:val="none"/>
              </w:rPr>
            </w:pPr>
            <w:r>
              <w:rPr>
                <w:snapToGrid w:val="0"/>
                <w:sz w:val="28"/>
                <w:szCs w:val="28"/>
                <w:highlight w:val="none"/>
              </w:rPr>
              <w:t>邮政编码：</w:t>
            </w:r>
          </w:p>
        </w:tc>
        <w:tc>
          <w:tcPr>
            <w:tcW w:w="5092" w:type="dxa"/>
            <w:shd w:val="clear" w:color="auto" w:fill="auto"/>
          </w:tcPr>
          <w:p w14:paraId="1CDD81CA">
            <w:pPr>
              <w:adjustRightInd w:val="0"/>
              <w:snapToGrid w:val="0"/>
              <w:spacing w:line="560" w:lineRule="exact"/>
              <w:rPr>
                <w:snapToGrid w:val="0"/>
                <w:sz w:val="28"/>
                <w:szCs w:val="28"/>
                <w:highlight w:val="none"/>
              </w:rPr>
            </w:pPr>
            <w:r>
              <w:rPr>
                <w:snapToGrid w:val="0"/>
                <w:sz w:val="28"/>
                <w:szCs w:val="28"/>
                <w:highlight w:val="none"/>
              </w:rPr>
              <w:t>邮政编码：</w:t>
            </w:r>
          </w:p>
        </w:tc>
      </w:tr>
      <w:tr w14:paraId="6E83C396">
        <w:tblPrEx>
          <w:tblCellMar>
            <w:top w:w="0" w:type="dxa"/>
            <w:left w:w="108" w:type="dxa"/>
            <w:bottom w:w="0" w:type="dxa"/>
            <w:right w:w="108" w:type="dxa"/>
          </w:tblCellMar>
        </w:tblPrEx>
        <w:trPr>
          <w:trHeight w:val="567" w:hRule="exact"/>
        </w:trPr>
        <w:tc>
          <w:tcPr>
            <w:tcW w:w="4644" w:type="dxa"/>
          </w:tcPr>
          <w:p w14:paraId="4FE5DADF">
            <w:pPr>
              <w:adjustRightInd w:val="0"/>
              <w:snapToGrid w:val="0"/>
              <w:spacing w:line="560" w:lineRule="exact"/>
              <w:rPr>
                <w:snapToGrid w:val="0"/>
                <w:sz w:val="28"/>
                <w:szCs w:val="28"/>
                <w:highlight w:val="none"/>
              </w:rPr>
            </w:pPr>
            <w:r>
              <w:rPr>
                <w:snapToGrid w:val="0"/>
                <w:sz w:val="28"/>
                <w:szCs w:val="28"/>
                <w:highlight w:val="none"/>
              </w:rPr>
              <w:t>电话：</w:t>
            </w:r>
          </w:p>
        </w:tc>
        <w:tc>
          <w:tcPr>
            <w:tcW w:w="5092" w:type="dxa"/>
          </w:tcPr>
          <w:p w14:paraId="400A8457">
            <w:pPr>
              <w:adjustRightInd w:val="0"/>
              <w:snapToGrid w:val="0"/>
              <w:spacing w:line="560" w:lineRule="exact"/>
              <w:rPr>
                <w:snapToGrid w:val="0"/>
                <w:sz w:val="28"/>
                <w:szCs w:val="28"/>
                <w:highlight w:val="none"/>
              </w:rPr>
            </w:pPr>
            <w:r>
              <w:rPr>
                <w:snapToGrid w:val="0"/>
                <w:sz w:val="28"/>
                <w:szCs w:val="28"/>
                <w:highlight w:val="none"/>
              </w:rPr>
              <w:t>电话：</w:t>
            </w:r>
          </w:p>
        </w:tc>
      </w:tr>
      <w:tr w14:paraId="000B5AF8">
        <w:tblPrEx>
          <w:tblCellMar>
            <w:top w:w="0" w:type="dxa"/>
            <w:left w:w="108" w:type="dxa"/>
            <w:bottom w:w="0" w:type="dxa"/>
            <w:right w:w="108" w:type="dxa"/>
          </w:tblCellMar>
        </w:tblPrEx>
        <w:trPr>
          <w:trHeight w:val="567" w:hRule="exact"/>
        </w:trPr>
        <w:tc>
          <w:tcPr>
            <w:tcW w:w="4644" w:type="dxa"/>
          </w:tcPr>
          <w:p w14:paraId="4FF3445B">
            <w:pPr>
              <w:adjustRightInd w:val="0"/>
              <w:snapToGrid w:val="0"/>
              <w:spacing w:line="560" w:lineRule="exact"/>
              <w:rPr>
                <w:snapToGrid w:val="0"/>
                <w:sz w:val="28"/>
                <w:szCs w:val="28"/>
                <w:highlight w:val="none"/>
              </w:rPr>
            </w:pPr>
            <w:r>
              <w:rPr>
                <w:snapToGrid w:val="0"/>
                <w:sz w:val="28"/>
                <w:szCs w:val="28"/>
                <w:highlight w:val="none"/>
              </w:rPr>
              <w:t>开户银行：</w:t>
            </w:r>
          </w:p>
        </w:tc>
        <w:tc>
          <w:tcPr>
            <w:tcW w:w="5092" w:type="dxa"/>
          </w:tcPr>
          <w:p w14:paraId="4292426E">
            <w:pPr>
              <w:adjustRightInd w:val="0"/>
              <w:snapToGrid w:val="0"/>
              <w:spacing w:line="560" w:lineRule="exact"/>
              <w:rPr>
                <w:snapToGrid w:val="0"/>
                <w:sz w:val="28"/>
                <w:szCs w:val="28"/>
                <w:highlight w:val="none"/>
              </w:rPr>
            </w:pPr>
            <w:r>
              <w:rPr>
                <w:snapToGrid w:val="0"/>
                <w:sz w:val="28"/>
                <w:szCs w:val="28"/>
                <w:highlight w:val="none"/>
              </w:rPr>
              <w:t>开户银行：</w:t>
            </w:r>
          </w:p>
        </w:tc>
      </w:tr>
      <w:tr w14:paraId="7A1FAE73">
        <w:tblPrEx>
          <w:tblCellMar>
            <w:top w:w="0" w:type="dxa"/>
            <w:left w:w="108" w:type="dxa"/>
            <w:bottom w:w="0" w:type="dxa"/>
            <w:right w:w="108" w:type="dxa"/>
          </w:tblCellMar>
        </w:tblPrEx>
        <w:trPr>
          <w:trHeight w:val="567" w:hRule="exact"/>
        </w:trPr>
        <w:tc>
          <w:tcPr>
            <w:tcW w:w="4644" w:type="dxa"/>
          </w:tcPr>
          <w:p w14:paraId="4EAD89E0">
            <w:pPr>
              <w:adjustRightInd w:val="0"/>
              <w:snapToGrid w:val="0"/>
              <w:spacing w:line="560" w:lineRule="exact"/>
              <w:rPr>
                <w:snapToGrid w:val="0"/>
                <w:sz w:val="28"/>
                <w:szCs w:val="28"/>
                <w:highlight w:val="none"/>
              </w:rPr>
            </w:pPr>
            <w:r>
              <w:rPr>
                <w:snapToGrid w:val="0"/>
                <w:sz w:val="28"/>
                <w:szCs w:val="28"/>
                <w:highlight w:val="none"/>
              </w:rPr>
              <w:t>银行帐号：</w:t>
            </w:r>
          </w:p>
        </w:tc>
        <w:tc>
          <w:tcPr>
            <w:tcW w:w="5092" w:type="dxa"/>
          </w:tcPr>
          <w:p w14:paraId="728F2F8A">
            <w:pPr>
              <w:adjustRightInd w:val="0"/>
              <w:snapToGrid w:val="0"/>
              <w:spacing w:line="560" w:lineRule="exact"/>
              <w:rPr>
                <w:snapToGrid w:val="0"/>
                <w:sz w:val="28"/>
                <w:szCs w:val="28"/>
                <w:highlight w:val="none"/>
              </w:rPr>
            </w:pPr>
            <w:r>
              <w:rPr>
                <w:snapToGrid w:val="0"/>
                <w:sz w:val="28"/>
                <w:szCs w:val="28"/>
                <w:highlight w:val="none"/>
              </w:rPr>
              <w:t>银行帐号：</w:t>
            </w:r>
          </w:p>
        </w:tc>
      </w:tr>
      <w:tr w14:paraId="18E388F2">
        <w:tblPrEx>
          <w:tblCellMar>
            <w:top w:w="0" w:type="dxa"/>
            <w:left w:w="108" w:type="dxa"/>
            <w:bottom w:w="0" w:type="dxa"/>
            <w:right w:w="108" w:type="dxa"/>
          </w:tblCellMar>
        </w:tblPrEx>
        <w:trPr>
          <w:trHeight w:val="567" w:hRule="exact"/>
        </w:trPr>
        <w:tc>
          <w:tcPr>
            <w:tcW w:w="4644" w:type="dxa"/>
          </w:tcPr>
          <w:p w14:paraId="2C747295">
            <w:pPr>
              <w:adjustRightInd w:val="0"/>
              <w:snapToGrid w:val="0"/>
              <w:spacing w:line="560" w:lineRule="exact"/>
              <w:rPr>
                <w:snapToGrid w:val="0"/>
                <w:sz w:val="28"/>
                <w:szCs w:val="28"/>
                <w:highlight w:val="none"/>
              </w:rPr>
            </w:pPr>
            <w:r>
              <w:rPr>
                <w:snapToGrid w:val="0"/>
                <w:sz w:val="28"/>
                <w:szCs w:val="28"/>
                <w:highlight w:val="none"/>
              </w:rPr>
              <w:t>统一社会信用代码：</w:t>
            </w:r>
          </w:p>
        </w:tc>
        <w:tc>
          <w:tcPr>
            <w:tcW w:w="5092" w:type="dxa"/>
          </w:tcPr>
          <w:p w14:paraId="0A5C7AE6">
            <w:pPr>
              <w:adjustRightInd w:val="0"/>
              <w:snapToGrid w:val="0"/>
              <w:spacing w:line="560" w:lineRule="exact"/>
              <w:rPr>
                <w:snapToGrid w:val="0"/>
                <w:sz w:val="28"/>
                <w:szCs w:val="28"/>
                <w:highlight w:val="none"/>
              </w:rPr>
            </w:pPr>
            <w:r>
              <w:rPr>
                <w:snapToGrid w:val="0"/>
                <w:sz w:val="28"/>
                <w:szCs w:val="28"/>
                <w:highlight w:val="none"/>
              </w:rPr>
              <w:t xml:space="preserve">统一社会信用代码： </w:t>
            </w:r>
          </w:p>
        </w:tc>
      </w:tr>
      <w:tr w14:paraId="064ABD00">
        <w:tblPrEx>
          <w:tblCellMar>
            <w:top w:w="0" w:type="dxa"/>
            <w:left w:w="108" w:type="dxa"/>
            <w:bottom w:w="0" w:type="dxa"/>
            <w:right w:w="108" w:type="dxa"/>
          </w:tblCellMar>
        </w:tblPrEx>
        <w:trPr>
          <w:trHeight w:val="567" w:hRule="exact"/>
        </w:trPr>
        <w:tc>
          <w:tcPr>
            <w:tcW w:w="9736" w:type="dxa"/>
            <w:gridSpan w:val="2"/>
            <w:vAlign w:val="center"/>
          </w:tcPr>
          <w:p w14:paraId="6C097903">
            <w:pPr>
              <w:spacing w:line="560" w:lineRule="exact"/>
              <w:jc w:val="center"/>
              <w:rPr>
                <w:vanish/>
                <w:sz w:val="28"/>
                <w:szCs w:val="28"/>
                <w:highlight w:val="none"/>
              </w:rPr>
            </w:pPr>
            <w:r>
              <w:rPr>
                <w:sz w:val="28"/>
                <w:szCs w:val="28"/>
                <w:highlight w:val="none"/>
              </w:rPr>
              <w:t>签订日期：</w:t>
            </w:r>
            <w:r>
              <w:rPr>
                <w:sz w:val="28"/>
                <w:szCs w:val="28"/>
                <w:highlight w:val="none"/>
              </w:rPr>
              <w:tab/>
            </w:r>
            <w:r>
              <w:rPr>
                <w:sz w:val="28"/>
                <w:szCs w:val="28"/>
                <w:highlight w:val="none"/>
              </w:rPr>
              <w:t xml:space="preserve">   年   月   日</w:t>
            </w:r>
          </w:p>
          <w:p w14:paraId="427464C5">
            <w:pPr>
              <w:adjustRightInd w:val="0"/>
              <w:snapToGrid w:val="0"/>
              <w:spacing w:line="560" w:lineRule="exact"/>
              <w:jc w:val="center"/>
              <w:rPr>
                <w:snapToGrid w:val="0"/>
                <w:sz w:val="28"/>
                <w:szCs w:val="28"/>
                <w:highlight w:val="none"/>
              </w:rPr>
            </w:pPr>
          </w:p>
        </w:tc>
      </w:tr>
    </w:tbl>
    <w:p w14:paraId="7C415DE5">
      <w:pPr>
        <w:spacing w:line="560" w:lineRule="exact"/>
        <w:rPr>
          <w:vanish/>
          <w:highlight w:val="none"/>
        </w:rPr>
      </w:pPr>
    </w:p>
    <w:p w14:paraId="0B5BA99E">
      <w:pPr>
        <w:spacing w:line="560" w:lineRule="exact"/>
        <w:jc w:val="left"/>
        <w:rPr>
          <w:b/>
          <w:bCs/>
          <w:sz w:val="24"/>
          <w:highlight w:val="none"/>
        </w:rPr>
        <w:sectPr>
          <w:headerReference r:id="rId6" w:type="first"/>
          <w:footerReference r:id="rId8" w:type="first"/>
          <w:footerReference r:id="rId7" w:type="default"/>
          <w:pgSz w:w="11906" w:h="16838"/>
          <w:pgMar w:top="1361" w:right="1361" w:bottom="1247" w:left="1361" w:header="851" w:footer="851" w:gutter="0"/>
          <w:pgNumType w:start="1"/>
          <w:cols w:space="720" w:num="1"/>
          <w:titlePg/>
          <w:docGrid w:type="lines" w:linePitch="312" w:charSpace="0"/>
        </w:sectPr>
      </w:pPr>
    </w:p>
    <w:p w14:paraId="36AC16A9">
      <w:pPr>
        <w:spacing w:line="500" w:lineRule="exact"/>
        <w:jc w:val="left"/>
        <w:rPr>
          <w:sz w:val="30"/>
          <w:szCs w:val="30"/>
          <w:highlight w:val="none"/>
        </w:rPr>
      </w:pPr>
      <w:r>
        <w:rPr>
          <w:sz w:val="24"/>
          <w:highlight w:val="none"/>
        </w:rPr>
        <w:t>附件1：</w:t>
      </w:r>
    </w:p>
    <w:p w14:paraId="02EE2DC9">
      <w:pPr>
        <w:spacing w:line="500" w:lineRule="exact"/>
        <w:jc w:val="center"/>
        <w:rPr>
          <w:b/>
          <w:bCs/>
          <w:sz w:val="40"/>
          <w:szCs w:val="30"/>
          <w:highlight w:val="none"/>
        </w:rPr>
      </w:pPr>
      <w:r>
        <w:rPr>
          <w:b/>
          <w:bCs/>
          <w:sz w:val="40"/>
          <w:szCs w:val="30"/>
          <w:highlight w:val="none"/>
        </w:rPr>
        <w:t>廉 政 合 同</w:t>
      </w:r>
    </w:p>
    <w:p w14:paraId="065F2A13">
      <w:pPr>
        <w:pStyle w:val="2"/>
        <w:spacing w:line="560" w:lineRule="exact"/>
        <w:ind w:firstLine="560"/>
        <w:rPr>
          <w:sz w:val="28"/>
          <w:szCs w:val="28"/>
          <w:highlight w:val="none"/>
        </w:rPr>
      </w:pPr>
    </w:p>
    <w:p w14:paraId="0BDDDB46">
      <w:pPr>
        <w:pStyle w:val="7"/>
        <w:spacing w:line="560" w:lineRule="exact"/>
        <w:rPr>
          <w:rFonts w:hint="eastAsia" w:hAnsi="宋体" w:cs="宋体"/>
          <w:b/>
          <w:bCs/>
          <w:sz w:val="28"/>
          <w:szCs w:val="28"/>
          <w:highlight w:val="none"/>
        </w:rPr>
      </w:pPr>
      <w:r>
        <w:rPr>
          <w:rFonts w:hint="eastAsia" w:hAnsi="宋体" w:cs="宋体"/>
          <w:b/>
          <w:bCs/>
          <w:sz w:val="28"/>
          <w:szCs w:val="28"/>
          <w:highlight w:val="none"/>
        </w:rPr>
        <w:t>发包人（甲方）：</w:t>
      </w:r>
      <w:r>
        <w:rPr>
          <w:rFonts w:hint="eastAsia" w:hAnsi="宋体" w:cs="宋体"/>
          <w:kern w:val="2"/>
          <w:sz w:val="28"/>
          <w:szCs w:val="28"/>
          <w:highlight w:val="none"/>
          <w:u w:val="single"/>
        </w:rPr>
        <w:t>广州市花都区教育局</w:t>
      </w:r>
    </w:p>
    <w:p w14:paraId="5931B1A9">
      <w:pPr>
        <w:pStyle w:val="7"/>
        <w:spacing w:line="560" w:lineRule="exact"/>
        <w:ind w:left="2249" w:hanging="2249" w:hangingChars="800"/>
        <w:rPr>
          <w:rFonts w:hint="eastAsia" w:hAnsi="宋体" w:cs="宋体"/>
          <w:b/>
          <w:bCs/>
          <w:sz w:val="28"/>
          <w:szCs w:val="28"/>
          <w:highlight w:val="none"/>
          <w:u w:val="single"/>
        </w:rPr>
      </w:pPr>
      <w:r>
        <w:rPr>
          <w:rFonts w:hint="eastAsia" w:hAnsi="宋体" w:cs="宋体"/>
          <w:b/>
          <w:bCs/>
          <w:sz w:val="28"/>
          <w:szCs w:val="28"/>
          <w:highlight w:val="none"/>
        </w:rPr>
        <w:t>承包人（乙方）：</w:t>
      </w:r>
    </w:p>
    <w:p w14:paraId="6279758A">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根据国家、省有关廉政建设的规定，为做好合同工程的廉政建设，保证工程质量与施工安全，提高建设资金的有效使用和投资效益，合同双方当事人就加强合同工程的廉政建设，订立本合同。</w:t>
      </w:r>
    </w:p>
    <w:p w14:paraId="689F1D93">
      <w:pPr>
        <w:spacing w:line="560" w:lineRule="exact"/>
        <w:ind w:firstLine="562" w:firstLineChars="200"/>
        <w:outlineLvl w:val="0"/>
        <w:rPr>
          <w:rFonts w:hint="eastAsia" w:ascii="宋体" w:hAnsi="宋体" w:cs="宋体"/>
          <w:sz w:val="28"/>
          <w:szCs w:val="28"/>
          <w:highlight w:val="none"/>
        </w:rPr>
      </w:pPr>
      <w:r>
        <w:rPr>
          <w:rFonts w:hint="eastAsia" w:ascii="宋体" w:hAnsi="宋体" w:cs="宋体"/>
          <w:b/>
          <w:bCs/>
          <w:sz w:val="28"/>
          <w:szCs w:val="28"/>
          <w:highlight w:val="none"/>
        </w:rPr>
        <w:t>1.双方权利和义务</w:t>
      </w:r>
    </w:p>
    <w:p w14:paraId="3B3E8691">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1.1 严格遵守国家、省有关法律法规的规定。 </w:t>
      </w:r>
    </w:p>
    <w:p w14:paraId="68BD2D4F">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1.2 严格执行合同工程一切合同文件，自觉按合同办事。 </w:t>
      </w:r>
    </w:p>
    <w:p w14:paraId="3C80183A">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1.3 合同双方当事人的业务活动应坚持公平、公开、公正和诚信的原则（法律认定的商业秘密和合同文件另有规定除外），不得损害国家和集体利益，不得违反工程建设管理规章制度。 </w:t>
      </w:r>
    </w:p>
    <w:p w14:paraId="192E2B76">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1.4 建立健全廉政制度，开展廉政教育，设立廉政告示牌，公布举报电话，监督并认真查处违法违纪行为。 </w:t>
      </w:r>
    </w:p>
    <w:p w14:paraId="1B45FECC">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1.5 发现对方在业务活动中有违反廉政建设规定的行为，应及时给予提醒和纠正。 </w:t>
      </w:r>
    </w:p>
    <w:p w14:paraId="674CA309">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1.6 发现对方严重违反合同的行为，有向其上级部门举报、建议给予处理并要求告知处理结果的权利。 </w:t>
      </w:r>
    </w:p>
    <w:p w14:paraId="021782B0">
      <w:pPr>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 xml:space="preserve">2.甲方义务 </w:t>
      </w:r>
    </w:p>
    <w:p w14:paraId="5AFD5B6C">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2 .1 甲方及其工作人员不得索取或接受乙方的礼金、有价证券和贵重物品，不得在乙方报销任何应由甲方或其工作人员个人支付的费用。 </w:t>
      </w:r>
    </w:p>
    <w:p w14:paraId="44A93500">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2.2 甲方及其工作人员不得参加乙方安排的宴请（工作餐除外）和娱乐活动，不得接受乙方提供的通讯、交通工具和高档办公用品等物品。 </w:t>
      </w:r>
    </w:p>
    <w:p w14:paraId="2A6307A9">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2.3 甲方及其工作人员不得要求或者接受乙方为其住房装修、婚丧嫁娶活动、配偶子女工作安排以及出国出境、旅游等提供方便。 </w:t>
      </w:r>
    </w:p>
    <w:p w14:paraId="34299CE3">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2 .4 甲方及其工作人员不得以任何理由向乙方推荐分包人、推销材料和工程设备，不得要求乙方购买合同以外的材料和工程设备。 </w:t>
      </w:r>
    </w:p>
    <w:p w14:paraId="3B7476AC">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2.5 甲方及其工作人员要秉公办事，不准营私舞弊，不准利用职权私自为合同工程安排施工队伍，也不得从事与合同工程有关的各种有偿中介活动。 </w:t>
      </w:r>
    </w:p>
    <w:p w14:paraId="7DF985E3">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2.6 甲方及其工作人员（含其配偶、子女）不得从事与合同工程有关的材料和工程设备供应、工程分包、劳务等经济活动。 </w:t>
      </w:r>
    </w:p>
    <w:p w14:paraId="68925AC3">
      <w:pPr>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 xml:space="preserve">3.乙方义务 </w:t>
      </w:r>
    </w:p>
    <w:p w14:paraId="51B0CA13">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3.1 乙方不得以任何理由向甲方及其工作人员行贿或馈赠礼金、有价证券、贵重礼品。 </w:t>
      </w:r>
    </w:p>
    <w:p w14:paraId="06450F93">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3.2 乙方不得以任何名义为甲方及其工作人员报销应由甲方或其工作人员个人支付的任何费用。 </w:t>
      </w:r>
    </w:p>
    <w:p w14:paraId="2273379F">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3.3 乙方不得以任何理由安排甲方及其工作人员参加宴请（工作餐除外）及娱乐活动。 </w:t>
      </w:r>
    </w:p>
    <w:p w14:paraId="39299199">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3.4 乙方不得为甲方和个人购置或提供通讯、交通工具和高档办公用品等物品。 </w:t>
      </w:r>
    </w:p>
    <w:p w14:paraId="0AC37553">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3.5 乙方不得为甲方及其工作人员的住房装修、婚丧嫁娶活动、配偶子女工作安排以及出国出境、旅游等提供方便。 </w:t>
      </w:r>
    </w:p>
    <w:p w14:paraId="0778A35C">
      <w:pPr>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 xml:space="preserve">4.违约责任 </w:t>
      </w:r>
    </w:p>
    <w:p w14:paraId="3A1FA85C">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4.1 甲方及其工作人员违反本合同第1条和第2条规定，应按照廉政建设的有关规定给予处分；涉嫌犯罪的，移交司法机关追究刑事责任；给乙方造成损失的，应予赔偿。 </w:t>
      </w:r>
    </w:p>
    <w:p w14:paraId="6B8AA424">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4.2 乙方及其工作人员违反本合同第1条和第3条规定，应按照廉政建设的有关规定给予处分；情节严重的，给予乙方1～3年内不得进入工程建设市场的处罚；涉嫌犯罪的，移交司法机关追究刑事责任；给甲方造成损失的，应予赔偿；</w:t>
      </w:r>
    </w:p>
    <w:p w14:paraId="40C7E74C">
      <w:pPr>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 xml:space="preserve">5.双方约定 </w:t>
      </w:r>
    </w:p>
    <w:p w14:paraId="50012FF1">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本合同由合同双方当事人或其上级部门负责监督执行，并由合同双方当事人或其上级部门相互约请对本合同执行情况进行检查。 </w:t>
      </w:r>
    </w:p>
    <w:p w14:paraId="58990884">
      <w:pPr>
        <w:spacing w:line="560" w:lineRule="exact"/>
        <w:ind w:firstLine="562" w:firstLineChars="200"/>
        <w:outlineLvl w:val="0"/>
        <w:rPr>
          <w:rFonts w:hint="eastAsia" w:ascii="宋体" w:hAnsi="宋体" w:cs="宋体"/>
          <w:b/>
          <w:bCs/>
          <w:sz w:val="28"/>
          <w:szCs w:val="28"/>
          <w:highlight w:val="none"/>
        </w:rPr>
      </w:pPr>
      <w:r>
        <w:rPr>
          <w:rFonts w:hint="eastAsia" w:ascii="宋体" w:hAnsi="宋体" w:cs="宋体"/>
          <w:b/>
          <w:bCs/>
          <w:sz w:val="28"/>
          <w:szCs w:val="28"/>
          <w:highlight w:val="none"/>
        </w:rPr>
        <w:t xml:space="preserve">6.合同法律效力 </w:t>
      </w:r>
    </w:p>
    <w:p w14:paraId="01E8933D">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本合同作为</w:t>
      </w:r>
      <w:r>
        <w:rPr>
          <w:rFonts w:hint="eastAsia" w:ascii="宋体" w:hAnsi="宋体" w:cs="宋体"/>
          <w:sz w:val="28"/>
          <w:szCs w:val="28"/>
          <w:highlight w:val="none"/>
          <w:u w:val="single"/>
          <w:lang w:eastAsia="zh-CN"/>
        </w:rPr>
        <w:t>花都区职业技术学校综合实训楼项目检验检测监测</w:t>
      </w:r>
      <w:r>
        <w:rPr>
          <w:rFonts w:hint="eastAsia" w:ascii="宋体" w:hAnsi="宋体" w:cs="宋体"/>
          <w:sz w:val="28"/>
          <w:szCs w:val="28"/>
          <w:highlight w:val="none"/>
        </w:rPr>
        <w:t xml:space="preserve">合同的附件，具有同等的法律效力。 </w:t>
      </w:r>
    </w:p>
    <w:p w14:paraId="5265321F">
      <w:pPr>
        <w:spacing w:line="560" w:lineRule="exact"/>
        <w:ind w:firstLine="562" w:firstLineChars="200"/>
        <w:outlineLvl w:val="0"/>
        <w:rPr>
          <w:rFonts w:hint="eastAsia" w:ascii="宋体" w:hAnsi="宋体" w:cs="宋体"/>
          <w:b/>
          <w:bCs/>
          <w:sz w:val="28"/>
          <w:szCs w:val="28"/>
          <w:highlight w:val="none"/>
        </w:rPr>
      </w:pPr>
      <w:r>
        <w:rPr>
          <w:rFonts w:hint="eastAsia" w:ascii="宋体" w:hAnsi="宋体" w:cs="宋体"/>
          <w:b/>
          <w:bCs/>
          <w:sz w:val="28"/>
          <w:szCs w:val="28"/>
          <w:highlight w:val="none"/>
        </w:rPr>
        <w:t xml:space="preserve">7.合同生效 </w:t>
      </w:r>
    </w:p>
    <w:p w14:paraId="0F40BA7D">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    本合同自合同各方当事人签署之日起生效，至合同工程竣工验收合格之日后失效。  </w:t>
      </w:r>
    </w:p>
    <w:p w14:paraId="413F151E">
      <w:pPr>
        <w:spacing w:line="560" w:lineRule="exact"/>
        <w:ind w:firstLine="562" w:firstLineChars="200"/>
        <w:outlineLvl w:val="0"/>
        <w:rPr>
          <w:rFonts w:hint="eastAsia" w:ascii="宋体" w:hAnsi="宋体" w:cs="宋体"/>
          <w:sz w:val="28"/>
          <w:szCs w:val="28"/>
          <w:highlight w:val="none"/>
        </w:rPr>
      </w:pPr>
      <w:r>
        <w:rPr>
          <w:rFonts w:hint="eastAsia" w:ascii="宋体" w:hAnsi="宋体" w:cs="宋体"/>
          <w:b/>
          <w:bCs/>
          <w:sz w:val="28"/>
          <w:szCs w:val="28"/>
          <w:highlight w:val="none"/>
        </w:rPr>
        <w:t>8.合同份数</w:t>
      </w:r>
    </w:p>
    <w:p w14:paraId="2C19F338">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本合同一式份，合同各方各执份。 </w:t>
      </w:r>
    </w:p>
    <w:p w14:paraId="7A948495">
      <w:pPr>
        <w:adjustRightInd w:val="0"/>
        <w:snapToGrid w:val="0"/>
        <w:spacing w:line="560" w:lineRule="exact"/>
        <w:ind w:left="-178" w:leftChars="-85" w:right="-178" w:rightChars="-85" w:firstLine="560" w:firstLineChars="200"/>
        <w:rPr>
          <w:rFonts w:hint="eastAsia" w:ascii="宋体" w:hAnsi="宋体" w:cs="宋体"/>
          <w:sz w:val="28"/>
          <w:szCs w:val="28"/>
          <w:highlight w:val="none"/>
        </w:rPr>
      </w:pPr>
      <w:r>
        <w:rPr>
          <w:rFonts w:hint="eastAsia" w:ascii="宋体" w:hAnsi="宋体" w:cs="宋体"/>
          <w:sz w:val="28"/>
          <w:szCs w:val="28"/>
          <w:highlight w:val="none"/>
        </w:rPr>
        <w:t>（以下无正文）</w:t>
      </w:r>
    </w:p>
    <w:p w14:paraId="2EAF2EC8">
      <w:pPr>
        <w:pStyle w:val="2"/>
        <w:spacing w:line="560" w:lineRule="exact"/>
        <w:ind w:firstLine="560"/>
        <w:rPr>
          <w:sz w:val="28"/>
          <w:szCs w:val="28"/>
          <w:highlight w:val="none"/>
        </w:rPr>
      </w:pPr>
    </w:p>
    <w:p w14:paraId="11A282CE">
      <w:pPr>
        <w:pStyle w:val="2"/>
        <w:spacing w:line="560" w:lineRule="exact"/>
        <w:ind w:firstLine="0" w:firstLineChars="0"/>
        <w:rPr>
          <w:sz w:val="28"/>
          <w:szCs w:val="28"/>
          <w:highlight w:val="none"/>
        </w:rPr>
      </w:pPr>
    </w:p>
    <w:p w14:paraId="2280CBA4">
      <w:pPr>
        <w:pStyle w:val="2"/>
        <w:spacing w:line="560" w:lineRule="exact"/>
        <w:ind w:firstLine="560"/>
        <w:rPr>
          <w:sz w:val="28"/>
          <w:szCs w:val="28"/>
          <w:highlight w:val="none"/>
        </w:rPr>
      </w:pPr>
    </w:p>
    <w:tbl>
      <w:tblPr>
        <w:tblStyle w:val="13"/>
        <w:tblW w:w="9736" w:type="dxa"/>
        <w:tblInd w:w="0" w:type="dxa"/>
        <w:tblLayout w:type="fixed"/>
        <w:tblCellMar>
          <w:top w:w="0" w:type="dxa"/>
          <w:left w:w="108" w:type="dxa"/>
          <w:bottom w:w="0" w:type="dxa"/>
          <w:right w:w="108" w:type="dxa"/>
        </w:tblCellMar>
      </w:tblPr>
      <w:tblGrid>
        <w:gridCol w:w="4644"/>
        <w:gridCol w:w="5092"/>
      </w:tblGrid>
      <w:tr w14:paraId="423D3AAB">
        <w:tblPrEx>
          <w:tblCellMar>
            <w:top w:w="0" w:type="dxa"/>
            <w:left w:w="108" w:type="dxa"/>
            <w:bottom w:w="0" w:type="dxa"/>
            <w:right w:w="108" w:type="dxa"/>
          </w:tblCellMar>
        </w:tblPrEx>
        <w:trPr>
          <w:trHeight w:val="1762" w:hRule="exact"/>
        </w:trPr>
        <w:tc>
          <w:tcPr>
            <w:tcW w:w="4644" w:type="dxa"/>
          </w:tcPr>
          <w:p w14:paraId="42110BE6">
            <w:pPr>
              <w:adjustRightInd w:val="0"/>
              <w:snapToGrid w:val="0"/>
              <w:spacing w:line="560" w:lineRule="exact"/>
              <w:rPr>
                <w:sz w:val="28"/>
                <w:szCs w:val="28"/>
                <w:highlight w:val="none"/>
              </w:rPr>
            </w:pPr>
            <w:r>
              <w:rPr>
                <w:snapToGrid w:val="0"/>
                <w:sz w:val="28"/>
                <w:szCs w:val="28"/>
                <w:highlight w:val="none"/>
              </w:rPr>
              <w:t>发包人（甲方）：</w:t>
            </w:r>
          </w:p>
          <w:p w14:paraId="23024EAC">
            <w:pPr>
              <w:adjustRightInd w:val="0"/>
              <w:snapToGrid w:val="0"/>
              <w:spacing w:line="560" w:lineRule="exact"/>
              <w:rPr>
                <w:snapToGrid w:val="0"/>
                <w:sz w:val="28"/>
                <w:szCs w:val="28"/>
                <w:highlight w:val="none"/>
                <w:u w:val="single"/>
              </w:rPr>
            </w:pPr>
            <w:r>
              <w:rPr>
                <w:rFonts w:hint="eastAsia" w:hAnsi="宋体" w:cs="宋体"/>
                <w:sz w:val="28"/>
                <w:szCs w:val="28"/>
                <w:highlight w:val="none"/>
                <w:u w:val="single"/>
              </w:rPr>
              <w:t>广州市花都区教育局</w:t>
            </w:r>
          </w:p>
        </w:tc>
        <w:tc>
          <w:tcPr>
            <w:tcW w:w="5092" w:type="dxa"/>
          </w:tcPr>
          <w:p w14:paraId="2A90E757">
            <w:pPr>
              <w:adjustRightInd w:val="0"/>
              <w:snapToGrid w:val="0"/>
              <w:spacing w:line="560" w:lineRule="exact"/>
              <w:rPr>
                <w:snapToGrid w:val="0"/>
                <w:sz w:val="28"/>
                <w:szCs w:val="28"/>
                <w:highlight w:val="none"/>
              </w:rPr>
            </w:pPr>
            <w:r>
              <w:rPr>
                <w:snapToGrid w:val="0"/>
                <w:sz w:val="28"/>
                <w:szCs w:val="28"/>
                <w:highlight w:val="none"/>
              </w:rPr>
              <w:t xml:space="preserve">承包人（乙方）： </w:t>
            </w:r>
          </w:p>
          <w:p w14:paraId="1407B9B1">
            <w:pPr>
              <w:adjustRightInd w:val="0"/>
              <w:snapToGrid w:val="0"/>
              <w:spacing w:line="560" w:lineRule="exact"/>
              <w:rPr>
                <w:snapToGrid w:val="0"/>
                <w:sz w:val="28"/>
                <w:szCs w:val="28"/>
                <w:highlight w:val="none"/>
              </w:rPr>
            </w:pPr>
          </w:p>
          <w:p w14:paraId="076B80EA">
            <w:pPr>
              <w:adjustRightInd w:val="0"/>
              <w:snapToGrid w:val="0"/>
              <w:spacing w:line="560" w:lineRule="exact"/>
              <w:ind w:firstLine="2240" w:firstLineChars="800"/>
              <w:rPr>
                <w:snapToGrid w:val="0"/>
                <w:sz w:val="28"/>
                <w:szCs w:val="28"/>
                <w:highlight w:val="none"/>
              </w:rPr>
            </w:pPr>
          </w:p>
        </w:tc>
      </w:tr>
      <w:tr w14:paraId="11076776">
        <w:tblPrEx>
          <w:tblCellMar>
            <w:top w:w="0" w:type="dxa"/>
            <w:left w:w="108" w:type="dxa"/>
            <w:bottom w:w="0" w:type="dxa"/>
            <w:right w:w="108" w:type="dxa"/>
          </w:tblCellMar>
        </w:tblPrEx>
        <w:trPr>
          <w:trHeight w:val="567" w:hRule="exact"/>
        </w:trPr>
        <w:tc>
          <w:tcPr>
            <w:tcW w:w="4644" w:type="dxa"/>
          </w:tcPr>
          <w:p w14:paraId="42008BA9">
            <w:pPr>
              <w:adjustRightInd w:val="0"/>
              <w:snapToGrid w:val="0"/>
              <w:spacing w:line="560" w:lineRule="exact"/>
              <w:rPr>
                <w:snapToGrid w:val="0"/>
                <w:sz w:val="28"/>
                <w:szCs w:val="28"/>
                <w:highlight w:val="none"/>
              </w:rPr>
            </w:pPr>
            <w:r>
              <w:rPr>
                <w:snapToGrid w:val="0"/>
                <w:sz w:val="28"/>
                <w:szCs w:val="28"/>
                <w:highlight w:val="none"/>
              </w:rPr>
              <w:t>法定代表人：</w:t>
            </w:r>
          </w:p>
        </w:tc>
        <w:tc>
          <w:tcPr>
            <w:tcW w:w="5092" w:type="dxa"/>
          </w:tcPr>
          <w:p w14:paraId="29FAAE8F">
            <w:pPr>
              <w:adjustRightInd w:val="0"/>
              <w:snapToGrid w:val="0"/>
              <w:spacing w:line="560" w:lineRule="exact"/>
              <w:rPr>
                <w:snapToGrid w:val="0"/>
                <w:sz w:val="28"/>
                <w:szCs w:val="28"/>
                <w:highlight w:val="none"/>
              </w:rPr>
            </w:pPr>
            <w:r>
              <w:rPr>
                <w:snapToGrid w:val="0"/>
                <w:sz w:val="28"/>
                <w:szCs w:val="28"/>
                <w:highlight w:val="none"/>
              </w:rPr>
              <w:t>法定代表人：</w:t>
            </w:r>
          </w:p>
        </w:tc>
      </w:tr>
      <w:tr w14:paraId="5441241F">
        <w:tblPrEx>
          <w:tblCellMar>
            <w:top w:w="0" w:type="dxa"/>
            <w:left w:w="108" w:type="dxa"/>
            <w:bottom w:w="0" w:type="dxa"/>
            <w:right w:w="108" w:type="dxa"/>
          </w:tblCellMar>
        </w:tblPrEx>
        <w:trPr>
          <w:trHeight w:val="567" w:hRule="exact"/>
        </w:trPr>
        <w:tc>
          <w:tcPr>
            <w:tcW w:w="4644" w:type="dxa"/>
          </w:tcPr>
          <w:p w14:paraId="6418E698">
            <w:pPr>
              <w:adjustRightInd w:val="0"/>
              <w:snapToGrid w:val="0"/>
              <w:spacing w:line="560" w:lineRule="exact"/>
              <w:rPr>
                <w:snapToGrid w:val="0"/>
                <w:sz w:val="28"/>
                <w:szCs w:val="28"/>
                <w:highlight w:val="none"/>
              </w:rPr>
            </w:pPr>
            <w:r>
              <w:rPr>
                <w:sz w:val="28"/>
                <w:szCs w:val="28"/>
                <w:highlight w:val="none"/>
              </w:rPr>
              <w:t>或签约代表人：</w:t>
            </w:r>
          </w:p>
        </w:tc>
        <w:tc>
          <w:tcPr>
            <w:tcW w:w="5092" w:type="dxa"/>
          </w:tcPr>
          <w:p w14:paraId="2A532F0F">
            <w:pPr>
              <w:adjustRightInd w:val="0"/>
              <w:snapToGrid w:val="0"/>
              <w:spacing w:line="560" w:lineRule="exact"/>
              <w:rPr>
                <w:snapToGrid w:val="0"/>
                <w:sz w:val="28"/>
                <w:szCs w:val="28"/>
                <w:highlight w:val="none"/>
              </w:rPr>
            </w:pPr>
            <w:r>
              <w:rPr>
                <w:sz w:val="28"/>
                <w:szCs w:val="28"/>
                <w:highlight w:val="none"/>
              </w:rPr>
              <w:t>或签约代表人：</w:t>
            </w:r>
          </w:p>
        </w:tc>
      </w:tr>
    </w:tbl>
    <w:p w14:paraId="621392A6">
      <w:pPr>
        <w:pStyle w:val="2"/>
        <w:spacing w:line="560" w:lineRule="exact"/>
        <w:ind w:firstLine="638" w:firstLineChars="228"/>
        <w:rPr>
          <w:sz w:val="28"/>
          <w:szCs w:val="28"/>
          <w:highlight w:val="none"/>
        </w:rPr>
      </w:pPr>
    </w:p>
    <w:p w14:paraId="23EDDEE5">
      <w:pPr>
        <w:spacing w:line="560" w:lineRule="exact"/>
        <w:jc w:val="center"/>
        <w:rPr>
          <w:sz w:val="28"/>
          <w:szCs w:val="28"/>
          <w:highlight w:val="none"/>
        </w:rPr>
      </w:pPr>
    </w:p>
    <w:p w14:paraId="778CC2F1">
      <w:pPr>
        <w:spacing w:line="560" w:lineRule="exact"/>
        <w:jc w:val="center"/>
        <w:rPr>
          <w:sz w:val="28"/>
          <w:szCs w:val="28"/>
          <w:highlight w:val="none"/>
        </w:rPr>
      </w:pPr>
      <w:r>
        <w:rPr>
          <w:sz w:val="28"/>
          <w:szCs w:val="28"/>
          <w:highlight w:val="none"/>
        </w:rPr>
        <w:t>签订日期：</w:t>
      </w:r>
      <w:r>
        <w:rPr>
          <w:sz w:val="28"/>
          <w:szCs w:val="28"/>
          <w:highlight w:val="none"/>
        </w:rPr>
        <w:tab/>
      </w:r>
      <w:r>
        <w:rPr>
          <w:sz w:val="28"/>
          <w:szCs w:val="28"/>
          <w:highlight w:val="none"/>
        </w:rPr>
        <w:t xml:space="preserve">   年   月   日</w:t>
      </w:r>
    </w:p>
    <w:p w14:paraId="6E1F89E4">
      <w:pPr>
        <w:widowControl/>
        <w:jc w:val="left"/>
        <w:rPr>
          <w:sz w:val="24"/>
          <w:highlight w:val="none"/>
        </w:rPr>
      </w:pPr>
      <w:r>
        <w:rPr>
          <w:sz w:val="24"/>
          <w:highlight w:val="none"/>
        </w:rPr>
        <w:br w:type="page"/>
      </w:r>
    </w:p>
    <w:p w14:paraId="3C2595C3">
      <w:pPr>
        <w:pStyle w:val="2"/>
        <w:ind w:firstLine="0" w:firstLineChars="0"/>
        <w:rPr>
          <w:sz w:val="24"/>
          <w:highlight w:val="none"/>
        </w:rPr>
        <w:sectPr>
          <w:pgSz w:w="11906" w:h="16838"/>
          <w:pgMar w:top="1361" w:right="1361" w:bottom="1247" w:left="1361" w:header="851" w:footer="851" w:gutter="0"/>
          <w:cols w:space="720" w:num="1"/>
          <w:titlePg/>
          <w:docGrid w:type="lines" w:linePitch="312" w:charSpace="0"/>
        </w:sectPr>
      </w:pPr>
    </w:p>
    <w:p w14:paraId="6CCE6A73">
      <w:pPr>
        <w:spacing w:line="500" w:lineRule="exact"/>
        <w:jc w:val="left"/>
        <w:rPr>
          <w:sz w:val="24"/>
          <w:highlight w:val="none"/>
        </w:rPr>
      </w:pPr>
      <w:r>
        <w:rPr>
          <w:sz w:val="24"/>
          <w:highlight w:val="none"/>
        </w:rPr>
        <w:t>附件</w:t>
      </w:r>
      <w:r>
        <w:rPr>
          <w:rFonts w:hint="eastAsia"/>
          <w:sz w:val="24"/>
          <w:highlight w:val="none"/>
        </w:rPr>
        <w:t>2</w:t>
      </w:r>
      <w:r>
        <w:rPr>
          <w:sz w:val="24"/>
          <w:highlight w:val="none"/>
        </w:rPr>
        <w:t xml:space="preserve">： </w:t>
      </w:r>
    </w:p>
    <w:p w14:paraId="45D6B883">
      <w:pPr>
        <w:spacing w:line="500" w:lineRule="exact"/>
        <w:jc w:val="center"/>
        <w:rPr>
          <w:b/>
          <w:sz w:val="44"/>
          <w:szCs w:val="44"/>
          <w:highlight w:val="none"/>
        </w:rPr>
      </w:pPr>
      <w:r>
        <w:rPr>
          <w:b/>
          <w:sz w:val="44"/>
          <w:szCs w:val="44"/>
          <w:highlight w:val="none"/>
        </w:rPr>
        <w:t>保 密 协 议</w:t>
      </w:r>
    </w:p>
    <w:p w14:paraId="59714172">
      <w:pPr>
        <w:adjustRightInd w:val="0"/>
        <w:snapToGrid w:val="0"/>
        <w:spacing w:line="560" w:lineRule="exact"/>
        <w:ind w:firstLine="562" w:firstLineChars="200"/>
        <w:rPr>
          <w:b/>
          <w:sz w:val="28"/>
          <w:szCs w:val="28"/>
          <w:highlight w:val="none"/>
        </w:rPr>
      </w:pPr>
    </w:p>
    <w:p w14:paraId="68E893AB">
      <w:pPr>
        <w:pStyle w:val="7"/>
        <w:spacing w:line="560" w:lineRule="exact"/>
        <w:rPr>
          <w:rFonts w:hint="eastAsia" w:hAnsi="宋体" w:cs="宋体"/>
          <w:b/>
          <w:sz w:val="28"/>
          <w:szCs w:val="28"/>
          <w:highlight w:val="none"/>
          <w:u w:val="single"/>
        </w:rPr>
      </w:pPr>
      <w:r>
        <w:rPr>
          <w:rFonts w:hint="eastAsia" w:hAnsi="宋体" w:cs="宋体"/>
          <w:b/>
          <w:sz w:val="28"/>
          <w:szCs w:val="28"/>
          <w:highlight w:val="none"/>
        </w:rPr>
        <w:t>发包人（甲方）：</w:t>
      </w:r>
      <w:r>
        <w:rPr>
          <w:rFonts w:hint="eastAsia" w:hAnsi="宋体" w:cs="宋体"/>
          <w:kern w:val="2"/>
          <w:sz w:val="28"/>
          <w:szCs w:val="28"/>
          <w:highlight w:val="none"/>
          <w:u w:val="single"/>
        </w:rPr>
        <w:t>广州市花都区教育局</w:t>
      </w:r>
    </w:p>
    <w:p w14:paraId="3D75FE7B">
      <w:pPr>
        <w:spacing w:line="560" w:lineRule="exact"/>
        <w:ind w:right="-178" w:rightChars="-85"/>
        <w:rPr>
          <w:rFonts w:hint="eastAsia" w:ascii="宋体" w:hAnsi="宋体" w:cs="宋体"/>
          <w:sz w:val="28"/>
          <w:szCs w:val="28"/>
          <w:highlight w:val="none"/>
          <w:u w:val="single"/>
          <w:shd w:val="pct10" w:color="auto" w:fill="FFFFFF"/>
        </w:rPr>
      </w:pPr>
      <w:r>
        <w:rPr>
          <w:rFonts w:hint="eastAsia" w:ascii="宋体" w:hAnsi="宋体" w:cs="宋体"/>
          <w:b/>
          <w:sz w:val="28"/>
          <w:szCs w:val="28"/>
          <w:highlight w:val="none"/>
        </w:rPr>
        <w:t>承包人（乙方）：</w:t>
      </w:r>
    </w:p>
    <w:p w14:paraId="72B09C15">
      <w:pPr>
        <w:spacing w:line="560" w:lineRule="exact"/>
        <w:ind w:left="-178" w:leftChars="-85" w:right="-178" w:rightChars="-85" w:firstLine="243" w:firstLineChars="87"/>
        <w:rPr>
          <w:rFonts w:hint="eastAsia" w:ascii="宋体" w:hAnsi="宋体" w:cs="宋体"/>
          <w:sz w:val="28"/>
          <w:szCs w:val="28"/>
          <w:highlight w:val="none"/>
          <w:u w:val="single"/>
        </w:rPr>
      </w:pPr>
    </w:p>
    <w:p w14:paraId="7C60C4F1">
      <w:pPr>
        <w:adjustRightInd w:val="0"/>
        <w:snapToGrid w:val="0"/>
        <w:spacing w:line="560" w:lineRule="exact"/>
        <w:ind w:firstLine="560" w:firstLineChars="200"/>
        <w:jc w:val="left"/>
        <w:rPr>
          <w:rFonts w:hint="eastAsia" w:ascii="宋体" w:hAnsi="宋体" w:cs="宋体"/>
          <w:b/>
          <w:sz w:val="28"/>
          <w:szCs w:val="28"/>
          <w:highlight w:val="none"/>
          <w:u w:val="single"/>
        </w:rPr>
      </w:pPr>
      <w:r>
        <w:rPr>
          <w:rFonts w:hint="eastAsia" w:ascii="宋体" w:hAnsi="宋体" w:cs="宋体"/>
          <w:sz w:val="28"/>
          <w:szCs w:val="28"/>
          <w:highlight w:val="none"/>
        </w:rPr>
        <w:t>鉴于乙方在</w:t>
      </w:r>
      <w:r>
        <w:rPr>
          <w:rFonts w:hint="eastAsia" w:ascii="宋体" w:hAnsi="宋体" w:cs="宋体"/>
          <w:sz w:val="28"/>
          <w:szCs w:val="28"/>
          <w:highlight w:val="none"/>
          <w:u w:val="single"/>
          <w:lang w:eastAsia="zh-CN"/>
        </w:rPr>
        <w:t>花都区职业技术学校综合实训楼项目检验检测监测</w:t>
      </w:r>
      <w:r>
        <w:rPr>
          <w:rFonts w:hint="eastAsia" w:ascii="宋体" w:hAnsi="宋体" w:cs="宋体"/>
          <w:sz w:val="28"/>
          <w:szCs w:val="28"/>
          <w:highlight w:val="none"/>
        </w:rPr>
        <w:t>（以下简称本项目）过程中，已经或将要接触或获得涉及甲方的保密资料及将在该项目实施过程中形成的资料，经甲、乙双方友好协商，甲方愿意向乙方披露相关保密资料，乙方承诺按照本协议的约定对甲方的保密资料予以保密。</w:t>
      </w:r>
    </w:p>
    <w:p w14:paraId="2770405F">
      <w:pPr>
        <w:adjustRightInd w:val="0"/>
        <w:snapToGrid w:val="0"/>
        <w:spacing w:line="560" w:lineRule="exact"/>
        <w:ind w:firstLine="562" w:firstLineChars="200"/>
        <w:outlineLvl w:val="0"/>
        <w:rPr>
          <w:rFonts w:hint="eastAsia" w:ascii="宋体" w:hAnsi="宋体" w:cs="宋体"/>
          <w:b/>
          <w:sz w:val="28"/>
          <w:szCs w:val="28"/>
          <w:highlight w:val="none"/>
        </w:rPr>
      </w:pPr>
      <w:r>
        <w:rPr>
          <w:rFonts w:hint="eastAsia" w:ascii="宋体" w:hAnsi="宋体" w:cs="宋体"/>
          <w:b/>
          <w:sz w:val="28"/>
          <w:szCs w:val="28"/>
          <w:highlight w:val="none"/>
        </w:rPr>
        <w:t>一、“保密资料”包括：</w:t>
      </w:r>
    </w:p>
    <w:p w14:paraId="186248DE">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（一）甲方向乙方披露或将要披露的与本项目相关的所有商业秘密、技术秘密以及其他甲方尚未公开的资料。</w:t>
      </w:r>
    </w:p>
    <w:p w14:paraId="0D9223A6">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（二）乙方在项目中形成的任何分析、编辑、研究、咨询成果或其他文件资料。</w:t>
      </w:r>
    </w:p>
    <w:p w14:paraId="3A6E5738">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以上资料包括书面的、口头的、图形的、电磁的或其它任何形式的资料，包括但不限于数据、模型、样品、草案、技术、方法、仪器设备和其它资料。</w:t>
      </w:r>
    </w:p>
    <w:p w14:paraId="3614D6DC">
      <w:pPr>
        <w:adjustRightInd w:val="0"/>
        <w:snapToGrid w:val="0"/>
        <w:spacing w:line="560" w:lineRule="exact"/>
        <w:ind w:firstLine="562" w:firstLineChars="200"/>
        <w:jc w:val="left"/>
        <w:outlineLvl w:val="0"/>
        <w:rPr>
          <w:rFonts w:hint="eastAsia" w:ascii="宋体" w:hAnsi="宋体" w:cs="宋体"/>
          <w:b/>
          <w:sz w:val="28"/>
          <w:szCs w:val="28"/>
          <w:highlight w:val="none"/>
        </w:rPr>
      </w:pPr>
      <w:r>
        <w:rPr>
          <w:rFonts w:hint="eastAsia" w:ascii="宋体" w:hAnsi="宋体" w:cs="宋体"/>
          <w:b/>
          <w:sz w:val="28"/>
          <w:szCs w:val="28"/>
          <w:highlight w:val="none"/>
        </w:rPr>
        <w:t>二、第三方检测、监测服务定义：</w:t>
      </w:r>
    </w:p>
    <w:p w14:paraId="588395C1">
      <w:pPr>
        <w:spacing w:line="560" w:lineRule="exact"/>
        <w:ind w:right="55" w:rightChars="26"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专指甲乙双方签订的</w:t>
      </w:r>
      <w:r>
        <w:rPr>
          <w:rFonts w:hint="eastAsia" w:ascii="宋体" w:hAnsi="宋体" w:cs="宋体"/>
          <w:sz w:val="28"/>
          <w:szCs w:val="28"/>
          <w:highlight w:val="none"/>
          <w:lang w:eastAsia="zh-CN"/>
        </w:rPr>
        <w:t>花都区职业技术学校综合实训楼项目检验检测监测</w:t>
      </w:r>
      <w:r>
        <w:rPr>
          <w:rFonts w:hint="eastAsia" w:ascii="宋体" w:hAnsi="宋体" w:cs="宋体"/>
          <w:sz w:val="28"/>
          <w:szCs w:val="28"/>
          <w:highlight w:val="none"/>
        </w:rPr>
        <w:t>合同。</w:t>
      </w:r>
    </w:p>
    <w:p w14:paraId="4B14F32A">
      <w:pPr>
        <w:adjustRightInd w:val="0"/>
        <w:snapToGrid w:val="0"/>
        <w:spacing w:line="560" w:lineRule="exact"/>
        <w:ind w:firstLine="562" w:firstLineChars="200"/>
        <w:outlineLvl w:val="0"/>
        <w:rPr>
          <w:rFonts w:hint="eastAsia" w:ascii="宋体" w:hAnsi="宋体" w:cs="宋体"/>
          <w:b/>
          <w:sz w:val="28"/>
          <w:szCs w:val="28"/>
          <w:highlight w:val="none"/>
        </w:rPr>
      </w:pPr>
      <w:r>
        <w:rPr>
          <w:rFonts w:hint="eastAsia" w:ascii="宋体" w:hAnsi="宋体" w:cs="宋体"/>
          <w:b/>
          <w:sz w:val="28"/>
          <w:szCs w:val="28"/>
          <w:highlight w:val="none"/>
        </w:rPr>
        <w:t>三、保密义务：</w:t>
      </w:r>
    </w:p>
    <w:p w14:paraId="7DC17B3B">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乙方保证遵守国家法律和国家有关部门制定的保密法规，严格控制甲方所披露的保密资料，保护的程度不能低于乙方保护自己的保密资料。无论如何，乙方对该保密资料的保护程度不能低于一个管理良好的技术企业保护自己的保密资料的保护程度；</w:t>
      </w:r>
    </w:p>
    <w:p w14:paraId="02A172A2">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2.乙方保证采取所有必要的方法对甲方提供的保密资料进行保密，包括但不限于执行和坚持适当的作业程序来避免非授权透露、使用或复制保密资料；</w:t>
      </w:r>
    </w:p>
    <w:p w14:paraId="06B76F6C">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3.乙方保证在任何情况下，除依照法律强制性的要求外，不向任何第三方透露或披露甲方的保密资料以及本协议的存在或本协议的任何内容；</w:t>
      </w:r>
    </w:p>
    <w:p w14:paraId="463A290D">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 如果乙方基于法律、法规、判决、裁定（包括按照传票、法院或政府处理程序）的要求而必需披露相关的保密资料，乙方应当事先尽快通知甲方，同时，乙方应当尽最大的努力帮助甲方有效地防止或限制该保密资料的传播。</w:t>
      </w:r>
    </w:p>
    <w:p w14:paraId="4045A5A4">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5. 乙方不得有损害甲方利益的其他泄密和使用行为。</w:t>
      </w:r>
    </w:p>
    <w:p w14:paraId="4AF04B89">
      <w:pPr>
        <w:adjustRightInd w:val="0"/>
        <w:snapToGrid w:val="0"/>
        <w:spacing w:line="560" w:lineRule="exact"/>
        <w:ind w:firstLine="562" w:firstLineChars="200"/>
        <w:outlineLvl w:val="0"/>
        <w:rPr>
          <w:rFonts w:hint="eastAsia" w:ascii="宋体" w:hAnsi="宋体" w:cs="宋体"/>
          <w:b/>
          <w:sz w:val="28"/>
          <w:szCs w:val="28"/>
          <w:highlight w:val="none"/>
        </w:rPr>
      </w:pPr>
      <w:r>
        <w:rPr>
          <w:rFonts w:hint="eastAsia" w:ascii="宋体" w:hAnsi="宋体" w:cs="宋体"/>
          <w:b/>
          <w:sz w:val="28"/>
          <w:szCs w:val="28"/>
          <w:highlight w:val="none"/>
        </w:rPr>
        <w:t>四、保密资料的使用方式和不使用义务：</w:t>
      </w:r>
    </w:p>
    <w:p w14:paraId="7F8EA121">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1.乙方只能为完成本项目而使用保密资料；</w:t>
      </w:r>
    </w:p>
    <w:p w14:paraId="1DC87171">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2.除乙方为完成本项目需要时而将保密资料披露给必需直接参与本项工作、必需知晓保密资料的职员之外，乙方不能将保密资料透露给其它任何人；</w:t>
      </w:r>
    </w:p>
    <w:p w14:paraId="2DB4B8AB">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3.乙方不能将此保密资料的全部或部分进行复制或仿造；</w:t>
      </w:r>
    </w:p>
    <w:p w14:paraId="091D4FF1">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4.乙方应当告知并以适当方式要求其参与本项工作之雇员遵守本协议规定，若参与本项工作之雇员（包括已离职员工）违反本协议规定，乙方应承担连带责任。</w:t>
      </w:r>
    </w:p>
    <w:p w14:paraId="44907F88">
      <w:pPr>
        <w:adjustRightInd w:val="0"/>
        <w:snapToGrid w:val="0"/>
        <w:spacing w:line="560" w:lineRule="exact"/>
        <w:ind w:firstLine="562" w:firstLineChars="200"/>
        <w:outlineLvl w:val="0"/>
        <w:rPr>
          <w:rFonts w:hint="eastAsia" w:ascii="宋体" w:hAnsi="宋体" w:cs="宋体"/>
          <w:b/>
          <w:sz w:val="28"/>
          <w:szCs w:val="28"/>
          <w:highlight w:val="none"/>
        </w:rPr>
      </w:pPr>
      <w:r>
        <w:rPr>
          <w:rFonts w:hint="eastAsia" w:ascii="宋体" w:hAnsi="宋体" w:cs="宋体"/>
          <w:b/>
          <w:sz w:val="28"/>
          <w:szCs w:val="28"/>
          <w:highlight w:val="none"/>
        </w:rPr>
        <w:t>五、保密资料的交回：</w:t>
      </w:r>
    </w:p>
    <w:p w14:paraId="767959F9">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1.当甲方以书面形式要求乙方交回保密资料时，乙方应当立即交回所有书面的或其他有形的保密资料以及所有描述和概括该保密资料的文件；</w:t>
      </w:r>
    </w:p>
    <w:p w14:paraId="287D8FEF">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2.没有甲方的书面许可，乙方不得丢弃和处理任何书面的或其他有形的保密资料。</w:t>
      </w:r>
    </w:p>
    <w:p w14:paraId="74077BA5">
      <w:pPr>
        <w:adjustRightInd w:val="0"/>
        <w:snapToGrid w:val="0"/>
        <w:spacing w:line="560" w:lineRule="exact"/>
        <w:ind w:firstLine="562" w:firstLineChars="200"/>
        <w:outlineLvl w:val="0"/>
        <w:rPr>
          <w:rFonts w:hint="eastAsia" w:ascii="宋体" w:hAnsi="宋体" w:cs="宋体"/>
          <w:b/>
          <w:sz w:val="28"/>
          <w:szCs w:val="28"/>
          <w:highlight w:val="none"/>
        </w:rPr>
      </w:pPr>
      <w:r>
        <w:rPr>
          <w:rFonts w:hint="eastAsia" w:ascii="宋体" w:hAnsi="宋体" w:cs="宋体"/>
          <w:b/>
          <w:sz w:val="28"/>
          <w:szCs w:val="28"/>
          <w:highlight w:val="none"/>
        </w:rPr>
        <w:t>六、知识产权：</w:t>
      </w:r>
    </w:p>
    <w:p w14:paraId="5E1F4F24">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除非甲方明确地授权，乙方不能认为甲方授予其包含该保密资料的任何专利权、专利申请权、商标权、著作权、商业秘密或其它的知识产权。</w:t>
      </w:r>
    </w:p>
    <w:p w14:paraId="722C0EFD">
      <w:pPr>
        <w:adjustRightInd w:val="0"/>
        <w:snapToGrid w:val="0"/>
        <w:spacing w:line="560" w:lineRule="exact"/>
        <w:ind w:firstLine="562" w:firstLineChars="200"/>
        <w:outlineLvl w:val="0"/>
        <w:rPr>
          <w:rFonts w:hint="eastAsia" w:ascii="宋体" w:hAnsi="宋体" w:cs="宋体"/>
          <w:b/>
          <w:sz w:val="28"/>
          <w:szCs w:val="28"/>
          <w:highlight w:val="none"/>
        </w:rPr>
      </w:pPr>
      <w:r>
        <w:rPr>
          <w:rFonts w:hint="eastAsia" w:ascii="宋体" w:hAnsi="宋体" w:cs="宋体"/>
          <w:b/>
          <w:sz w:val="28"/>
          <w:szCs w:val="28"/>
          <w:highlight w:val="none"/>
        </w:rPr>
        <w:t>七、违约救济：如果发生乙方违约，双方同意依如下条款处理：</w:t>
      </w:r>
    </w:p>
    <w:p w14:paraId="1F47E3DE">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1.乙方应当尽最大的努力帮助甲方有效地防止或限制该保密资料的传播或按照甲方的指示采取有效的方法对该保密资料进行保密，所需费用由乙方承担；</w:t>
      </w:r>
    </w:p>
    <w:p w14:paraId="23FD7B1D">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2.乙方应当赔偿甲方的所有损失，包括但不限于法院诉讼的费用、合理的律师酬金和费用、所有损失或损害等等。</w:t>
      </w:r>
    </w:p>
    <w:p w14:paraId="4E68DB9B">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同时，乙方按项目合同费用总金额的15%向甲方支付违约金。</w:t>
      </w:r>
    </w:p>
    <w:p w14:paraId="27BD9B82">
      <w:pPr>
        <w:adjustRightInd w:val="0"/>
        <w:snapToGrid w:val="0"/>
        <w:spacing w:line="560" w:lineRule="exact"/>
        <w:ind w:firstLine="562" w:firstLineChars="200"/>
        <w:outlineLvl w:val="0"/>
        <w:rPr>
          <w:rFonts w:hint="eastAsia" w:ascii="宋体" w:hAnsi="宋体" w:cs="宋体"/>
          <w:b/>
          <w:sz w:val="28"/>
          <w:szCs w:val="28"/>
          <w:highlight w:val="none"/>
        </w:rPr>
      </w:pPr>
      <w:r>
        <w:rPr>
          <w:rFonts w:hint="eastAsia" w:ascii="宋体" w:hAnsi="宋体" w:cs="宋体"/>
          <w:b/>
          <w:sz w:val="28"/>
          <w:szCs w:val="28"/>
          <w:highlight w:val="none"/>
        </w:rPr>
        <w:t>八、适用法律：</w:t>
      </w:r>
    </w:p>
    <w:p w14:paraId="300387AB">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本协议适用中华人民共和国法律，并在所有方面依其进行解释。</w:t>
      </w:r>
    </w:p>
    <w:p w14:paraId="127882DD">
      <w:pPr>
        <w:adjustRightInd w:val="0"/>
        <w:snapToGrid w:val="0"/>
        <w:spacing w:line="560" w:lineRule="exact"/>
        <w:ind w:firstLine="562" w:firstLineChars="200"/>
        <w:outlineLvl w:val="0"/>
        <w:rPr>
          <w:rFonts w:hint="eastAsia" w:ascii="宋体" w:hAnsi="宋体" w:cs="宋体"/>
          <w:b/>
          <w:sz w:val="28"/>
          <w:szCs w:val="28"/>
          <w:highlight w:val="none"/>
        </w:rPr>
      </w:pPr>
      <w:r>
        <w:rPr>
          <w:rFonts w:hint="eastAsia" w:ascii="宋体" w:hAnsi="宋体" w:cs="宋体"/>
          <w:b/>
          <w:sz w:val="28"/>
          <w:szCs w:val="28"/>
          <w:highlight w:val="none"/>
        </w:rPr>
        <w:t>九、争议和裁决</w:t>
      </w:r>
    </w:p>
    <w:p w14:paraId="344126A9">
      <w:pPr>
        <w:autoSpaceDE w:val="0"/>
        <w:autoSpaceDN w:val="0"/>
        <w:adjustRightInd w:val="0"/>
        <w:spacing w:line="560" w:lineRule="exact"/>
        <w:ind w:firstLine="540"/>
        <w:rPr>
          <w:rFonts w:hint="eastAsia" w:ascii="宋体" w:hAnsi="宋体" w:cs="宋体"/>
          <w:sz w:val="28"/>
          <w:szCs w:val="28"/>
          <w:highlight w:val="none"/>
        </w:rPr>
      </w:pPr>
      <w:r>
        <w:rPr>
          <w:rFonts w:hint="eastAsia" w:ascii="宋体" w:hAnsi="宋体" w:cs="宋体"/>
          <w:sz w:val="28"/>
          <w:szCs w:val="28"/>
          <w:highlight w:val="none"/>
        </w:rPr>
        <w:t>双方约定，凡因执行本合同所发生的与本合同有关的一切争议，当和解或调解不成时，选择下列第</w:t>
      </w:r>
      <w:r>
        <w:rPr>
          <w:rFonts w:hint="eastAsia" w:ascii="宋体" w:hAnsi="宋体" w:cs="宋体"/>
          <w:sz w:val="28"/>
          <w:szCs w:val="28"/>
          <w:highlight w:val="none"/>
          <w:u w:val="single"/>
        </w:rPr>
        <w:t>（2）</w:t>
      </w:r>
      <w:r>
        <w:rPr>
          <w:rFonts w:hint="eastAsia" w:ascii="宋体" w:hAnsi="宋体" w:cs="宋体"/>
          <w:sz w:val="28"/>
          <w:szCs w:val="28"/>
          <w:highlight w:val="none"/>
        </w:rPr>
        <w:t>种方式解决：</w:t>
      </w:r>
    </w:p>
    <w:p w14:paraId="4274FB15">
      <w:pPr>
        <w:autoSpaceDE w:val="0"/>
        <w:autoSpaceDN w:val="0"/>
        <w:adjustRightInd w:val="0"/>
        <w:spacing w:line="560" w:lineRule="exact"/>
        <w:ind w:firstLine="540"/>
        <w:rPr>
          <w:rFonts w:hint="eastAsia" w:ascii="宋体" w:hAnsi="宋体" w:cs="宋体"/>
          <w:sz w:val="28"/>
          <w:szCs w:val="28"/>
          <w:highlight w:val="none"/>
        </w:rPr>
      </w:pPr>
      <w:r>
        <w:rPr>
          <w:rFonts w:hint="eastAsia" w:ascii="宋体" w:hAnsi="宋体" w:cs="宋体"/>
          <w:sz w:val="28"/>
          <w:szCs w:val="28"/>
          <w:highlight w:val="none"/>
        </w:rPr>
        <w:t xml:space="preserve">（1）将争议提交 </w:t>
      </w:r>
      <w:r>
        <w:rPr>
          <w:rFonts w:hint="eastAsia" w:ascii="宋体" w:hAnsi="宋体" w:cs="宋体"/>
          <w:b/>
          <w:sz w:val="28"/>
          <w:szCs w:val="28"/>
          <w:highlight w:val="none"/>
          <w:u w:val="single"/>
        </w:rPr>
        <w:t xml:space="preserve"> 广州市  </w:t>
      </w:r>
      <w:r>
        <w:rPr>
          <w:rFonts w:hint="eastAsia" w:ascii="宋体" w:hAnsi="宋体" w:cs="宋体"/>
          <w:sz w:val="28"/>
          <w:szCs w:val="28"/>
          <w:highlight w:val="none"/>
        </w:rPr>
        <w:t>仲裁委员会仲裁；</w:t>
      </w:r>
    </w:p>
    <w:p w14:paraId="1CD13EBB">
      <w:pPr>
        <w:autoSpaceDE w:val="0"/>
        <w:autoSpaceDN w:val="0"/>
        <w:adjustRightInd w:val="0"/>
        <w:spacing w:line="560" w:lineRule="exact"/>
        <w:ind w:firstLine="540"/>
        <w:rPr>
          <w:rFonts w:hint="eastAsia" w:ascii="宋体" w:hAnsi="宋体" w:cs="宋体"/>
          <w:sz w:val="28"/>
          <w:szCs w:val="28"/>
          <w:highlight w:val="none"/>
          <w:u w:val="single"/>
        </w:rPr>
      </w:pPr>
      <w:r>
        <w:rPr>
          <w:rFonts w:hint="eastAsia" w:ascii="宋体" w:hAnsi="宋体" w:cs="宋体"/>
          <w:sz w:val="28"/>
          <w:szCs w:val="28"/>
          <w:highlight w:val="none"/>
        </w:rPr>
        <w:t>（2）依法向当地</w:t>
      </w:r>
      <w:r>
        <w:rPr>
          <w:rFonts w:hint="eastAsia" w:ascii="宋体" w:hAnsi="宋体" w:cs="宋体"/>
          <w:b/>
          <w:sz w:val="28"/>
          <w:szCs w:val="28"/>
          <w:highlight w:val="none"/>
          <w:u w:val="single"/>
        </w:rPr>
        <w:t xml:space="preserve">甲方所在地有管辖权的法院   </w:t>
      </w:r>
      <w:r>
        <w:rPr>
          <w:rFonts w:hint="eastAsia" w:ascii="宋体" w:hAnsi="宋体" w:cs="宋体"/>
          <w:sz w:val="28"/>
          <w:szCs w:val="28"/>
          <w:highlight w:val="none"/>
        </w:rPr>
        <w:t>提起诉讼。</w:t>
      </w:r>
    </w:p>
    <w:p w14:paraId="22604734">
      <w:pPr>
        <w:adjustRightInd w:val="0"/>
        <w:snapToGrid w:val="0"/>
        <w:spacing w:line="560" w:lineRule="exact"/>
        <w:ind w:firstLine="562" w:firstLineChars="200"/>
        <w:outlineLvl w:val="0"/>
        <w:rPr>
          <w:rFonts w:hint="eastAsia" w:ascii="宋体" w:hAnsi="宋体" w:cs="宋体"/>
          <w:b/>
          <w:sz w:val="28"/>
          <w:szCs w:val="28"/>
          <w:highlight w:val="none"/>
        </w:rPr>
      </w:pPr>
      <w:r>
        <w:rPr>
          <w:rFonts w:hint="eastAsia" w:ascii="宋体" w:hAnsi="宋体" w:cs="宋体"/>
          <w:b/>
          <w:sz w:val="28"/>
          <w:szCs w:val="28"/>
          <w:highlight w:val="none"/>
        </w:rPr>
        <w:t>十、协议的生效：</w:t>
      </w:r>
    </w:p>
    <w:p w14:paraId="6298635D">
      <w:pPr>
        <w:adjustRightInd w:val="0"/>
        <w:snapToGrid w:val="0"/>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本协议在各方的法定代表人或其授权代表签字（或盖章）并加盖公章后生效。</w:t>
      </w:r>
      <w:r>
        <w:rPr>
          <w:rFonts w:hint="eastAsia" w:ascii="宋体" w:hAnsi="宋体" w:cs="宋体"/>
          <w:sz w:val="28"/>
          <w:szCs w:val="28"/>
          <w:highlight w:val="none"/>
          <w:lang w:val="zh-CN"/>
        </w:rPr>
        <w:t>本合同一式份，合同各方各执份。</w:t>
      </w:r>
    </w:p>
    <w:p w14:paraId="0B28DFF3">
      <w:pPr>
        <w:adjustRightInd w:val="0"/>
        <w:snapToGrid w:val="0"/>
        <w:spacing w:line="560" w:lineRule="exact"/>
        <w:ind w:left="-178" w:leftChars="-85" w:right="-178" w:rightChars="-85" w:firstLine="560" w:firstLineChars="200"/>
        <w:rPr>
          <w:rFonts w:hint="eastAsia" w:ascii="宋体" w:hAnsi="宋体" w:cs="宋体"/>
          <w:sz w:val="28"/>
          <w:szCs w:val="28"/>
          <w:highlight w:val="none"/>
        </w:rPr>
      </w:pPr>
    </w:p>
    <w:p w14:paraId="3A2415BD">
      <w:pPr>
        <w:adjustRightInd w:val="0"/>
        <w:snapToGrid w:val="0"/>
        <w:spacing w:line="560" w:lineRule="exact"/>
        <w:ind w:left="-178" w:leftChars="-85" w:right="-178" w:rightChars="-85" w:firstLine="560" w:firstLineChars="200"/>
        <w:rPr>
          <w:rFonts w:hint="eastAsia" w:ascii="宋体" w:hAnsi="宋体" w:cs="宋体"/>
          <w:sz w:val="28"/>
          <w:szCs w:val="28"/>
          <w:highlight w:val="none"/>
        </w:rPr>
      </w:pPr>
      <w:r>
        <w:rPr>
          <w:rFonts w:hint="eastAsia" w:ascii="宋体" w:hAnsi="宋体" w:cs="宋体"/>
          <w:sz w:val="28"/>
          <w:szCs w:val="28"/>
          <w:highlight w:val="none"/>
        </w:rPr>
        <w:t>（以下无正文）</w:t>
      </w:r>
    </w:p>
    <w:tbl>
      <w:tblPr>
        <w:tblStyle w:val="14"/>
        <w:tblW w:w="9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6"/>
        <w:gridCol w:w="5200"/>
      </w:tblGrid>
      <w:tr w14:paraId="5751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exact"/>
        </w:trPr>
        <w:tc>
          <w:tcPr>
            <w:tcW w:w="4536" w:type="dxa"/>
            <w:tcBorders>
              <w:right w:val="dashed" w:color="000000" w:sz="4" w:space="0"/>
              <w:tl2br w:val="nil"/>
              <w:tr2bl w:val="nil"/>
            </w:tcBorders>
          </w:tcPr>
          <w:p w14:paraId="1562D0CD">
            <w:pPr>
              <w:pStyle w:val="7"/>
              <w:spacing w:line="560" w:lineRule="exact"/>
              <w:rPr>
                <w:rFonts w:hint="eastAsia" w:hAnsi="宋体" w:cs="宋体"/>
                <w:b/>
                <w:sz w:val="28"/>
                <w:szCs w:val="28"/>
                <w:highlight w:val="none"/>
                <w:u w:val="single"/>
              </w:rPr>
            </w:pPr>
            <w:r>
              <w:rPr>
                <w:rFonts w:hint="eastAsia" w:hAnsi="宋体" w:cs="宋体"/>
                <w:kern w:val="2"/>
                <w:sz w:val="28"/>
                <w:szCs w:val="28"/>
                <w:highlight w:val="none"/>
                <w:u w:val="single"/>
              </w:rPr>
              <w:t>发包方（甲方）：广州市花都区教育局</w:t>
            </w:r>
          </w:p>
          <w:p w14:paraId="0AF0F37C">
            <w:pPr>
              <w:adjustRightInd w:val="0"/>
              <w:snapToGrid w:val="0"/>
              <w:spacing w:line="560" w:lineRule="exact"/>
              <w:ind w:left="2249" w:hanging="2249" w:hangingChars="800"/>
              <w:rPr>
                <w:rFonts w:hint="eastAsia" w:ascii="宋体" w:hAnsi="宋体" w:cs="宋体"/>
                <w:b/>
                <w:snapToGrid w:val="0"/>
                <w:sz w:val="28"/>
                <w:szCs w:val="28"/>
                <w:highlight w:val="none"/>
              </w:rPr>
            </w:pPr>
          </w:p>
          <w:p w14:paraId="58B99990">
            <w:pPr>
              <w:adjustRightInd w:val="0"/>
              <w:snapToGrid w:val="0"/>
              <w:spacing w:line="560" w:lineRule="exact"/>
              <w:ind w:firstLine="2800" w:firstLineChars="1000"/>
              <w:rPr>
                <w:rFonts w:hint="eastAsia" w:ascii="宋体" w:hAnsi="宋体" w:cs="宋体"/>
                <w:snapToGrid w:val="0"/>
                <w:sz w:val="28"/>
                <w:szCs w:val="28"/>
                <w:highlight w:val="none"/>
              </w:rPr>
            </w:pPr>
          </w:p>
        </w:tc>
        <w:tc>
          <w:tcPr>
            <w:tcW w:w="5200" w:type="dxa"/>
            <w:tcBorders>
              <w:left w:val="dashed" w:color="000000" w:sz="4" w:space="0"/>
              <w:tl2br w:val="nil"/>
              <w:tr2bl w:val="nil"/>
            </w:tcBorders>
          </w:tcPr>
          <w:p w14:paraId="63450805">
            <w:pPr>
              <w:adjustRightInd w:val="0"/>
              <w:snapToGrid w:val="0"/>
              <w:spacing w:line="560" w:lineRule="exact"/>
              <w:rPr>
                <w:rFonts w:hint="eastAsia" w:ascii="宋体" w:hAnsi="宋体" w:cs="宋体"/>
                <w:b/>
                <w:sz w:val="28"/>
                <w:szCs w:val="28"/>
                <w:highlight w:val="none"/>
                <w:u w:val="single"/>
              </w:rPr>
            </w:pPr>
            <w:r>
              <w:rPr>
                <w:rFonts w:hint="eastAsia" w:ascii="宋体" w:hAnsi="宋体" w:cs="宋体"/>
                <w:snapToGrid w:val="0"/>
                <w:sz w:val="28"/>
                <w:szCs w:val="28"/>
                <w:highlight w:val="none"/>
              </w:rPr>
              <w:t>承包方（乙方）：</w:t>
            </w:r>
          </w:p>
          <w:p w14:paraId="6A51986E">
            <w:pPr>
              <w:adjustRightInd w:val="0"/>
              <w:snapToGrid w:val="0"/>
              <w:spacing w:line="560" w:lineRule="exact"/>
              <w:ind w:firstLine="2800" w:firstLineChars="1000"/>
              <w:rPr>
                <w:rFonts w:hint="eastAsia" w:ascii="宋体" w:hAnsi="宋体" w:cs="宋体"/>
                <w:snapToGrid w:val="0"/>
                <w:sz w:val="28"/>
                <w:szCs w:val="28"/>
                <w:highlight w:val="none"/>
              </w:rPr>
            </w:pPr>
          </w:p>
        </w:tc>
      </w:tr>
      <w:tr w14:paraId="6009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tcBorders>
              <w:right w:val="dashed" w:color="000000" w:sz="4" w:space="0"/>
              <w:tl2br w:val="nil"/>
              <w:tr2bl w:val="nil"/>
            </w:tcBorders>
          </w:tcPr>
          <w:p w14:paraId="7482208A">
            <w:pPr>
              <w:adjustRightInd w:val="0"/>
              <w:snapToGrid w:val="0"/>
              <w:spacing w:line="560" w:lineRule="exact"/>
              <w:rPr>
                <w:rFonts w:hint="eastAsia" w:ascii="宋体" w:hAnsi="宋体" w:cs="宋体"/>
                <w:snapToGrid w:val="0"/>
                <w:sz w:val="28"/>
                <w:szCs w:val="28"/>
                <w:highlight w:val="none"/>
              </w:rPr>
            </w:pPr>
            <w:r>
              <w:rPr>
                <w:rFonts w:hint="eastAsia" w:ascii="宋体" w:hAnsi="宋体" w:cs="宋体"/>
                <w:snapToGrid w:val="0"/>
                <w:sz w:val="28"/>
                <w:szCs w:val="28"/>
                <w:highlight w:val="none"/>
              </w:rPr>
              <w:t>法定代表人：</w:t>
            </w:r>
          </w:p>
        </w:tc>
        <w:tc>
          <w:tcPr>
            <w:tcW w:w="5200" w:type="dxa"/>
            <w:tcBorders>
              <w:left w:val="dashed" w:color="000000" w:sz="4" w:space="0"/>
              <w:tl2br w:val="nil"/>
              <w:tr2bl w:val="nil"/>
            </w:tcBorders>
          </w:tcPr>
          <w:p w14:paraId="3F274186">
            <w:pPr>
              <w:adjustRightInd w:val="0"/>
              <w:snapToGrid w:val="0"/>
              <w:spacing w:line="560" w:lineRule="exact"/>
              <w:rPr>
                <w:rFonts w:hint="eastAsia" w:ascii="宋体" w:hAnsi="宋体" w:cs="宋体"/>
                <w:snapToGrid w:val="0"/>
                <w:sz w:val="28"/>
                <w:szCs w:val="28"/>
                <w:highlight w:val="none"/>
              </w:rPr>
            </w:pPr>
            <w:r>
              <w:rPr>
                <w:rFonts w:hint="eastAsia" w:ascii="宋体" w:hAnsi="宋体" w:cs="宋体"/>
                <w:snapToGrid w:val="0"/>
                <w:sz w:val="28"/>
                <w:szCs w:val="28"/>
                <w:highlight w:val="none"/>
              </w:rPr>
              <w:t>法定代表人：</w:t>
            </w:r>
          </w:p>
        </w:tc>
      </w:tr>
      <w:tr w14:paraId="1840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tcBorders>
              <w:right w:val="dashed" w:color="000000" w:sz="4" w:space="0"/>
              <w:tl2br w:val="nil"/>
              <w:tr2bl w:val="nil"/>
            </w:tcBorders>
          </w:tcPr>
          <w:p w14:paraId="67A7D117">
            <w:pPr>
              <w:adjustRightInd w:val="0"/>
              <w:snapToGrid w:val="0"/>
              <w:spacing w:line="560" w:lineRule="exact"/>
              <w:rPr>
                <w:rFonts w:hint="eastAsia" w:ascii="宋体" w:hAnsi="宋体" w:cs="宋体"/>
                <w:snapToGrid w:val="0"/>
                <w:sz w:val="28"/>
                <w:szCs w:val="28"/>
                <w:highlight w:val="none"/>
              </w:rPr>
            </w:pPr>
            <w:r>
              <w:rPr>
                <w:rFonts w:hint="eastAsia" w:ascii="宋体" w:hAnsi="宋体" w:cs="宋体"/>
                <w:sz w:val="28"/>
                <w:szCs w:val="28"/>
                <w:highlight w:val="none"/>
              </w:rPr>
              <w:t>或签约代表人：</w:t>
            </w:r>
          </w:p>
        </w:tc>
        <w:tc>
          <w:tcPr>
            <w:tcW w:w="5200" w:type="dxa"/>
            <w:tcBorders>
              <w:left w:val="dashed" w:color="000000" w:sz="4" w:space="0"/>
              <w:tl2br w:val="nil"/>
              <w:tr2bl w:val="nil"/>
            </w:tcBorders>
          </w:tcPr>
          <w:p w14:paraId="2C0D609C">
            <w:pPr>
              <w:adjustRightInd w:val="0"/>
              <w:snapToGrid w:val="0"/>
              <w:spacing w:line="560" w:lineRule="exact"/>
              <w:rPr>
                <w:rFonts w:hint="eastAsia" w:ascii="宋体" w:hAnsi="宋体" w:cs="宋体"/>
                <w:snapToGrid w:val="0"/>
                <w:sz w:val="28"/>
                <w:szCs w:val="28"/>
                <w:highlight w:val="none"/>
              </w:rPr>
            </w:pPr>
            <w:r>
              <w:rPr>
                <w:rFonts w:hint="eastAsia" w:ascii="宋体" w:hAnsi="宋体" w:cs="宋体"/>
                <w:sz w:val="28"/>
                <w:szCs w:val="28"/>
                <w:highlight w:val="none"/>
              </w:rPr>
              <w:t>或签约代表人：</w:t>
            </w:r>
          </w:p>
        </w:tc>
      </w:tr>
    </w:tbl>
    <w:p w14:paraId="6A6BF19E">
      <w:pPr>
        <w:spacing w:line="560" w:lineRule="exact"/>
        <w:jc w:val="right"/>
        <w:rPr>
          <w:rFonts w:hint="eastAsia" w:ascii="宋体" w:hAnsi="宋体" w:cs="宋体"/>
          <w:sz w:val="28"/>
          <w:szCs w:val="28"/>
          <w:highlight w:val="none"/>
        </w:rPr>
      </w:pPr>
      <w:r>
        <w:rPr>
          <w:rFonts w:hint="eastAsia" w:ascii="宋体" w:hAnsi="宋体" w:cs="宋体"/>
          <w:sz w:val="28"/>
          <w:szCs w:val="28"/>
          <w:highlight w:val="none"/>
        </w:rPr>
        <w:t>签订日期：</w:t>
      </w:r>
      <w:r>
        <w:rPr>
          <w:rFonts w:hint="eastAsia" w:ascii="宋体" w:hAnsi="宋体" w:cs="宋体"/>
          <w:sz w:val="28"/>
          <w:szCs w:val="28"/>
          <w:highlight w:val="none"/>
        </w:rPr>
        <w:tab/>
      </w:r>
      <w:r>
        <w:rPr>
          <w:rFonts w:hint="eastAsia" w:ascii="宋体" w:hAnsi="宋体" w:cs="宋体"/>
          <w:sz w:val="28"/>
          <w:szCs w:val="28"/>
          <w:highlight w:val="none"/>
        </w:rPr>
        <w:t xml:space="preserve">   年   月   日</w:t>
      </w:r>
    </w:p>
    <w:p w14:paraId="4A21343B">
      <w:pPr>
        <w:spacing w:line="560" w:lineRule="exact"/>
        <w:rPr>
          <w:rFonts w:hint="eastAsia" w:ascii="宋体" w:hAnsi="宋体" w:cs="宋体"/>
          <w:color w:val="000000"/>
          <w:sz w:val="28"/>
          <w:szCs w:val="28"/>
          <w:highlight w:val="none"/>
        </w:rPr>
      </w:pPr>
      <w:r>
        <w:rPr>
          <w:rFonts w:hint="eastAsia" w:ascii="宋体" w:hAnsi="宋体" w:cs="宋体"/>
          <w:color w:val="000000"/>
          <w:sz w:val="28"/>
          <w:szCs w:val="28"/>
          <w:highlight w:val="none"/>
        </w:rPr>
        <w:br w:type="page"/>
      </w:r>
    </w:p>
    <w:p w14:paraId="76DDA29B">
      <w:pPr>
        <w:spacing w:line="500" w:lineRule="exact"/>
        <w:jc w:val="left"/>
        <w:rPr>
          <w:sz w:val="24"/>
          <w:highlight w:val="none"/>
        </w:rPr>
      </w:pPr>
      <w:r>
        <w:rPr>
          <w:rFonts w:hint="eastAsia"/>
          <w:sz w:val="24"/>
          <w:highlight w:val="none"/>
        </w:rPr>
        <w:t>附件3：</w:t>
      </w:r>
    </w:p>
    <w:p w14:paraId="2FB41915">
      <w:pPr>
        <w:spacing w:line="500" w:lineRule="exact"/>
        <w:jc w:val="center"/>
        <w:rPr>
          <w:b/>
          <w:sz w:val="44"/>
          <w:szCs w:val="44"/>
          <w:highlight w:val="none"/>
        </w:rPr>
      </w:pPr>
      <w:bookmarkStart w:id="0" w:name="bookmark2"/>
      <w:bookmarkStart w:id="1" w:name="bookmark1"/>
      <w:bookmarkStart w:id="2" w:name="bookmark0"/>
      <w:r>
        <w:rPr>
          <w:rFonts w:hint="eastAsia"/>
          <w:b/>
          <w:sz w:val="44"/>
          <w:szCs w:val="44"/>
          <w:highlight w:val="none"/>
        </w:rPr>
        <w:t>结算工作协议书</w:t>
      </w:r>
      <w:bookmarkEnd w:id="0"/>
      <w:bookmarkEnd w:id="1"/>
      <w:bookmarkEnd w:id="2"/>
    </w:p>
    <w:p w14:paraId="2B330F60">
      <w:pPr>
        <w:pStyle w:val="85"/>
        <w:spacing w:line="560" w:lineRule="exact"/>
        <w:ind w:firstLine="0"/>
        <w:rPr>
          <w:rFonts w:hint="eastAsia"/>
          <w:color w:val="000000"/>
          <w:sz w:val="28"/>
          <w:szCs w:val="28"/>
          <w:highlight w:val="none"/>
          <w:lang w:eastAsia="zh-CN"/>
        </w:rPr>
      </w:pPr>
    </w:p>
    <w:p w14:paraId="60E19A0F">
      <w:pPr>
        <w:pStyle w:val="7"/>
        <w:spacing w:line="560" w:lineRule="exact"/>
        <w:rPr>
          <w:rFonts w:hint="eastAsia" w:hAnsi="宋体" w:cs="宋体"/>
          <w:b/>
          <w:sz w:val="28"/>
          <w:szCs w:val="28"/>
          <w:highlight w:val="none"/>
          <w:u w:val="single"/>
        </w:rPr>
      </w:pPr>
      <w:r>
        <w:rPr>
          <w:rFonts w:hint="eastAsia" w:hAnsi="宋体" w:cs="宋体"/>
          <w:b/>
          <w:sz w:val="28"/>
          <w:szCs w:val="28"/>
          <w:highlight w:val="none"/>
        </w:rPr>
        <w:t>发包人（甲方）：</w:t>
      </w:r>
      <w:r>
        <w:rPr>
          <w:rFonts w:hint="eastAsia" w:hAnsi="宋体" w:cs="宋体"/>
          <w:kern w:val="2"/>
          <w:sz w:val="28"/>
          <w:szCs w:val="28"/>
          <w:highlight w:val="none"/>
          <w:u w:val="single"/>
        </w:rPr>
        <w:t>广州市花都区教育局</w:t>
      </w:r>
    </w:p>
    <w:p w14:paraId="49E01687">
      <w:pPr>
        <w:spacing w:line="560" w:lineRule="exact"/>
        <w:ind w:right="-178" w:rightChars="-85"/>
        <w:rPr>
          <w:rFonts w:hint="eastAsia" w:ascii="宋体" w:hAnsi="宋体" w:cs="宋体"/>
          <w:sz w:val="28"/>
          <w:szCs w:val="28"/>
          <w:highlight w:val="none"/>
          <w:u w:val="single"/>
          <w:shd w:val="pct10" w:color="auto" w:fill="FFFFFF"/>
        </w:rPr>
      </w:pPr>
      <w:r>
        <w:rPr>
          <w:rFonts w:hint="eastAsia" w:ascii="宋体" w:hAnsi="宋体" w:cs="宋体"/>
          <w:b/>
          <w:sz w:val="28"/>
          <w:szCs w:val="28"/>
          <w:highlight w:val="none"/>
        </w:rPr>
        <w:t>承包人（乙方）：</w:t>
      </w:r>
    </w:p>
    <w:p w14:paraId="34CD1428">
      <w:pPr>
        <w:pStyle w:val="85"/>
        <w:spacing w:line="560" w:lineRule="exact"/>
        <w:rPr>
          <w:rFonts w:hint="eastAsia"/>
          <w:color w:val="000000"/>
          <w:sz w:val="28"/>
          <w:szCs w:val="28"/>
          <w:highlight w:val="none"/>
        </w:rPr>
      </w:pPr>
    </w:p>
    <w:p w14:paraId="3A8B1793">
      <w:pPr>
        <w:pStyle w:val="85"/>
        <w:spacing w:line="560" w:lineRule="exact"/>
        <w:rPr>
          <w:rFonts w:hint="eastAsia"/>
          <w:sz w:val="28"/>
          <w:szCs w:val="28"/>
          <w:highlight w:val="none"/>
        </w:rPr>
      </w:pPr>
      <w:r>
        <w:rPr>
          <w:rFonts w:hint="eastAsia"/>
          <w:color w:val="000000"/>
          <w:sz w:val="28"/>
          <w:szCs w:val="28"/>
          <w:highlight w:val="none"/>
        </w:rPr>
        <w:t>为及时做好</w:t>
      </w:r>
      <w:r>
        <w:rPr>
          <w:rFonts w:hint="eastAsia"/>
          <w:sz w:val="28"/>
          <w:szCs w:val="28"/>
          <w:highlight w:val="none"/>
          <w:u w:val="single"/>
          <w:lang w:val="en-US" w:eastAsia="zh-CN"/>
        </w:rPr>
        <w:t>花都区职业技术学校综合实训楼项目检验检测监测</w:t>
      </w:r>
      <w:r>
        <w:rPr>
          <w:rFonts w:hint="eastAsia"/>
          <w:color w:val="000000"/>
          <w:sz w:val="28"/>
          <w:szCs w:val="28"/>
          <w:highlight w:val="none"/>
        </w:rPr>
        <w:t>结算工作，</w:t>
      </w:r>
      <w:r>
        <w:rPr>
          <w:rFonts w:hint="eastAsia"/>
          <w:color w:val="000000"/>
          <w:sz w:val="28"/>
          <w:szCs w:val="28"/>
          <w:highlight w:val="none"/>
          <w:lang w:eastAsia="zh-CN"/>
        </w:rPr>
        <w:t>甲方</w:t>
      </w:r>
      <w:r>
        <w:rPr>
          <w:rFonts w:hint="eastAsia"/>
          <w:color w:val="000000"/>
          <w:sz w:val="28"/>
          <w:szCs w:val="28"/>
          <w:highlight w:val="none"/>
        </w:rPr>
        <w:t>、</w:t>
      </w:r>
      <w:r>
        <w:rPr>
          <w:rFonts w:hint="eastAsia"/>
          <w:color w:val="000000"/>
          <w:sz w:val="28"/>
          <w:szCs w:val="28"/>
          <w:highlight w:val="none"/>
          <w:lang w:eastAsia="zh-CN"/>
        </w:rPr>
        <w:t>乙方</w:t>
      </w:r>
      <w:r>
        <w:rPr>
          <w:rFonts w:hint="eastAsia"/>
          <w:color w:val="000000"/>
          <w:sz w:val="28"/>
          <w:szCs w:val="28"/>
          <w:highlight w:val="none"/>
        </w:rPr>
        <w:t>双方经协商一致，签订本工作协议书，资双方共同遵照执行。</w:t>
      </w:r>
    </w:p>
    <w:p w14:paraId="05144277">
      <w:pPr>
        <w:pStyle w:val="85"/>
        <w:tabs>
          <w:tab w:val="left" w:pos="784"/>
        </w:tabs>
        <w:spacing w:line="560" w:lineRule="exact"/>
        <w:rPr>
          <w:rFonts w:hint="eastAsia"/>
          <w:sz w:val="28"/>
          <w:szCs w:val="28"/>
          <w:highlight w:val="none"/>
        </w:rPr>
      </w:pPr>
      <w:bookmarkStart w:id="3" w:name="bookmark3"/>
      <w:r>
        <w:rPr>
          <w:rFonts w:hint="eastAsia"/>
          <w:color w:val="000000"/>
          <w:sz w:val="28"/>
          <w:szCs w:val="28"/>
          <w:highlight w:val="none"/>
        </w:rPr>
        <w:t>1</w:t>
      </w:r>
      <w:bookmarkEnd w:id="3"/>
      <w:r>
        <w:rPr>
          <w:rFonts w:hint="eastAsia"/>
          <w:color w:val="000000"/>
          <w:sz w:val="28"/>
          <w:szCs w:val="28"/>
          <w:highlight w:val="none"/>
        </w:rPr>
        <w:t>、</w:t>
      </w:r>
      <w:r>
        <w:rPr>
          <w:rFonts w:hint="eastAsia"/>
          <w:color w:val="000000"/>
          <w:sz w:val="28"/>
          <w:szCs w:val="28"/>
          <w:highlight w:val="none"/>
        </w:rPr>
        <w:tab/>
      </w:r>
      <w:r>
        <w:rPr>
          <w:rFonts w:hint="eastAsia"/>
          <w:sz w:val="28"/>
          <w:szCs w:val="28"/>
          <w:highlight w:val="none"/>
          <w:u w:val="single"/>
          <w:lang w:val="en-US" w:eastAsia="zh-CN"/>
        </w:rPr>
        <w:t>检验检测监测</w:t>
      </w:r>
      <w:r>
        <w:rPr>
          <w:rFonts w:hint="eastAsia"/>
          <w:color w:val="000000"/>
          <w:sz w:val="28"/>
          <w:szCs w:val="28"/>
          <w:highlight w:val="none"/>
        </w:rPr>
        <w:t>结算报告的提交及审定</w:t>
      </w:r>
    </w:p>
    <w:p w14:paraId="75467D75">
      <w:pPr>
        <w:pStyle w:val="85"/>
        <w:numPr>
          <w:ilvl w:val="0"/>
          <w:numId w:val="3"/>
        </w:numPr>
        <w:tabs>
          <w:tab w:val="left" w:pos="956"/>
        </w:tabs>
        <w:spacing w:line="560" w:lineRule="exact"/>
        <w:ind w:firstLine="500"/>
        <w:rPr>
          <w:rFonts w:hint="eastAsia"/>
          <w:sz w:val="28"/>
          <w:szCs w:val="28"/>
          <w:highlight w:val="none"/>
        </w:rPr>
      </w:pPr>
      <w:bookmarkStart w:id="4" w:name="bookmark4"/>
      <w:bookmarkEnd w:id="4"/>
      <w:r>
        <w:rPr>
          <w:rFonts w:hint="eastAsia"/>
          <w:color w:val="000000"/>
          <w:sz w:val="28"/>
          <w:szCs w:val="28"/>
          <w:highlight w:val="none"/>
          <w:lang w:eastAsia="zh-CN"/>
        </w:rPr>
        <w:t>乙方</w:t>
      </w:r>
      <w:r>
        <w:rPr>
          <w:rFonts w:hint="eastAsia"/>
          <w:color w:val="000000"/>
          <w:sz w:val="28"/>
          <w:szCs w:val="28"/>
          <w:highlight w:val="none"/>
        </w:rPr>
        <w:t>应按</w:t>
      </w:r>
      <w:r>
        <w:rPr>
          <w:rFonts w:hint="eastAsia"/>
          <w:color w:val="000000"/>
          <w:sz w:val="28"/>
          <w:szCs w:val="28"/>
          <w:highlight w:val="none"/>
          <w:lang w:eastAsia="zh-CN"/>
        </w:rPr>
        <w:t>甲方</w:t>
      </w:r>
      <w:r>
        <w:rPr>
          <w:rFonts w:hint="eastAsia"/>
          <w:color w:val="000000"/>
          <w:sz w:val="28"/>
          <w:szCs w:val="28"/>
          <w:highlight w:val="none"/>
        </w:rPr>
        <w:t>的要求和本项目</w:t>
      </w:r>
      <w:r>
        <w:rPr>
          <w:rFonts w:hint="eastAsia"/>
          <w:sz w:val="28"/>
          <w:szCs w:val="28"/>
          <w:highlight w:val="none"/>
          <w:u w:val="single"/>
          <w:lang w:val="en-US" w:eastAsia="zh-CN"/>
        </w:rPr>
        <w:t>检验检测监测</w:t>
      </w:r>
      <w:r>
        <w:rPr>
          <w:rFonts w:hint="eastAsia"/>
          <w:color w:val="000000"/>
          <w:sz w:val="28"/>
          <w:szCs w:val="28"/>
          <w:highlight w:val="none"/>
        </w:rPr>
        <w:t>结算工作的需要派出不少于</w:t>
      </w:r>
      <w:r>
        <w:rPr>
          <w:rFonts w:hint="eastAsia"/>
          <w:color w:val="000000"/>
          <w:sz w:val="28"/>
          <w:szCs w:val="28"/>
          <w:highlight w:val="none"/>
          <w:lang w:val="en-US" w:eastAsia="zh-CN"/>
        </w:rPr>
        <w:t xml:space="preserve"> </w:t>
      </w:r>
      <w:r>
        <w:rPr>
          <w:rFonts w:hint="eastAsia"/>
          <w:color w:val="000000"/>
          <w:sz w:val="28"/>
          <w:szCs w:val="28"/>
          <w:highlight w:val="none"/>
        </w:rPr>
        <w:t>名工程结算人员，在</w:t>
      </w:r>
      <w:r>
        <w:rPr>
          <w:rFonts w:hint="eastAsia"/>
          <w:color w:val="000000"/>
          <w:sz w:val="28"/>
          <w:szCs w:val="28"/>
          <w:highlight w:val="none"/>
          <w:lang w:val="en-US" w:eastAsia="zh-CN"/>
        </w:rPr>
        <w:t>甲方书面通知要求期限内</w:t>
      </w:r>
      <w:r>
        <w:rPr>
          <w:rFonts w:hint="eastAsia"/>
          <w:color w:val="000000"/>
          <w:sz w:val="28"/>
          <w:szCs w:val="28"/>
          <w:highlight w:val="none"/>
        </w:rPr>
        <w:t>必须保证在工地现场办公，专门从事</w:t>
      </w:r>
      <w:r>
        <w:rPr>
          <w:rFonts w:hint="eastAsia"/>
          <w:sz w:val="28"/>
          <w:szCs w:val="28"/>
          <w:highlight w:val="none"/>
          <w:u w:val="single"/>
          <w:lang w:val="en-US" w:eastAsia="zh-CN"/>
        </w:rPr>
        <w:t>检验检测监测</w:t>
      </w:r>
      <w:r>
        <w:rPr>
          <w:rFonts w:hint="eastAsia"/>
          <w:color w:val="000000"/>
          <w:sz w:val="28"/>
          <w:szCs w:val="28"/>
          <w:highlight w:val="none"/>
        </w:rPr>
        <w:t>竣工档案编制、工程结算工作。</w:t>
      </w:r>
    </w:p>
    <w:p w14:paraId="2C47F47B">
      <w:pPr>
        <w:pStyle w:val="85"/>
        <w:numPr>
          <w:ilvl w:val="0"/>
          <w:numId w:val="3"/>
        </w:numPr>
        <w:tabs>
          <w:tab w:val="left" w:pos="961"/>
        </w:tabs>
        <w:spacing w:line="560" w:lineRule="exact"/>
        <w:ind w:firstLine="500"/>
        <w:rPr>
          <w:rFonts w:hint="eastAsia"/>
          <w:sz w:val="28"/>
          <w:szCs w:val="28"/>
          <w:highlight w:val="none"/>
        </w:rPr>
      </w:pPr>
      <w:bookmarkStart w:id="5" w:name="bookmark5"/>
      <w:bookmarkEnd w:id="5"/>
      <w:r>
        <w:rPr>
          <w:rFonts w:hint="eastAsia"/>
          <w:color w:val="000000"/>
          <w:sz w:val="28"/>
          <w:szCs w:val="28"/>
          <w:highlight w:val="none"/>
          <w:lang w:eastAsia="zh-CN"/>
        </w:rPr>
        <w:t>乙方</w:t>
      </w:r>
      <w:r>
        <w:rPr>
          <w:rFonts w:hint="eastAsia"/>
          <w:color w:val="000000"/>
          <w:sz w:val="28"/>
          <w:szCs w:val="28"/>
          <w:highlight w:val="none"/>
        </w:rPr>
        <w:t>应按要求编制</w:t>
      </w:r>
      <w:r>
        <w:rPr>
          <w:rFonts w:hint="eastAsia"/>
          <w:sz w:val="28"/>
          <w:szCs w:val="28"/>
          <w:highlight w:val="none"/>
          <w:u w:val="single"/>
          <w:lang w:val="en-US" w:eastAsia="zh-CN"/>
        </w:rPr>
        <w:t>检验检测监测</w:t>
      </w:r>
      <w:r>
        <w:rPr>
          <w:rFonts w:hint="eastAsia"/>
          <w:color w:val="000000"/>
          <w:sz w:val="28"/>
          <w:szCs w:val="28"/>
          <w:highlight w:val="none"/>
        </w:rPr>
        <w:t>结算基础资料，并在</w:t>
      </w:r>
      <w:r>
        <w:rPr>
          <w:rFonts w:hint="eastAsia"/>
          <w:color w:val="000000"/>
          <w:sz w:val="28"/>
          <w:szCs w:val="28"/>
          <w:highlight w:val="none"/>
          <w:lang w:val="en-US" w:eastAsia="zh-CN"/>
        </w:rPr>
        <w:t>甲方书面通知要求期限内</w:t>
      </w:r>
      <w:r>
        <w:rPr>
          <w:rFonts w:hint="eastAsia"/>
          <w:color w:val="000000"/>
          <w:sz w:val="28"/>
          <w:szCs w:val="28"/>
          <w:highlight w:val="none"/>
        </w:rPr>
        <w:t>向</w:t>
      </w:r>
      <w:r>
        <w:rPr>
          <w:rFonts w:hint="eastAsia"/>
          <w:color w:val="000000"/>
          <w:sz w:val="28"/>
          <w:szCs w:val="28"/>
          <w:highlight w:val="none"/>
          <w:lang w:eastAsia="zh-CN"/>
        </w:rPr>
        <w:t>甲方</w:t>
      </w:r>
      <w:r>
        <w:rPr>
          <w:rFonts w:hint="eastAsia"/>
          <w:color w:val="000000"/>
          <w:sz w:val="28"/>
          <w:szCs w:val="28"/>
          <w:highlight w:val="none"/>
        </w:rPr>
        <w:t>提交符合要求的全部竣工结算资料。如因</w:t>
      </w:r>
      <w:r>
        <w:rPr>
          <w:rFonts w:hint="eastAsia"/>
          <w:color w:val="000000"/>
          <w:sz w:val="28"/>
          <w:szCs w:val="28"/>
          <w:highlight w:val="none"/>
          <w:lang w:eastAsia="zh-CN"/>
        </w:rPr>
        <w:t>乙方</w:t>
      </w:r>
      <w:r>
        <w:rPr>
          <w:rFonts w:hint="eastAsia"/>
          <w:color w:val="000000"/>
          <w:sz w:val="28"/>
          <w:szCs w:val="28"/>
          <w:highlight w:val="none"/>
        </w:rPr>
        <w:t>原因，无法及时提交</w:t>
      </w:r>
      <w:r>
        <w:rPr>
          <w:rFonts w:hint="eastAsia"/>
          <w:sz w:val="28"/>
          <w:szCs w:val="28"/>
          <w:highlight w:val="none"/>
          <w:u w:val="single"/>
          <w:lang w:val="en-US" w:eastAsia="zh-CN"/>
        </w:rPr>
        <w:t>检验检测监测</w:t>
      </w:r>
      <w:r>
        <w:rPr>
          <w:rFonts w:hint="eastAsia"/>
          <w:color w:val="000000"/>
          <w:sz w:val="28"/>
          <w:szCs w:val="28"/>
          <w:highlight w:val="none"/>
        </w:rPr>
        <w:t>结算资料，导致本项目</w:t>
      </w:r>
      <w:r>
        <w:rPr>
          <w:rFonts w:hint="eastAsia"/>
          <w:sz w:val="28"/>
          <w:szCs w:val="28"/>
          <w:highlight w:val="none"/>
          <w:u w:val="single"/>
          <w:lang w:val="en-US" w:eastAsia="zh-CN"/>
        </w:rPr>
        <w:t>检验检测监测</w:t>
      </w:r>
      <w:r>
        <w:rPr>
          <w:rFonts w:hint="eastAsia"/>
          <w:color w:val="000000"/>
          <w:sz w:val="28"/>
          <w:szCs w:val="28"/>
          <w:highlight w:val="none"/>
        </w:rPr>
        <w:t>不能正常办理结算工作的，</w:t>
      </w:r>
      <w:r>
        <w:rPr>
          <w:rFonts w:hint="eastAsia"/>
          <w:color w:val="000000"/>
          <w:sz w:val="28"/>
          <w:szCs w:val="28"/>
          <w:highlight w:val="none"/>
          <w:lang w:eastAsia="zh-CN"/>
        </w:rPr>
        <w:t>甲方</w:t>
      </w:r>
      <w:r>
        <w:rPr>
          <w:rFonts w:hint="eastAsia"/>
          <w:color w:val="000000"/>
          <w:sz w:val="28"/>
          <w:szCs w:val="28"/>
          <w:highlight w:val="none"/>
        </w:rPr>
        <w:t>有权根据《广东省建设工程造价管理规定》(广东省人民政府令第205号)第二十一条相关约定办理。</w:t>
      </w:r>
    </w:p>
    <w:p w14:paraId="5F7AD9A4">
      <w:pPr>
        <w:pStyle w:val="85"/>
        <w:numPr>
          <w:ilvl w:val="0"/>
          <w:numId w:val="3"/>
        </w:numPr>
        <w:tabs>
          <w:tab w:val="left" w:pos="951"/>
        </w:tabs>
        <w:spacing w:line="560" w:lineRule="exact"/>
        <w:ind w:firstLine="500"/>
        <w:rPr>
          <w:rFonts w:hint="eastAsia"/>
          <w:sz w:val="28"/>
          <w:szCs w:val="28"/>
          <w:highlight w:val="none"/>
        </w:rPr>
      </w:pPr>
      <w:bookmarkStart w:id="6" w:name="bookmark6"/>
      <w:bookmarkEnd w:id="6"/>
      <w:r>
        <w:rPr>
          <w:rFonts w:hint="eastAsia"/>
          <w:color w:val="000000"/>
          <w:sz w:val="28"/>
          <w:szCs w:val="28"/>
          <w:highlight w:val="none"/>
        </w:rPr>
        <w:t>本项目合同正常结算工作以截止在</w:t>
      </w:r>
      <w:r>
        <w:rPr>
          <w:rFonts w:hint="eastAsia"/>
          <w:color w:val="000000"/>
          <w:sz w:val="28"/>
          <w:szCs w:val="28"/>
          <w:highlight w:val="none"/>
          <w:lang w:val="en-US" w:eastAsia="zh-CN"/>
        </w:rPr>
        <w:t>甲方书面通知要求期限内</w:t>
      </w:r>
      <w:r>
        <w:rPr>
          <w:rFonts w:hint="eastAsia"/>
          <w:color w:val="000000"/>
          <w:sz w:val="28"/>
          <w:szCs w:val="28"/>
          <w:highlight w:val="none"/>
        </w:rPr>
        <w:t>前上报的</w:t>
      </w:r>
      <w:r>
        <w:rPr>
          <w:rFonts w:hint="eastAsia"/>
          <w:sz w:val="28"/>
          <w:szCs w:val="28"/>
          <w:highlight w:val="none"/>
          <w:u w:val="single"/>
          <w:lang w:val="en-US" w:eastAsia="zh-CN"/>
        </w:rPr>
        <w:t>检验检测监测</w:t>
      </w:r>
      <w:r>
        <w:rPr>
          <w:rFonts w:hint="eastAsia"/>
          <w:color w:val="000000"/>
          <w:sz w:val="28"/>
          <w:szCs w:val="28"/>
          <w:highlight w:val="none"/>
        </w:rPr>
        <w:t>结算资料为基础进行，</w:t>
      </w:r>
      <w:r>
        <w:rPr>
          <w:rFonts w:hint="eastAsia"/>
          <w:color w:val="000000"/>
          <w:sz w:val="28"/>
          <w:szCs w:val="28"/>
          <w:highlight w:val="none"/>
          <w:lang w:eastAsia="zh-CN"/>
        </w:rPr>
        <w:t>乙方</w:t>
      </w:r>
      <w:r>
        <w:rPr>
          <w:rFonts w:hint="eastAsia"/>
          <w:color w:val="000000"/>
          <w:sz w:val="28"/>
          <w:szCs w:val="28"/>
          <w:highlight w:val="none"/>
        </w:rPr>
        <w:t>应积极配合</w:t>
      </w:r>
      <w:r>
        <w:rPr>
          <w:rFonts w:hint="eastAsia"/>
          <w:color w:val="000000"/>
          <w:sz w:val="28"/>
          <w:szCs w:val="28"/>
          <w:highlight w:val="none"/>
          <w:lang w:eastAsia="zh-CN"/>
        </w:rPr>
        <w:t>甲方</w:t>
      </w:r>
      <w:r>
        <w:rPr>
          <w:rFonts w:hint="eastAsia"/>
          <w:color w:val="000000"/>
          <w:sz w:val="28"/>
          <w:szCs w:val="28"/>
          <w:highlight w:val="none"/>
        </w:rPr>
        <w:t>，协助政府上级主管部门，完成上报</w:t>
      </w:r>
      <w:r>
        <w:rPr>
          <w:rFonts w:hint="eastAsia"/>
          <w:color w:val="000000"/>
          <w:sz w:val="28"/>
          <w:szCs w:val="28"/>
          <w:highlight w:val="none"/>
          <w:lang w:val="en-US" w:eastAsia="zh-CN"/>
        </w:rPr>
        <w:t>检验检测监测</w:t>
      </w:r>
      <w:r>
        <w:rPr>
          <w:rFonts w:hint="eastAsia"/>
          <w:color w:val="000000"/>
          <w:sz w:val="28"/>
          <w:szCs w:val="28"/>
          <w:highlight w:val="none"/>
        </w:rPr>
        <w:t>结算书的审定工作。</w:t>
      </w:r>
    </w:p>
    <w:p w14:paraId="06FC42F2">
      <w:pPr>
        <w:pStyle w:val="85"/>
        <w:numPr>
          <w:ilvl w:val="0"/>
          <w:numId w:val="3"/>
        </w:numPr>
        <w:tabs>
          <w:tab w:val="left" w:pos="956"/>
        </w:tabs>
        <w:spacing w:line="560" w:lineRule="exact"/>
        <w:ind w:firstLine="500"/>
        <w:rPr>
          <w:rFonts w:hint="eastAsia"/>
          <w:sz w:val="28"/>
          <w:szCs w:val="28"/>
          <w:highlight w:val="none"/>
        </w:rPr>
      </w:pPr>
      <w:bookmarkStart w:id="7" w:name="bookmark7"/>
      <w:bookmarkEnd w:id="7"/>
      <w:r>
        <w:rPr>
          <w:rFonts w:hint="eastAsia"/>
          <w:color w:val="000000"/>
          <w:sz w:val="28"/>
          <w:szCs w:val="28"/>
          <w:highlight w:val="none"/>
          <w:lang w:eastAsia="zh-CN"/>
        </w:rPr>
        <w:t>甲方</w:t>
      </w:r>
      <w:r>
        <w:rPr>
          <w:rFonts w:hint="eastAsia"/>
          <w:color w:val="000000"/>
          <w:sz w:val="28"/>
          <w:szCs w:val="28"/>
          <w:highlight w:val="none"/>
        </w:rPr>
        <w:t>在收到</w:t>
      </w:r>
      <w:r>
        <w:rPr>
          <w:rFonts w:hint="eastAsia"/>
          <w:color w:val="000000"/>
          <w:sz w:val="28"/>
          <w:szCs w:val="28"/>
          <w:highlight w:val="none"/>
          <w:lang w:eastAsia="zh-CN"/>
        </w:rPr>
        <w:t>乙方</w:t>
      </w:r>
      <w:r>
        <w:rPr>
          <w:rFonts w:hint="eastAsia"/>
          <w:color w:val="000000"/>
          <w:sz w:val="28"/>
          <w:szCs w:val="28"/>
          <w:highlight w:val="none"/>
        </w:rPr>
        <w:t>提交的手续齐备的</w:t>
      </w:r>
      <w:r>
        <w:rPr>
          <w:rFonts w:hint="eastAsia"/>
          <w:sz w:val="28"/>
          <w:szCs w:val="28"/>
          <w:highlight w:val="none"/>
          <w:u w:val="single"/>
          <w:lang w:val="en-US" w:eastAsia="zh-CN"/>
        </w:rPr>
        <w:t>检验检测监测</w:t>
      </w:r>
      <w:r>
        <w:rPr>
          <w:rFonts w:hint="eastAsia"/>
          <w:color w:val="000000"/>
          <w:sz w:val="28"/>
          <w:szCs w:val="28"/>
          <w:highlight w:val="none"/>
        </w:rPr>
        <w:t>结算资料后，应组织有关单位</w:t>
      </w:r>
      <w:r>
        <w:rPr>
          <w:rFonts w:hint="eastAsia"/>
          <w:color w:val="000000"/>
          <w:sz w:val="28"/>
          <w:szCs w:val="28"/>
          <w:highlight w:val="none"/>
          <w:lang w:val="en-US" w:eastAsia="zh-CN"/>
        </w:rPr>
        <w:t>进行</w:t>
      </w:r>
      <w:r>
        <w:rPr>
          <w:rFonts w:hint="eastAsia"/>
          <w:color w:val="000000"/>
          <w:sz w:val="28"/>
          <w:szCs w:val="28"/>
          <w:highlight w:val="none"/>
        </w:rPr>
        <w:t>审核，及时报送上级部门审批。</w:t>
      </w:r>
    </w:p>
    <w:p w14:paraId="16A0F3A4">
      <w:pPr>
        <w:pStyle w:val="85"/>
        <w:numPr>
          <w:ilvl w:val="0"/>
          <w:numId w:val="3"/>
        </w:numPr>
        <w:tabs>
          <w:tab w:val="left" w:pos="956"/>
        </w:tabs>
        <w:spacing w:line="560" w:lineRule="exact"/>
        <w:ind w:firstLine="500"/>
        <w:rPr>
          <w:rFonts w:hint="eastAsia"/>
          <w:sz w:val="28"/>
          <w:szCs w:val="28"/>
          <w:highlight w:val="none"/>
        </w:rPr>
      </w:pPr>
      <w:r>
        <w:rPr>
          <w:rFonts w:hint="eastAsia"/>
          <w:color w:val="000000"/>
          <w:sz w:val="28"/>
          <w:szCs w:val="28"/>
          <w:highlight w:val="none"/>
          <w:lang w:eastAsia="zh-CN"/>
        </w:rPr>
        <w:t>乙方</w:t>
      </w:r>
      <w:r>
        <w:rPr>
          <w:rFonts w:hint="eastAsia"/>
          <w:color w:val="000000"/>
          <w:sz w:val="28"/>
          <w:szCs w:val="28"/>
          <w:highlight w:val="none"/>
        </w:rPr>
        <w:t>能在</w:t>
      </w:r>
      <w:r>
        <w:rPr>
          <w:rFonts w:hint="eastAsia"/>
          <w:color w:val="000000"/>
          <w:sz w:val="28"/>
          <w:szCs w:val="28"/>
          <w:highlight w:val="none"/>
          <w:lang w:val="en-US" w:eastAsia="zh-CN"/>
        </w:rPr>
        <w:t>甲方书面通知要求期限内</w:t>
      </w:r>
      <w:r>
        <w:rPr>
          <w:rFonts w:hint="eastAsia"/>
          <w:color w:val="000000"/>
          <w:sz w:val="28"/>
          <w:szCs w:val="28"/>
          <w:highlight w:val="none"/>
        </w:rPr>
        <w:t>前上报且符合要求的</w:t>
      </w:r>
      <w:r>
        <w:rPr>
          <w:rFonts w:hint="eastAsia"/>
          <w:sz w:val="28"/>
          <w:szCs w:val="28"/>
          <w:highlight w:val="none"/>
          <w:u w:val="single"/>
          <w:lang w:val="en-US" w:eastAsia="zh-CN"/>
        </w:rPr>
        <w:t>检验检测监测</w:t>
      </w:r>
      <w:r>
        <w:rPr>
          <w:rFonts w:hint="eastAsia"/>
          <w:color w:val="000000"/>
          <w:sz w:val="28"/>
          <w:szCs w:val="28"/>
          <w:highlight w:val="none"/>
        </w:rPr>
        <w:t>结算资料，由</w:t>
      </w:r>
      <w:r>
        <w:rPr>
          <w:rFonts w:hint="eastAsia"/>
          <w:color w:val="000000"/>
          <w:sz w:val="28"/>
          <w:szCs w:val="28"/>
          <w:highlight w:val="none"/>
          <w:lang w:eastAsia="zh-CN"/>
        </w:rPr>
        <w:t>甲方</w:t>
      </w:r>
      <w:r>
        <w:rPr>
          <w:rFonts w:hint="eastAsia"/>
          <w:color w:val="000000"/>
          <w:sz w:val="28"/>
          <w:szCs w:val="28"/>
          <w:highlight w:val="none"/>
        </w:rPr>
        <w:t>作为本项目合同的善后处理工作组织审核审定。</w:t>
      </w:r>
    </w:p>
    <w:p w14:paraId="37AF971F">
      <w:pPr>
        <w:pStyle w:val="85"/>
        <w:spacing w:line="560" w:lineRule="exact"/>
        <w:ind w:firstLine="500"/>
        <w:rPr>
          <w:rFonts w:hint="eastAsia"/>
          <w:color w:val="000000"/>
          <w:sz w:val="28"/>
          <w:szCs w:val="28"/>
          <w:highlight w:val="none"/>
        </w:rPr>
      </w:pPr>
      <w:r>
        <w:rPr>
          <w:rFonts w:hint="eastAsia"/>
          <w:color w:val="000000"/>
          <w:sz w:val="28"/>
          <w:szCs w:val="28"/>
          <w:highlight w:val="none"/>
        </w:rPr>
        <w:t>(6)</w:t>
      </w:r>
      <w:r>
        <w:rPr>
          <w:rFonts w:hint="eastAsia"/>
          <w:color w:val="000000"/>
          <w:sz w:val="28"/>
          <w:szCs w:val="28"/>
          <w:highlight w:val="none"/>
          <w:lang w:val="en-US" w:eastAsia="zh-CN"/>
        </w:rPr>
        <w:t>乙方在甲方书面通知要求期限内</w:t>
      </w:r>
      <w:r>
        <w:rPr>
          <w:rFonts w:hint="eastAsia"/>
          <w:color w:val="000000"/>
          <w:sz w:val="28"/>
          <w:szCs w:val="28"/>
          <w:highlight w:val="none"/>
        </w:rPr>
        <w:t>未报送的本项目</w:t>
      </w:r>
      <w:r>
        <w:rPr>
          <w:rFonts w:hint="eastAsia"/>
          <w:sz w:val="28"/>
          <w:szCs w:val="28"/>
          <w:highlight w:val="none"/>
          <w:u w:val="single"/>
          <w:lang w:val="en-US" w:eastAsia="zh-CN"/>
        </w:rPr>
        <w:t>检验检测监测</w:t>
      </w:r>
      <w:r>
        <w:rPr>
          <w:rFonts w:hint="eastAsia"/>
          <w:color w:val="000000"/>
          <w:sz w:val="28"/>
          <w:szCs w:val="28"/>
          <w:highlight w:val="none"/>
        </w:rPr>
        <w:t>结算资料，视为已全部报出，</w:t>
      </w:r>
      <w:r>
        <w:rPr>
          <w:rFonts w:hint="eastAsia"/>
          <w:color w:val="000000"/>
          <w:sz w:val="28"/>
          <w:szCs w:val="28"/>
          <w:highlight w:val="none"/>
          <w:lang w:eastAsia="zh-CN"/>
        </w:rPr>
        <w:t>甲方</w:t>
      </w:r>
      <w:r>
        <w:rPr>
          <w:rFonts w:hint="eastAsia"/>
          <w:color w:val="000000"/>
          <w:sz w:val="28"/>
          <w:szCs w:val="28"/>
          <w:highlight w:val="none"/>
        </w:rPr>
        <w:t>不再受理任何本项目</w:t>
      </w:r>
      <w:r>
        <w:rPr>
          <w:rFonts w:hint="eastAsia"/>
          <w:sz w:val="28"/>
          <w:szCs w:val="28"/>
          <w:highlight w:val="none"/>
          <w:u w:val="single"/>
          <w:lang w:val="en-US" w:eastAsia="zh-CN"/>
        </w:rPr>
        <w:t>检验检测监测</w:t>
      </w:r>
      <w:r>
        <w:rPr>
          <w:rFonts w:hint="eastAsia"/>
          <w:color w:val="000000"/>
          <w:sz w:val="28"/>
          <w:szCs w:val="28"/>
          <w:highlight w:val="none"/>
        </w:rPr>
        <w:t>结算资料。</w:t>
      </w:r>
    </w:p>
    <w:p w14:paraId="6645511B">
      <w:pPr>
        <w:pStyle w:val="85"/>
        <w:spacing w:line="560" w:lineRule="exact"/>
        <w:ind w:firstLine="500"/>
        <w:rPr>
          <w:rFonts w:hint="eastAsia"/>
          <w:sz w:val="28"/>
          <w:szCs w:val="28"/>
          <w:highlight w:val="none"/>
        </w:rPr>
      </w:pPr>
      <w:r>
        <w:rPr>
          <w:rFonts w:hint="eastAsia"/>
          <w:color w:val="000000"/>
          <w:sz w:val="28"/>
          <w:szCs w:val="28"/>
          <w:highlight w:val="none"/>
        </w:rPr>
        <w:t>(7)</w:t>
      </w:r>
      <w:r>
        <w:rPr>
          <w:rFonts w:hint="eastAsia"/>
          <w:color w:val="000000"/>
          <w:sz w:val="28"/>
          <w:szCs w:val="28"/>
          <w:highlight w:val="none"/>
          <w:lang w:eastAsia="zh-CN"/>
        </w:rPr>
        <w:t>乙方</w:t>
      </w:r>
      <w:r>
        <w:rPr>
          <w:rFonts w:hint="eastAsia"/>
          <w:color w:val="000000"/>
          <w:sz w:val="28"/>
          <w:szCs w:val="28"/>
          <w:highlight w:val="none"/>
        </w:rPr>
        <w:t>应按</w:t>
      </w:r>
      <w:r>
        <w:rPr>
          <w:rFonts w:hint="eastAsia"/>
          <w:color w:val="000000"/>
          <w:sz w:val="28"/>
          <w:szCs w:val="28"/>
          <w:highlight w:val="none"/>
          <w:lang w:eastAsia="zh-CN"/>
        </w:rPr>
        <w:t>甲方</w:t>
      </w:r>
      <w:r>
        <w:rPr>
          <w:rFonts w:hint="eastAsia"/>
          <w:color w:val="000000"/>
          <w:sz w:val="28"/>
          <w:szCs w:val="28"/>
          <w:highlight w:val="none"/>
        </w:rPr>
        <w:t>的要求及时派出足够的工程结算管理人员与</w:t>
      </w:r>
      <w:r>
        <w:rPr>
          <w:rFonts w:hint="eastAsia"/>
          <w:color w:val="000000"/>
          <w:sz w:val="28"/>
          <w:szCs w:val="28"/>
          <w:highlight w:val="none"/>
          <w:lang w:eastAsia="zh-CN"/>
        </w:rPr>
        <w:t>甲方</w:t>
      </w:r>
      <w:r>
        <w:rPr>
          <w:rFonts w:hint="eastAsia"/>
          <w:color w:val="000000"/>
          <w:sz w:val="28"/>
          <w:szCs w:val="28"/>
          <w:highlight w:val="none"/>
        </w:rPr>
        <w:t>派出的工程结算管理人员一起组成工程结算管理小组，并由</w:t>
      </w:r>
      <w:r>
        <w:rPr>
          <w:rFonts w:hint="eastAsia"/>
          <w:color w:val="000000"/>
          <w:sz w:val="28"/>
          <w:szCs w:val="28"/>
          <w:highlight w:val="none"/>
          <w:lang w:eastAsia="zh-CN"/>
        </w:rPr>
        <w:t>乙方</w:t>
      </w:r>
      <w:r>
        <w:rPr>
          <w:rFonts w:hint="eastAsia"/>
          <w:color w:val="000000"/>
          <w:sz w:val="28"/>
          <w:szCs w:val="28"/>
          <w:highlight w:val="none"/>
        </w:rPr>
        <w:t>负责其管理范围内</w:t>
      </w:r>
      <w:r>
        <w:rPr>
          <w:rFonts w:hint="eastAsia"/>
          <w:sz w:val="28"/>
          <w:szCs w:val="28"/>
          <w:highlight w:val="none"/>
          <w:u w:val="single"/>
          <w:lang w:val="en-US" w:eastAsia="zh-CN"/>
        </w:rPr>
        <w:t>检验检测监测</w:t>
      </w:r>
      <w:r>
        <w:rPr>
          <w:rFonts w:hint="eastAsia"/>
          <w:color w:val="000000"/>
          <w:sz w:val="28"/>
          <w:szCs w:val="28"/>
          <w:highlight w:val="none"/>
        </w:rPr>
        <w:t>结算的牵头工作，督促其管理范围内的各专业单位按本条第(2)项的要求及时报送</w:t>
      </w:r>
      <w:r>
        <w:rPr>
          <w:rFonts w:hint="eastAsia"/>
          <w:sz w:val="28"/>
          <w:szCs w:val="28"/>
          <w:highlight w:val="none"/>
          <w:u w:val="single"/>
          <w:lang w:val="en-US" w:eastAsia="zh-CN"/>
        </w:rPr>
        <w:t>检验检测监测</w:t>
      </w:r>
      <w:r>
        <w:rPr>
          <w:rFonts w:hint="eastAsia"/>
          <w:color w:val="000000"/>
          <w:sz w:val="28"/>
          <w:szCs w:val="28"/>
          <w:highlight w:val="none"/>
        </w:rPr>
        <w:t>结算资料并予以落实。如</w:t>
      </w:r>
      <w:r>
        <w:rPr>
          <w:rFonts w:hint="eastAsia"/>
          <w:color w:val="000000"/>
          <w:sz w:val="28"/>
          <w:szCs w:val="28"/>
          <w:highlight w:val="none"/>
          <w:lang w:eastAsia="zh-CN"/>
        </w:rPr>
        <w:t>乙方</w:t>
      </w:r>
      <w:r>
        <w:rPr>
          <w:rFonts w:hint="eastAsia"/>
          <w:color w:val="000000"/>
          <w:sz w:val="28"/>
          <w:szCs w:val="28"/>
          <w:highlight w:val="none"/>
        </w:rPr>
        <w:t>不按</w:t>
      </w:r>
      <w:r>
        <w:rPr>
          <w:rFonts w:hint="eastAsia"/>
          <w:color w:val="000000"/>
          <w:sz w:val="28"/>
          <w:szCs w:val="28"/>
          <w:highlight w:val="none"/>
          <w:lang w:eastAsia="zh-CN"/>
        </w:rPr>
        <w:t>甲方</w:t>
      </w:r>
      <w:r>
        <w:rPr>
          <w:rFonts w:hint="eastAsia"/>
          <w:color w:val="000000"/>
          <w:sz w:val="28"/>
          <w:szCs w:val="28"/>
          <w:highlight w:val="none"/>
        </w:rPr>
        <w:t>的要求及时派出足够的工程结算管理人员，</w:t>
      </w:r>
      <w:r>
        <w:rPr>
          <w:rFonts w:hint="eastAsia"/>
          <w:color w:val="000000"/>
          <w:sz w:val="28"/>
          <w:szCs w:val="28"/>
          <w:highlight w:val="none"/>
          <w:lang w:eastAsia="zh-CN"/>
        </w:rPr>
        <w:t>甲方</w:t>
      </w:r>
      <w:r>
        <w:rPr>
          <w:rFonts w:hint="eastAsia"/>
          <w:color w:val="000000"/>
          <w:sz w:val="28"/>
          <w:szCs w:val="28"/>
          <w:highlight w:val="none"/>
        </w:rPr>
        <w:t>有权另行聘请有关工程结算管理人员，有关费用在原合同的管理费或专业工程配合服务费中支付，</w:t>
      </w:r>
      <w:r>
        <w:rPr>
          <w:rFonts w:hint="eastAsia"/>
          <w:color w:val="000000"/>
          <w:sz w:val="28"/>
          <w:szCs w:val="28"/>
          <w:highlight w:val="none"/>
          <w:lang w:eastAsia="zh-CN"/>
        </w:rPr>
        <w:t>乙方</w:t>
      </w:r>
      <w:r>
        <w:rPr>
          <w:rFonts w:hint="eastAsia"/>
          <w:color w:val="000000"/>
          <w:sz w:val="28"/>
          <w:szCs w:val="28"/>
          <w:highlight w:val="none"/>
        </w:rPr>
        <w:t>不得有异议。</w:t>
      </w:r>
    </w:p>
    <w:p w14:paraId="0C4578A4">
      <w:pPr>
        <w:pStyle w:val="85"/>
        <w:spacing w:line="560" w:lineRule="exact"/>
        <w:rPr>
          <w:rFonts w:hint="eastAsia"/>
          <w:sz w:val="28"/>
          <w:szCs w:val="28"/>
          <w:highlight w:val="none"/>
        </w:rPr>
      </w:pPr>
      <w:r>
        <w:rPr>
          <w:rFonts w:hint="eastAsia"/>
          <w:color w:val="000000"/>
          <w:sz w:val="28"/>
          <w:szCs w:val="28"/>
          <w:highlight w:val="none"/>
          <w:lang w:val="en-US" w:eastAsia="zh-CN"/>
        </w:rPr>
        <w:t>2</w:t>
      </w:r>
      <w:r>
        <w:rPr>
          <w:rFonts w:hint="eastAsia"/>
          <w:color w:val="000000"/>
          <w:sz w:val="28"/>
          <w:szCs w:val="28"/>
          <w:highlight w:val="none"/>
        </w:rPr>
        <w:t>、</w:t>
      </w:r>
      <w:r>
        <w:rPr>
          <w:rFonts w:hint="eastAsia"/>
          <w:sz w:val="28"/>
          <w:szCs w:val="28"/>
          <w:highlight w:val="none"/>
          <w:u w:val="single"/>
          <w:lang w:val="en-US" w:eastAsia="zh-CN"/>
        </w:rPr>
        <w:t>检验检测监测</w:t>
      </w:r>
      <w:r>
        <w:rPr>
          <w:rFonts w:hint="eastAsia"/>
          <w:color w:val="000000"/>
          <w:sz w:val="28"/>
          <w:szCs w:val="28"/>
          <w:highlight w:val="none"/>
        </w:rPr>
        <w:t>结算中争议问题的处理</w:t>
      </w:r>
    </w:p>
    <w:p w14:paraId="6031DA68">
      <w:pPr>
        <w:pStyle w:val="85"/>
        <w:spacing w:line="560" w:lineRule="exact"/>
        <w:rPr>
          <w:rFonts w:hint="eastAsia"/>
          <w:sz w:val="28"/>
          <w:szCs w:val="28"/>
          <w:highlight w:val="none"/>
        </w:rPr>
      </w:pPr>
      <w:r>
        <w:rPr>
          <w:rFonts w:hint="eastAsia"/>
          <w:color w:val="000000"/>
          <w:sz w:val="28"/>
          <w:szCs w:val="28"/>
          <w:highlight w:val="none"/>
        </w:rPr>
        <w:t>对于</w:t>
      </w:r>
      <w:r>
        <w:rPr>
          <w:rFonts w:hint="eastAsia"/>
          <w:sz w:val="28"/>
          <w:szCs w:val="28"/>
          <w:highlight w:val="none"/>
          <w:u w:val="single"/>
          <w:lang w:val="en-US" w:eastAsia="zh-CN"/>
        </w:rPr>
        <w:t>检验检测监测</w:t>
      </w:r>
      <w:r>
        <w:rPr>
          <w:rFonts w:hint="eastAsia"/>
          <w:color w:val="000000"/>
          <w:sz w:val="28"/>
          <w:szCs w:val="28"/>
          <w:highlight w:val="none"/>
        </w:rPr>
        <w:t>结算中有争议的问题，依据合同的相关约定，本着</w:t>
      </w:r>
      <w:r>
        <w:rPr>
          <w:rFonts w:hint="eastAsia"/>
          <w:color w:val="000000"/>
          <w:sz w:val="28"/>
          <w:szCs w:val="28"/>
          <w:highlight w:val="none"/>
          <w:lang w:val="zh-CN" w:eastAsia="zh-CN" w:bidi="zh-CN"/>
        </w:rPr>
        <w:t>“依法</w:t>
      </w:r>
      <w:r>
        <w:rPr>
          <w:rFonts w:hint="eastAsia"/>
          <w:color w:val="000000"/>
          <w:sz w:val="28"/>
          <w:szCs w:val="28"/>
          <w:highlight w:val="none"/>
        </w:rPr>
        <w:t>依规，实事求是和风险共担”的原则，按如下约定处理：</w:t>
      </w:r>
    </w:p>
    <w:p w14:paraId="7394B5C6">
      <w:pPr>
        <w:pStyle w:val="85"/>
        <w:tabs>
          <w:tab w:val="left" w:pos="963"/>
        </w:tabs>
        <w:spacing w:line="560" w:lineRule="exact"/>
        <w:ind w:firstLine="500"/>
        <w:rPr>
          <w:rFonts w:hint="eastAsia"/>
          <w:sz w:val="28"/>
          <w:szCs w:val="28"/>
          <w:highlight w:val="none"/>
        </w:rPr>
      </w:pPr>
      <w:bookmarkStart w:id="8" w:name="bookmark12"/>
      <w:r>
        <w:rPr>
          <w:rFonts w:hint="eastAsia"/>
          <w:color w:val="000000"/>
          <w:sz w:val="28"/>
          <w:szCs w:val="28"/>
          <w:highlight w:val="none"/>
        </w:rPr>
        <w:t>（</w:t>
      </w:r>
      <w:bookmarkEnd w:id="8"/>
      <w:r>
        <w:rPr>
          <w:rFonts w:hint="eastAsia"/>
          <w:color w:val="000000"/>
          <w:sz w:val="28"/>
          <w:szCs w:val="28"/>
          <w:highlight w:val="none"/>
        </w:rPr>
        <w:t>1）</w:t>
      </w:r>
      <w:r>
        <w:rPr>
          <w:rFonts w:hint="eastAsia"/>
          <w:color w:val="000000"/>
          <w:sz w:val="28"/>
          <w:szCs w:val="28"/>
          <w:highlight w:val="none"/>
          <w:lang w:eastAsia="zh-CN"/>
        </w:rPr>
        <w:t>乙方</w:t>
      </w:r>
      <w:r>
        <w:rPr>
          <w:rFonts w:hint="eastAsia"/>
          <w:color w:val="000000"/>
          <w:sz w:val="28"/>
          <w:szCs w:val="28"/>
          <w:highlight w:val="none"/>
        </w:rPr>
        <w:t>在</w:t>
      </w:r>
      <w:r>
        <w:rPr>
          <w:rFonts w:hint="eastAsia"/>
          <w:color w:val="000000"/>
          <w:sz w:val="28"/>
          <w:szCs w:val="28"/>
          <w:highlight w:val="none"/>
          <w:lang w:val="en-US" w:eastAsia="zh-CN"/>
        </w:rPr>
        <w:t>甲方书面通知要求期限内</w:t>
      </w:r>
      <w:r>
        <w:rPr>
          <w:rFonts w:hint="eastAsia"/>
          <w:color w:val="000000"/>
          <w:sz w:val="28"/>
          <w:szCs w:val="28"/>
          <w:highlight w:val="none"/>
        </w:rPr>
        <w:t>上报的</w:t>
      </w:r>
      <w:r>
        <w:rPr>
          <w:rFonts w:hint="eastAsia"/>
          <w:sz w:val="28"/>
          <w:szCs w:val="28"/>
          <w:highlight w:val="none"/>
          <w:u w:val="single"/>
          <w:lang w:val="en-US" w:eastAsia="zh-CN"/>
        </w:rPr>
        <w:t>检验检测监测</w:t>
      </w:r>
      <w:r>
        <w:rPr>
          <w:rFonts w:hint="eastAsia"/>
          <w:color w:val="000000"/>
          <w:sz w:val="28"/>
          <w:szCs w:val="28"/>
          <w:highlight w:val="none"/>
        </w:rPr>
        <w:t>结算资料经</w:t>
      </w:r>
      <w:r>
        <w:rPr>
          <w:rFonts w:hint="eastAsia"/>
          <w:color w:val="000000"/>
          <w:sz w:val="28"/>
          <w:szCs w:val="28"/>
          <w:highlight w:val="none"/>
          <w:lang w:eastAsia="zh-CN"/>
        </w:rPr>
        <w:t>甲方</w:t>
      </w:r>
      <w:r>
        <w:rPr>
          <w:rFonts w:hint="eastAsia"/>
          <w:color w:val="000000"/>
          <w:sz w:val="28"/>
          <w:szCs w:val="28"/>
          <w:highlight w:val="none"/>
        </w:rPr>
        <w:t>审核后如发生争议，双方能达成一致且经上级主管部门审定的部分纳入正常结算审定；未能达成一致的部分如</w:t>
      </w:r>
      <w:r>
        <w:rPr>
          <w:rFonts w:hint="eastAsia"/>
          <w:color w:val="000000"/>
          <w:sz w:val="28"/>
          <w:szCs w:val="28"/>
          <w:highlight w:val="none"/>
          <w:lang w:val="en-US" w:eastAsia="zh-CN"/>
        </w:rPr>
        <w:t>在复审</w:t>
      </w:r>
      <w:r>
        <w:rPr>
          <w:rFonts w:hint="eastAsia"/>
          <w:color w:val="000000"/>
          <w:sz w:val="28"/>
          <w:szCs w:val="28"/>
          <w:highlight w:val="none"/>
          <w:lang w:val="zh-CN" w:eastAsia="zh-CN" w:bidi="zh-CN"/>
        </w:rPr>
        <w:t>前</w:t>
      </w:r>
      <w:r>
        <w:rPr>
          <w:rFonts w:hint="eastAsia"/>
          <w:color w:val="000000"/>
          <w:sz w:val="28"/>
          <w:szCs w:val="28"/>
          <w:highlight w:val="none"/>
        </w:rPr>
        <w:t>取得一致的，将与</w:t>
      </w:r>
      <w:r>
        <w:rPr>
          <w:rFonts w:hint="eastAsia"/>
          <w:color w:val="000000"/>
          <w:sz w:val="28"/>
          <w:szCs w:val="28"/>
          <w:highlight w:val="none"/>
          <w:lang w:val="en-US" w:eastAsia="zh-CN"/>
        </w:rPr>
        <w:t>前期</w:t>
      </w:r>
      <w:r>
        <w:rPr>
          <w:rFonts w:hint="eastAsia"/>
          <w:color w:val="000000"/>
          <w:sz w:val="28"/>
          <w:szCs w:val="28"/>
          <w:highlight w:val="none"/>
        </w:rPr>
        <w:t>上报的</w:t>
      </w:r>
      <w:r>
        <w:rPr>
          <w:rFonts w:hint="eastAsia"/>
          <w:sz w:val="28"/>
          <w:szCs w:val="28"/>
          <w:highlight w:val="none"/>
          <w:u w:val="single"/>
          <w:lang w:val="en-US" w:eastAsia="zh-CN"/>
        </w:rPr>
        <w:t>检验检测监测</w:t>
      </w:r>
      <w:r>
        <w:rPr>
          <w:rFonts w:hint="eastAsia"/>
          <w:color w:val="000000"/>
          <w:sz w:val="28"/>
          <w:szCs w:val="28"/>
          <w:highlight w:val="none"/>
        </w:rPr>
        <w:t>结算资料为基础，经上级主管部门审定后，由</w:t>
      </w:r>
      <w:r>
        <w:rPr>
          <w:rFonts w:hint="eastAsia"/>
          <w:color w:val="000000"/>
          <w:sz w:val="28"/>
          <w:szCs w:val="28"/>
          <w:highlight w:val="none"/>
          <w:lang w:eastAsia="zh-CN"/>
        </w:rPr>
        <w:t>甲方</w:t>
      </w:r>
      <w:r>
        <w:rPr>
          <w:rFonts w:hint="eastAsia"/>
          <w:color w:val="000000"/>
          <w:sz w:val="28"/>
          <w:szCs w:val="28"/>
          <w:highlight w:val="none"/>
        </w:rPr>
        <w:t>作为本项目合同的善后处理工作组织审核审定。</w:t>
      </w:r>
    </w:p>
    <w:p w14:paraId="2B0E5FA6">
      <w:pPr>
        <w:pStyle w:val="85"/>
        <w:tabs>
          <w:tab w:val="left" w:pos="968"/>
        </w:tabs>
        <w:spacing w:line="560" w:lineRule="exact"/>
        <w:ind w:firstLine="500"/>
        <w:rPr>
          <w:rFonts w:hint="eastAsia"/>
          <w:color w:val="000000"/>
          <w:sz w:val="28"/>
          <w:szCs w:val="28"/>
          <w:highlight w:val="none"/>
        </w:rPr>
      </w:pPr>
      <w:bookmarkStart w:id="9" w:name="bookmark13"/>
      <w:r>
        <w:rPr>
          <w:rFonts w:hint="eastAsia"/>
          <w:color w:val="000000"/>
          <w:sz w:val="28"/>
          <w:szCs w:val="28"/>
          <w:highlight w:val="none"/>
        </w:rPr>
        <w:t>（</w:t>
      </w:r>
      <w:bookmarkEnd w:id="9"/>
      <w:r>
        <w:rPr>
          <w:rFonts w:hint="eastAsia"/>
          <w:color w:val="000000"/>
          <w:sz w:val="28"/>
          <w:szCs w:val="28"/>
          <w:highlight w:val="none"/>
        </w:rPr>
        <w:t>2）双方未能</w:t>
      </w:r>
      <w:r>
        <w:rPr>
          <w:rFonts w:hint="eastAsia"/>
          <w:color w:val="000000"/>
          <w:sz w:val="28"/>
          <w:szCs w:val="28"/>
          <w:highlight w:val="none"/>
          <w:lang w:val="en-US" w:eastAsia="zh-CN"/>
        </w:rPr>
        <w:t>在复审前</w:t>
      </w:r>
      <w:r>
        <w:rPr>
          <w:rFonts w:hint="eastAsia"/>
          <w:color w:val="000000"/>
          <w:sz w:val="28"/>
          <w:szCs w:val="28"/>
          <w:highlight w:val="none"/>
        </w:rPr>
        <w:t>达成一致的本项目</w:t>
      </w:r>
      <w:r>
        <w:rPr>
          <w:rFonts w:hint="eastAsia"/>
          <w:sz w:val="28"/>
          <w:szCs w:val="28"/>
          <w:highlight w:val="none"/>
          <w:u w:val="single"/>
          <w:lang w:val="en-US" w:eastAsia="zh-CN"/>
        </w:rPr>
        <w:t>检验检测监测</w:t>
      </w:r>
      <w:r>
        <w:rPr>
          <w:rFonts w:hint="eastAsia"/>
          <w:color w:val="000000"/>
          <w:sz w:val="28"/>
          <w:szCs w:val="28"/>
          <w:highlight w:val="none"/>
        </w:rPr>
        <w:t>结算争议，</w:t>
      </w:r>
      <w:r>
        <w:rPr>
          <w:rFonts w:hint="eastAsia"/>
          <w:color w:val="000000"/>
          <w:sz w:val="28"/>
          <w:szCs w:val="28"/>
          <w:highlight w:val="none"/>
          <w:lang w:eastAsia="zh-CN"/>
        </w:rPr>
        <w:t>甲方</w:t>
      </w:r>
      <w:r>
        <w:rPr>
          <w:rFonts w:hint="eastAsia"/>
          <w:color w:val="000000"/>
          <w:sz w:val="28"/>
          <w:szCs w:val="28"/>
          <w:highlight w:val="none"/>
        </w:rPr>
        <w:t>可依据已有资料单方面组织结算，</w:t>
      </w:r>
      <w:r>
        <w:rPr>
          <w:rFonts w:hint="eastAsia"/>
          <w:color w:val="000000"/>
          <w:sz w:val="28"/>
          <w:szCs w:val="28"/>
          <w:highlight w:val="none"/>
          <w:lang w:eastAsia="zh-CN"/>
        </w:rPr>
        <w:t>乙方</w:t>
      </w:r>
      <w:r>
        <w:rPr>
          <w:rFonts w:hint="eastAsia"/>
          <w:color w:val="000000"/>
          <w:sz w:val="28"/>
          <w:szCs w:val="28"/>
          <w:highlight w:val="none"/>
        </w:rPr>
        <w:t>有异议的可通过法律途径解决。</w:t>
      </w:r>
      <w:bookmarkStart w:id="10" w:name="bookmark14"/>
    </w:p>
    <w:bookmarkEnd w:id="10"/>
    <w:p w14:paraId="61781A60">
      <w:pPr>
        <w:pStyle w:val="85"/>
        <w:tabs>
          <w:tab w:val="left" w:pos="968"/>
        </w:tabs>
        <w:spacing w:line="560" w:lineRule="exact"/>
        <w:ind w:firstLine="500"/>
        <w:rPr>
          <w:rFonts w:hint="eastAsia"/>
          <w:sz w:val="28"/>
          <w:szCs w:val="28"/>
          <w:highlight w:val="none"/>
          <w:lang w:eastAsia="zh-CN"/>
        </w:rPr>
      </w:pPr>
      <w:r>
        <w:rPr>
          <w:rFonts w:hint="eastAsia"/>
          <w:color w:val="000000"/>
          <w:sz w:val="28"/>
          <w:szCs w:val="28"/>
          <w:highlight w:val="none"/>
          <w:lang w:val="en-US" w:eastAsia="zh-CN"/>
        </w:rPr>
        <w:t>3</w:t>
      </w:r>
      <w:r>
        <w:rPr>
          <w:rFonts w:hint="eastAsia"/>
          <w:color w:val="000000"/>
          <w:sz w:val="28"/>
          <w:szCs w:val="28"/>
          <w:highlight w:val="none"/>
        </w:rPr>
        <w:t>、本工作协议书作为原合同的组成部分，与原合同具有同等法律效力。本工作协议书的约定与原合同相冲突的，以本工作协议书的约定为准</w:t>
      </w:r>
      <w:r>
        <w:rPr>
          <w:rFonts w:hint="eastAsia"/>
          <w:color w:val="000000"/>
          <w:sz w:val="28"/>
          <w:szCs w:val="28"/>
          <w:highlight w:val="none"/>
          <w:lang w:eastAsia="zh-CN"/>
        </w:rPr>
        <w:t>。</w:t>
      </w:r>
    </w:p>
    <w:p w14:paraId="5798C21F">
      <w:pPr>
        <w:pStyle w:val="85"/>
        <w:spacing w:line="560" w:lineRule="exact"/>
        <w:ind w:firstLine="560" w:firstLineChars="200"/>
        <w:rPr>
          <w:rFonts w:hint="eastAsia"/>
          <w:sz w:val="28"/>
          <w:szCs w:val="28"/>
          <w:highlight w:val="none"/>
          <w:lang w:val="en-US" w:eastAsia="zh-CN"/>
        </w:rPr>
      </w:pPr>
      <w:r>
        <w:rPr>
          <w:rFonts w:hint="eastAsia"/>
          <w:color w:val="000000"/>
          <w:sz w:val="28"/>
          <w:szCs w:val="28"/>
          <w:highlight w:val="none"/>
          <w:lang w:val="en-US" w:eastAsia="zh-CN"/>
        </w:rPr>
        <w:t>4</w:t>
      </w:r>
      <w:r>
        <w:rPr>
          <w:rFonts w:hint="eastAsia"/>
          <w:color w:val="000000"/>
          <w:sz w:val="28"/>
          <w:szCs w:val="28"/>
          <w:highlight w:val="none"/>
        </w:rPr>
        <w:t>、本工作协议书于双方签字盖章后生效，至双方履行完本工作协议书中的义务与责任时终止。</w:t>
      </w:r>
    </w:p>
    <w:p w14:paraId="1A5BF2A9">
      <w:pPr>
        <w:adjustRightInd w:val="0"/>
        <w:snapToGrid w:val="0"/>
        <w:spacing w:line="560" w:lineRule="exact"/>
        <w:ind w:left="-178" w:leftChars="-85" w:right="-178" w:rightChars="-85" w:firstLine="560" w:firstLineChars="200"/>
        <w:rPr>
          <w:rFonts w:hint="eastAsia" w:ascii="宋体" w:hAnsi="宋体" w:cs="宋体"/>
          <w:sz w:val="28"/>
          <w:szCs w:val="28"/>
          <w:highlight w:val="none"/>
        </w:rPr>
      </w:pPr>
      <w:r>
        <w:rPr>
          <w:rFonts w:hint="eastAsia" w:ascii="宋体" w:hAnsi="宋体" w:cs="宋体"/>
          <w:sz w:val="28"/>
          <w:szCs w:val="28"/>
          <w:highlight w:val="none"/>
        </w:rPr>
        <w:t>（以下无正文）</w:t>
      </w:r>
    </w:p>
    <w:tbl>
      <w:tblPr>
        <w:tblStyle w:val="14"/>
        <w:tblW w:w="9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6"/>
        <w:gridCol w:w="5200"/>
      </w:tblGrid>
      <w:tr w14:paraId="42BC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exact"/>
        </w:trPr>
        <w:tc>
          <w:tcPr>
            <w:tcW w:w="4536" w:type="dxa"/>
            <w:tcBorders>
              <w:right w:val="dashed" w:color="000000" w:sz="4" w:space="0"/>
              <w:tl2br w:val="nil"/>
              <w:tr2bl w:val="nil"/>
            </w:tcBorders>
          </w:tcPr>
          <w:p w14:paraId="5478F73D">
            <w:pPr>
              <w:pStyle w:val="7"/>
              <w:spacing w:line="560" w:lineRule="exact"/>
              <w:rPr>
                <w:rFonts w:hint="eastAsia" w:hAnsi="宋体" w:cs="宋体"/>
                <w:b/>
                <w:sz w:val="28"/>
                <w:szCs w:val="28"/>
                <w:highlight w:val="none"/>
                <w:u w:val="single"/>
              </w:rPr>
            </w:pPr>
            <w:r>
              <w:rPr>
                <w:rFonts w:hint="eastAsia" w:hAnsi="宋体" w:cs="宋体"/>
                <w:kern w:val="2"/>
                <w:sz w:val="28"/>
                <w:szCs w:val="28"/>
                <w:highlight w:val="none"/>
                <w:u w:val="single"/>
              </w:rPr>
              <w:t>发包方（甲方）：广州市花都区教育局</w:t>
            </w:r>
          </w:p>
          <w:p w14:paraId="3FB1C1B1">
            <w:pPr>
              <w:adjustRightInd w:val="0"/>
              <w:snapToGrid w:val="0"/>
              <w:spacing w:line="560" w:lineRule="exact"/>
              <w:ind w:left="2249" w:hanging="2249" w:hangingChars="800"/>
              <w:rPr>
                <w:rFonts w:hint="eastAsia" w:ascii="宋体" w:hAnsi="宋体" w:cs="宋体"/>
                <w:b/>
                <w:snapToGrid w:val="0"/>
                <w:sz w:val="28"/>
                <w:szCs w:val="28"/>
                <w:highlight w:val="none"/>
              </w:rPr>
            </w:pPr>
          </w:p>
          <w:p w14:paraId="216077AC">
            <w:pPr>
              <w:adjustRightInd w:val="0"/>
              <w:snapToGrid w:val="0"/>
              <w:spacing w:line="560" w:lineRule="exact"/>
              <w:ind w:firstLine="2800" w:firstLineChars="1000"/>
              <w:rPr>
                <w:rFonts w:hint="eastAsia" w:ascii="宋体" w:hAnsi="宋体" w:cs="宋体"/>
                <w:snapToGrid w:val="0"/>
                <w:sz w:val="28"/>
                <w:szCs w:val="28"/>
                <w:highlight w:val="none"/>
              </w:rPr>
            </w:pPr>
          </w:p>
        </w:tc>
        <w:tc>
          <w:tcPr>
            <w:tcW w:w="5200" w:type="dxa"/>
            <w:tcBorders>
              <w:left w:val="dashed" w:color="000000" w:sz="4" w:space="0"/>
              <w:tl2br w:val="nil"/>
              <w:tr2bl w:val="nil"/>
            </w:tcBorders>
          </w:tcPr>
          <w:p w14:paraId="0CDBC932">
            <w:pPr>
              <w:adjustRightInd w:val="0"/>
              <w:snapToGrid w:val="0"/>
              <w:spacing w:line="560" w:lineRule="exact"/>
              <w:rPr>
                <w:rFonts w:hint="eastAsia" w:ascii="宋体" w:hAnsi="宋体" w:cs="宋体"/>
                <w:b/>
                <w:sz w:val="28"/>
                <w:szCs w:val="28"/>
                <w:highlight w:val="none"/>
                <w:u w:val="single"/>
              </w:rPr>
            </w:pPr>
            <w:r>
              <w:rPr>
                <w:rFonts w:hint="eastAsia" w:ascii="宋体" w:hAnsi="宋体" w:cs="宋体"/>
                <w:snapToGrid w:val="0"/>
                <w:sz w:val="28"/>
                <w:szCs w:val="28"/>
                <w:highlight w:val="none"/>
              </w:rPr>
              <w:t>承包方（乙方）：</w:t>
            </w:r>
          </w:p>
          <w:p w14:paraId="66C2301E">
            <w:pPr>
              <w:adjustRightInd w:val="0"/>
              <w:snapToGrid w:val="0"/>
              <w:spacing w:line="560" w:lineRule="exact"/>
              <w:ind w:firstLine="2800" w:firstLineChars="1000"/>
              <w:rPr>
                <w:rFonts w:hint="eastAsia" w:ascii="宋体" w:hAnsi="宋体" w:cs="宋体"/>
                <w:snapToGrid w:val="0"/>
                <w:sz w:val="28"/>
                <w:szCs w:val="28"/>
                <w:highlight w:val="none"/>
              </w:rPr>
            </w:pPr>
          </w:p>
        </w:tc>
      </w:tr>
      <w:tr w14:paraId="6EB5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tcBorders>
              <w:right w:val="dashed" w:color="000000" w:sz="4" w:space="0"/>
              <w:tl2br w:val="nil"/>
              <w:tr2bl w:val="nil"/>
            </w:tcBorders>
          </w:tcPr>
          <w:p w14:paraId="65168B26">
            <w:pPr>
              <w:adjustRightInd w:val="0"/>
              <w:snapToGrid w:val="0"/>
              <w:spacing w:line="560" w:lineRule="exact"/>
              <w:rPr>
                <w:rFonts w:hint="eastAsia" w:ascii="宋体" w:hAnsi="宋体" w:cs="宋体"/>
                <w:snapToGrid w:val="0"/>
                <w:sz w:val="28"/>
                <w:szCs w:val="28"/>
                <w:highlight w:val="none"/>
              </w:rPr>
            </w:pPr>
            <w:r>
              <w:rPr>
                <w:rFonts w:hint="eastAsia" w:ascii="宋体" w:hAnsi="宋体" w:cs="宋体"/>
                <w:snapToGrid w:val="0"/>
                <w:sz w:val="28"/>
                <w:szCs w:val="28"/>
                <w:highlight w:val="none"/>
              </w:rPr>
              <w:t>法定代表人：</w:t>
            </w:r>
          </w:p>
        </w:tc>
        <w:tc>
          <w:tcPr>
            <w:tcW w:w="5200" w:type="dxa"/>
            <w:tcBorders>
              <w:left w:val="dashed" w:color="000000" w:sz="4" w:space="0"/>
              <w:tl2br w:val="nil"/>
              <w:tr2bl w:val="nil"/>
            </w:tcBorders>
          </w:tcPr>
          <w:p w14:paraId="2CE52B2A">
            <w:pPr>
              <w:adjustRightInd w:val="0"/>
              <w:snapToGrid w:val="0"/>
              <w:spacing w:line="560" w:lineRule="exact"/>
              <w:rPr>
                <w:rFonts w:hint="eastAsia" w:ascii="宋体" w:hAnsi="宋体" w:cs="宋体"/>
                <w:snapToGrid w:val="0"/>
                <w:sz w:val="28"/>
                <w:szCs w:val="28"/>
                <w:highlight w:val="none"/>
              </w:rPr>
            </w:pPr>
            <w:r>
              <w:rPr>
                <w:rFonts w:hint="eastAsia" w:ascii="宋体" w:hAnsi="宋体" w:cs="宋体"/>
                <w:snapToGrid w:val="0"/>
                <w:sz w:val="28"/>
                <w:szCs w:val="28"/>
                <w:highlight w:val="none"/>
              </w:rPr>
              <w:t>法定代表人：</w:t>
            </w:r>
          </w:p>
        </w:tc>
      </w:tr>
      <w:tr w14:paraId="4A6A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tcBorders>
              <w:right w:val="dashed" w:color="000000" w:sz="4" w:space="0"/>
              <w:tl2br w:val="nil"/>
              <w:tr2bl w:val="nil"/>
            </w:tcBorders>
          </w:tcPr>
          <w:p w14:paraId="4C003DF9">
            <w:pPr>
              <w:adjustRightInd w:val="0"/>
              <w:snapToGrid w:val="0"/>
              <w:spacing w:line="560" w:lineRule="exact"/>
              <w:rPr>
                <w:rFonts w:hint="eastAsia" w:ascii="宋体" w:hAnsi="宋体" w:cs="宋体"/>
                <w:snapToGrid w:val="0"/>
                <w:sz w:val="28"/>
                <w:szCs w:val="28"/>
                <w:highlight w:val="none"/>
              </w:rPr>
            </w:pPr>
            <w:r>
              <w:rPr>
                <w:rFonts w:hint="eastAsia" w:ascii="宋体" w:hAnsi="宋体" w:cs="宋体"/>
                <w:sz w:val="28"/>
                <w:szCs w:val="28"/>
                <w:highlight w:val="none"/>
              </w:rPr>
              <w:t>或签约代表人：</w:t>
            </w:r>
          </w:p>
        </w:tc>
        <w:tc>
          <w:tcPr>
            <w:tcW w:w="5200" w:type="dxa"/>
            <w:tcBorders>
              <w:left w:val="dashed" w:color="000000" w:sz="4" w:space="0"/>
              <w:tl2br w:val="nil"/>
              <w:tr2bl w:val="nil"/>
            </w:tcBorders>
          </w:tcPr>
          <w:p w14:paraId="405650E6">
            <w:pPr>
              <w:adjustRightInd w:val="0"/>
              <w:snapToGrid w:val="0"/>
              <w:spacing w:line="560" w:lineRule="exact"/>
              <w:rPr>
                <w:rFonts w:hint="eastAsia" w:ascii="宋体" w:hAnsi="宋体" w:cs="宋体"/>
                <w:snapToGrid w:val="0"/>
                <w:sz w:val="28"/>
                <w:szCs w:val="28"/>
                <w:highlight w:val="none"/>
              </w:rPr>
            </w:pPr>
            <w:r>
              <w:rPr>
                <w:rFonts w:hint="eastAsia" w:ascii="宋体" w:hAnsi="宋体" w:cs="宋体"/>
                <w:sz w:val="28"/>
                <w:szCs w:val="28"/>
                <w:highlight w:val="none"/>
              </w:rPr>
              <w:t>或签约代表人：</w:t>
            </w:r>
          </w:p>
        </w:tc>
      </w:tr>
    </w:tbl>
    <w:p w14:paraId="6E01D30B">
      <w:pPr>
        <w:spacing w:line="560" w:lineRule="exact"/>
        <w:jc w:val="right"/>
        <w:rPr>
          <w:rFonts w:hint="eastAsia" w:ascii="宋体" w:hAnsi="宋体" w:cs="宋体"/>
          <w:sz w:val="28"/>
          <w:szCs w:val="28"/>
          <w:highlight w:val="none"/>
        </w:rPr>
      </w:pPr>
      <w:r>
        <w:rPr>
          <w:rFonts w:hint="eastAsia" w:ascii="宋体" w:hAnsi="宋体" w:cs="宋体"/>
          <w:sz w:val="28"/>
          <w:szCs w:val="28"/>
          <w:highlight w:val="none"/>
        </w:rPr>
        <w:t>签订日期：</w:t>
      </w:r>
      <w:r>
        <w:rPr>
          <w:rFonts w:hint="eastAsia" w:ascii="宋体" w:hAnsi="宋体" w:cs="宋体"/>
          <w:sz w:val="28"/>
          <w:szCs w:val="28"/>
          <w:highlight w:val="none"/>
        </w:rPr>
        <w:tab/>
      </w:r>
      <w:r>
        <w:rPr>
          <w:rFonts w:hint="eastAsia" w:ascii="宋体" w:hAnsi="宋体" w:cs="宋体"/>
          <w:sz w:val="28"/>
          <w:szCs w:val="28"/>
          <w:highlight w:val="none"/>
        </w:rPr>
        <w:t xml:space="preserve">   年   月   日</w:t>
      </w:r>
    </w:p>
    <w:p w14:paraId="570A3598">
      <w:pPr>
        <w:spacing w:line="360" w:lineRule="auto"/>
        <w:jc w:val="left"/>
        <w:rPr>
          <w:rFonts w:hint="eastAsia" w:ascii="宋体" w:hAnsi="宋体" w:cs="宋体"/>
          <w:b/>
          <w:bCs/>
          <w:sz w:val="28"/>
          <w:szCs w:val="28"/>
          <w:highlight w:val="none"/>
        </w:rPr>
      </w:pPr>
      <w:r>
        <w:rPr>
          <w:rFonts w:hint="eastAsia" w:ascii="宋体" w:hAnsi="宋体" w:cs="宋体"/>
          <w:b/>
          <w:bCs/>
          <w:sz w:val="28"/>
          <w:szCs w:val="28"/>
          <w:highlight w:val="none"/>
        </w:rPr>
        <w:t>附件4：中标通知书</w:t>
      </w:r>
    </w:p>
    <w:p w14:paraId="3DB6F7F0">
      <w:pPr>
        <w:pStyle w:val="2"/>
        <w:spacing w:line="360" w:lineRule="auto"/>
        <w:ind w:firstLine="560"/>
        <w:rPr>
          <w:rFonts w:hint="eastAsia" w:ascii="宋体" w:hAnsi="宋体" w:cs="宋体"/>
          <w:sz w:val="28"/>
          <w:szCs w:val="28"/>
          <w:highlight w:val="none"/>
        </w:rPr>
      </w:pPr>
    </w:p>
    <w:p w14:paraId="2F52855C">
      <w:pPr>
        <w:pStyle w:val="2"/>
        <w:spacing w:line="360" w:lineRule="auto"/>
        <w:ind w:firstLine="560"/>
        <w:rPr>
          <w:rFonts w:hint="eastAsia" w:ascii="宋体" w:hAnsi="宋体" w:cs="宋体"/>
          <w:sz w:val="28"/>
          <w:szCs w:val="28"/>
          <w:highlight w:val="none"/>
        </w:rPr>
      </w:pPr>
    </w:p>
    <w:p w14:paraId="0BD2E5BA">
      <w:pPr>
        <w:widowControl/>
        <w:spacing w:line="360" w:lineRule="auto"/>
        <w:jc w:val="left"/>
        <w:rPr>
          <w:rFonts w:hint="eastAsia" w:ascii="宋体" w:hAnsi="宋体" w:cs="宋体"/>
          <w:sz w:val="28"/>
          <w:szCs w:val="28"/>
          <w:highlight w:val="none"/>
        </w:rPr>
      </w:pPr>
      <w:r>
        <w:rPr>
          <w:rFonts w:hint="eastAsia" w:ascii="宋体" w:hAnsi="宋体" w:cs="宋体"/>
          <w:sz w:val="28"/>
          <w:szCs w:val="28"/>
          <w:highlight w:val="none"/>
        </w:rPr>
        <w:br w:type="page"/>
      </w:r>
    </w:p>
    <w:p w14:paraId="34C3D91A">
      <w:pPr>
        <w:spacing w:line="360" w:lineRule="auto"/>
        <w:jc w:val="left"/>
        <w:rPr>
          <w:rFonts w:hint="eastAsia" w:ascii="宋体" w:hAnsi="宋体" w:cs="宋体"/>
          <w:b/>
          <w:bCs/>
          <w:sz w:val="28"/>
          <w:szCs w:val="28"/>
          <w:highlight w:val="none"/>
        </w:rPr>
      </w:pPr>
      <w:r>
        <w:rPr>
          <w:rFonts w:hint="eastAsia" w:ascii="宋体" w:hAnsi="宋体" w:cs="宋体"/>
          <w:b/>
          <w:bCs/>
          <w:sz w:val="28"/>
          <w:szCs w:val="28"/>
          <w:highlight w:val="none"/>
        </w:rPr>
        <w:t>附件5：联合体协议书（如有）</w:t>
      </w:r>
    </w:p>
    <w:p w14:paraId="586C8DB1">
      <w:pPr>
        <w:pStyle w:val="2"/>
        <w:spacing w:line="360" w:lineRule="auto"/>
        <w:ind w:firstLine="560"/>
        <w:rPr>
          <w:rFonts w:hint="eastAsia" w:ascii="宋体" w:hAnsi="宋体" w:cs="宋体"/>
          <w:sz w:val="28"/>
          <w:szCs w:val="28"/>
          <w:highlight w:val="none"/>
        </w:rPr>
      </w:pPr>
    </w:p>
    <w:p w14:paraId="57849192">
      <w:pPr>
        <w:pStyle w:val="2"/>
        <w:spacing w:line="360" w:lineRule="auto"/>
        <w:ind w:firstLine="560"/>
        <w:rPr>
          <w:rFonts w:hint="eastAsia" w:ascii="宋体" w:hAnsi="宋体" w:cs="宋体"/>
          <w:sz w:val="28"/>
          <w:szCs w:val="28"/>
          <w:highlight w:val="none"/>
        </w:rPr>
      </w:pPr>
    </w:p>
    <w:p w14:paraId="13D178D1">
      <w:pPr>
        <w:widowControl/>
        <w:spacing w:line="360" w:lineRule="auto"/>
        <w:jc w:val="left"/>
        <w:rPr>
          <w:rFonts w:hint="eastAsia" w:ascii="宋体" w:hAnsi="宋体" w:cs="宋体"/>
          <w:sz w:val="28"/>
          <w:szCs w:val="28"/>
          <w:highlight w:val="none"/>
        </w:rPr>
      </w:pPr>
    </w:p>
    <w:sectPr>
      <w:pgSz w:w="11906" w:h="16838"/>
      <w:pgMar w:top="850" w:right="1134" w:bottom="850"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E0C82">
    <w:pPr>
      <w:pStyle w:val="9"/>
    </w:pPr>
    <w:r>
      <w:pict>
        <v:shape id="文本框 104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BF9W/bCwIAABUEAAAOAAAAAAAAAAEAIAAAAB4BAABk&#10;cnMvZTJvRG9jLnhtbFBLBQYAAAAABgAGAFkBAACbBQAAAAA=&#10;">
          <v:path/>
          <v:fill on="f" focussize="0,0"/>
          <v:stroke on="f" joinstyle="miter"/>
          <v:imagedata o:title=""/>
          <o:lock v:ext="edit"/>
          <v:textbox inset="0mm,0mm,0mm,0mm" style="mso-fit-shape-to-text:t;">
            <w:txbxContent>
              <w:p w14:paraId="59E2201E">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5B04">
    <w:pPr>
      <w:pStyle w:val="9"/>
    </w:pPr>
    <w:r>
      <w:pict>
        <v:shape id="文本框 1025"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QVPmtAAAAADAQAADwAAAAAAAAABACAA&#10;AAAiAAAAZHJzL2Rvd25yZXYueG1sUEsBAhQAFAAAAAgAh07iQP7pJ5TcAQAAsQMAAA4AAAAAAAAA&#10;AQAgAAAAHwEAAGRycy9lMm9Eb2MueG1sUEsFBgAAAAAGAAYAWQEAAG0FAAAAAA==&#10;">
          <v:path/>
          <v:fill on="f" focussize="0,0"/>
          <v:stroke on="f" joinstyle="miter"/>
          <v:imagedata o:title=""/>
          <o:lock v:ext="edit"/>
          <v:textbox inset="0mm,0mm,0mm,0mm" style="mso-fit-shape-to-text:t;">
            <w:txbxContent>
              <w:p w14:paraId="3464FAC0"/>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428062"/>
    </w:sdtPr>
    <w:sdtContent>
      <w:p w14:paraId="081AFA06">
        <w:pPr>
          <w:pStyle w:val="9"/>
          <w:jc w:val="center"/>
        </w:pPr>
        <w:sdt>
          <w:sdtPr>
            <w:id w:val="1133673735"/>
          </w:sdtPr>
          <w:sdtEndPr>
            <w:rPr>
              <w:rFonts w:hint="eastAsia" w:ascii="仿宋_GB2312" w:eastAsia="仿宋_GB2312"/>
            </w:rPr>
          </w:sdtEndPr>
          <w:sdtContent>
            <w:r>
              <w:rPr>
                <w:rFonts w:hint="eastAsia" w:ascii="仿宋_GB2312" w:eastAsia="仿宋_GB2312"/>
              </w:rPr>
              <w:t>第</w:t>
            </w:r>
            <w:r>
              <w:rPr>
                <w:rFonts w:hint="eastAsia" w:ascii="仿宋_GB2312" w:eastAsia="仿宋_GB2312"/>
                <w:bCs/>
              </w:rPr>
              <w:fldChar w:fldCharType="begin"/>
            </w:r>
            <w:r>
              <w:rPr>
                <w:rFonts w:hint="eastAsia" w:ascii="仿宋_GB2312" w:eastAsia="仿宋_GB2312"/>
                <w:bCs/>
              </w:rPr>
              <w:instrText xml:space="preserve">PAGE</w:instrText>
            </w:r>
            <w:r>
              <w:rPr>
                <w:rFonts w:hint="eastAsia" w:ascii="仿宋_GB2312" w:eastAsia="仿宋_GB2312"/>
                <w:bCs/>
              </w:rPr>
              <w:fldChar w:fldCharType="separate"/>
            </w:r>
            <w:r>
              <w:rPr>
                <w:rFonts w:ascii="仿宋_GB2312" w:eastAsia="仿宋_GB2312"/>
                <w:bCs/>
              </w:rPr>
              <w:t>3</w:t>
            </w:r>
            <w:r>
              <w:rPr>
                <w:rFonts w:hint="eastAsia" w:ascii="仿宋_GB2312" w:eastAsia="仿宋_GB2312"/>
                <w:bCs/>
              </w:rPr>
              <w:fldChar w:fldCharType="end"/>
            </w:r>
            <w:r>
              <w:rPr>
                <w:rFonts w:hint="eastAsia" w:ascii="仿宋_GB2312" w:eastAsia="仿宋_GB2312"/>
                <w:bCs/>
              </w:rPr>
              <w:t>页，共</w:t>
            </w:r>
            <w:r>
              <w:rPr>
                <w:rFonts w:ascii="仿宋_GB2312" w:eastAsia="仿宋_GB2312"/>
                <w:bCs/>
              </w:rPr>
              <w:fldChar w:fldCharType="begin"/>
            </w:r>
            <w:r>
              <w:rPr>
                <w:rFonts w:hint="eastAsia" w:ascii="仿宋_GB2312" w:eastAsia="仿宋_GB2312"/>
                <w:bCs/>
              </w:rPr>
              <w:instrText xml:space="preserve">=</w:instrText>
            </w:r>
            <w:r>
              <w:rPr>
                <w:rFonts w:ascii="仿宋_GB2312" w:eastAsia="仿宋_GB2312"/>
                <w:bCs/>
              </w:rPr>
              <w:fldChar w:fldCharType="begin"/>
            </w:r>
            <w:r>
              <w:rPr>
                <w:rFonts w:hint="eastAsia" w:ascii="仿宋_GB2312" w:eastAsia="仿宋_GB2312"/>
                <w:bCs/>
              </w:rPr>
              <w:instrText xml:space="preserve">numpages</w:instrText>
            </w:r>
            <w:r>
              <w:rPr>
                <w:rFonts w:ascii="仿宋_GB2312" w:eastAsia="仿宋_GB2312"/>
                <w:bCs/>
              </w:rPr>
              <w:fldChar w:fldCharType="separate"/>
            </w:r>
            <w:r>
              <w:rPr>
                <w:rFonts w:ascii="仿宋_GB2312" w:eastAsia="仿宋_GB2312"/>
                <w:bCs/>
              </w:rPr>
              <w:instrText xml:space="preserve">26</w:instrText>
            </w:r>
            <w:r>
              <w:rPr>
                <w:rFonts w:ascii="仿宋_GB2312" w:eastAsia="仿宋_GB2312"/>
                <w:bCs/>
              </w:rPr>
              <w:fldChar w:fldCharType="end"/>
            </w:r>
            <w:r>
              <w:rPr>
                <w:rFonts w:hint="eastAsia" w:ascii="仿宋_GB2312" w:eastAsia="仿宋_GB2312"/>
                <w:bCs/>
              </w:rPr>
              <w:instrText xml:space="preserve">-</w:instrText>
            </w:r>
            <w:r>
              <w:rPr>
                <w:rFonts w:ascii="仿宋_GB2312" w:eastAsia="仿宋_GB2312"/>
                <w:bCs/>
              </w:rPr>
              <w:instrText xml:space="preserve">2 </w:instrText>
            </w:r>
            <w:r>
              <w:rPr>
                <w:rFonts w:ascii="仿宋_GB2312" w:eastAsia="仿宋_GB2312"/>
                <w:bCs/>
              </w:rPr>
              <w:fldChar w:fldCharType="separate"/>
            </w:r>
            <w:r>
              <w:rPr>
                <w:rFonts w:ascii="仿宋_GB2312" w:eastAsia="仿宋_GB2312"/>
                <w:bCs/>
              </w:rPr>
              <w:t>24</w:t>
            </w:r>
            <w:r>
              <w:rPr>
                <w:rFonts w:ascii="仿宋_GB2312" w:eastAsia="仿宋_GB2312"/>
                <w:bCs/>
              </w:rPr>
              <w:fldChar w:fldCharType="end"/>
            </w:r>
            <w:r>
              <w:rPr>
                <w:rFonts w:hint="eastAsia" w:ascii="仿宋_GB2312" w:eastAsia="仿宋_GB2312"/>
                <w:bCs/>
              </w:rPr>
              <w:t>页</w:t>
            </w:r>
          </w:sdtContent>
        </w:sdt>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378187"/>
    </w:sdtPr>
    <w:sdtEndPr>
      <w:rPr>
        <w:rFonts w:hint="eastAsia" w:ascii="仿宋_GB2312" w:eastAsia="仿宋_GB2312"/>
      </w:rPr>
    </w:sdtEndPr>
    <w:sdtContent>
      <w:sdt>
        <w:sdtPr>
          <w:id w:val="1728636285"/>
        </w:sdtPr>
        <w:sdtEndPr>
          <w:rPr>
            <w:rFonts w:hint="eastAsia" w:ascii="仿宋_GB2312" w:eastAsia="仿宋_GB2312"/>
          </w:rPr>
        </w:sdtEndPr>
        <w:sdtContent>
          <w:p w14:paraId="04BFB241">
            <w:pPr>
              <w:pStyle w:val="9"/>
              <w:jc w:val="center"/>
              <w:rPr>
                <w:rFonts w:ascii="仿宋_GB2312" w:eastAsia="仿宋_GB2312"/>
              </w:rPr>
            </w:pPr>
            <w:r>
              <w:rPr>
                <w:rFonts w:hint="eastAsia" w:ascii="仿宋_GB2312" w:eastAsia="仿宋_GB2312"/>
              </w:rPr>
              <w:t>第</w:t>
            </w:r>
            <w:r>
              <w:rPr>
                <w:rFonts w:hint="eastAsia" w:ascii="仿宋_GB2312" w:eastAsia="仿宋_GB2312"/>
                <w:bCs/>
              </w:rPr>
              <w:fldChar w:fldCharType="begin"/>
            </w:r>
            <w:r>
              <w:rPr>
                <w:rFonts w:hint="eastAsia" w:ascii="仿宋_GB2312" w:eastAsia="仿宋_GB2312"/>
                <w:bCs/>
              </w:rPr>
              <w:instrText xml:space="preserve">PAGE</w:instrText>
            </w:r>
            <w:r>
              <w:rPr>
                <w:rFonts w:hint="eastAsia" w:ascii="仿宋_GB2312" w:eastAsia="仿宋_GB2312"/>
                <w:bCs/>
              </w:rPr>
              <w:fldChar w:fldCharType="separate"/>
            </w:r>
            <w:r>
              <w:rPr>
                <w:rFonts w:ascii="仿宋_GB2312" w:eastAsia="仿宋_GB2312"/>
                <w:bCs/>
              </w:rPr>
              <w:t>1</w:t>
            </w:r>
            <w:r>
              <w:rPr>
                <w:rFonts w:hint="eastAsia" w:ascii="仿宋_GB2312" w:eastAsia="仿宋_GB2312"/>
                <w:bCs/>
              </w:rPr>
              <w:fldChar w:fldCharType="end"/>
            </w:r>
            <w:r>
              <w:rPr>
                <w:rFonts w:hint="eastAsia" w:ascii="仿宋_GB2312" w:eastAsia="仿宋_GB2312"/>
                <w:bCs/>
              </w:rPr>
              <w:t>页，共</w:t>
            </w:r>
            <w:r>
              <w:rPr>
                <w:rFonts w:ascii="仿宋_GB2312" w:eastAsia="仿宋_GB2312"/>
                <w:bCs/>
              </w:rPr>
              <w:fldChar w:fldCharType="begin"/>
            </w:r>
            <w:r>
              <w:rPr>
                <w:rFonts w:hint="eastAsia" w:ascii="仿宋_GB2312" w:eastAsia="仿宋_GB2312"/>
                <w:bCs/>
              </w:rPr>
              <w:instrText xml:space="preserve">=</w:instrText>
            </w:r>
            <w:r>
              <w:rPr>
                <w:rFonts w:ascii="仿宋_GB2312" w:eastAsia="仿宋_GB2312"/>
                <w:bCs/>
              </w:rPr>
              <w:fldChar w:fldCharType="begin"/>
            </w:r>
            <w:r>
              <w:rPr>
                <w:rFonts w:hint="eastAsia" w:ascii="仿宋_GB2312" w:eastAsia="仿宋_GB2312"/>
                <w:bCs/>
              </w:rPr>
              <w:instrText xml:space="preserve">numpages</w:instrText>
            </w:r>
            <w:r>
              <w:rPr>
                <w:rFonts w:ascii="仿宋_GB2312" w:eastAsia="仿宋_GB2312"/>
                <w:bCs/>
              </w:rPr>
              <w:fldChar w:fldCharType="separate"/>
            </w:r>
            <w:r>
              <w:rPr>
                <w:rFonts w:ascii="仿宋_GB2312" w:eastAsia="仿宋_GB2312"/>
                <w:bCs/>
              </w:rPr>
              <w:instrText xml:space="preserve">26</w:instrText>
            </w:r>
            <w:r>
              <w:rPr>
                <w:rFonts w:ascii="仿宋_GB2312" w:eastAsia="仿宋_GB2312"/>
                <w:bCs/>
              </w:rPr>
              <w:fldChar w:fldCharType="end"/>
            </w:r>
            <w:r>
              <w:rPr>
                <w:rFonts w:hint="eastAsia" w:ascii="仿宋_GB2312" w:eastAsia="仿宋_GB2312"/>
                <w:bCs/>
              </w:rPr>
              <w:instrText xml:space="preserve">-</w:instrText>
            </w:r>
            <w:r>
              <w:rPr>
                <w:rFonts w:ascii="仿宋_GB2312" w:eastAsia="仿宋_GB2312"/>
                <w:bCs/>
              </w:rPr>
              <w:instrText xml:space="preserve">2 </w:instrText>
            </w:r>
            <w:r>
              <w:rPr>
                <w:rFonts w:ascii="仿宋_GB2312" w:eastAsia="仿宋_GB2312"/>
                <w:bCs/>
              </w:rPr>
              <w:fldChar w:fldCharType="separate"/>
            </w:r>
            <w:r>
              <w:rPr>
                <w:rFonts w:ascii="仿宋_GB2312" w:eastAsia="仿宋_GB2312"/>
                <w:bCs/>
              </w:rPr>
              <w:t>24</w:t>
            </w:r>
            <w:r>
              <w:rPr>
                <w:rFonts w:ascii="仿宋_GB2312" w:eastAsia="仿宋_GB2312"/>
                <w:bCs/>
              </w:rPr>
              <w:fldChar w:fldCharType="end"/>
            </w:r>
            <w:r>
              <w:rPr>
                <w:rFonts w:hint="eastAsia" w:ascii="仿宋_GB2312" w:eastAsia="仿宋_GB2312"/>
                <w:bCs/>
              </w:rPr>
              <w:t>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5AAE7">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C35D0">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984B6"/>
    <w:multiLevelType w:val="singleLevel"/>
    <w:tmpl w:val="C1C984B6"/>
    <w:lvl w:ilvl="0" w:tentative="0">
      <w:start w:val="4"/>
      <w:numFmt w:val="decimal"/>
      <w:suff w:val="nothing"/>
      <w:lvlText w:val="%1、"/>
      <w:lvlJc w:val="left"/>
      <w:pPr>
        <w:ind w:left="481" w:firstLine="0"/>
      </w:pPr>
    </w:lvl>
  </w:abstractNum>
  <w:abstractNum w:abstractNumId="1">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
    <w:nsid w:val="0DB92F93"/>
    <w:multiLevelType w:val="singleLevel"/>
    <w:tmpl w:val="0DB92F93"/>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3ZjdjMGM2Nzc2MDE2YWRhY2QyMzRjNmJhM2RlMGIifQ=="/>
  </w:docVars>
  <w:rsids>
    <w:rsidRoot w:val="007B2603"/>
    <w:rsid w:val="0000710E"/>
    <w:rsid w:val="00016B0D"/>
    <w:rsid w:val="000201D2"/>
    <w:rsid w:val="00020ED9"/>
    <w:rsid w:val="0002339B"/>
    <w:rsid w:val="00030BC4"/>
    <w:rsid w:val="0003151B"/>
    <w:rsid w:val="000360A9"/>
    <w:rsid w:val="00036B78"/>
    <w:rsid w:val="00040A26"/>
    <w:rsid w:val="00041498"/>
    <w:rsid w:val="0004414B"/>
    <w:rsid w:val="00047924"/>
    <w:rsid w:val="000505E7"/>
    <w:rsid w:val="00051BEA"/>
    <w:rsid w:val="00055271"/>
    <w:rsid w:val="00056B3F"/>
    <w:rsid w:val="00060134"/>
    <w:rsid w:val="00061174"/>
    <w:rsid w:val="000626FC"/>
    <w:rsid w:val="000629D1"/>
    <w:rsid w:val="00072D8B"/>
    <w:rsid w:val="0008372E"/>
    <w:rsid w:val="0009276D"/>
    <w:rsid w:val="00093002"/>
    <w:rsid w:val="00094BDC"/>
    <w:rsid w:val="00095AAF"/>
    <w:rsid w:val="00096473"/>
    <w:rsid w:val="000969EA"/>
    <w:rsid w:val="000A3ACA"/>
    <w:rsid w:val="000B19E2"/>
    <w:rsid w:val="000B229C"/>
    <w:rsid w:val="000B3F10"/>
    <w:rsid w:val="000B5DF8"/>
    <w:rsid w:val="000B5F89"/>
    <w:rsid w:val="000B7EED"/>
    <w:rsid w:val="000D4B67"/>
    <w:rsid w:val="000D4FE7"/>
    <w:rsid w:val="000D5D5D"/>
    <w:rsid w:val="000E2A78"/>
    <w:rsid w:val="000E44C7"/>
    <w:rsid w:val="000E6BD9"/>
    <w:rsid w:val="000F4290"/>
    <w:rsid w:val="00101929"/>
    <w:rsid w:val="00113B3B"/>
    <w:rsid w:val="00116836"/>
    <w:rsid w:val="00126B22"/>
    <w:rsid w:val="001278A4"/>
    <w:rsid w:val="00131739"/>
    <w:rsid w:val="001377BB"/>
    <w:rsid w:val="001426CD"/>
    <w:rsid w:val="001459F0"/>
    <w:rsid w:val="00152920"/>
    <w:rsid w:val="001640E4"/>
    <w:rsid w:val="0016531C"/>
    <w:rsid w:val="00166A9C"/>
    <w:rsid w:val="001704AA"/>
    <w:rsid w:val="0017511B"/>
    <w:rsid w:val="00177CC0"/>
    <w:rsid w:val="001844D3"/>
    <w:rsid w:val="00187E57"/>
    <w:rsid w:val="00193A18"/>
    <w:rsid w:val="001B0CD8"/>
    <w:rsid w:val="001B32F7"/>
    <w:rsid w:val="001B4F7C"/>
    <w:rsid w:val="001B53F2"/>
    <w:rsid w:val="001B5D3B"/>
    <w:rsid w:val="001C146F"/>
    <w:rsid w:val="001C63DB"/>
    <w:rsid w:val="001C7646"/>
    <w:rsid w:val="001D2D80"/>
    <w:rsid w:val="001D4C5E"/>
    <w:rsid w:val="001D536E"/>
    <w:rsid w:val="001E1C48"/>
    <w:rsid w:val="001E6D81"/>
    <w:rsid w:val="00205D3D"/>
    <w:rsid w:val="00206290"/>
    <w:rsid w:val="00210280"/>
    <w:rsid w:val="0021289D"/>
    <w:rsid w:val="00215289"/>
    <w:rsid w:val="00223796"/>
    <w:rsid w:val="002239A1"/>
    <w:rsid w:val="00232F14"/>
    <w:rsid w:val="002367FE"/>
    <w:rsid w:val="00237BF1"/>
    <w:rsid w:val="00260686"/>
    <w:rsid w:val="0026109A"/>
    <w:rsid w:val="002615DE"/>
    <w:rsid w:val="00264C63"/>
    <w:rsid w:val="0027259D"/>
    <w:rsid w:val="00273B0E"/>
    <w:rsid w:val="002759ED"/>
    <w:rsid w:val="00280DFF"/>
    <w:rsid w:val="00285ABD"/>
    <w:rsid w:val="0029079A"/>
    <w:rsid w:val="0029181B"/>
    <w:rsid w:val="002919DE"/>
    <w:rsid w:val="00297341"/>
    <w:rsid w:val="002A76DD"/>
    <w:rsid w:val="002B267A"/>
    <w:rsid w:val="002B2FCF"/>
    <w:rsid w:val="002B5031"/>
    <w:rsid w:val="002B6793"/>
    <w:rsid w:val="002C1B98"/>
    <w:rsid w:val="002E3AEB"/>
    <w:rsid w:val="002E5D81"/>
    <w:rsid w:val="002E718E"/>
    <w:rsid w:val="002E75D0"/>
    <w:rsid w:val="002F3D29"/>
    <w:rsid w:val="002F4561"/>
    <w:rsid w:val="003015EA"/>
    <w:rsid w:val="00312F5D"/>
    <w:rsid w:val="0033321E"/>
    <w:rsid w:val="003511B1"/>
    <w:rsid w:val="003517D6"/>
    <w:rsid w:val="00355A89"/>
    <w:rsid w:val="00365BC7"/>
    <w:rsid w:val="00380077"/>
    <w:rsid w:val="0038134C"/>
    <w:rsid w:val="00391736"/>
    <w:rsid w:val="003920E6"/>
    <w:rsid w:val="003B1EDA"/>
    <w:rsid w:val="003B23B4"/>
    <w:rsid w:val="003B257F"/>
    <w:rsid w:val="003B4A51"/>
    <w:rsid w:val="003B7604"/>
    <w:rsid w:val="003C1C7A"/>
    <w:rsid w:val="003D28CA"/>
    <w:rsid w:val="003D5227"/>
    <w:rsid w:val="003E5164"/>
    <w:rsid w:val="003F564D"/>
    <w:rsid w:val="0041192F"/>
    <w:rsid w:val="00415EC7"/>
    <w:rsid w:val="004213B1"/>
    <w:rsid w:val="0042372F"/>
    <w:rsid w:val="00431DE8"/>
    <w:rsid w:val="00432922"/>
    <w:rsid w:val="00437F99"/>
    <w:rsid w:val="00442DBD"/>
    <w:rsid w:val="00443394"/>
    <w:rsid w:val="00450408"/>
    <w:rsid w:val="00450EB0"/>
    <w:rsid w:val="004670DB"/>
    <w:rsid w:val="00487AAE"/>
    <w:rsid w:val="004B1B13"/>
    <w:rsid w:val="004B2E1E"/>
    <w:rsid w:val="004B6139"/>
    <w:rsid w:val="004B6916"/>
    <w:rsid w:val="004C260C"/>
    <w:rsid w:val="004C7215"/>
    <w:rsid w:val="004D3557"/>
    <w:rsid w:val="004E0918"/>
    <w:rsid w:val="004E680B"/>
    <w:rsid w:val="004F0F8E"/>
    <w:rsid w:val="004F41EF"/>
    <w:rsid w:val="004F42DA"/>
    <w:rsid w:val="004F562F"/>
    <w:rsid w:val="004F62DD"/>
    <w:rsid w:val="004F6E3F"/>
    <w:rsid w:val="00501919"/>
    <w:rsid w:val="00503D5F"/>
    <w:rsid w:val="005042C0"/>
    <w:rsid w:val="00506F33"/>
    <w:rsid w:val="00511474"/>
    <w:rsid w:val="00514E9A"/>
    <w:rsid w:val="00520C6D"/>
    <w:rsid w:val="005318FB"/>
    <w:rsid w:val="00532F32"/>
    <w:rsid w:val="0054682C"/>
    <w:rsid w:val="00546D51"/>
    <w:rsid w:val="00550260"/>
    <w:rsid w:val="005545C7"/>
    <w:rsid w:val="005600CD"/>
    <w:rsid w:val="00574CED"/>
    <w:rsid w:val="005971C9"/>
    <w:rsid w:val="005B6AD7"/>
    <w:rsid w:val="005C187D"/>
    <w:rsid w:val="005C29AB"/>
    <w:rsid w:val="005E2C69"/>
    <w:rsid w:val="006002CF"/>
    <w:rsid w:val="00614EE1"/>
    <w:rsid w:val="006179B7"/>
    <w:rsid w:val="00647EB9"/>
    <w:rsid w:val="00650CD9"/>
    <w:rsid w:val="00655479"/>
    <w:rsid w:val="0066237D"/>
    <w:rsid w:val="006628DE"/>
    <w:rsid w:val="0067576C"/>
    <w:rsid w:val="00677D2A"/>
    <w:rsid w:val="006830D7"/>
    <w:rsid w:val="00691860"/>
    <w:rsid w:val="00694131"/>
    <w:rsid w:val="006A0B21"/>
    <w:rsid w:val="006A2B85"/>
    <w:rsid w:val="006B2469"/>
    <w:rsid w:val="006B37C5"/>
    <w:rsid w:val="006B5DD4"/>
    <w:rsid w:val="006C5C0E"/>
    <w:rsid w:val="006C6AE8"/>
    <w:rsid w:val="006C7A22"/>
    <w:rsid w:val="006D2CD5"/>
    <w:rsid w:val="006D6583"/>
    <w:rsid w:val="006E0C17"/>
    <w:rsid w:val="006E3341"/>
    <w:rsid w:val="006F2BE3"/>
    <w:rsid w:val="006F5425"/>
    <w:rsid w:val="006F6C32"/>
    <w:rsid w:val="00701E0F"/>
    <w:rsid w:val="00710CB9"/>
    <w:rsid w:val="00714429"/>
    <w:rsid w:val="0071613B"/>
    <w:rsid w:val="00725344"/>
    <w:rsid w:val="00730C38"/>
    <w:rsid w:val="00741AEA"/>
    <w:rsid w:val="00754E1C"/>
    <w:rsid w:val="00756D9C"/>
    <w:rsid w:val="00757954"/>
    <w:rsid w:val="0077322A"/>
    <w:rsid w:val="00775A98"/>
    <w:rsid w:val="00776C20"/>
    <w:rsid w:val="007865CE"/>
    <w:rsid w:val="007876BD"/>
    <w:rsid w:val="007921A2"/>
    <w:rsid w:val="00797C56"/>
    <w:rsid w:val="007A083A"/>
    <w:rsid w:val="007A39A5"/>
    <w:rsid w:val="007A3AB7"/>
    <w:rsid w:val="007A3CAB"/>
    <w:rsid w:val="007B2603"/>
    <w:rsid w:val="007B2C75"/>
    <w:rsid w:val="007B4B1C"/>
    <w:rsid w:val="007C11B7"/>
    <w:rsid w:val="007D04BB"/>
    <w:rsid w:val="007D73C3"/>
    <w:rsid w:val="007E26B2"/>
    <w:rsid w:val="007E4329"/>
    <w:rsid w:val="007E4F09"/>
    <w:rsid w:val="007E71A6"/>
    <w:rsid w:val="007F28CF"/>
    <w:rsid w:val="007F5D09"/>
    <w:rsid w:val="007F7D05"/>
    <w:rsid w:val="008015C1"/>
    <w:rsid w:val="008072C6"/>
    <w:rsid w:val="00810696"/>
    <w:rsid w:val="00813C2C"/>
    <w:rsid w:val="00817E6C"/>
    <w:rsid w:val="00824C02"/>
    <w:rsid w:val="00825418"/>
    <w:rsid w:val="00832716"/>
    <w:rsid w:val="0083400A"/>
    <w:rsid w:val="00837AB0"/>
    <w:rsid w:val="00840E6F"/>
    <w:rsid w:val="00844095"/>
    <w:rsid w:val="00847BA4"/>
    <w:rsid w:val="008531E1"/>
    <w:rsid w:val="00853AD2"/>
    <w:rsid w:val="008626E1"/>
    <w:rsid w:val="00862F57"/>
    <w:rsid w:val="008702D1"/>
    <w:rsid w:val="00875E3F"/>
    <w:rsid w:val="00877CFF"/>
    <w:rsid w:val="0088095E"/>
    <w:rsid w:val="008853D1"/>
    <w:rsid w:val="008949E7"/>
    <w:rsid w:val="0089705A"/>
    <w:rsid w:val="0089784D"/>
    <w:rsid w:val="008A25A2"/>
    <w:rsid w:val="008A3D39"/>
    <w:rsid w:val="008B0071"/>
    <w:rsid w:val="008B1B77"/>
    <w:rsid w:val="008B3404"/>
    <w:rsid w:val="008C2569"/>
    <w:rsid w:val="008C679A"/>
    <w:rsid w:val="008D31D2"/>
    <w:rsid w:val="008D3BF1"/>
    <w:rsid w:val="008E30B0"/>
    <w:rsid w:val="008E4AD2"/>
    <w:rsid w:val="008F6B72"/>
    <w:rsid w:val="009008A2"/>
    <w:rsid w:val="00910C3D"/>
    <w:rsid w:val="00913632"/>
    <w:rsid w:val="00915229"/>
    <w:rsid w:val="009224C2"/>
    <w:rsid w:val="0093446D"/>
    <w:rsid w:val="009367E5"/>
    <w:rsid w:val="009425DD"/>
    <w:rsid w:val="00944A00"/>
    <w:rsid w:val="009552B9"/>
    <w:rsid w:val="009560FD"/>
    <w:rsid w:val="009619FE"/>
    <w:rsid w:val="00975FF6"/>
    <w:rsid w:val="00981022"/>
    <w:rsid w:val="0098129A"/>
    <w:rsid w:val="00981523"/>
    <w:rsid w:val="009837DB"/>
    <w:rsid w:val="00990D82"/>
    <w:rsid w:val="00994E72"/>
    <w:rsid w:val="009A0687"/>
    <w:rsid w:val="009B7853"/>
    <w:rsid w:val="009C7FD1"/>
    <w:rsid w:val="009D12A8"/>
    <w:rsid w:val="009D355A"/>
    <w:rsid w:val="009D5A9E"/>
    <w:rsid w:val="009D7D53"/>
    <w:rsid w:val="009E1841"/>
    <w:rsid w:val="009E52F1"/>
    <w:rsid w:val="009F12B6"/>
    <w:rsid w:val="009F3EE0"/>
    <w:rsid w:val="009F7BB5"/>
    <w:rsid w:val="00A105D8"/>
    <w:rsid w:val="00A1082D"/>
    <w:rsid w:val="00A15FD1"/>
    <w:rsid w:val="00A16D89"/>
    <w:rsid w:val="00A32075"/>
    <w:rsid w:val="00A337DF"/>
    <w:rsid w:val="00A3519F"/>
    <w:rsid w:val="00A359DE"/>
    <w:rsid w:val="00A35FBA"/>
    <w:rsid w:val="00A40E29"/>
    <w:rsid w:val="00A450BA"/>
    <w:rsid w:val="00A510EB"/>
    <w:rsid w:val="00A57AFB"/>
    <w:rsid w:val="00A600BF"/>
    <w:rsid w:val="00A6374A"/>
    <w:rsid w:val="00A6649B"/>
    <w:rsid w:val="00A67412"/>
    <w:rsid w:val="00A7181B"/>
    <w:rsid w:val="00A90B00"/>
    <w:rsid w:val="00AB02AC"/>
    <w:rsid w:val="00AB720A"/>
    <w:rsid w:val="00AC0F78"/>
    <w:rsid w:val="00AC6641"/>
    <w:rsid w:val="00AD0C38"/>
    <w:rsid w:val="00AD6581"/>
    <w:rsid w:val="00AF0F5D"/>
    <w:rsid w:val="00AF5DC2"/>
    <w:rsid w:val="00AF7502"/>
    <w:rsid w:val="00B01359"/>
    <w:rsid w:val="00B0522D"/>
    <w:rsid w:val="00B058FA"/>
    <w:rsid w:val="00B206CB"/>
    <w:rsid w:val="00B21278"/>
    <w:rsid w:val="00B253A3"/>
    <w:rsid w:val="00B255B0"/>
    <w:rsid w:val="00B25DCB"/>
    <w:rsid w:val="00B27DB8"/>
    <w:rsid w:val="00B30A62"/>
    <w:rsid w:val="00B36717"/>
    <w:rsid w:val="00B40EEF"/>
    <w:rsid w:val="00B44B26"/>
    <w:rsid w:val="00B56EE4"/>
    <w:rsid w:val="00B57689"/>
    <w:rsid w:val="00B61EEA"/>
    <w:rsid w:val="00B6490C"/>
    <w:rsid w:val="00B86135"/>
    <w:rsid w:val="00B93D97"/>
    <w:rsid w:val="00BA0FE1"/>
    <w:rsid w:val="00BB2823"/>
    <w:rsid w:val="00BB63AC"/>
    <w:rsid w:val="00BB7E70"/>
    <w:rsid w:val="00BC719B"/>
    <w:rsid w:val="00BD0517"/>
    <w:rsid w:val="00BD188E"/>
    <w:rsid w:val="00BD605A"/>
    <w:rsid w:val="00BE0530"/>
    <w:rsid w:val="00BE327C"/>
    <w:rsid w:val="00BE37D7"/>
    <w:rsid w:val="00BF19E7"/>
    <w:rsid w:val="00BF2D32"/>
    <w:rsid w:val="00C00215"/>
    <w:rsid w:val="00C028D3"/>
    <w:rsid w:val="00C03E0D"/>
    <w:rsid w:val="00C119A9"/>
    <w:rsid w:val="00C413AD"/>
    <w:rsid w:val="00C43620"/>
    <w:rsid w:val="00C46F45"/>
    <w:rsid w:val="00C47BDD"/>
    <w:rsid w:val="00C55936"/>
    <w:rsid w:val="00C6046E"/>
    <w:rsid w:val="00C61716"/>
    <w:rsid w:val="00C61FBD"/>
    <w:rsid w:val="00C82329"/>
    <w:rsid w:val="00C82719"/>
    <w:rsid w:val="00C90556"/>
    <w:rsid w:val="00C93ABC"/>
    <w:rsid w:val="00CB28BC"/>
    <w:rsid w:val="00CB4515"/>
    <w:rsid w:val="00CB74FA"/>
    <w:rsid w:val="00CC124B"/>
    <w:rsid w:val="00CC48F8"/>
    <w:rsid w:val="00CD3950"/>
    <w:rsid w:val="00CD6310"/>
    <w:rsid w:val="00CD6A2D"/>
    <w:rsid w:val="00CE0872"/>
    <w:rsid w:val="00CE647C"/>
    <w:rsid w:val="00CF3B7E"/>
    <w:rsid w:val="00CF6F81"/>
    <w:rsid w:val="00D0137E"/>
    <w:rsid w:val="00D05463"/>
    <w:rsid w:val="00D12529"/>
    <w:rsid w:val="00D12D6C"/>
    <w:rsid w:val="00D26C50"/>
    <w:rsid w:val="00D27E27"/>
    <w:rsid w:val="00D3513B"/>
    <w:rsid w:val="00D572A0"/>
    <w:rsid w:val="00D745F5"/>
    <w:rsid w:val="00D81981"/>
    <w:rsid w:val="00D823C5"/>
    <w:rsid w:val="00DB388E"/>
    <w:rsid w:val="00DC2FDF"/>
    <w:rsid w:val="00DC5136"/>
    <w:rsid w:val="00DD5391"/>
    <w:rsid w:val="00DD704F"/>
    <w:rsid w:val="00DD74A6"/>
    <w:rsid w:val="00DE066D"/>
    <w:rsid w:val="00DE333C"/>
    <w:rsid w:val="00DF745D"/>
    <w:rsid w:val="00E003A3"/>
    <w:rsid w:val="00E04F16"/>
    <w:rsid w:val="00E05E84"/>
    <w:rsid w:val="00E212D1"/>
    <w:rsid w:val="00E22A2A"/>
    <w:rsid w:val="00E301F3"/>
    <w:rsid w:val="00E35264"/>
    <w:rsid w:val="00E4018C"/>
    <w:rsid w:val="00E538FA"/>
    <w:rsid w:val="00E53DB4"/>
    <w:rsid w:val="00E55059"/>
    <w:rsid w:val="00E5598F"/>
    <w:rsid w:val="00E56B29"/>
    <w:rsid w:val="00E63DC7"/>
    <w:rsid w:val="00E651F9"/>
    <w:rsid w:val="00E67CAC"/>
    <w:rsid w:val="00E81259"/>
    <w:rsid w:val="00E902E9"/>
    <w:rsid w:val="00E97CA2"/>
    <w:rsid w:val="00EB7F13"/>
    <w:rsid w:val="00EC14ED"/>
    <w:rsid w:val="00EC1986"/>
    <w:rsid w:val="00EC47EA"/>
    <w:rsid w:val="00EE647F"/>
    <w:rsid w:val="00EF7CFD"/>
    <w:rsid w:val="00F01DA6"/>
    <w:rsid w:val="00F04C7E"/>
    <w:rsid w:val="00F05F1B"/>
    <w:rsid w:val="00F156A7"/>
    <w:rsid w:val="00F235CD"/>
    <w:rsid w:val="00F30238"/>
    <w:rsid w:val="00F3079F"/>
    <w:rsid w:val="00F3790E"/>
    <w:rsid w:val="00F439F9"/>
    <w:rsid w:val="00F44497"/>
    <w:rsid w:val="00F47350"/>
    <w:rsid w:val="00F52E77"/>
    <w:rsid w:val="00F5505C"/>
    <w:rsid w:val="00F569A5"/>
    <w:rsid w:val="00F63729"/>
    <w:rsid w:val="00F668A0"/>
    <w:rsid w:val="00F66A3B"/>
    <w:rsid w:val="00F73412"/>
    <w:rsid w:val="00F76958"/>
    <w:rsid w:val="00F9164A"/>
    <w:rsid w:val="00F91D1A"/>
    <w:rsid w:val="00FA1823"/>
    <w:rsid w:val="00FA3B91"/>
    <w:rsid w:val="00FA5607"/>
    <w:rsid w:val="00FB5C3E"/>
    <w:rsid w:val="00FD2FFE"/>
    <w:rsid w:val="00FE115F"/>
    <w:rsid w:val="00FE1B4A"/>
    <w:rsid w:val="00FE3BBE"/>
    <w:rsid w:val="00FF55B2"/>
    <w:rsid w:val="011B3180"/>
    <w:rsid w:val="01D64414"/>
    <w:rsid w:val="0211313B"/>
    <w:rsid w:val="022131F6"/>
    <w:rsid w:val="029B7D9B"/>
    <w:rsid w:val="03E04C9A"/>
    <w:rsid w:val="04583A5F"/>
    <w:rsid w:val="05463201"/>
    <w:rsid w:val="05F81733"/>
    <w:rsid w:val="06A522BE"/>
    <w:rsid w:val="08380533"/>
    <w:rsid w:val="08457889"/>
    <w:rsid w:val="08A53D26"/>
    <w:rsid w:val="08B0378C"/>
    <w:rsid w:val="09334182"/>
    <w:rsid w:val="09FE233E"/>
    <w:rsid w:val="0A840F5E"/>
    <w:rsid w:val="0AD24C5E"/>
    <w:rsid w:val="0B0F2140"/>
    <w:rsid w:val="0B5C1E1A"/>
    <w:rsid w:val="0C1546A5"/>
    <w:rsid w:val="0C274923"/>
    <w:rsid w:val="0CE0442A"/>
    <w:rsid w:val="0D310940"/>
    <w:rsid w:val="0D58062B"/>
    <w:rsid w:val="0D5F61FF"/>
    <w:rsid w:val="0DE7346F"/>
    <w:rsid w:val="0E116C89"/>
    <w:rsid w:val="0FC31749"/>
    <w:rsid w:val="10E16B8A"/>
    <w:rsid w:val="11827F98"/>
    <w:rsid w:val="12890A91"/>
    <w:rsid w:val="13AC1A4E"/>
    <w:rsid w:val="14C279FC"/>
    <w:rsid w:val="15323E58"/>
    <w:rsid w:val="15582E8C"/>
    <w:rsid w:val="1594066F"/>
    <w:rsid w:val="15B8610B"/>
    <w:rsid w:val="165104ED"/>
    <w:rsid w:val="16903CAA"/>
    <w:rsid w:val="1710299D"/>
    <w:rsid w:val="173A11AE"/>
    <w:rsid w:val="17662C10"/>
    <w:rsid w:val="17CF7D88"/>
    <w:rsid w:val="1816477C"/>
    <w:rsid w:val="187C0BCA"/>
    <w:rsid w:val="18CE1C68"/>
    <w:rsid w:val="1A0F4768"/>
    <w:rsid w:val="1AD65049"/>
    <w:rsid w:val="1B2A446E"/>
    <w:rsid w:val="1BB16611"/>
    <w:rsid w:val="1C7220D2"/>
    <w:rsid w:val="1D4110DC"/>
    <w:rsid w:val="1DD45AAC"/>
    <w:rsid w:val="1DDE2DCF"/>
    <w:rsid w:val="1E2F7E71"/>
    <w:rsid w:val="1EDB22FA"/>
    <w:rsid w:val="1F16049C"/>
    <w:rsid w:val="1F933E16"/>
    <w:rsid w:val="20393D38"/>
    <w:rsid w:val="2057280C"/>
    <w:rsid w:val="22340317"/>
    <w:rsid w:val="226736FE"/>
    <w:rsid w:val="22C06771"/>
    <w:rsid w:val="22C34063"/>
    <w:rsid w:val="23701377"/>
    <w:rsid w:val="249C01A8"/>
    <w:rsid w:val="24C2514D"/>
    <w:rsid w:val="259E3F78"/>
    <w:rsid w:val="26265313"/>
    <w:rsid w:val="267A4FAD"/>
    <w:rsid w:val="26A10F0F"/>
    <w:rsid w:val="26A82624"/>
    <w:rsid w:val="26F54E68"/>
    <w:rsid w:val="27380F0D"/>
    <w:rsid w:val="278435A7"/>
    <w:rsid w:val="27AE790A"/>
    <w:rsid w:val="27B15EC4"/>
    <w:rsid w:val="282C5259"/>
    <w:rsid w:val="28A228D4"/>
    <w:rsid w:val="29015BC3"/>
    <w:rsid w:val="29533C8B"/>
    <w:rsid w:val="2A4371F3"/>
    <w:rsid w:val="2AA91785"/>
    <w:rsid w:val="2BD93378"/>
    <w:rsid w:val="2C7D575E"/>
    <w:rsid w:val="2C7E318B"/>
    <w:rsid w:val="2CA660D4"/>
    <w:rsid w:val="2CB0695B"/>
    <w:rsid w:val="2D101015"/>
    <w:rsid w:val="2D1D78E7"/>
    <w:rsid w:val="2E244352"/>
    <w:rsid w:val="2E4430CC"/>
    <w:rsid w:val="2ECD628F"/>
    <w:rsid w:val="2F000D9D"/>
    <w:rsid w:val="2F237C5C"/>
    <w:rsid w:val="2F4C1FA1"/>
    <w:rsid w:val="2F9257C7"/>
    <w:rsid w:val="302F1268"/>
    <w:rsid w:val="30677E96"/>
    <w:rsid w:val="307F4318"/>
    <w:rsid w:val="312D52D3"/>
    <w:rsid w:val="314C20D4"/>
    <w:rsid w:val="324710A4"/>
    <w:rsid w:val="32A35459"/>
    <w:rsid w:val="332130EA"/>
    <w:rsid w:val="33227188"/>
    <w:rsid w:val="345A1211"/>
    <w:rsid w:val="35C03F47"/>
    <w:rsid w:val="35D644AE"/>
    <w:rsid w:val="36F57219"/>
    <w:rsid w:val="37AE5168"/>
    <w:rsid w:val="37CD6601"/>
    <w:rsid w:val="38C4447B"/>
    <w:rsid w:val="394A47D4"/>
    <w:rsid w:val="39EE3E95"/>
    <w:rsid w:val="39FE23D7"/>
    <w:rsid w:val="3AA83661"/>
    <w:rsid w:val="3ACA7317"/>
    <w:rsid w:val="3B273268"/>
    <w:rsid w:val="3B536BB7"/>
    <w:rsid w:val="3BF33900"/>
    <w:rsid w:val="3BF65E97"/>
    <w:rsid w:val="3C14470D"/>
    <w:rsid w:val="3C21638C"/>
    <w:rsid w:val="3CAA4150"/>
    <w:rsid w:val="3D040611"/>
    <w:rsid w:val="3D2E54C5"/>
    <w:rsid w:val="3DEE0DCE"/>
    <w:rsid w:val="3E0705A1"/>
    <w:rsid w:val="3E1000B3"/>
    <w:rsid w:val="3E3E7056"/>
    <w:rsid w:val="3E425D1E"/>
    <w:rsid w:val="3E5C591E"/>
    <w:rsid w:val="3EAF3CA0"/>
    <w:rsid w:val="3F525177"/>
    <w:rsid w:val="3F746867"/>
    <w:rsid w:val="3FCC368A"/>
    <w:rsid w:val="3FF6675F"/>
    <w:rsid w:val="41266FF8"/>
    <w:rsid w:val="41357287"/>
    <w:rsid w:val="415428DD"/>
    <w:rsid w:val="41F540C0"/>
    <w:rsid w:val="423D2A5E"/>
    <w:rsid w:val="428E4478"/>
    <w:rsid w:val="42976515"/>
    <w:rsid w:val="429C3771"/>
    <w:rsid w:val="43484D71"/>
    <w:rsid w:val="434D1CD9"/>
    <w:rsid w:val="43574906"/>
    <w:rsid w:val="436309E3"/>
    <w:rsid w:val="44446E09"/>
    <w:rsid w:val="45381B0C"/>
    <w:rsid w:val="453A2EA4"/>
    <w:rsid w:val="45F76370"/>
    <w:rsid w:val="46690BD8"/>
    <w:rsid w:val="46DC365C"/>
    <w:rsid w:val="470B1312"/>
    <w:rsid w:val="470D3C59"/>
    <w:rsid w:val="484A3FCB"/>
    <w:rsid w:val="48E939DD"/>
    <w:rsid w:val="490746D8"/>
    <w:rsid w:val="4A081F26"/>
    <w:rsid w:val="4A1E0E35"/>
    <w:rsid w:val="4B0B04B0"/>
    <w:rsid w:val="4B62209A"/>
    <w:rsid w:val="4B95246F"/>
    <w:rsid w:val="4D0F29B4"/>
    <w:rsid w:val="4E0E4BE2"/>
    <w:rsid w:val="4F0D2919"/>
    <w:rsid w:val="50F47D9E"/>
    <w:rsid w:val="51487C11"/>
    <w:rsid w:val="51EF6B01"/>
    <w:rsid w:val="53272ACA"/>
    <w:rsid w:val="542021B8"/>
    <w:rsid w:val="5431301F"/>
    <w:rsid w:val="546C5F5C"/>
    <w:rsid w:val="54B20DCD"/>
    <w:rsid w:val="54C17CB2"/>
    <w:rsid w:val="54ED50CA"/>
    <w:rsid w:val="55CA0F67"/>
    <w:rsid w:val="573445A3"/>
    <w:rsid w:val="57351D59"/>
    <w:rsid w:val="5A273B04"/>
    <w:rsid w:val="5A367E90"/>
    <w:rsid w:val="5A5725E7"/>
    <w:rsid w:val="5A5C22E7"/>
    <w:rsid w:val="5AA41F26"/>
    <w:rsid w:val="5C270EC2"/>
    <w:rsid w:val="5D45544B"/>
    <w:rsid w:val="5DBB1835"/>
    <w:rsid w:val="5EAE1B8C"/>
    <w:rsid w:val="5ED110D1"/>
    <w:rsid w:val="5F132D8C"/>
    <w:rsid w:val="5F17346F"/>
    <w:rsid w:val="5F6B55DA"/>
    <w:rsid w:val="5FE65C93"/>
    <w:rsid w:val="60C50CA9"/>
    <w:rsid w:val="616D55C9"/>
    <w:rsid w:val="617D1110"/>
    <w:rsid w:val="61B95C7B"/>
    <w:rsid w:val="622F507C"/>
    <w:rsid w:val="63032D17"/>
    <w:rsid w:val="6363356F"/>
    <w:rsid w:val="638F55BC"/>
    <w:rsid w:val="64521D8F"/>
    <w:rsid w:val="65050530"/>
    <w:rsid w:val="657A0974"/>
    <w:rsid w:val="658539A5"/>
    <w:rsid w:val="658F3703"/>
    <w:rsid w:val="66137941"/>
    <w:rsid w:val="66885CFA"/>
    <w:rsid w:val="675227A1"/>
    <w:rsid w:val="67BE583A"/>
    <w:rsid w:val="68420BFD"/>
    <w:rsid w:val="699F5E41"/>
    <w:rsid w:val="6AFD073E"/>
    <w:rsid w:val="6B325010"/>
    <w:rsid w:val="6B4E58C9"/>
    <w:rsid w:val="6B845C80"/>
    <w:rsid w:val="6C244750"/>
    <w:rsid w:val="6C386EAB"/>
    <w:rsid w:val="6CAC365A"/>
    <w:rsid w:val="6CBA3389"/>
    <w:rsid w:val="6CDF30F3"/>
    <w:rsid w:val="6D46202E"/>
    <w:rsid w:val="6DB24886"/>
    <w:rsid w:val="6EF44DA0"/>
    <w:rsid w:val="705526A5"/>
    <w:rsid w:val="705E07A0"/>
    <w:rsid w:val="72346062"/>
    <w:rsid w:val="728C762C"/>
    <w:rsid w:val="73260E48"/>
    <w:rsid w:val="762840E6"/>
    <w:rsid w:val="76524935"/>
    <w:rsid w:val="778863CE"/>
    <w:rsid w:val="77A2369A"/>
    <w:rsid w:val="780E7F23"/>
    <w:rsid w:val="78C241B3"/>
    <w:rsid w:val="791209DF"/>
    <w:rsid w:val="79DC10E6"/>
    <w:rsid w:val="7A4C6D7D"/>
    <w:rsid w:val="7A6F7968"/>
    <w:rsid w:val="7B08709E"/>
    <w:rsid w:val="7B7D6D54"/>
    <w:rsid w:val="7BBF3D1D"/>
    <w:rsid w:val="7CAA58D3"/>
    <w:rsid w:val="7CB27317"/>
    <w:rsid w:val="7D541837"/>
    <w:rsid w:val="7D6C0725"/>
    <w:rsid w:val="7E1536A4"/>
    <w:rsid w:val="7EB52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4">
    <w:name w:val="annotation text"/>
    <w:basedOn w:val="1"/>
    <w:link w:val="32"/>
    <w:unhideWhenUsed/>
    <w:qFormat/>
    <w:uiPriority w:val="99"/>
    <w:pPr>
      <w:jc w:val="left"/>
    </w:pPr>
  </w:style>
  <w:style w:type="paragraph" w:styleId="5">
    <w:name w:val="Body Text"/>
    <w:basedOn w:val="1"/>
    <w:next w:val="6"/>
    <w:link w:val="30"/>
    <w:unhideWhenUsed/>
    <w:qFormat/>
    <w:uiPriority w:val="99"/>
    <w:pPr>
      <w:spacing w:after="120"/>
    </w:pPr>
  </w:style>
  <w:style w:type="paragraph" w:styleId="6">
    <w:name w:val="Title"/>
    <w:basedOn w:val="1"/>
    <w:next w:val="1"/>
    <w:qFormat/>
    <w:uiPriority w:val="0"/>
    <w:pPr>
      <w:spacing w:before="240" w:after="60"/>
      <w:jc w:val="center"/>
      <w:outlineLvl w:val="0"/>
    </w:pPr>
    <w:rPr>
      <w:rFonts w:ascii="Arial" w:hAnsi="Arial" w:cs="Arial"/>
      <w:b/>
      <w:bCs/>
      <w:sz w:val="32"/>
      <w:szCs w:val="32"/>
    </w:rPr>
  </w:style>
  <w:style w:type="paragraph" w:styleId="7">
    <w:name w:val="Plain Text"/>
    <w:basedOn w:val="1"/>
    <w:link w:val="27"/>
    <w:qFormat/>
    <w:uiPriority w:val="0"/>
    <w:rPr>
      <w:rFonts w:ascii="宋体" w:hAnsi="Courier New"/>
      <w:kern w:val="0"/>
      <w:sz w:val="20"/>
    </w:rPr>
  </w:style>
  <w:style w:type="paragraph" w:styleId="8">
    <w:name w:val="Balloon Text"/>
    <w:basedOn w:val="1"/>
    <w:link w:val="23"/>
    <w:unhideWhenUsed/>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kern w:val="0"/>
      <w:sz w:val="18"/>
      <w:szCs w:val="18"/>
    </w:rPr>
  </w:style>
  <w:style w:type="paragraph" w:styleId="10">
    <w:name w:val="header"/>
    <w:basedOn w:val="1"/>
    <w:link w:val="3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annotation subject"/>
    <w:basedOn w:val="4"/>
    <w:next w:val="4"/>
    <w:link w:val="33"/>
    <w:unhideWhenUsed/>
    <w:qFormat/>
    <w:uiPriority w:val="99"/>
    <w:rPr>
      <w:b/>
      <w:bCs/>
    </w:rPr>
  </w:style>
  <w:style w:type="paragraph" w:styleId="12">
    <w:name w:val="Body Text First Indent"/>
    <w:basedOn w:val="5"/>
    <w:link w:val="25"/>
    <w:qFormat/>
    <w:uiPriority w:val="99"/>
    <w:pPr>
      <w:ind w:firstLine="420" w:firstLineChars="100"/>
    </w:p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rPr>
      <w:rFonts w:eastAsia="宋体"/>
      <w:kern w:val="2"/>
      <w:sz w:val="24"/>
      <w:szCs w:val="24"/>
      <w:lang w:val="en-US" w:eastAsia="zh-CN" w:bidi="ar-SA"/>
    </w:rPr>
  </w:style>
  <w:style w:type="character" w:styleId="17">
    <w:name w:val="FollowedHyperlink"/>
    <w:unhideWhenUsed/>
    <w:qFormat/>
    <w:uiPriority w:val="99"/>
    <w:rPr>
      <w:color w:val="003399"/>
      <w:u w:val="none"/>
    </w:rPr>
  </w:style>
  <w:style w:type="character" w:styleId="18">
    <w:name w:val="Emphasis"/>
    <w:basedOn w:val="15"/>
    <w:qFormat/>
    <w:uiPriority w:val="20"/>
    <w:rPr>
      <w:i/>
      <w:iCs/>
    </w:rPr>
  </w:style>
  <w:style w:type="character" w:styleId="19">
    <w:name w:val="Hyperlink"/>
    <w:unhideWhenUsed/>
    <w:qFormat/>
    <w:uiPriority w:val="99"/>
    <w:rPr>
      <w:color w:val="0066CC"/>
      <w:u w:val="none"/>
    </w:rPr>
  </w:style>
  <w:style w:type="character" w:styleId="20">
    <w:name w:val="annotation reference"/>
    <w:unhideWhenUsed/>
    <w:qFormat/>
    <w:uiPriority w:val="99"/>
    <w:rPr>
      <w:sz w:val="21"/>
      <w:szCs w:val="21"/>
    </w:rPr>
  </w:style>
  <w:style w:type="paragraph" w:customStyle="1" w:styleId="21">
    <w:name w:val="首行缩进"/>
    <w:basedOn w:val="1"/>
    <w:qFormat/>
    <w:uiPriority w:val="0"/>
    <w:pPr>
      <w:spacing w:line="300" w:lineRule="auto"/>
      <w:ind w:firstLine="420" w:firstLineChars="200"/>
    </w:pPr>
    <w:rPr>
      <w:rFonts w:eastAsia="方正书宋简体"/>
      <w:szCs w:val="20"/>
    </w:rPr>
  </w:style>
  <w:style w:type="character" w:customStyle="1" w:styleId="22">
    <w:name w:val="font11"/>
    <w:qFormat/>
    <w:uiPriority w:val="0"/>
    <w:rPr>
      <w:rFonts w:hint="default" w:ascii="Times New Roman" w:hAnsi="Times New Roman" w:cs="Times New Roman"/>
      <w:color w:val="000000"/>
      <w:sz w:val="20"/>
      <w:szCs w:val="20"/>
      <w:u w:val="none"/>
    </w:rPr>
  </w:style>
  <w:style w:type="character" w:customStyle="1" w:styleId="23">
    <w:name w:val="批注框文本 字符"/>
    <w:link w:val="8"/>
    <w:semiHidden/>
    <w:qFormat/>
    <w:uiPriority w:val="99"/>
    <w:rPr>
      <w:rFonts w:ascii="Times New Roman" w:hAnsi="Times New Roman"/>
      <w:kern w:val="2"/>
      <w:sz w:val="18"/>
      <w:szCs w:val="18"/>
    </w:rPr>
  </w:style>
  <w:style w:type="character" w:customStyle="1" w:styleId="24">
    <w:name w:val="正文首行缩进 Char"/>
    <w:qFormat/>
    <w:uiPriority w:val="0"/>
    <w:rPr>
      <w:kern w:val="2"/>
      <w:sz w:val="21"/>
      <w:szCs w:val="24"/>
    </w:rPr>
  </w:style>
  <w:style w:type="character" w:customStyle="1" w:styleId="25">
    <w:name w:val="正文文本首行缩进 字符"/>
    <w:link w:val="12"/>
    <w:semiHidden/>
    <w:qFormat/>
    <w:uiPriority w:val="99"/>
    <w:rPr>
      <w:rFonts w:ascii="Times New Roman" w:hAnsi="Times New Roman" w:eastAsia="宋体" w:cs="Times New Roman"/>
      <w:kern w:val="2"/>
      <w:sz w:val="21"/>
      <w:szCs w:val="24"/>
    </w:rPr>
  </w:style>
  <w:style w:type="character" w:customStyle="1" w:styleId="26">
    <w:name w:val="页脚 字符"/>
    <w:link w:val="9"/>
    <w:qFormat/>
    <w:uiPriority w:val="99"/>
    <w:rPr>
      <w:rFonts w:ascii="Times New Roman" w:hAnsi="Times New Roman" w:eastAsia="宋体" w:cs="Times New Roman"/>
      <w:sz w:val="18"/>
      <w:szCs w:val="18"/>
    </w:rPr>
  </w:style>
  <w:style w:type="character" w:customStyle="1" w:styleId="27">
    <w:name w:val="纯文本 字符"/>
    <w:link w:val="7"/>
    <w:qFormat/>
    <w:uiPriority w:val="0"/>
    <w:rPr>
      <w:rFonts w:ascii="宋体" w:hAnsi="Courier New" w:eastAsia="宋体" w:cs="Times New Roman"/>
      <w:szCs w:val="24"/>
    </w:rPr>
  </w:style>
  <w:style w:type="character" w:customStyle="1" w:styleId="28">
    <w:name w:val="font61"/>
    <w:qFormat/>
    <w:uiPriority w:val="0"/>
    <w:rPr>
      <w:rFonts w:hint="eastAsia" w:ascii="仿宋" w:hAnsi="仿宋" w:eastAsia="仿宋" w:cs="仿宋"/>
      <w:color w:val="000000"/>
      <w:sz w:val="20"/>
      <w:szCs w:val="20"/>
      <w:u w:val="none"/>
    </w:rPr>
  </w:style>
  <w:style w:type="character" w:customStyle="1" w:styleId="29">
    <w:name w:val="font51"/>
    <w:qFormat/>
    <w:uiPriority w:val="0"/>
    <w:rPr>
      <w:rFonts w:hint="eastAsia" w:ascii="宋体" w:hAnsi="宋体" w:eastAsia="宋体" w:cs="宋体"/>
      <w:b/>
      <w:color w:val="000000"/>
      <w:sz w:val="20"/>
      <w:szCs w:val="20"/>
      <w:u w:val="none"/>
    </w:rPr>
  </w:style>
  <w:style w:type="character" w:customStyle="1" w:styleId="30">
    <w:name w:val="正文文本 字符"/>
    <w:link w:val="5"/>
    <w:semiHidden/>
    <w:qFormat/>
    <w:uiPriority w:val="99"/>
    <w:rPr>
      <w:rFonts w:ascii="Times New Roman" w:hAnsi="Times New Roman" w:eastAsia="宋体" w:cs="Times New Roman"/>
      <w:kern w:val="2"/>
      <w:sz w:val="21"/>
      <w:szCs w:val="24"/>
    </w:rPr>
  </w:style>
  <w:style w:type="character" w:customStyle="1" w:styleId="31">
    <w:name w:val="legend"/>
    <w:qFormat/>
    <w:uiPriority w:val="0"/>
    <w:rPr>
      <w:rFonts w:ascii="Arial" w:hAnsi="Arial" w:cs="Arial"/>
      <w:b/>
      <w:color w:val="73B304"/>
      <w:sz w:val="21"/>
      <w:szCs w:val="21"/>
      <w:shd w:val="clear" w:color="auto" w:fill="FFFFFF"/>
    </w:rPr>
  </w:style>
  <w:style w:type="character" w:customStyle="1" w:styleId="32">
    <w:name w:val="批注文字 字符"/>
    <w:link w:val="4"/>
    <w:qFormat/>
    <w:uiPriority w:val="99"/>
    <w:rPr>
      <w:kern w:val="2"/>
      <w:sz w:val="21"/>
      <w:szCs w:val="24"/>
    </w:rPr>
  </w:style>
  <w:style w:type="character" w:customStyle="1" w:styleId="33">
    <w:name w:val="批注主题 字符"/>
    <w:basedOn w:val="32"/>
    <w:link w:val="11"/>
    <w:qFormat/>
    <w:uiPriority w:val="0"/>
    <w:rPr>
      <w:kern w:val="2"/>
      <w:sz w:val="21"/>
      <w:szCs w:val="24"/>
    </w:rPr>
  </w:style>
  <w:style w:type="character" w:customStyle="1" w:styleId="34">
    <w:name w:val="font21"/>
    <w:qFormat/>
    <w:uiPriority w:val="0"/>
    <w:rPr>
      <w:rFonts w:hint="eastAsia" w:ascii="仿宋" w:hAnsi="仿宋" w:eastAsia="仿宋" w:cs="仿宋"/>
      <w:b/>
      <w:color w:val="000000"/>
      <w:sz w:val="20"/>
      <w:szCs w:val="20"/>
      <w:u w:val="none"/>
    </w:rPr>
  </w:style>
  <w:style w:type="character" w:customStyle="1" w:styleId="35">
    <w:name w:val="font31"/>
    <w:qFormat/>
    <w:uiPriority w:val="0"/>
    <w:rPr>
      <w:rFonts w:hint="default" w:ascii="Times New Roman" w:hAnsi="Times New Roman" w:cs="Times New Roman"/>
      <w:b/>
      <w:color w:val="000000"/>
      <w:sz w:val="20"/>
      <w:szCs w:val="20"/>
      <w:u w:val="none"/>
    </w:rPr>
  </w:style>
  <w:style w:type="character" w:customStyle="1" w:styleId="36">
    <w:name w:val="页眉 字符"/>
    <w:link w:val="10"/>
    <w:qFormat/>
    <w:uiPriority w:val="0"/>
    <w:rPr>
      <w:rFonts w:ascii="Times New Roman" w:hAnsi="Times New Roman" w:eastAsia="宋体" w:cs="Times New Roman"/>
      <w:sz w:val="18"/>
      <w:szCs w:val="18"/>
    </w:rPr>
  </w:style>
  <w:style w:type="character" w:customStyle="1" w:styleId="37">
    <w:name w:val="font01"/>
    <w:qFormat/>
    <w:uiPriority w:val="0"/>
    <w:rPr>
      <w:rFonts w:ascii="仿宋" w:hAnsi="仿宋" w:eastAsia="仿宋" w:cs="仿宋"/>
      <w:b/>
      <w:color w:val="000000"/>
      <w:sz w:val="24"/>
      <w:szCs w:val="24"/>
      <w:u w:val="none"/>
    </w:rPr>
  </w:style>
  <w:style w:type="paragraph" w:customStyle="1" w:styleId="38">
    <w:name w:val="xl83"/>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39">
    <w:name w:val="xl10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40">
    <w:name w:val="xl93"/>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28"/>
      <w:szCs w:val="28"/>
      <w:u w:val="single"/>
    </w:rPr>
  </w:style>
  <w:style w:type="paragraph" w:customStyle="1" w:styleId="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2">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3">
    <w:name w:val="xl7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4">
    <w:name w:val="xl89"/>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45">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105"/>
    <w:basedOn w:val="1"/>
    <w:qFormat/>
    <w:uiPriority w:val="0"/>
    <w:pPr>
      <w:widowControl/>
      <w:pBdr>
        <w:top w:val="single" w:color="auto" w:sz="4" w:space="0"/>
      </w:pBdr>
      <w:spacing w:before="100" w:beforeAutospacing="1" w:after="100" w:afterAutospacing="1"/>
      <w:jc w:val="center"/>
    </w:pPr>
    <w:rPr>
      <w:rFonts w:ascii="宋体" w:hAnsi="宋体" w:cs="宋体"/>
      <w:kern w:val="0"/>
      <w:sz w:val="16"/>
      <w:szCs w:val="16"/>
    </w:rPr>
  </w:style>
  <w:style w:type="paragraph" w:customStyle="1" w:styleId="47">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
    <w:name w:val="xl102"/>
    <w:basedOn w:val="1"/>
    <w:qFormat/>
    <w:uiPriority w:val="0"/>
    <w:pPr>
      <w:widowControl/>
      <w:pBdr>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49">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51">
    <w:name w:val="xl7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2">
    <w:name w:val="xl10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3">
    <w:name w:val="xl94"/>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28"/>
      <w:szCs w:val="28"/>
      <w:u w:val="single"/>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5">
    <w:name w:val="xl79"/>
    <w:basedOn w:val="1"/>
    <w:qFormat/>
    <w:uiPriority w:val="0"/>
    <w:pPr>
      <w:widowControl/>
      <w:spacing w:before="100" w:beforeAutospacing="1" w:after="100" w:afterAutospacing="1"/>
      <w:jc w:val="center"/>
      <w:textAlignment w:val="bottom"/>
    </w:pPr>
    <w:rPr>
      <w:rFonts w:ascii="宋体" w:hAnsi="宋体" w:cs="宋体"/>
      <w:kern w:val="0"/>
      <w:sz w:val="20"/>
      <w:szCs w:val="20"/>
    </w:rPr>
  </w:style>
  <w:style w:type="paragraph" w:customStyle="1" w:styleId="5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57">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58">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9">
    <w:name w:val="xl73"/>
    <w:basedOn w:val="1"/>
    <w:qFormat/>
    <w:uiPriority w:val="0"/>
    <w:pPr>
      <w:widowControl/>
      <w:spacing w:before="100" w:beforeAutospacing="1" w:after="100" w:afterAutospacing="1"/>
      <w:jc w:val="center"/>
      <w:textAlignment w:val="bottom"/>
    </w:pPr>
    <w:rPr>
      <w:rFonts w:ascii="宋体" w:hAnsi="宋体" w:cs="宋体"/>
      <w:kern w:val="0"/>
      <w:sz w:val="16"/>
      <w:szCs w:val="16"/>
    </w:rPr>
  </w:style>
  <w:style w:type="paragraph" w:customStyle="1" w:styleId="60">
    <w:name w:val="xl10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6"/>
      <w:szCs w:val="16"/>
    </w:rPr>
  </w:style>
  <w:style w:type="paragraph" w:customStyle="1" w:styleId="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3">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64">
    <w:name w:val="xl74"/>
    <w:basedOn w:val="1"/>
    <w:qFormat/>
    <w:uiPriority w:val="0"/>
    <w:pPr>
      <w:widowControl/>
      <w:spacing w:before="100" w:beforeAutospacing="1" w:after="100" w:afterAutospacing="1"/>
      <w:jc w:val="center"/>
      <w:textAlignment w:val="bottom"/>
    </w:pPr>
    <w:rPr>
      <w:rFonts w:ascii="宋体" w:hAnsi="宋体" w:cs="宋体"/>
      <w:kern w:val="0"/>
      <w:sz w:val="16"/>
      <w:szCs w:val="16"/>
    </w:rPr>
  </w:style>
  <w:style w:type="paragraph" w:customStyle="1" w:styleId="65">
    <w:name w:val="xl106"/>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6">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7">
    <w:name w:val="xl1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9">
    <w:name w:val="Char"/>
    <w:basedOn w:val="1"/>
    <w:qFormat/>
    <w:uiPriority w:val="0"/>
    <w:rPr>
      <w:rFonts w:ascii="Calibri" w:hAnsi="Calibri" w:eastAsia="楷体_GB2312"/>
      <w:sz w:val="24"/>
      <w:szCs w:val="22"/>
    </w:rPr>
  </w:style>
  <w:style w:type="paragraph" w:customStyle="1" w:styleId="7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71">
    <w:name w:val="xl99"/>
    <w:basedOn w:val="1"/>
    <w:qFormat/>
    <w:uiPriority w:val="0"/>
    <w:pPr>
      <w:widowControl/>
      <w:spacing w:before="100" w:beforeAutospacing="1" w:after="100" w:afterAutospacing="1"/>
      <w:jc w:val="center"/>
    </w:pPr>
    <w:rPr>
      <w:rFonts w:ascii="宋体" w:hAnsi="宋体" w:cs="宋体"/>
      <w:kern w:val="0"/>
      <w:sz w:val="16"/>
      <w:szCs w:val="16"/>
    </w:rPr>
  </w:style>
  <w:style w:type="paragraph" w:customStyle="1" w:styleId="72">
    <w:name w:val="xl100"/>
    <w:basedOn w:val="1"/>
    <w:qFormat/>
    <w:uiPriority w:val="0"/>
    <w:pPr>
      <w:widowControl/>
      <w:pBdr>
        <w:right w:val="single" w:color="auto" w:sz="4" w:space="0"/>
      </w:pBdr>
      <w:spacing w:before="100" w:beforeAutospacing="1" w:after="100" w:afterAutospacing="1"/>
      <w:jc w:val="center"/>
    </w:pPr>
    <w:rPr>
      <w:rFonts w:ascii="宋体" w:hAnsi="宋体" w:cs="宋体"/>
      <w:kern w:val="0"/>
      <w:sz w:val="16"/>
      <w:szCs w:val="16"/>
    </w:rPr>
  </w:style>
  <w:style w:type="paragraph" w:customStyle="1" w:styleId="73">
    <w:name w:val="xl92"/>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8"/>
      <w:szCs w:val="28"/>
      <w:u w:val="single"/>
    </w:rPr>
  </w:style>
  <w:style w:type="paragraph" w:customStyle="1" w:styleId="74">
    <w:name w:val="xl75"/>
    <w:basedOn w:val="1"/>
    <w:qFormat/>
    <w:uiPriority w:val="0"/>
    <w:pPr>
      <w:widowControl/>
      <w:spacing w:before="100" w:beforeAutospacing="1" w:after="100" w:afterAutospacing="1"/>
      <w:jc w:val="center"/>
      <w:textAlignment w:val="bottom"/>
    </w:pPr>
    <w:rPr>
      <w:rFonts w:ascii="宋体" w:hAnsi="宋体" w:cs="宋体"/>
      <w:kern w:val="0"/>
      <w:sz w:val="16"/>
      <w:szCs w:val="16"/>
    </w:rPr>
  </w:style>
  <w:style w:type="paragraph" w:customStyle="1" w:styleId="75">
    <w:name w:val="xl10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76">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78">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79">
    <w:name w:val="xl9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80">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81">
    <w:name w:val="xl77"/>
    <w:basedOn w:val="1"/>
    <w:qFormat/>
    <w:uiPriority w:val="0"/>
    <w:pPr>
      <w:widowControl/>
      <w:spacing w:before="100" w:beforeAutospacing="1" w:after="100" w:afterAutospacing="1"/>
      <w:jc w:val="center"/>
    </w:pPr>
    <w:rPr>
      <w:rFonts w:ascii="宋体" w:hAnsi="宋体" w:cs="宋体"/>
      <w:color w:val="FF0000"/>
      <w:kern w:val="0"/>
      <w:sz w:val="24"/>
    </w:rPr>
  </w:style>
  <w:style w:type="paragraph" w:customStyle="1" w:styleId="8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3">
    <w:name w:val="xl98"/>
    <w:basedOn w:val="1"/>
    <w:qFormat/>
    <w:uiPriority w:val="0"/>
    <w:pPr>
      <w:widowControl/>
      <w:pBdr>
        <w:left w:val="single" w:color="auto" w:sz="4" w:space="0"/>
      </w:pBdr>
      <w:spacing w:before="100" w:beforeAutospacing="1" w:after="100" w:afterAutospacing="1"/>
      <w:jc w:val="center"/>
    </w:pPr>
    <w:rPr>
      <w:rFonts w:ascii="宋体" w:hAnsi="宋体" w:cs="宋体"/>
      <w:kern w:val="0"/>
      <w:sz w:val="16"/>
      <w:szCs w:val="16"/>
    </w:rPr>
  </w:style>
  <w:style w:type="paragraph" w:customStyle="1" w:styleId="8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85">
    <w:name w:val="Body text|1"/>
    <w:basedOn w:val="1"/>
    <w:qFormat/>
    <w:uiPriority w:val="0"/>
    <w:pPr>
      <w:spacing w:line="418" w:lineRule="auto"/>
      <w:ind w:firstLine="400"/>
    </w:pPr>
    <w:rPr>
      <w:rFonts w:ascii="宋体" w:hAnsi="宋体" w:cs="宋体"/>
      <w:sz w:val="19"/>
      <w:szCs w:val="19"/>
      <w:lang w:val="zh-TW" w:eastAsia="zh-TW" w:bidi="zh-TW"/>
    </w:rPr>
  </w:style>
  <w:style w:type="paragraph" w:customStyle="1" w:styleId="86">
    <w:name w:val="段"/>
    <w:qFormat/>
    <w:uiPriority w:val="0"/>
    <w:pPr>
      <w:jc w:val="center"/>
    </w:pPr>
    <w:rPr>
      <w:rFonts w:ascii="宋体" w:hAnsi="Times New Roman" w:eastAsia="仿宋_GB2312" w:cs="Times New Roman"/>
      <w:sz w:val="32"/>
      <w:lang w:val="en-US" w:eastAsia="zh-CN" w:bidi="ar-SA"/>
    </w:rPr>
  </w:style>
  <w:style w:type="character" w:customStyle="1" w:styleId="87">
    <w:name w:val="标题 1 字符"/>
    <w:basedOn w:val="15"/>
    <w:link w:val="3"/>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2EC38-B151-42EB-899C-35035A5F11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11457</Words>
  <Characters>11745</Characters>
  <DocSecurity>0</DocSecurity>
  <Lines>96</Lines>
  <Paragraphs>27</Paragraphs>
  <ScaleCrop>false</ScaleCrop>
  <LinksUpToDate>false</LinksUpToDate>
  <CharactersWithSpaces>12463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2022-09-28T06:24:00Z</cp:lastPrinted>
  <dcterms:created xsi:type="dcterms:W3CDTF">2023-08-08T06:01:00Z</dcterms:created>
  <dcterms:modified xsi:type="dcterms:W3CDTF">2025-05-21T06:49:20Z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BD8AE6D8C9D340AD8D545CA90AECAF4D_13</vt:lpwstr>
  </property>
  <property fmtid="{D5CDD505-2E9C-101B-9397-08002B2CF9AE}" pid="4" name="KSOTemplateDocerSaveRecord">
    <vt:lpwstr>eyJoZGlkIjoiYmFiNzFlNmZjNzU2NWJlMzU2YTU3M2Q2NDFkMDdkMDciLCJ1c2VySWQiOiIxMjc5MzUwMDY2In0=</vt:lpwstr>
  </property>
</Properties>
</file>