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27A9C2">
      <w:pPr>
        <w:spacing w:line="360" w:lineRule="auto"/>
        <w:ind w:firstLine="723" w:firstLineChars="200"/>
        <w:jc w:val="center"/>
        <w:rPr>
          <w:rFonts w:ascii="仿宋_GB2312" w:hAnsi="宋体" w:eastAsia="仿宋_GB2312"/>
          <w:b/>
          <w:color w:val="000000"/>
          <w:sz w:val="36"/>
          <w:szCs w:val="36"/>
          <w:highlight w:val="none"/>
        </w:rPr>
      </w:pPr>
    </w:p>
    <w:p w14:paraId="6DBD5FF1">
      <w:pPr>
        <w:pStyle w:val="12"/>
        <w:kinsoku w:val="0"/>
        <w:overflowPunct w:val="0"/>
        <w:ind w:left="0"/>
        <w:rPr>
          <w:rFonts w:ascii="Times New Roman" w:hAnsi="Times New Roman" w:eastAsia="Times New Roman"/>
          <w:sz w:val="20"/>
          <w:highlight w:val="none"/>
        </w:rPr>
      </w:pPr>
    </w:p>
    <w:p w14:paraId="73EBC85C">
      <w:pPr>
        <w:pStyle w:val="12"/>
        <w:kinsoku w:val="0"/>
        <w:overflowPunct w:val="0"/>
        <w:ind w:left="0"/>
        <w:rPr>
          <w:rFonts w:ascii="Times New Roman" w:hAnsi="Times New Roman" w:eastAsia="Times New Roman"/>
          <w:sz w:val="20"/>
          <w:highlight w:val="none"/>
        </w:rPr>
      </w:pPr>
    </w:p>
    <w:p w14:paraId="11233555">
      <w:pPr>
        <w:pStyle w:val="12"/>
        <w:kinsoku w:val="0"/>
        <w:overflowPunct w:val="0"/>
        <w:ind w:left="0"/>
        <w:rPr>
          <w:rFonts w:ascii="Times New Roman" w:hAnsi="Times New Roman" w:eastAsia="Times New Roman"/>
          <w:sz w:val="20"/>
          <w:highlight w:val="none"/>
        </w:rPr>
      </w:pPr>
    </w:p>
    <w:p w14:paraId="5A226F82">
      <w:pPr>
        <w:pStyle w:val="12"/>
        <w:kinsoku w:val="0"/>
        <w:overflowPunct w:val="0"/>
        <w:ind w:left="0"/>
        <w:rPr>
          <w:rFonts w:ascii="Times New Roman" w:hAnsi="Times New Roman" w:eastAsia="Times New Roman"/>
          <w:sz w:val="20"/>
          <w:highlight w:val="none"/>
        </w:rPr>
      </w:pPr>
    </w:p>
    <w:p w14:paraId="44486B70">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4"/>
          <w:szCs w:val="44"/>
          <w:highlight w:val="none"/>
          <w:lang w:val="en-US" w:eastAsia="zh-CN"/>
        </w:rPr>
      </w:pPr>
      <w:bookmarkStart w:id="0" w:name="_Toc6405"/>
      <w:r>
        <w:rPr>
          <w:rFonts w:hint="eastAsia" w:ascii="宋体" w:hAnsi="宋体" w:eastAsia="宋体" w:cs="宋体"/>
          <w:b/>
          <w:bCs/>
          <w:sz w:val="44"/>
          <w:szCs w:val="44"/>
          <w:highlight w:val="none"/>
          <w:lang w:val="en-US" w:eastAsia="zh-CN"/>
        </w:rPr>
        <w:t>广州市增城区西福河(沙河坊拦河坝至石厦陂左岸段)堤防达标整治工程</w:t>
      </w:r>
    </w:p>
    <w:p w14:paraId="7518CBF4">
      <w:pPr>
        <w:spacing w:line="360" w:lineRule="auto"/>
        <w:ind w:left="410" w:leftChars="171"/>
        <w:jc w:val="center"/>
        <w:rPr>
          <w:rFonts w:hint="eastAsia" w:ascii="宋体" w:hAnsi="宋体" w:cs="华文中宋"/>
          <w:b/>
          <w:bCs/>
          <w:color w:val="auto"/>
          <w:spacing w:val="40"/>
          <w:sz w:val="48"/>
          <w:szCs w:val="48"/>
          <w:highlight w:val="none"/>
        </w:rPr>
      </w:pPr>
      <w:r>
        <w:rPr>
          <w:rFonts w:hint="eastAsia" w:ascii="宋体" w:hAnsi="宋体" w:eastAsia="宋体" w:cs="宋体"/>
          <w:b/>
          <w:bCs/>
          <w:sz w:val="44"/>
          <w:szCs w:val="44"/>
          <w:highlight w:val="none"/>
          <w:lang w:val="en-US" w:eastAsia="zh-CN"/>
        </w:rPr>
        <w:t>施工监理</w:t>
      </w:r>
    </w:p>
    <w:bookmarkEnd w:id="0"/>
    <w:p w14:paraId="3FB7C38A">
      <w:pPr>
        <w:pStyle w:val="12"/>
        <w:kinsoku w:val="0"/>
        <w:overflowPunct w:val="0"/>
        <w:spacing w:before="2"/>
        <w:ind w:left="0"/>
        <w:rPr>
          <w:sz w:val="23"/>
          <w:highlight w:val="none"/>
        </w:rPr>
      </w:pPr>
    </w:p>
    <w:p w14:paraId="16C48FF5">
      <w:pPr>
        <w:pStyle w:val="12"/>
        <w:kinsoku w:val="0"/>
        <w:overflowPunct w:val="0"/>
        <w:ind w:left="0"/>
        <w:rPr>
          <w:sz w:val="20"/>
          <w:highlight w:val="none"/>
        </w:rPr>
      </w:pPr>
    </w:p>
    <w:p w14:paraId="0A534DFC">
      <w:pPr>
        <w:pStyle w:val="12"/>
        <w:kinsoku w:val="0"/>
        <w:overflowPunct w:val="0"/>
        <w:ind w:left="0"/>
        <w:rPr>
          <w:sz w:val="20"/>
          <w:highlight w:val="none"/>
        </w:rPr>
      </w:pPr>
    </w:p>
    <w:p w14:paraId="7EED292D">
      <w:pPr>
        <w:pStyle w:val="12"/>
        <w:kinsoku w:val="0"/>
        <w:overflowPunct w:val="0"/>
        <w:ind w:left="0"/>
        <w:rPr>
          <w:sz w:val="20"/>
          <w:highlight w:val="none"/>
        </w:rPr>
      </w:pPr>
    </w:p>
    <w:p w14:paraId="326B56AA">
      <w:pPr>
        <w:pStyle w:val="12"/>
        <w:kinsoku w:val="0"/>
        <w:overflowPunct w:val="0"/>
        <w:ind w:left="0"/>
        <w:rPr>
          <w:sz w:val="20"/>
          <w:highlight w:val="none"/>
        </w:rPr>
      </w:pPr>
    </w:p>
    <w:p w14:paraId="7F2D26AA">
      <w:pPr>
        <w:pStyle w:val="12"/>
        <w:kinsoku w:val="0"/>
        <w:overflowPunct w:val="0"/>
        <w:ind w:left="0"/>
        <w:rPr>
          <w:sz w:val="20"/>
          <w:highlight w:val="none"/>
        </w:rPr>
      </w:pPr>
    </w:p>
    <w:p w14:paraId="4DA6C3F2">
      <w:pPr>
        <w:pStyle w:val="12"/>
        <w:kinsoku w:val="0"/>
        <w:overflowPunct w:val="0"/>
        <w:spacing w:before="106"/>
        <w:ind w:left="3" w:right="4"/>
        <w:jc w:val="center"/>
        <w:rPr>
          <w:sz w:val="44"/>
          <w:highlight w:val="none"/>
        </w:rPr>
      </w:pPr>
      <w:r>
        <w:rPr>
          <w:rFonts w:hint="eastAsia" w:ascii="黑体" w:hAnsi="黑体" w:eastAsia="黑体"/>
          <w:sz w:val="84"/>
          <w:highlight w:val="none"/>
        </w:rPr>
        <w:t>招标文件</w:t>
      </w:r>
    </w:p>
    <w:p w14:paraId="0281AE05">
      <w:pPr>
        <w:pStyle w:val="12"/>
        <w:kinsoku w:val="0"/>
        <w:overflowPunct w:val="0"/>
        <w:ind w:left="0"/>
        <w:rPr>
          <w:sz w:val="44"/>
          <w:highlight w:val="none"/>
        </w:rPr>
      </w:pPr>
    </w:p>
    <w:p w14:paraId="3F8186E3">
      <w:pPr>
        <w:pStyle w:val="12"/>
        <w:kinsoku w:val="0"/>
        <w:overflowPunct w:val="0"/>
        <w:ind w:left="0"/>
        <w:rPr>
          <w:sz w:val="44"/>
          <w:highlight w:val="none"/>
        </w:rPr>
      </w:pPr>
    </w:p>
    <w:p w14:paraId="3B23748F">
      <w:pPr>
        <w:pStyle w:val="12"/>
        <w:kinsoku w:val="0"/>
        <w:overflowPunct w:val="0"/>
        <w:ind w:left="0"/>
        <w:rPr>
          <w:sz w:val="44"/>
          <w:highlight w:val="none"/>
        </w:rPr>
      </w:pPr>
    </w:p>
    <w:p w14:paraId="17998B4F">
      <w:pPr>
        <w:pStyle w:val="12"/>
        <w:kinsoku w:val="0"/>
        <w:overflowPunct w:val="0"/>
        <w:ind w:left="0"/>
        <w:rPr>
          <w:sz w:val="44"/>
          <w:highlight w:val="none"/>
        </w:rPr>
      </w:pPr>
    </w:p>
    <w:p w14:paraId="50CD23F2">
      <w:pPr>
        <w:pStyle w:val="12"/>
        <w:kinsoku w:val="0"/>
        <w:overflowPunct w:val="0"/>
        <w:ind w:left="0"/>
        <w:rPr>
          <w:sz w:val="44"/>
          <w:highlight w:val="none"/>
        </w:rPr>
      </w:pPr>
    </w:p>
    <w:p w14:paraId="472B7CD4">
      <w:pPr>
        <w:pStyle w:val="12"/>
        <w:kinsoku w:val="0"/>
        <w:overflowPunct w:val="0"/>
        <w:ind w:left="0"/>
        <w:rPr>
          <w:sz w:val="44"/>
          <w:highlight w:val="none"/>
        </w:rPr>
      </w:pPr>
    </w:p>
    <w:p w14:paraId="669AC51A">
      <w:pPr>
        <w:pStyle w:val="12"/>
        <w:kinsoku w:val="0"/>
        <w:overflowPunct w:val="0"/>
        <w:ind w:left="0"/>
        <w:rPr>
          <w:sz w:val="44"/>
          <w:highlight w:val="none"/>
        </w:rPr>
      </w:pPr>
    </w:p>
    <w:p w14:paraId="7A44D2DA">
      <w:pPr>
        <w:pStyle w:val="12"/>
        <w:kinsoku w:val="0"/>
        <w:overflowPunct w:val="0"/>
        <w:spacing w:before="8"/>
        <w:ind w:left="0"/>
        <w:rPr>
          <w:sz w:val="33"/>
          <w:highlight w:val="none"/>
        </w:rPr>
      </w:pPr>
    </w:p>
    <w:p w14:paraId="5A76824D">
      <w:pPr>
        <w:pStyle w:val="12"/>
        <w:kinsoku w:val="0"/>
        <w:overflowPunct w:val="0"/>
        <w:spacing w:before="8"/>
        <w:rPr>
          <w:rFonts w:ascii="黑体" w:hAnsi="黑体" w:eastAsia="黑体" w:cs="黑体"/>
          <w:spacing w:val="-4"/>
          <w:sz w:val="27"/>
          <w:szCs w:val="27"/>
          <w:highlight w:val="none"/>
        </w:rPr>
      </w:pPr>
      <w:r>
        <w:rPr>
          <w:rFonts w:hint="eastAsia" w:ascii="黑体" w:hAnsi="黑体" w:eastAsia="黑体" w:cs="黑体"/>
          <w:spacing w:val="-4"/>
          <w:sz w:val="27"/>
          <w:szCs w:val="27"/>
          <w:highlight w:val="none"/>
        </w:rPr>
        <w:t>招  标 单 位：</w:t>
      </w:r>
      <w:r>
        <w:rPr>
          <w:rFonts w:hint="eastAsia" w:ascii="黑体" w:hAnsi="黑体" w:eastAsia="黑体" w:cs="黑体"/>
          <w:spacing w:val="-4"/>
          <w:sz w:val="27"/>
          <w:szCs w:val="27"/>
          <w:highlight w:val="none"/>
          <w:lang w:eastAsia="zh-CN"/>
        </w:rPr>
        <w:t>广州市增城区水务建设管理所</w:t>
      </w:r>
      <w:r>
        <w:rPr>
          <w:rFonts w:hint="eastAsia" w:ascii="黑体" w:hAnsi="黑体" w:eastAsia="黑体" w:cs="黑体"/>
          <w:spacing w:val="-4"/>
          <w:sz w:val="27"/>
          <w:szCs w:val="27"/>
          <w:highlight w:val="none"/>
        </w:rPr>
        <w:t>(盖单位章)</w:t>
      </w:r>
    </w:p>
    <w:p w14:paraId="58CB50CA">
      <w:pPr>
        <w:spacing w:before="88" w:line="468" w:lineRule="auto"/>
        <w:ind w:firstLine="524" w:firstLineChars="200"/>
        <w:rPr>
          <w:rFonts w:ascii="黑体" w:hAnsi="黑体" w:eastAsia="黑体" w:cs="黑体"/>
          <w:sz w:val="27"/>
          <w:szCs w:val="27"/>
          <w:highlight w:val="none"/>
        </w:rPr>
      </w:pPr>
      <w:r>
        <w:rPr>
          <w:rFonts w:hint="eastAsia" w:ascii="黑体" w:hAnsi="黑体" w:eastAsia="黑体" w:cs="黑体"/>
          <w:spacing w:val="-4"/>
          <w:sz w:val="27"/>
          <w:szCs w:val="27"/>
          <w:highlight w:val="none"/>
        </w:rPr>
        <w:t>招标代理单位：</w:t>
      </w:r>
      <w:r>
        <w:rPr>
          <w:rFonts w:hint="eastAsia" w:ascii="黑体" w:hAnsi="黑体" w:eastAsia="黑体" w:cs="黑体"/>
          <w:spacing w:val="-4"/>
          <w:sz w:val="27"/>
          <w:szCs w:val="27"/>
          <w:highlight w:val="none"/>
          <w:lang w:eastAsia="zh-CN"/>
        </w:rPr>
        <w:t>广东省建筑工程监理有限公司</w:t>
      </w:r>
      <w:r>
        <w:rPr>
          <w:rFonts w:hint="eastAsia" w:ascii="黑体" w:hAnsi="黑体" w:eastAsia="黑体" w:cs="黑体"/>
          <w:spacing w:val="-4"/>
          <w:sz w:val="27"/>
          <w:szCs w:val="27"/>
          <w:highlight w:val="none"/>
        </w:rPr>
        <w:t>(盖单位章)</w:t>
      </w:r>
    </w:p>
    <w:p w14:paraId="7BC738B0">
      <w:pPr>
        <w:pStyle w:val="12"/>
        <w:tabs>
          <w:tab w:val="left" w:pos="3611"/>
          <w:tab w:val="left" w:pos="4626"/>
          <w:tab w:val="left" w:pos="5642"/>
        </w:tabs>
        <w:kinsoku w:val="0"/>
        <w:overflowPunct w:val="0"/>
        <w:spacing w:before="14"/>
        <w:ind w:left="2877" w:right="175"/>
        <w:rPr>
          <w:sz w:val="28"/>
          <w:highlight w:val="none"/>
        </w:rPr>
        <w:sectPr>
          <w:footerReference r:id="rId3" w:type="default"/>
          <w:pgSz w:w="11905" w:h="16838"/>
          <w:pgMar w:top="1417" w:right="1417" w:bottom="1417" w:left="1417" w:header="720" w:footer="720" w:gutter="0"/>
          <w:cols w:space="720" w:num="1"/>
        </w:sectPr>
      </w:pPr>
      <w:r>
        <w:rPr>
          <w:rFonts w:hint="eastAsia" w:ascii="黑体" w:hAnsi="黑体" w:eastAsia="黑体" w:cs="黑体"/>
          <w:sz w:val="27"/>
          <w:szCs w:val="27"/>
          <w:highlight w:val="none"/>
          <w:u w:val="single"/>
        </w:rPr>
        <w:t>202</w:t>
      </w:r>
      <w:r>
        <w:rPr>
          <w:rFonts w:hint="eastAsia" w:ascii="黑体" w:hAnsi="黑体" w:eastAsia="黑体" w:cs="黑体"/>
          <w:sz w:val="27"/>
          <w:szCs w:val="27"/>
          <w:highlight w:val="none"/>
          <w:u w:val="single"/>
          <w:lang w:val="en-US" w:eastAsia="zh-CN"/>
        </w:rPr>
        <w:t>5</w:t>
      </w:r>
      <w:r>
        <w:rPr>
          <w:rFonts w:hint="eastAsia" w:ascii="黑体" w:hAnsi="黑体" w:eastAsia="黑体" w:cs="黑体"/>
          <w:spacing w:val="6"/>
          <w:sz w:val="27"/>
          <w:szCs w:val="27"/>
          <w:highlight w:val="none"/>
        </w:rPr>
        <w:t>年</w:t>
      </w:r>
      <w:r>
        <w:rPr>
          <w:rFonts w:hint="eastAsia" w:ascii="黑体" w:hAnsi="黑体" w:eastAsia="黑体" w:cs="黑体"/>
          <w:spacing w:val="3"/>
          <w:sz w:val="27"/>
          <w:szCs w:val="27"/>
          <w:highlight w:val="none"/>
          <w:u w:val="single"/>
          <w:lang w:val="en-US" w:eastAsia="zh-CN"/>
        </w:rPr>
        <w:t>4</w:t>
      </w:r>
      <w:r>
        <w:rPr>
          <w:rFonts w:hint="eastAsia" w:ascii="黑体" w:hAnsi="黑体" w:eastAsia="黑体" w:cs="黑体"/>
          <w:spacing w:val="3"/>
          <w:sz w:val="27"/>
          <w:szCs w:val="27"/>
          <w:highlight w:val="none"/>
        </w:rPr>
        <w:t>月</w:t>
      </w:r>
    </w:p>
    <w:sdt>
      <w:sdtPr>
        <w:rPr>
          <w:rFonts w:hint="eastAsia" w:ascii="宋体" w:hAnsi="宋体" w:cs="宋体"/>
          <w:sz w:val="21"/>
          <w:highlight w:val="none"/>
        </w:rPr>
        <w:id w:val="147452449"/>
      </w:sdtPr>
      <w:sdtEndPr>
        <w:rPr>
          <w:rFonts w:hint="eastAsia" w:ascii="宋体" w:hAnsi="宋体" w:cs="宋体"/>
          <w:sz w:val="21"/>
          <w:highlight w:val="none"/>
        </w:rPr>
      </w:sdtEndPr>
      <w:sdtContent>
        <w:p w14:paraId="2750220D">
          <w:pPr>
            <w:spacing w:line="360" w:lineRule="auto"/>
            <w:jc w:val="center"/>
            <w:rPr>
              <w:rFonts w:ascii="宋体" w:hAnsi="宋体" w:cs="宋体"/>
              <w:b/>
              <w:bCs/>
              <w:sz w:val="30"/>
              <w:szCs w:val="30"/>
              <w:highlight w:val="none"/>
            </w:rPr>
          </w:pPr>
          <w:r>
            <w:rPr>
              <w:rFonts w:hint="eastAsia" w:ascii="宋体" w:hAnsi="宋体" w:cs="宋体"/>
              <w:b/>
              <w:bCs/>
              <w:sz w:val="30"/>
              <w:szCs w:val="30"/>
              <w:highlight w:val="none"/>
            </w:rPr>
            <w:t>目 录</w:t>
          </w:r>
        </w:p>
        <w:p w14:paraId="7B02BB54">
          <w:pPr>
            <w:pStyle w:val="18"/>
            <w:tabs>
              <w:tab w:val="right" w:leader="dot" w:pos="9071"/>
            </w:tabs>
            <w:spacing w:line="360" w:lineRule="auto"/>
            <w:rPr>
              <w:rFonts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TOC \o "1-3" \h \u </w:instrText>
          </w:r>
          <w:r>
            <w:rPr>
              <w:rFonts w:hint="eastAsia" w:ascii="宋体" w:hAnsi="宋体" w:cs="宋体"/>
              <w:highlight w:val="none"/>
            </w:rPr>
            <w:fldChar w:fldCharType="separate"/>
          </w:r>
          <w:r>
            <w:rPr>
              <w:highlight w:val="none"/>
            </w:rPr>
            <w:fldChar w:fldCharType="begin"/>
          </w:r>
          <w:r>
            <w:rPr>
              <w:highlight w:val="none"/>
            </w:rPr>
            <w:instrText xml:space="preserve"> HYPERLINK \l "_Toc19294" </w:instrText>
          </w:r>
          <w:r>
            <w:rPr>
              <w:highlight w:val="none"/>
            </w:rPr>
            <w:fldChar w:fldCharType="separate"/>
          </w:r>
          <w:r>
            <w:rPr>
              <w:rFonts w:hint="eastAsia" w:ascii="宋体" w:hAnsi="宋体" w:cs="宋体"/>
              <w:b/>
              <w:bCs/>
              <w:highlight w:val="none"/>
            </w:rPr>
            <w:t>第一卷</w:t>
          </w:r>
          <w:r>
            <w:rPr>
              <w:rFonts w:hint="eastAsia" w:ascii="宋体" w:hAnsi="宋体" w:cs="宋体"/>
              <w:b/>
              <w:bCs/>
              <w:highlight w:val="none"/>
            </w:rPr>
            <w:tab/>
          </w:r>
          <w:r>
            <w:rPr>
              <w:rFonts w:hint="eastAsia" w:ascii="宋体" w:hAnsi="宋体" w:cs="宋体"/>
              <w:b/>
              <w:bCs/>
              <w:highlight w:val="none"/>
            </w:rPr>
            <w:fldChar w:fldCharType="begin"/>
          </w:r>
          <w:r>
            <w:rPr>
              <w:rFonts w:hint="eastAsia" w:ascii="宋体" w:hAnsi="宋体" w:cs="宋体"/>
              <w:b/>
              <w:bCs/>
              <w:highlight w:val="none"/>
            </w:rPr>
            <w:instrText xml:space="preserve"> PAGEREF _Toc19294 \h </w:instrText>
          </w:r>
          <w:r>
            <w:rPr>
              <w:rFonts w:hint="eastAsia" w:ascii="宋体" w:hAnsi="宋体" w:cs="宋体"/>
              <w:b/>
              <w:bCs/>
              <w:highlight w:val="none"/>
            </w:rPr>
            <w:fldChar w:fldCharType="separate"/>
          </w:r>
          <w:r>
            <w:rPr>
              <w:rFonts w:ascii="宋体" w:hAnsi="宋体" w:cs="宋体"/>
              <w:b/>
              <w:bCs/>
              <w:highlight w:val="none"/>
            </w:rPr>
            <w:t>3</w:t>
          </w:r>
          <w:r>
            <w:rPr>
              <w:rFonts w:hint="eastAsia" w:ascii="宋体" w:hAnsi="宋体" w:cs="宋体"/>
              <w:b/>
              <w:bCs/>
              <w:highlight w:val="none"/>
            </w:rPr>
            <w:fldChar w:fldCharType="end"/>
          </w:r>
          <w:r>
            <w:rPr>
              <w:rFonts w:hint="eastAsia" w:ascii="宋体" w:hAnsi="宋体" w:cs="宋体"/>
              <w:b/>
              <w:bCs/>
              <w:highlight w:val="none"/>
            </w:rPr>
            <w:fldChar w:fldCharType="end"/>
          </w:r>
        </w:p>
        <w:p w14:paraId="0017882B">
          <w:pPr>
            <w:pStyle w:val="19"/>
            <w:tabs>
              <w:tab w:val="right" w:leader="dot" w:pos="9071"/>
            </w:tabs>
            <w:spacing w:line="360" w:lineRule="auto"/>
            <w:ind w:left="480"/>
            <w:rPr>
              <w:rFonts w:ascii="宋体" w:hAnsi="宋体" w:cs="宋体"/>
              <w:highlight w:val="none"/>
            </w:rPr>
          </w:pPr>
          <w:r>
            <w:rPr>
              <w:highlight w:val="none"/>
            </w:rPr>
            <w:fldChar w:fldCharType="begin"/>
          </w:r>
          <w:r>
            <w:rPr>
              <w:highlight w:val="none"/>
            </w:rPr>
            <w:instrText xml:space="preserve"> HYPERLINK \l "_Toc4842" </w:instrText>
          </w:r>
          <w:r>
            <w:rPr>
              <w:highlight w:val="none"/>
            </w:rPr>
            <w:fldChar w:fldCharType="separate"/>
          </w:r>
          <w:r>
            <w:rPr>
              <w:rFonts w:hint="eastAsia" w:ascii="宋体" w:hAnsi="宋体" w:cs="宋体"/>
              <w:highlight w:val="none"/>
            </w:rPr>
            <w:t>第一章 招标公告</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_Toc4842 \h </w:instrText>
          </w:r>
          <w:r>
            <w:rPr>
              <w:rFonts w:hint="eastAsia" w:ascii="宋体" w:hAnsi="宋体" w:cs="宋体"/>
              <w:highlight w:val="none"/>
            </w:rPr>
            <w:fldChar w:fldCharType="separate"/>
          </w:r>
          <w:r>
            <w:rPr>
              <w:rFonts w:ascii="宋体" w:hAnsi="宋体" w:cs="宋体"/>
              <w:highlight w:val="none"/>
            </w:rPr>
            <w:t>4</w:t>
          </w:r>
          <w:r>
            <w:rPr>
              <w:rFonts w:hint="eastAsia" w:ascii="宋体" w:hAnsi="宋体" w:cs="宋体"/>
              <w:highlight w:val="none"/>
            </w:rPr>
            <w:fldChar w:fldCharType="end"/>
          </w:r>
          <w:r>
            <w:rPr>
              <w:rFonts w:hint="eastAsia" w:ascii="宋体" w:hAnsi="宋体" w:cs="宋体"/>
              <w:highlight w:val="none"/>
            </w:rPr>
            <w:fldChar w:fldCharType="end"/>
          </w:r>
        </w:p>
        <w:p w14:paraId="688A5B32">
          <w:pPr>
            <w:pStyle w:val="19"/>
            <w:tabs>
              <w:tab w:val="right" w:leader="dot" w:pos="9071"/>
            </w:tabs>
            <w:spacing w:line="360" w:lineRule="auto"/>
            <w:ind w:left="480"/>
            <w:rPr>
              <w:rFonts w:ascii="宋体" w:hAnsi="宋体" w:cs="宋体"/>
              <w:highlight w:val="none"/>
            </w:rPr>
          </w:pPr>
          <w:r>
            <w:rPr>
              <w:highlight w:val="none"/>
            </w:rPr>
            <w:fldChar w:fldCharType="begin"/>
          </w:r>
          <w:r>
            <w:rPr>
              <w:highlight w:val="none"/>
            </w:rPr>
            <w:instrText xml:space="preserve"> HYPERLINK \l "_Toc10685" </w:instrText>
          </w:r>
          <w:r>
            <w:rPr>
              <w:highlight w:val="none"/>
            </w:rPr>
            <w:fldChar w:fldCharType="separate"/>
          </w:r>
          <w:r>
            <w:rPr>
              <w:rFonts w:hint="eastAsia" w:ascii="宋体" w:hAnsi="宋体" w:cs="宋体"/>
              <w:highlight w:val="none"/>
            </w:rPr>
            <w:t>第二章 投标人须知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_Toc10685 \h </w:instrText>
          </w:r>
          <w:r>
            <w:rPr>
              <w:rFonts w:hint="eastAsia" w:ascii="宋体" w:hAnsi="宋体" w:cs="宋体"/>
              <w:highlight w:val="none"/>
            </w:rPr>
            <w:fldChar w:fldCharType="separate"/>
          </w:r>
          <w:r>
            <w:rPr>
              <w:rFonts w:ascii="宋体" w:hAnsi="宋体" w:cs="宋体"/>
              <w:highlight w:val="none"/>
            </w:rPr>
            <w:t>10</w:t>
          </w:r>
          <w:r>
            <w:rPr>
              <w:rFonts w:hint="eastAsia" w:ascii="宋体" w:hAnsi="宋体" w:cs="宋体"/>
              <w:highlight w:val="none"/>
            </w:rPr>
            <w:fldChar w:fldCharType="end"/>
          </w:r>
          <w:r>
            <w:rPr>
              <w:rFonts w:hint="eastAsia" w:ascii="宋体" w:hAnsi="宋体" w:cs="宋体"/>
              <w:highlight w:val="none"/>
            </w:rPr>
            <w:fldChar w:fldCharType="end"/>
          </w:r>
        </w:p>
        <w:p w14:paraId="04C4F733">
          <w:pPr>
            <w:pStyle w:val="19"/>
            <w:tabs>
              <w:tab w:val="right" w:leader="dot" w:pos="9071"/>
            </w:tabs>
            <w:spacing w:line="360" w:lineRule="auto"/>
            <w:ind w:left="480"/>
            <w:rPr>
              <w:rFonts w:ascii="宋体" w:hAnsi="宋体" w:cs="宋体"/>
              <w:highlight w:val="none"/>
            </w:rPr>
          </w:pPr>
          <w:r>
            <w:rPr>
              <w:highlight w:val="none"/>
            </w:rPr>
            <w:fldChar w:fldCharType="begin"/>
          </w:r>
          <w:r>
            <w:rPr>
              <w:highlight w:val="none"/>
            </w:rPr>
            <w:instrText xml:space="preserve"> HYPERLINK \l "_Toc29250" </w:instrText>
          </w:r>
          <w:r>
            <w:rPr>
              <w:highlight w:val="none"/>
            </w:rPr>
            <w:fldChar w:fldCharType="separate"/>
          </w:r>
          <w:r>
            <w:rPr>
              <w:rFonts w:hint="eastAsia" w:ascii="宋体" w:hAnsi="宋体" w:cs="宋体"/>
              <w:highlight w:val="none"/>
            </w:rPr>
            <w:t>第三章 评标办法（综合评估法）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_Toc29250 \h </w:instrText>
          </w:r>
          <w:r>
            <w:rPr>
              <w:rFonts w:hint="eastAsia" w:ascii="宋体" w:hAnsi="宋体" w:cs="宋体"/>
              <w:highlight w:val="none"/>
            </w:rPr>
            <w:fldChar w:fldCharType="separate"/>
          </w:r>
          <w:r>
            <w:rPr>
              <w:rFonts w:ascii="宋体" w:hAnsi="宋体" w:cs="宋体"/>
              <w:highlight w:val="none"/>
            </w:rPr>
            <w:t>37</w:t>
          </w:r>
          <w:r>
            <w:rPr>
              <w:rFonts w:hint="eastAsia" w:ascii="宋体" w:hAnsi="宋体" w:cs="宋体"/>
              <w:highlight w:val="none"/>
            </w:rPr>
            <w:fldChar w:fldCharType="end"/>
          </w:r>
          <w:r>
            <w:rPr>
              <w:rFonts w:hint="eastAsia" w:ascii="宋体" w:hAnsi="宋体" w:cs="宋体"/>
              <w:highlight w:val="none"/>
            </w:rPr>
            <w:fldChar w:fldCharType="end"/>
          </w:r>
        </w:p>
        <w:p w14:paraId="083778AB">
          <w:pPr>
            <w:pStyle w:val="19"/>
            <w:tabs>
              <w:tab w:val="right" w:leader="dot" w:pos="9071"/>
            </w:tabs>
            <w:spacing w:line="360" w:lineRule="auto"/>
            <w:ind w:left="480"/>
            <w:rPr>
              <w:rFonts w:ascii="宋体" w:hAnsi="宋体" w:cs="宋体"/>
              <w:highlight w:val="none"/>
            </w:rPr>
          </w:pPr>
          <w:r>
            <w:rPr>
              <w:highlight w:val="none"/>
            </w:rPr>
            <w:fldChar w:fldCharType="begin"/>
          </w:r>
          <w:r>
            <w:rPr>
              <w:highlight w:val="none"/>
            </w:rPr>
            <w:instrText xml:space="preserve"> HYPERLINK \l "_Toc15665" </w:instrText>
          </w:r>
          <w:r>
            <w:rPr>
              <w:highlight w:val="none"/>
            </w:rPr>
            <w:fldChar w:fldCharType="separate"/>
          </w:r>
          <w:r>
            <w:rPr>
              <w:rFonts w:hint="eastAsia" w:ascii="宋体" w:hAnsi="宋体" w:cs="宋体"/>
              <w:highlight w:val="none"/>
            </w:rPr>
            <w:t>第四章 合同条款及格式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_Toc15665 \h </w:instrText>
          </w:r>
          <w:r>
            <w:rPr>
              <w:rFonts w:hint="eastAsia" w:ascii="宋体" w:hAnsi="宋体" w:cs="宋体"/>
              <w:highlight w:val="none"/>
            </w:rPr>
            <w:fldChar w:fldCharType="separate"/>
          </w:r>
          <w:r>
            <w:rPr>
              <w:rFonts w:ascii="宋体" w:hAnsi="宋体" w:cs="宋体"/>
              <w:highlight w:val="none"/>
            </w:rPr>
            <w:t>47</w:t>
          </w:r>
          <w:r>
            <w:rPr>
              <w:rFonts w:hint="eastAsia" w:ascii="宋体" w:hAnsi="宋体" w:cs="宋体"/>
              <w:highlight w:val="none"/>
            </w:rPr>
            <w:fldChar w:fldCharType="end"/>
          </w:r>
          <w:r>
            <w:rPr>
              <w:rFonts w:hint="eastAsia" w:ascii="宋体" w:hAnsi="宋体" w:cs="宋体"/>
              <w:highlight w:val="none"/>
            </w:rPr>
            <w:fldChar w:fldCharType="end"/>
          </w:r>
        </w:p>
        <w:p w14:paraId="62205EC6">
          <w:pPr>
            <w:pStyle w:val="18"/>
            <w:tabs>
              <w:tab w:val="right" w:leader="dot" w:pos="9071"/>
            </w:tabs>
            <w:spacing w:line="360" w:lineRule="auto"/>
            <w:rPr>
              <w:rFonts w:ascii="宋体" w:hAnsi="宋体" w:cs="宋体"/>
              <w:b/>
              <w:bCs/>
              <w:highlight w:val="none"/>
            </w:rPr>
          </w:pPr>
          <w:r>
            <w:rPr>
              <w:highlight w:val="none"/>
            </w:rPr>
            <w:fldChar w:fldCharType="begin"/>
          </w:r>
          <w:r>
            <w:rPr>
              <w:highlight w:val="none"/>
            </w:rPr>
            <w:instrText xml:space="preserve"> HYPERLINK \l "_Toc29682" </w:instrText>
          </w:r>
          <w:r>
            <w:rPr>
              <w:highlight w:val="none"/>
            </w:rPr>
            <w:fldChar w:fldCharType="separate"/>
          </w:r>
          <w:r>
            <w:rPr>
              <w:rFonts w:hint="eastAsia" w:ascii="宋体" w:hAnsi="宋体" w:cs="宋体"/>
              <w:b/>
              <w:bCs/>
              <w:highlight w:val="none"/>
            </w:rPr>
            <w:t>第二卷</w:t>
          </w:r>
          <w:r>
            <w:rPr>
              <w:rFonts w:hint="eastAsia" w:ascii="宋体" w:hAnsi="宋体" w:cs="宋体"/>
              <w:b/>
              <w:bCs/>
              <w:highlight w:val="none"/>
            </w:rPr>
            <w:tab/>
          </w:r>
          <w:r>
            <w:rPr>
              <w:rFonts w:hint="eastAsia" w:ascii="宋体" w:hAnsi="宋体" w:cs="宋体"/>
              <w:b/>
              <w:bCs/>
              <w:highlight w:val="none"/>
            </w:rPr>
            <w:fldChar w:fldCharType="begin"/>
          </w:r>
          <w:r>
            <w:rPr>
              <w:rFonts w:hint="eastAsia" w:ascii="宋体" w:hAnsi="宋体" w:cs="宋体"/>
              <w:b/>
              <w:bCs/>
              <w:highlight w:val="none"/>
            </w:rPr>
            <w:instrText xml:space="preserve"> PAGEREF _Toc29682 \h </w:instrText>
          </w:r>
          <w:r>
            <w:rPr>
              <w:rFonts w:hint="eastAsia" w:ascii="宋体" w:hAnsi="宋体" w:cs="宋体"/>
              <w:b/>
              <w:bCs/>
              <w:highlight w:val="none"/>
            </w:rPr>
            <w:fldChar w:fldCharType="separate"/>
          </w:r>
          <w:r>
            <w:rPr>
              <w:rFonts w:ascii="宋体" w:hAnsi="宋体" w:cs="宋体"/>
              <w:b/>
              <w:bCs/>
              <w:highlight w:val="none"/>
            </w:rPr>
            <w:t>66</w:t>
          </w:r>
          <w:r>
            <w:rPr>
              <w:rFonts w:hint="eastAsia" w:ascii="宋体" w:hAnsi="宋体" w:cs="宋体"/>
              <w:b/>
              <w:bCs/>
              <w:highlight w:val="none"/>
            </w:rPr>
            <w:fldChar w:fldCharType="end"/>
          </w:r>
          <w:r>
            <w:rPr>
              <w:rFonts w:hint="eastAsia" w:ascii="宋体" w:hAnsi="宋体" w:cs="宋体"/>
              <w:b/>
              <w:bCs/>
              <w:highlight w:val="none"/>
            </w:rPr>
            <w:fldChar w:fldCharType="end"/>
          </w:r>
        </w:p>
        <w:p w14:paraId="36419088">
          <w:pPr>
            <w:pStyle w:val="19"/>
            <w:tabs>
              <w:tab w:val="right" w:leader="dot" w:pos="9071"/>
            </w:tabs>
            <w:spacing w:line="360" w:lineRule="auto"/>
            <w:ind w:left="480"/>
            <w:rPr>
              <w:rFonts w:ascii="宋体" w:hAnsi="宋体" w:cs="宋体"/>
              <w:highlight w:val="none"/>
            </w:rPr>
          </w:pPr>
          <w:r>
            <w:rPr>
              <w:highlight w:val="none"/>
            </w:rPr>
            <w:fldChar w:fldCharType="begin"/>
          </w:r>
          <w:r>
            <w:rPr>
              <w:highlight w:val="none"/>
            </w:rPr>
            <w:instrText xml:space="preserve"> HYPERLINK \l "_Toc17878" </w:instrText>
          </w:r>
          <w:r>
            <w:rPr>
              <w:highlight w:val="none"/>
            </w:rPr>
            <w:fldChar w:fldCharType="separate"/>
          </w:r>
          <w:r>
            <w:rPr>
              <w:rFonts w:hint="eastAsia" w:ascii="宋体" w:hAnsi="宋体" w:cs="宋体"/>
              <w:highlight w:val="none"/>
            </w:rPr>
            <w:t>第五章 委托人要求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_Toc17878 \h </w:instrText>
          </w:r>
          <w:r>
            <w:rPr>
              <w:rFonts w:hint="eastAsia" w:ascii="宋体" w:hAnsi="宋体" w:cs="宋体"/>
              <w:highlight w:val="none"/>
            </w:rPr>
            <w:fldChar w:fldCharType="separate"/>
          </w:r>
          <w:r>
            <w:rPr>
              <w:rFonts w:ascii="宋体" w:hAnsi="宋体" w:cs="宋体"/>
              <w:highlight w:val="none"/>
            </w:rPr>
            <w:t>67</w:t>
          </w:r>
          <w:r>
            <w:rPr>
              <w:rFonts w:hint="eastAsia" w:ascii="宋体" w:hAnsi="宋体" w:cs="宋体"/>
              <w:highlight w:val="none"/>
            </w:rPr>
            <w:fldChar w:fldCharType="end"/>
          </w:r>
          <w:r>
            <w:rPr>
              <w:rFonts w:hint="eastAsia" w:ascii="宋体" w:hAnsi="宋体" w:cs="宋体"/>
              <w:highlight w:val="none"/>
            </w:rPr>
            <w:fldChar w:fldCharType="end"/>
          </w:r>
        </w:p>
        <w:p w14:paraId="60A83ECA">
          <w:pPr>
            <w:pStyle w:val="18"/>
            <w:tabs>
              <w:tab w:val="right" w:leader="dot" w:pos="9071"/>
            </w:tabs>
            <w:spacing w:line="360" w:lineRule="auto"/>
            <w:rPr>
              <w:rFonts w:ascii="宋体" w:hAnsi="宋体" w:cs="宋体"/>
              <w:b/>
              <w:bCs/>
              <w:highlight w:val="none"/>
            </w:rPr>
          </w:pPr>
          <w:r>
            <w:rPr>
              <w:highlight w:val="none"/>
            </w:rPr>
            <w:fldChar w:fldCharType="begin"/>
          </w:r>
          <w:r>
            <w:rPr>
              <w:highlight w:val="none"/>
            </w:rPr>
            <w:instrText xml:space="preserve"> HYPERLINK \l "_Toc9855" </w:instrText>
          </w:r>
          <w:r>
            <w:rPr>
              <w:highlight w:val="none"/>
            </w:rPr>
            <w:fldChar w:fldCharType="separate"/>
          </w:r>
          <w:r>
            <w:rPr>
              <w:rFonts w:hint="eastAsia" w:ascii="宋体" w:hAnsi="宋体" w:cs="宋体"/>
              <w:b/>
              <w:bCs/>
              <w:highlight w:val="none"/>
            </w:rPr>
            <w:t>第三卷</w:t>
          </w:r>
          <w:r>
            <w:rPr>
              <w:rFonts w:hint="eastAsia" w:ascii="宋体" w:hAnsi="宋体" w:cs="宋体"/>
              <w:b/>
              <w:bCs/>
              <w:highlight w:val="none"/>
            </w:rPr>
            <w:tab/>
          </w:r>
          <w:r>
            <w:rPr>
              <w:rFonts w:hint="eastAsia" w:ascii="宋体" w:hAnsi="宋体" w:cs="宋体"/>
              <w:b/>
              <w:bCs/>
              <w:highlight w:val="none"/>
            </w:rPr>
            <w:fldChar w:fldCharType="begin"/>
          </w:r>
          <w:r>
            <w:rPr>
              <w:rFonts w:hint="eastAsia" w:ascii="宋体" w:hAnsi="宋体" w:cs="宋体"/>
              <w:b/>
              <w:bCs/>
              <w:highlight w:val="none"/>
            </w:rPr>
            <w:instrText xml:space="preserve"> PAGEREF _Toc9855 \h </w:instrText>
          </w:r>
          <w:r>
            <w:rPr>
              <w:rFonts w:hint="eastAsia" w:ascii="宋体" w:hAnsi="宋体" w:cs="宋体"/>
              <w:b/>
              <w:bCs/>
              <w:highlight w:val="none"/>
            </w:rPr>
            <w:fldChar w:fldCharType="separate"/>
          </w:r>
          <w:r>
            <w:rPr>
              <w:rFonts w:ascii="宋体" w:hAnsi="宋体" w:cs="宋体"/>
              <w:b/>
              <w:bCs/>
              <w:highlight w:val="none"/>
            </w:rPr>
            <w:t>75</w:t>
          </w:r>
          <w:r>
            <w:rPr>
              <w:rFonts w:hint="eastAsia" w:ascii="宋体" w:hAnsi="宋体" w:cs="宋体"/>
              <w:b/>
              <w:bCs/>
              <w:highlight w:val="none"/>
            </w:rPr>
            <w:fldChar w:fldCharType="end"/>
          </w:r>
          <w:r>
            <w:rPr>
              <w:rFonts w:hint="eastAsia" w:ascii="宋体" w:hAnsi="宋体" w:cs="宋体"/>
              <w:b/>
              <w:bCs/>
              <w:highlight w:val="none"/>
            </w:rPr>
            <w:fldChar w:fldCharType="end"/>
          </w:r>
        </w:p>
        <w:p w14:paraId="3284A6D9">
          <w:pPr>
            <w:pStyle w:val="19"/>
            <w:tabs>
              <w:tab w:val="right" w:leader="dot" w:pos="9071"/>
            </w:tabs>
            <w:spacing w:line="360" w:lineRule="auto"/>
            <w:ind w:left="480"/>
            <w:rPr>
              <w:rFonts w:ascii="宋体" w:hAnsi="宋体" w:cs="宋体"/>
              <w:highlight w:val="none"/>
            </w:rPr>
          </w:pPr>
          <w:r>
            <w:rPr>
              <w:highlight w:val="none"/>
            </w:rPr>
            <w:fldChar w:fldCharType="begin"/>
          </w:r>
          <w:r>
            <w:rPr>
              <w:highlight w:val="none"/>
            </w:rPr>
            <w:instrText xml:space="preserve"> HYPERLINK \l "_Toc1895" </w:instrText>
          </w:r>
          <w:r>
            <w:rPr>
              <w:highlight w:val="none"/>
            </w:rPr>
            <w:fldChar w:fldCharType="separate"/>
          </w:r>
          <w:r>
            <w:rPr>
              <w:rFonts w:hint="eastAsia" w:ascii="宋体" w:hAnsi="宋体" w:cs="宋体"/>
              <w:highlight w:val="none"/>
            </w:rPr>
            <w:t>第六章 投标文件格式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_Toc1895 \h </w:instrText>
          </w:r>
          <w:r>
            <w:rPr>
              <w:rFonts w:hint="eastAsia" w:ascii="宋体" w:hAnsi="宋体" w:cs="宋体"/>
              <w:highlight w:val="none"/>
            </w:rPr>
            <w:fldChar w:fldCharType="separate"/>
          </w:r>
          <w:r>
            <w:rPr>
              <w:rFonts w:ascii="宋体" w:hAnsi="宋体" w:cs="宋体"/>
              <w:highlight w:val="none"/>
            </w:rPr>
            <w:t>76</w:t>
          </w:r>
          <w:r>
            <w:rPr>
              <w:rFonts w:hint="eastAsia" w:ascii="宋体" w:hAnsi="宋体" w:cs="宋体"/>
              <w:highlight w:val="none"/>
            </w:rPr>
            <w:fldChar w:fldCharType="end"/>
          </w:r>
          <w:r>
            <w:rPr>
              <w:rFonts w:hint="eastAsia" w:ascii="宋体" w:hAnsi="宋体" w:cs="宋体"/>
              <w:highlight w:val="none"/>
            </w:rPr>
            <w:fldChar w:fldCharType="end"/>
          </w:r>
        </w:p>
        <w:p w14:paraId="5290756D">
          <w:pPr>
            <w:pStyle w:val="19"/>
            <w:tabs>
              <w:tab w:val="right" w:leader="dot" w:pos="9071"/>
            </w:tabs>
            <w:spacing w:line="360" w:lineRule="auto"/>
            <w:ind w:left="480"/>
            <w:rPr>
              <w:rFonts w:ascii="宋体" w:hAnsi="宋体" w:cs="宋体"/>
              <w:highlight w:val="none"/>
            </w:rPr>
          </w:pPr>
          <w:r>
            <w:rPr>
              <w:highlight w:val="none"/>
            </w:rPr>
            <w:fldChar w:fldCharType="begin"/>
          </w:r>
          <w:r>
            <w:rPr>
              <w:highlight w:val="none"/>
            </w:rPr>
            <w:instrText xml:space="preserve"> HYPERLINK \l "_Toc27375" </w:instrText>
          </w:r>
          <w:r>
            <w:rPr>
              <w:highlight w:val="none"/>
            </w:rPr>
            <w:fldChar w:fldCharType="separate"/>
          </w:r>
          <w:r>
            <w:rPr>
              <w:rFonts w:hint="eastAsia" w:ascii="宋体" w:hAnsi="宋体" w:cs="宋体"/>
              <w:highlight w:val="none"/>
            </w:rPr>
            <w:t>第七章 投标人须知前附表规定的其他资料。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_Toc27375 \h </w:instrText>
          </w:r>
          <w:r>
            <w:rPr>
              <w:rFonts w:hint="eastAsia" w:ascii="宋体" w:hAnsi="宋体" w:cs="宋体"/>
              <w:highlight w:val="none"/>
            </w:rPr>
            <w:fldChar w:fldCharType="separate"/>
          </w:r>
          <w:r>
            <w:rPr>
              <w:rFonts w:ascii="宋体" w:hAnsi="宋体" w:cs="宋体"/>
              <w:highlight w:val="none"/>
            </w:rPr>
            <w:t>96</w:t>
          </w:r>
          <w:r>
            <w:rPr>
              <w:rFonts w:hint="eastAsia" w:ascii="宋体" w:hAnsi="宋体" w:cs="宋体"/>
              <w:highlight w:val="none"/>
            </w:rPr>
            <w:fldChar w:fldCharType="end"/>
          </w:r>
          <w:r>
            <w:rPr>
              <w:rFonts w:hint="eastAsia" w:ascii="宋体" w:hAnsi="宋体" w:cs="宋体"/>
              <w:highlight w:val="none"/>
            </w:rPr>
            <w:fldChar w:fldCharType="end"/>
          </w:r>
        </w:p>
        <w:p w14:paraId="3F4F879D">
          <w:pPr>
            <w:pStyle w:val="12"/>
            <w:tabs>
              <w:tab w:val="right" w:leader="dot" w:pos="8714"/>
            </w:tabs>
            <w:kinsoku w:val="0"/>
            <w:overflowPunct w:val="0"/>
            <w:spacing w:line="360" w:lineRule="auto"/>
            <w:ind w:left="0"/>
            <w:jc w:val="center"/>
            <w:rPr>
              <w:rFonts w:cs="宋体"/>
              <w:sz w:val="24"/>
              <w:highlight w:val="none"/>
            </w:rPr>
          </w:pPr>
          <w:r>
            <w:rPr>
              <w:rFonts w:hint="eastAsia" w:cs="宋体"/>
              <w:sz w:val="24"/>
              <w:highlight w:val="none"/>
            </w:rPr>
            <w:fldChar w:fldCharType="end"/>
          </w:r>
        </w:p>
      </w:sdtContent>
    </w:sdt>
    <w:p w14:paraId="30E15E6E">
      <w:pPr>
        <w:pStyle w:val="45"/>
        <w:tabs>
          <w:tab w:val="right" w:leader="dot" w:pos="9071"/>
        </w:tabs>
        <w:ind w:left="720" w:leftChars="300"/>
        <w:rPr>
          <w:rFonts w:ascii="宋体" w:hAnsi="宋体" w:cs="宋体"/>
          <w:sz w:val="24"/>
          <w:szCs w:val="24"/>
          <w:highlight w:val="none"/>
        </w:rPr>
      </w:pPr>
    </w:p>
    <w:p w14:paraId="3BE3613D">
      <w:pPr>
        <w:pStyle w:val="12"/>
        <w:tabs>
          <w:tab w:val="right" w:leader="dot" w:pos="8714"/>
        </w:tabs>
        <w:kinsoku w:val="0"/>
        <w:overflowPunct w:val="0"/>
        <w:spacing w:line="288" w:lineRule="exact"/>
        <w:ind w:left="0"/>
        <w:jc w:val="center"/>
        <w:rPr>
          <w:rFonts w:hAnsi="Calibri"/>
          <w:highlight w:val="none"/>
        </w:rPr>
        <w:sectPr>
          <w:pgSz w:w="11905" w:h="16838"/>
          <w:pgMar w:top="1417" w:right="1417" w:bottom="1417" w:left="1417" w:header="720" w:footer="720" w:gutter="0"/>
          <w:cols w:space="720" w:num="1"/>
        </w:sectPr>
      </w:pPr>
    </w:p>
    <w:p w14:paraId="25316089">
      <w:pPr>
        <w:pStyle w:val="3"/>
        <w:spacing w:before="5280" w:beforeLines="2200"/>
        <w:ind w:left="6"/>
        <w:rPr>
          <w:rFonts w:hint="default"/>
          <w:sz w:val="52"/>
          <w:szCs w:val="52"/>
          <w:highlight w:val="none"/>
        </w:rPr>
      </w:pPr>
      <w:bookmarkStart w:id="1" w:name="bookmark0"/>
      <w:bookmarkEnd w:id="1"/>
      <w:bookmarkStart w:id="2" w:name="_Toc19294"/>
      <w:r>
        <w:rPr>
          <w:sz w:val="52"/>
          <w:szCs w:val="52"/>
          <w:highlight w:val="none"/>
        </w:rPr>
        <w:t>第一卷</w:t>
      </w:r>
      <w:bookmarkEnd w:id="2"/>
    </w:p>
    <w:p w14:paraId="64DBFD20">
      <w:pPr>
        <w:pStyle w:val="3"/>
        <w:kinsoku w:val="0"/>
        <w:overflowPunct w:val="0"/>
        <w:spacing w:before="5280" w:beforeLines="2200"/>
        <w:ind w:left="6" w:right="1"/>
        <w:rPr>
          <w:rFonts w:hint="default"/>
          <w:b w:val="0"/>
          <w:highlight w:val="none"/>
        </w:rPr>
        <w:sectPr>
          <w:footerReference r:id="rId4" w:type="default"/>
          <w:pgSz w:w="11905" w:h="16838"/>
          <w:pgMar w:top="1417" w:right="1417" w:bottom="1417" w:left="1417" w:header="720" w:footer="720" w:gutter="0"/>
          <w:cols w:space="720" w:num="1"/>
        </w:sectPr>
      </w:pPr>
    </w:p>
    <w:p w14:paraId="067EE357">
      <w:pPr>
        <w:pStyle w:val="5"/>
        <w:rPr>
          <w:rFonts w:cs="宋体"/>
          <w:sz w:val="44"/>
          <w:highlight w:val="none"/>
        </w:rPr>
      </w:pPr>
      <w:bookmarkStart w:id="3" w:name="bookmark1"/>
      <w:bookmarkEnd w:id="3"/>
      <w:bookmarkStart w:id="4" w:name="_Toc4842"/>
      <w:r>
        <w:rPr>
          <w:rFonts w:cs="宋体"/>
          <w:sz w:val="44"/>
          <w:highlight w:val="none"/>
        </w:rPr>
        <w:t>第一章 招标公告</w:t>
      </w:r>
      <w:bookmarkEnd w:id="4"/>
    </w:p>
    <w:p w14:paraId="27317D65">
      <w:pPr>
        <w:ind w:firstLine="0" w:firstLineChars="0"/>
        <w:jc w:val="center"/>
        <w:rPr>
          <w:rFonts w:hint="eastAsia" w:cs="宋体"/>
          <w:sz w:val="36"/>
          <w:szCs w:val="21"/>
          <w:highlight w:val="none"/>
          <w:lang w:val="en-US" w:eastAsia="zh-CN"/>
        </w:rPr>
      </w:pPr>
      <w:bookmarkStart w:id="5" w:name="bookmark9"/>
      <w:bookmarkEnd w:id="5"/>
      <w:bookmarkStart w:id="6" w:name="bookmark18"/>
      <w:bookmarkEnd w:id="6"/>
      <w:bookmarkStart w:id="7" w:name="_Toc10685"/>
      <w:r>
        <w:rPr>
          <w:rFonts w:hint="eastAsia" w:cs="宋体"/>
          <w:sz w:val="36"/>
          <w:szCs w:val="21"/>
          <w:highlight w:val="none"/>
          <w:lang w:val="en-US" w:eastAsia="zh-CN"/>
        </w:rPr>
        <w:t>详见招标公告</w:t>
      </w:r>
    </w:p>
    <w:p w14:paraId="60B61D79">
      <w:pPr>
        <w:kinsoku/>
        <w:overflowPunct/>
        <w:autoSpaceDE w:val="0"/>
        <w:autoSpaceDN w:val="0"/>
        <w:adjustRightInd w:val="0"/>
        <w:spacing w:before="312" w:beforeLines="100" w:after="312" w:afterLines="100" w:line="360" w:lineRule="auto"/>
        <w:jc w:val="center"/>
        <w:rPr>
          <w:rFonts w:ascii="宋体" w:hAnsi="宋体"/>
          <w:color w:val="auto"/>
          <w:kern w:val="0"/>
          <w:sz w:val="20"/>
          <w:szCs w:val="24"/>
          <w:highlight w:val="none"/>
        </w:rPr>
      </w:pPr>
      <w:r>
        <w:rPr>
          <w:rFonts w:hint="default" w:ascii="宋体" w:hAnsi="Times New Roman" w:eastAsia="宋体"/>
          <w:b/>
          <w:color w:val="auto"/>
          <w:sz w:val="30"/>
          <w:szCs w:val="24"/>
          <w:highlight w:val="none"/>
          <w:u w:val="single"/>
          <w:lang w:eastAsia="zh-CN"/>
        </w:rPr>
        <w:t>广州市增城区西福河（沙河坊拦河坝至石厦陂左岸段）堤防达标整治工程</w:t>
      </w:r>
      <w:r>
        <w:rPr>
          <w:rFonts w:hint="default" w:ascii="宋体" w:hAnsi="Times New Roman" w:eastAsia="宋体"/>
          <w:b/>
          <w:color w:val="auto"/>
          <w:sz w:val="30"/>
          <w:szCs w:val="24"/>
          <w:highlight w:val="none"/>
          <w:u w:val="single"/>
          <w:lang w:val="en-US" w:eastAsia="zh-CN"/>
        </w:rPr>
        <w:t>施工</w:t>
      </w:r>
      <w:r>
        <w:rPr>
          <w:rFonts w:ascii="宋体" w:hAnsi="Times New Roman"/>
          <w:b/>
          <w:color w:val="auto"/>
          <w:kern w:val="0"/>
          <w:sz w:val="30"/>
          <w:szCs w:val="24"/>
          <w:highlight w:val="none"/>
          <w:u w:val="single"/>
        </w:rPr>
        <w:t>监理</w:t>
      </w:r>
      <w:r>
        <w:rPr>
          <w:rFonts w:ascii="宋体" w:hAnsi="Times New Roman"/>
          <w:b/>
          <w:color w:val="auto"/>
          <w:kern w:val="0"/>
          <w:sz w:val="30"/>
          <w:szCs w:val="24"/>
          <w:highlight w:val="none"/>
        </w:rPr>
        <w:t>招标公告</w:t>
      </w:r>
    </w:p>
    <w:p w14:paraId="08DFA6E4">
      <w:pPr>
        <w:autoSpaceDE w:val="0"/>
        <w:autoSpaceDN w:val="0"/>
        <w:adjustRightInd w:val="0"/>
        <w:spacing w:before="156" w:beforeLines="50" w:after="156" w:afterLines="50" w:line="360" w:lineRule="auto"/>
        <w:jc w:val="left"/>
        <w:outlineLvl w:val="2"/>
        <w:rPr>
          <w:rFonts w:ascii="Microsoft JhengHei" w:hAnsi="宋体" w:eastAsia="Microsoft JhengHei"/>
          <w:color w:val="auto"/>
          <w:kern w:val="0"/>
          <w:sz w:val="24"/>
          <w:szCs w:val="24"/>
          <w:highlight w:val="none"/>
        </w:rPr>
      </w:pPr>
      <w:bookmarkStart w:id="8" w:name="bookmark2"/>
      <w:bookmarkEnd w:id="8"/>
      <w:bookmarkStart w:id="9" w:name="_Toc5169"/>
      <w:r>
        <w:rPr>
          <w:rFonts w:ascii="宋体" w:hAnsi="宋体" w:cs="宋体"/>
          <w:b/>
          <w:color w:val="auto"/>
          <w:kern w:val="0"/>
          <w:sz w:val="24"/>
          <w:szCs w:val="24"/>
          <w:highlight w:val="none"/>
        </w:rPr>
        <w:t>1.招标条件</w:t>
      </w:r>
      <w:bookmarkEnd w:id="9"/>
    </w:p>
    <w:p w14:paraId="056C0F87">
      <w:pPr>
        <w:tabs>
          <w:tab w:val="left" w:pos="1343"/>
          <w:tab w:val="left" w:pos="2697"/>
          <w:tab w:val="left" w:pos="3264"/>
          <w:tab w:val="left" w:pos="4896"/>
          <w:tab w:val="left" w:pos="6005"/>
          <w:tab w:val="left" w:pos="7085"/>
          <w:tab w:val="left" w:pos="7498"/>
        </w:tabs>
        <w:kinsoku w:val="0"/>
        <w:overflowPunct w:val="0"/>
        <w:autoSpaceDE w:val="0"/>
        <w:autoSpaceDN w:val="0"/>
        <w:adjustRightInd w:val="0"/>
        <w:spacing w:line="351" w:lineRule="auto"/>
        <w:ind w:firstLine="480" w:firstLineChars="200"/>
        <w:rPr>
          <w:rFonts w:ascii="宋体" w:hAnsi="宋体"/>
          <w:color w:val="auto"/>
          <w:kern w:val="0"/>
          <w:sz w:val="24"/>
          <w:szCs w:val="24"/>
          <w:highlight w:val="none"/>
        </w:rPr>
      </w:pPr>
      <w:r>
        <w:rPr>
          <w:rFonts w:ascii="宋体" w:hAnsi="宋体"/>
          <w:color w:val="auto"/>
          <w:kern w:val="0"/>
          <w:sz w:val="24"/>
          <w:szCs w:val="24"/>
          <w:highlight w:val="none"/>
        </w:rPr>
        <w:t>本招标项目</w:t>
      </w:r>
      <w:r>
        <w:rPr>
          <w:rFonts w:hint="eastAsia" w:ascii="宋体" w:hAnsi="宋体" w:cs="宋体"/>
          <w:color w:val="auto"/>
          <w:kern w:val="0"/>
          <w:sz w:val="24"/>
          <w:szCs w:val="24"/>
          <w:highlight w:val="none"/>
          <w:u w:val="single"/>
          <w:lang w:eastAsia="zh-CN"/>
        </w:rPr>
        <w:t>广州市增城区西福河（沙河坊拦河坝至石厦陂左岸段）堤防达标整治工</w:t>
      </w:r>
      <w:r>
        <w:rPr>
          <w:rFonts w:hint="eastAsia" w:ascii="宋体" w:hAnsi="宋体" w:cs="宋体"/>
          <w:color w:val="auto"/>
          <w:kern w:val="0"/>
          <w:sz w:val="24"/>
          <w:szCs w:val="24"/>
          <w:highlight w:val="none"/>
          <w:u w:val="single"/>
        </w:rPr>
        <w:t>程</w:t>
      </w:r>
      <w:r>
        <w:rPr>
          <w:rFonts w:ascii="宋体" w:hAnsi="宋体"/>
          <w:color w:val="auto"/>
          <w:spacing w:val="-1"/>
          <w:kern w:val="0"/>
          <w:sz w:val="24"/>
          <w:szCs w:val="24"/>
          <w:highlight w:val="none"/>
        </w:rPr>
        <w:t>（项目名称）已由</w:t>
      </w:r>
      <w:r>
        <w:rPr>
          <w:rFonts w:hint="eastAsia" w:ascii="宋体" w:hAnsi="宋体" w:cs="宋体"/>
          <w:color w:val="auto"/>
          <w:spacing w:val="-1"/>
          <w:kern w:val="0"/>
          <w:sz w:val="24"/>
          <w:szCs w:val="24"/>
          <w:highlight w:val="none"/>
          <w:u w:val="single"/>
        </w:rPr>
        <w:t>广州市增城区发展和改革局</w:t>
      </w:r>
      <w:r>
        <w:rPr>
          <w:rFonts w:ascii="宋体" w:hAnsi="宋体"/>
          <w:color w:val="auto"/>
          <w:spacing w:val="-5"/>
          <w:kern w:val="0"/>
          <w:sz w:val="24"/>
          <w:szCs w:val="24"/>
          <w:highlight w:val="none"/>
        </w:rPr>
        <w:t>以</w:t>
      </w:r>
      <w:r>
        <w:rPr>
          <w:rFonts w:hint="eastAsia" w:ascii="宋体" w:hAnsi="宋体"/>
          <w:color w:val="auto"/>
          <w:sz w:val="24"/>
          <w:szCs w:val="24"/>
          <w:highlight w:val="none"/>
          <w:u w:val="single"/>
        </w:rPr>
        <w:t>穗增发改投批[2024]116号</w:t>
      </w:r>
      <w:r>
        <w:rPr>
          <w:rFonts w:ascii="宋体" w:hAnsi="宋体"/>
          <w:color w:val="auto"/>
          <w:spacing w:val="-4"/>
          <w:kern w:val="0"/>
          <w:sz w:val="24"/>
          <w:szCs w:val="24"/>
          <w:highlight w:val="none"/>
        </w:rPr>
        <w:t>批准建设，项目业主为</w:t>
      </w:r>
      <w:r>
        <w:rPr>
          <w:rFonts w:ascii="宋体" w:hAnsi="宋体"/>
          <w:color w:val="auto"/>
          <w:spacing w:val="-4"/>
          <w:kern w:val="0"/>
          <w:sz w:val="24"/>
          <w:szCs w:val="24"/>
          <w:highlight w:val="none"/>
          <w:u w:val="single"/>
        </w:rPr>
        <w:t xml:space="preserve"> </w:t>
      </w:r>
      <w:r>
        <w:rPr>
          <w:rFonts w:hint="eastAsia" w:ascii="宋体" w:hAnsi="宋体"/>
          <w:color w:val="auto"/>
          <w:spacing w:val="-4"/>
          <w:kern w:val="0"/>
          <w:sz w:val="24"/>
          <w:szCs w:val="24"/>
          <w:highlight w:val="none"/>
          <w:u w:val="single"/>
          <w:lang w:eastAsia="zh-CN"/>
        </w:rPr>
        <w:t>广州市增城区水务建设管理所</w:t>
      </w:r>
      <w:r>
        <w:rPr>
          <w:rFonts w:ascii="宋体" w:hAnsi="宋体"/>
          <w:color w:val="auto"/>
          <w:spacing w:val="-4"/>
          <w:kern w:val="0"/>
          <w:sz w:val="24"/>
          <w:szCs w:val="24"/>
          <w:highlight w:val="none"/>
        </w:rPr>
        <w:t>，建设资金来</w:t>
      </w:r>
      <w:r>
        <w:rPr>
          <w:rFonts w:ascii="宋体" w:hAnsi="宋体"/>
          <w:color w:val="auto"/>
          <w:spacing w:val="-1"/>
          <w:kern w:val="0"/>
          <w:sz w:val="24"/>
          <w:szCs w:val="24"/>
          <w:highlight w:val="none"/>
        </w:rPr>
        <w:t>自</w:t>
      </w:r>
      <w:r>
        <w:rPr>
          <w:rFonts w:hint="eastAsia" w:ascii="宋体" w:hAnsi="Times New Roman"/>
          <w:color w:val="auto"/>
          <w:spacing w:val="-1"/>
          <w:kern w:val="0"/>
          <w:sz w:val="24"/>
          <w:szCs w:val="24"/>
          <w:highlight w:val="none"/>
          <w:u w:val="single"/>
        </w:rPr>
        <w:t>财政资金</w:t>
      </w:r>
      <w:r>
        <w:rPr>
          <w:rFonts w:ascii="宋体" w:hAnsi="宋体"/>
          <w:color w:val="auto"/>
          <w:spacing w:val="-12"/>
          <w:kern w:val="0"/>
          <w:sz w:val="24"/>
          <w:szCs w:val="24"/>
          <w:highlight w:val="none"/>
        </w:rPr>
        <w:t>（资金来源），出资比例为</w:t>
      </w:r>
      <w:r>
        <w:rPr>
          <w:rFonts w:hint="eastAsia" w:ascii="宋体" w:hAnsi="Times New Roman"/>
          <w:color w:val="auto"/>
          <w:spacing w:val="-12"/>
          <w:kern w:val="0"/>
          <w:sz w:val="24"/>
          <w:szCs w:val="24"/>
          <w:highlight w:val="none"/>
          <w:u w:val="single"/>
        </w:rPr>
        <w:t>100%</w:t>
      </w:r>
      <w:r>
        <w:rPr>
          <w:rFonts w:ascii="宋体" w:hAnsi="宋体"/>
          <w:color w:val="auto"/>
          <w:spacing w:val="-6"/>
          <w:kern w:val="0"/>
          <w:sz w:val="24"/>
          <w:szCs w:val="24"/>
          <w:highlight w:val="none"/>
        </w:rPr>
        <w:t>，招标人为</w:t>
      </w:r>
      <w:r>
        <w:rPr>
          <w:rFonts w:hint="eastAsia" w:ascii="宋体" w:hAnsi="宋体" w:cs="宋体"/>
          <w:color w:val="auto"/>
          <w:spacing w:val="-6"/>
          <w:kern w:val="0"/>
          <w:sz w:val="24"/>
          <w:szCs w:val="24"/>
          <w:highlight w:val="none"/>
          <w:u w:val="single"/>
          <w:lang w:eastAsia="zh-CN"/>
        </w:rPr>
        <w:t>广州市增城区水务建设管理所</w:t>
      </w:r>
      <w:r>
        <w:rPr>
          <w:rFonts w:ascii="宋体" w:hAnsi="宋体"/>
          <w:color w:val="auto"/>
          <w:spacing w:val="-4"/>
          <w:kern w:val="0"/>
          <w:sz w:val="24"/>
          <w:szCs w:val="24"/>
          <w:highlight w:val="none"/>
        </w:rPr>
        <w:t>。项目已具备招标</w:t>
      </w:r>
      <w:r>
        <w:rPr>
          <w:rFonts w:ascii="宋体" w:hAnsi="宋体"/>
          <w:color w:val="auto"/>
          <w:kern w:val="0"/>
          <w:sz w:val="24"/>
          <w:szCs w:val="24"/>
          <w:highlight w:val="none"/>
        </w:rPr>
        <w:t>条件，现对该项目的</w:t>
      </w:r>
      <w:r>
        <w:rPr>
          <w:rFonts w:hint="eastAsia" w:ascii="宋体" w:hAnsi="宋体"/>
          <w:color w:val="auto"/>
          <w:kern w:val="0"/>
          <w:sz w:val="24"/>
          <w:szCs w:val="24"/>
          <w:highlight w:val="none"/>
          <w:u w:val="single"/>
        </w:rPr>
        <w:t>施工</w:t>
      </w:r>
      <w:r>
        <w:rPr>
          <w:rFonts w:ascii="宋体" w:hAnsi="宋体"/>
          <w:color w:val="auto"/>
          <w:kern w:val="0"/>
          <w:sz w:val="24"/>
          <w:szCs w:val="24"/>
          <w:highlight w:val="none"/>
          <w:u w:val="single"/>
        </w:rPr>
        <w:t>监理</w:t>
      </w:r>
      <w:r>
        <w:rPr>
          <w:rFonts w:ascii="宋体" w:hAnsi="宋体"/>
          <w:color w:val="auto"/>
          <w:kern w:val="0"/>
          <w:sz w:val="24"/>
          <w:szCs w:val="24"/>
          <w:highlight w:val="none"/>
        </w:rPr>
        <w:t>进行公开招标。</w:t>
      </w:r>
    </w:p>
    <w:p w14:paraId="6F5F6BA3">
      <w:pPr>
        <w:autoSpaceDE w:val="0"/>
        <w:autoSpaceDN w:val="0"/>
        <w:adjustRightInd w:val="0"/>
        <w:spacing w:before="156" w:beforeLines="50" w:after="156" w:afterLines="50" w:line="360" w:lineRule="auto"/>
        <w:jc w:val="left"/>
        <w:outlineLvl w:val="2"/>
        <w:rPr>
          <w:rFonts w:ascii="宋体" w:hAnsi="宋体" w:cs="宋体"/>
          <w:b/>
          <w:color w:val="auto"/>
          <w:kern w:val="0"/>
          <w:sz w:val="24"/>
          <w:szCs w:val="24"/>
          <w:highlight w:val="none"/>
        </w:rPr>
      </w:pPr>
      <w:bookmarkStart w:id="10" w:name="bookmark3"/>
      <w:bookmarkEnd w:id="10"/>
      <w:bookmarkStart w:id="11" w:name="_Toc32523"/>
      <w:r>
        <w:rPr>
          <w:rFonts w:ascii="宋体" w:hAnsi="宋体" w:cs="宋体"/>
          <w:b/>
          <w:color w:val="auto"/>
          <w:kern w:val="0"/>
          <w:sz w:val="24"/>
          <w:szCs w:val="24"/>
          <w:highlight w:val="none"/>
        </w:rPr>
        <w:t>2.项目概况与招标范围</w:t>
      </w:r>
      <w:bookmarkEnd w:id="11"/>
    </w:p>
    <w:p w14:paraId="07431378">
      <w:pPr>
        <w:tabs>
          <w:tab w:val="left" w:pos="7513"/>
        </w:tabs>
        <w:autoSpaceDE w:val="0"/>
        <w:autoSpaceDN w:val="0"/>
        <w:adjustRightInd w:val="0"/>
        <w:spacing w:line="360" w:lineRule="auto"/>
        <w:ind w:firstLine="240" w:firstLineChars="100"/>
        <w:jc w:val="left"/>
        <w:outlineLvl w:val="2"/>
        <w:rPr>
          <w:rFonts w:ascii="宋体" w:hAnsi="宋体"/>
          <w:color w:val="auto"/>
          <w:kern w:val="0"/>
          <w:sz w:val="24"/>
          <w:szCs w:val="24"/>
          <w:highlight w:val="none"/>
        </w:rPr>
      </w:pPr>
      <w:bookmarkStart w:id="12" w:name="_Toc20255"/>
      <w:bookmarkStart w:id="13" w:name="_Toc17345"/>
      <w:r>
        <w:rPr>
          <w:rFonts w:ascii="宋体" w:hAnsi="宋体"/>
          <w:color w:val="auto"/>
          <w:kern w:val="0"/>
          <w:sz w:val="24"/>
          <w:szCs w:val="24"/>
          <w:highlight w:val="none"/>
        </w:rPr>
        <w:t>2.1</w:t>
      </w:r>
      <w:r>
        <w:rPr>
          <w:rFonts w:hint="eastAsia" w:ascii="宋体" w:hAnsi="宋体"/>
          <w:color w:val="auto"/>
          <w:kern w:val="0"/>
          <w:sz w:val="24"/>
          <w:szCs w:val="24"/>
          <w:highlight w:val="none"/>
        </w:rPr>
        <w:t xml:space="preserve"> </w:t>
      </w:r>
      <w:r>
        <w:rPr>
          <w:rFonts w:ascii="宋体" w:hAnsi="宋体"/>
          <w:color w:val="auto"/>
          <w:kern w:val="0"/>
          <w:sz w:val="24"/>
          <w:szCs w:val="24"/>
          <w:highlight w:val="none"/>
        </w:rPr>
        <w:t>招标项目概况</w:t>
      </w:r>
      <w:bookmarkEnd w:id="12"/>
      <w:bookmarkEnd w:id="13"/>
    </w:p>
    <w:p w14:paraId="3781C739">
      <w:pPr>
        <w:tabs>
          <w:tab w:val="left" w:pos="7513"/>
        </w:tabs>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ascii="宋体" w:hAnsi="宋体"/>
          <w:color w:val="auto"/>
          <w:kern w:val="0"/>
          <w:sz w:val="24"/>
          <w:szCs w:val="24"/>
          <w:highlight w:val="none"/>
        </w:rPr>
        <w:t>2.1.1招标项目名称：</w:t>
      </w:r>
      <w:r>
        <w:rPr>
          <w:rFonts w:hint="eastAsia" w:ascii="宋体" w:hAnsi="宋体"/>
          <w:color w:val="auto"/>
          <w:kern w:val="0"/>
          <w:sz w:val="24"/>
          <w:szCs w:val="24"/>
          <w:highlight w:val="none"/>
          <w:u w:val="single"/>
          <w:lang w:eastAsia="zh-CN"/>
        </w:rPr>
        <w:t>广州市增城区西福河（沙河坊拦河坝至石厦陂左岸段）堤防达标整治工程施工监理</w:t>
      </w:r>
      <w:r>
        <w:rPr>
          <w:rFonts w:hint="eastAsia" w:ascii="宋体" w:hAnsi="宋体"/>
          <w:color w:val="auto"/>
          <w:kern w:val="0"/>
          <w:sz w:val="24"/>
          <w:szCs w:val="24"/>
          <w:highlight w:val="none"/>
          <w:u w:val="single"/>
        </w:rPr>
        <w:t>。</w:t>
      </w:r>
    </w:p>
    <w:p w14:paraId="2D8C2A6B">
      <w:pPr>
        <w:tabs>
          <w:tab w:val="left" w:pos="7513"/>
        </w:tabs>
        <w:autoSpaceDE w:val="0"/>
        <w:autoSpaceDN w:val="0"/>
        <w:adjustRightInd w:val="0"/>
        <w:spacing w:line="360" w:lineRule="auto"/>
        <w:ind w:firstLine="424" w:firstLineChars="177"/>
        <w:jc w:val="left"/>
        <w:rPr>
          <w:rFonts w:ascii="宋体" w:hAnsi="宋体" w:cs="宋体"/>
          <w:color w:val="auto"/>
          <w:kern w:val="0"/>
          <w:sz w:val="24"/>
          <w:szCs w:val="24"/>
          <w:highlight w:val="none"/>
        </w:rPr>
      </w:pPr>
      <w:r>
        <w:rPr>
          <w:rFonts w:ascii="宋体" w:hAnsi="宋体"/>
          <w:color w:val="auto"/>
          <w:kern w:val="0"/>
          <w:sz w:val="24"/>
          <w:szCs w:val="24"/>
          <w:highlight w:val="none"/>
        </w:rPr>
        <w:t>2.1.2工程建设地点：</w:t>
      </w:r>
      <w:r>
        <w:rPr>
          <w:rFonts w:hint="eastAsia" w:ascii="宋体" w:hAnsi="宋体"/>
          <w:color w:val="auto"/>
          <w:kern w:val="0"/>
          <w:sz w:val="24"/>
          <w:szCs w:val="24"/>
          <w:highlight w:val="none"/>
          <w:u w:val="single"/>
        </w:rPr>
        <w:t>广州市增城区。</w:t>
      </w:r>
      <w:r>
        <w:rPr>
          <w:rFonts w:ascii="宋体" w:hAnsi="宋体"/>
          <w:color w:val="auto"/>
          <w:kern w:val="0"/>
          <w:sz w:val="24"/>
          <w:szCs w:val="24"/>
          <w:highlight w:val="none"/>
        </w:rPr>
        <w:t xml:space="preserve"> </w:t>
      </w:r>
    </w:p>
    <w:p w14:paraId="3A75480F">
      <w:pPr>
        <w:spacing w:line="360" w:lineRule="auto"/>
        <w:ind w:firstLine="480" w:firstLineChars="200"/>
        <w:jc w:val="left"/>
        <w:rPr>
          <w:rFonts w:ascii="宋体" w:hAnsi="Times New Roman"/>
          <w:color w:val="auto"/>
          <w:kern w:val="0"/>
          <w:sz w:val="24"/>
          <w:szCs w:val="24"/>
          <w:highlight w:val="none"/>
        </w:rPr>
      </w:pPr>
      <w:r>
        <w:rPr>
          <w:rFonts w:ascii="宋体" w:hAnsi="宋体"/>
          <w:color w:val="auto"/>
          <w:kern w:val="0"/>
          <w:sz w:val="24"/>
          <w:szCs w:val="24"/>
          <w:highlight w:val="none"/>
        </w:rPr>
        <w:t>2.1.3工程建设规模</w:t>
      </w:r>
      <w:r>
        <w:rPr>
          <w:rFonts w:ascii="宋体" w:hAnsi="Times New Roman"/>
          <w:color w:val="auto"/>
          <w:kern w:val="0"/>
          <w:sz w:val="24"/>
          <w:szCs w:val="24"/>
          <w:highlight w:val="none"/>
        </w:rPr>
        <w:t>：</w:t>
      </w:r>
    </w:p>
    <w:p w14:paraId="4D521FF1">
      <w:pPr>
        <w:spacing w:line="360" w:lineRule="auto"/>
        <w:ind w:firstLine="480" w:firstLineChars="200"/>
        <w:jc w:val="left"/>
        <w:rPr>
          <w:rFonts w:hint="eastAsia" w:ascii="宋体" w:hAnsi="Times New Roman"/>
          <w:color w:val="auto"/>
          <w:kern w:val="0"/>
          <w:sz w:val="24"/>
          <w:szCs w:val="24"/>
          <w:highlight w:val="none"/>
          <w:u w:val="single"/>
          <w:lang w:val="en-US" w:eastAsia="zh-CN"/>
        </w:rPr>
      </w:pPr>
      <w:r>
        <w:rPr>
          <w:rFonts w:hint="eastAsia" w:ascii="宋体" w:hAnsi="Times New Roman"/>
          <w:color w:val="auto"/>
          <w:kern w:val="0"/>
          <w:sz w:val="24"/>
          <w:szCs w:val="24"/>
          <w:highlight w:val="none"/>
          <w:u w:val="single"/>
          <w:lang w:val="en-US" w:eastAsia="zh-CN"/>
        </w:rPr>
        <w:t>1)结合西福河规划岸线调整，对西福河(沙河坊拦河坝至石厦陂左岸段)堤防进行综合整治，本工程西福河堤防达标整治保护对象的设计防洪标准采用100年一遇，堤防建筑物级别为1级。左岸整治起点为沙河坊拦河坝，终点为石厦陂下，整治长度为9.946km。</w:t>
      </w:r>
    </w:p>
    <w:p w14:paraId="4A6C9CAF">
      <w:pPr>
        <w:spacing w:line="360" w:lineRule="auto"/>
        <w:ind w:firstLine="480" w:firstLineChars="200"/>
        <w:jc w:val="left"/>
        <w:rPr>
          <w:rFonts w:hint="eastAsia" w:ascii="宋体" w:hAnsi="Times New Roman"/>
          <w:color w:val="auto"/>
          <w:kern w:val="0"/>
          <w:sz w:val="24"/>
          <w:szCs w:val="24"/>
          <w:highlight w:val="none"/>
          <w:u w:val="single"/>
          <w:lang w:val="en-US" w:eastAsia="zh-CN"/>
        </w:rPr>
      </w:pPr>
      <w:r>
        <w:rPr>
          <w:rFonts w:hint="eastAsia" w:ascii="宋体" w:hAnsi="Times New Roman"/>
          <w:color w:val="auto"/>
          <w:kern w:val="0"/>
          <w:sz w:val="24"/>
          <w:szCs w:val="24"/>
          <w:highlight w:val="none"/>
          <w:u w:val="single"/>
          <w:lang w:val="en-US" w:eastAsia="zh-CN"/>
        </w:rPr>
        <w:t>2)重建萧元东闸站、萧元西闸、屈头水闸，重建潭吓泵站，共3座水闸，2座泵站。水闸设计洪水标准为100年一遇，萧元东闸、萧元西闸、屈头水闸闸宽分别为4m、4m 及 10.5m。泵站排涝标准采用10年一遇24小时暴雨不成灾，萧元东泵站、潭吓泵站设计排涝流量分别为 3m</w:t>
      </w:r>
      <w:r>
        <w:rPr>
          <w:rFonts w:hint="eastAsia" w:ascii="宋体" w:hAnsi="Times New Roman"/>
          <w:color w:val="auto"/>
          <w:kern w:val="0"/>
          <w:sz w:val="24"/>
          <w:szCs w:val="24"/>
          <w:highlight w:val="none"/>
          <w:u w:val="single"/>
          <w:vertAlign w:val="superscript"/>
          <w:lang w:val="en-US" w:eastAsia="zh-CN"/>
        </w:rPr>
        <w:t>3</w:t>
      </w:r>
      <w:r>
        <w:rPr>
          <w:rFonts w:hint="eastAsia" w:ascii="宋体" w:hAnsi="Times New Roman"/>
          <w:color w:val="auto"/>
          <w:kern w:val="0"/>
          <w:sz w:val="24"/>
          <w:szCs w:val="24"/>
          <w:highlight w:val="none"/>
          <w:u w:val="single"/>
          <w:lang w:val="en-US" w:eastAsia="zh-CN"/>
        </w:rPr>
        <w:t>/s和 6m</w:t>
      </w:r>
      <w:r>
        <w:rPr>
          <w:rFonts w:hint="eastAsia" w:ascii="宋体" w:hAnsi="Times New Roman"/>
          <w:color w:val="auto"/>
          <w:kern w:val="0"/>
          <w:sz w:val="24"/>
          <w:szCs w:val="24"/>
          <w:highlight w:val="none"/>
          <w:u w:val="single"/>
          <w:vertAlign w:val="superscript"/>
          <w:lang w:val="en-US" w:eastAsia="zh-CN"/>
        </w:rPr>
        <w:t>3</w:t>
      </w:r>
      <w:r>
        <w:rPr>
          <w:rFonts w:hint="eastAsia" w:ascii="宋体" w:hAnsi="Times New Roman"/>
          <w:color w:val="auto"/>
          <w:kern w:val="0"/>
          <w:sz w:val="24"/>
          <w:szCs w:val="24"/>
          <w:highlight w:val="none"/>
          <w:u w:val="single"/>
          <w:lang w:val="en-US" w:eastAsia="zh-CN"/>
        </w:rPr>
        <w:t>/s。水闸及泵站建筑物级别为1级。</w:t>
      </w:r>
    </w:p>
    <w:p w14:paraId="4FA6EC4C">
      <w:pPr>
        <w:spacing w:line="360" w:lineRule="auto"/>
        <w:ind w:firstLine="480" w:firstLineChars="200"/>
        <w:jc w:val="left"/>
        <w:rPr>
          <w:rFonts w:hint="eastAsia" w:ascii="宋体" w:hAnsi="Times New Roman"/>
          <w:color w:val="auto"/>
          <w:kern w:val="0"/>
          <w:sz w:val="24"/>
          <w:szCs w:val="24"/>
          <w:highlight w:val="none"/>
          <w:u w:val="single"/>
          <w:lang w:val="en-US" w:eastAsia="zh-CN"/>
        </w:rPr>
      </w:pPr>
      <w:r>
        <w:rPr>
          <w:rFonts w:hint="eastAsia" w:ascii="宋体" w:hAnsi="Times New Roman"/>
          <w:color w:val="auto"/>
          <w:kern w:val="0"/>
          <w:sz w:val="24"/>
          <w:szCs w:val="24"/>
          <w:highlight w:val="none"/>
          <w:u w:val="single"/>
          <w:lang w:val="en-US" w:eastAsia="zh-CN"/>
        </w:rPr>
        <w:t>3)按100年一遇防洪设计标准加高沈元水闸。</w:t>
      </w:r>
    </w:p>
    <w:p w14:paraId="4D64400E">
      <w:pPr>
        <w:spacing w:line="360" w:lineRule="auto"/>
        <w:ind w:firstLine="480" w:firstLineChars="200"/>
        <w:jc w:val="left"/>
        <w:rPr>
          <w:rFonts w:ascii="宋体" w:hAnsi="Times New Roman"/>
          <w:color w:val="auto"/>
          <w:kern w:val="0"/>
          <w:sz w:val="24"/>
          <w:szCs w:val="24"/>
          <w:highlight w:val="none"/>
          <w:u w:val="single"/>
        </w:rPr>
      </w:pPr>
      <w:r>
        <w:rPr>
          <w:rFonts w:hint="eastAsia" w:ascii="宋体" w:hAnsi="Times New Roman"/>
          <w:color w:val="auto"/>
          <w:kern w:val="0"/>
          <w:sz w:val="24"/>
          <w:szCs w:val="24"/>
          <w:highlight w:val="none"/>
          <w:u w:val="single"/>
          <w:lang w:val="en-US" w:eastAsia="zh-CN"/>
        </w:rPr>
        <w:t>4)石湖村鱼塘处新建小型排涝泵1座，泵站设计排涝流量0.4m</w:t>
      </w:r>
      <w:r>
        <w:rPr>
          <w:rFonts w:hint="eastAsia" w:ascii="宋体" w:hAnsi="Times New Roman"/>
          <w:color w:val="auto"/>
          <w:kern w:val="0"/>
          <w:sz w:val="24"/>
          <w:szCs w:val="24"/>
          <w:highlight w:val="none"/>
          <w:u w:val="single"/>
          <w:vertAlign w:val="superscript"/>
          <w:lang w:val="en-US" w:eastAsia="zh-CN"/>
        </w:rPr>
        <w:t>3</w:t>
      </w:r>
      <w:r>
        <w:rPr>
          <w:rFonts w:hint="eastAsia" w:ascii="宋体" w:hAnsi="Times New Roman"/>
          <w:color w:val="auto"/>
          <w:kern w:val="0"/>
          <w:sz w:val="24"/>
          <w:szCs w:val="24"/>
          <w:highlight w:val="none"/>
          <w:u w:val="single"/>
          <w:lang w:val="en-US" w:eastAsia="zh-CN"/>
        </w:rPr>
        <w:t>/s</w:t>
      </w:r>
      <w:r>
        <w:rPr>
          <w:rFonts w:hint="eastAsia" w:ascii="宋体" w:hAnsi="Times New Roman"/>
          <w:color w:val="auto"/>
          <w:kern w:val="0"/>
          <w:sz w:val="24"/>
          <w:szCs w:val="24"/>
          <w:highlight w:val="none"/>
          <w:u w:val="single"/>
        </w:rPr>
        <w:t>。</w:t>
      </w:r>
    </w:p>
    <w:p w14:paraId="3D360CCC">
      <w:pPr>
        <w:tabs>
          <w:tab w:val="left" w:pos="7513"/>
        </w:tabs>
        <w:autoSpaceDE w:val="0"/>
        <w:autoSpaceDN w:val="0"/>
        <w:adjustRightInd w:val="0"/>
        <w:spacing w:line="360" w:lineRule="auto"/>
        <w:ind w:firstLine="424" w:firstLineChars="177"/>
        <w:jc w:val="left"/>
        <w:rPr>
          <w:rFonts w:ascii="宋体" w:hAnsi="宋体"/>
          <w:color w:val="auto"/>
          <w:kern w:val="0"/>
          <w:sz w:val="24"/>
          <w:szCs w:val="24"/>
          <w:highlight w:val="none"/>
          <w:u w:val="single"/>
        </w:rPr>
      </w:pPr>
      <w:r>
        <w:rPr>
          <w:rFonts w:ascii="Times New Roman" w:hAnsi="Times New Roman"/>
          <w:color w:val="auto"/>
          <w:kern w:val="0"/>
          <w:sz w:val="24"/>
          <w:szCs w:val="24"/>
          <w:highlight w:val="none"/>
        </w:rPr>
        <w:t>2.1.4</w:t>
      </w:r>
      <w:r>
        <w:rPr>
          <w:rFonts w:hint="eastAsia" w:ascii="Times New Roman" w:hAnsi="Times New Roman"/>
          <w:color w:val="auto"/>
          <w:kern w:val="0"/>
          <w:sz w:val="24"/>
          <w:szCs w:val="24"/>
          <w:highlight w:val="none"/>
        </w:rPr>
        <w:t>建筑安装工程费</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工程概算：</w:t>
      </w:r>
      <w:r>
        <w:rPr>
          <w:rFonts w:hint="eastAsia" w:ascii="Times New Roman" w:hAnsi="Times New Roman"/>
          <w:color w:val="auto"/>
          <w:kern w:val="0"/>
          <w:sz w:val="24"/>
          <w:szCs w:val="24"/>
          <w:highlight w:val="none"/>
          <w:u w:val="none"/>
        </w:rPr>
        <w:t>项目概算总投资</w:t>
      </w:r>
      <w:r>
        <w:rPr>
          <w:rFonts w:hint="eastAsia" w:ascii="Times New Roman" w:hAnsi="Times New Roman"/>
          <w:color w:val="auto"/>
          <w:kern w:val="0"/>
          <w:sz w:val="24"/>
          <w:szCs w:val="24"/>
          <w:highlight w:val="none"/>
          <w:u w:val="single"/>
        </w:rPr>
        <w:t>584547946</w:t>
      </w:r>
      <w:r>
        <w:rPr>
          <w:rFonts w:hint="eastAsia" w:ascii="Times New Roman" w:hAnsi="Times New Roman"/>
          <w:color w:val="auto"/>
          <w:kern w:val="0"/>
          <w:sz w:val="24"/>
          <w:szCs w:val="24"/>
          <w:highlight w:val="none"/>
          <w:u w:val="single"/>
          <w:lang w:val="en-US" w:eastAsia="zh-CN"/>
        </w:rPr>
        <w:t>.</w:t>
      </w:r>
      <w:r>
        <w:rPr>
          <w:rFonts w:hint="eastAsia" w:ascii="Times New Roman" w:hAnsi="Times New Roman"/>
          <w:color w:val="auto"/>
          <w:kern w:val="0"/>
          <w:sz w:val="24"/>
          <w:szCs w:val="24"/>
          <w:highlight w:val="none"/>
          <w:u w:val="single"/>
        </w:rPr>
        <w:t>43元</w:t>
      </w:r>
      <w:r>
        <w:rPr>
          <w:rFonts w:hint="eastAsia" w:ascii="Times New Roman" w:hAnsi="Times New Roman"/>
          <w:color w:val="auto"/>
          <w:kern w:val="0"/>
          <w:sz w:val="24"/>
          <w:szCs w:val="24"/>
          <w:highlight w:val="none"/>
          <w:u w:val="none"/>
        </w:rPr>
        <w:t>，建安费为</w:t>
      </w:r>
      <w:r>
        <w:rPr>
          <w:rFonts w:hint="eastAsia" w:ascii="Times New Roman" w:hAnsi="Times New Roman"/>
          <w:color w:val="auto"/>
          <w:kern w:val="0"/>
          <w:sz w:val="24"/>
          <w:szCs w:val="24"/>
          <w:highlight w:val="none"/>
          <w:u w:val="single"/>
          <w:lang w:val="en-US" w:eastAsia="zh-CN"/>
        </w:rPr>
        <w:t>251538152.05</w:t>
      </w:r>
      <w:r>
        <w:rPr>
          <w:rFonts w:hint="eastAsia" w:ascii="Times New Roman" w:hAnsi="Times New Roman"/>
          <w:color w:val="auto"/>
          <w:kern w:val="0"/>
          <w:sz w:val="24"/>
          <w:szCs w:val="24"/>
          <w:highlight w:val="none"/>
          <w:u w:val="single"/>
        </w:rPr>
        <w:t>元。</w:t>
      </w:r>
    </w:p>
    <w:p w14:paraId="37EC1DC8">
      <w:pPr>
        <w:tabs>
          <w:tab w:val="left" w:pos="7513"/>
        </w:tabs>
        <w:autoSpaceDE w:val="0"/>
        <w:autoSpaceDN w:val="0"/>
        <w:adjustRightInd w:val="0"/>
        <w:spacing w:line="360" w:lineRule="auto"/>
        <w:ind w:firstLine="240" w:firstLineChars="100"/>
        <w:jc w:val="left"/>
        <w:outlineLvl w:val="2"/>
        <w:rPr>
          <w:rFonts w:ascii="宋体" w:hAnsi="宋体"/>
          <w:color w:val="auto"/>
          <w:kern w:val="0"/>
          <w:sz w:val="24"/>
          <w:szCs w:val="24"/>
          <w:highlight w:val="none"/>
        </w:rPr>
      </w:pPr>
      <w:bookmarkStart w:id="14" w:name="_Toc13481"/>
      <w:bookmarkStart w:id="15" w:name="_Toc22253"/>
      <w:r>
        <w:rPr>
          <w:rFonts w:ascii="宋体" w:hAnsi="宋体"/>
          <w:color w:val="auto"/>
          <w:kern w:val="0"/>
          <w:sz w:val="24"/>
          <w:szCs w:val="24"/>
          <w:highlight w:val="none"/>
        </w:rPr>
        <w:t>2.2</w:t>
      </w:r>
      <w:r>
        <w:rPr>
          <w:rFonts w:hint="eastAsia" w:ascii="宋体" w:hAnsi="宋体"/>
          <w:color w:val="auto"/>
          <w:kern w:val="0"/>
          <w:sz w:val="24"/>
          <w:szCs w:val="24"/>
          <w:highlight w:val="none"/>
        </w:rPr>
        <w:t xml:space="preserve"> </w:t>
      </w:r>
      <w:r>
        <w:rPr>
          <w:rFonts w:ascii="宋体" w:hAnsi="宋体"/>
          <w:color w:val="auto"/>
          <w:kern w:val="0"/>
          <w:sz w:val="24"/>
          <w:szCs w:val="24"/>
          <w:highlight w:val="none"/>
        </w:rPr>
        <w:t>招标范围</w:t>
      </w:r>
      <w:bookmarkEnd w:id="14"/>
      <w:bookmarkEnd w:id="15"/>
    </w:p>
    <w:p w14:paraId="4C72EA53">
      <w:pPr>
        <w:tabs>
          <w:tab w:val="left" w:pos="7513"/>
        </w:tabs>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ascii="宋体" w:hAnsi="宋体"/>
          <w:color w:val="auto"/>
          <w:kern w:val="0"/>
          <w:sz w:val="24"/>
          <w:szCs w:val="24"/>
          <w:highlight w:val="none"/>
        </w:rPr>
        <w:t>2.2.1</w:t>
      </w:r>
      <w:r>
        <w:rPr>
          <w:rFonts w:ascii="宋体" w:hAnsi="Times New Roman"/>
          <w:color w:val="auto"/>
          <w:kern w:val="0"/>
          <w:sz w:val="24"/>
          <w:szCs w:val="24"/>
          <w:highlight w:val="none"/>
        </w:rPr>
        <w:t>标段划分：</w:t>
      </w:r>
      <w:r>
        <w:rPr>
          <w:rFonts w:hint="eastAsia" w:ascii="Times New Roman" w:hAnsi="Times New Roman"/>
          <w:color w:val="auto"/>
          <w:kern w:val="0"/>
          <w:sz w:val="24"/>
          <w:szCs w:val="24"/>
          <w:highlight w:val="none"/>
          <w:u w:val="single"/>
        </w:rPr>
        <w:t>本项目设1个标段。</w:t>
      </w:r>
      <w:r>
        <w:rPr>
          <w:rFonts w:ascii="Times New Roman" w:hAnsi="Times New Roman"/>
          <w:color w:val="auto"/>
          <w:kern w:val="0"/>
          <w:sz w:val="24"/>
          <w:szCs w:val="24"/>
          <w:highlight w:val="none"/>
        </w:rPr>
        <w:t xml:space="preserve"> </w:t>
      </w:r>
    </w:p>
    <w:p w14:paraId="457861AC">
      <w:pPr>
        <w:tabs>
          <w:tab w:val="left" w:pos="7513"/>
        </w:tabs>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2.2.2监理范围：</w:t>
      </w:r>
      <w:r>
        <w:rPr>
          <w:rFonts w:hint="eastAsia" w:ascii="宋体" w:hAnsi="宋体"/>
          <w:color w:val="auto"/>
          <w:kern w:val="0"/>
          <w:sz w:val="24"/>
          <w:szCs w:val="24"/>
          <w:highlight w:val="none"/>
          <w:u w:val="single"/>
        </w:rPr>
        <w:t>负责本项目施工准备阶段、施工阶段、工程收尾阶段（包括但不限于竣工验收、整改、工程移交、工程结算等）、保修阶段（缺陷责任期）的质量控制、职业健康、安全生产及环境监督管理、投资控制、进度控制、合同管理、信息管理、组织协调等全过程监理工作。</w:t>
      </w:r>
      <w:r>
        <w:rPr>
          <w:rFonts w:ascii="宋体" w:hAnsi="宋体"/>
          <w:color w:val="auto"/>
          <w:kern w:val="0"/>
          <w:sz w:val="24"/>
          <w:szCs w:val="24"/>
          <w:highlight w:val="none"/>
        </w:rPr>
        <w:t xml:space="preserve">                 </w:t>
      </w:r>
    </w:p>
    <w:p w14:paraId="38D5A9DB">
      <w:pPr>
        <w:tabs>
          <w:tab w:val="left" w:pos="7513"/>
        </w:tabs>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2.2.3监理服务期：</w:t>
      </w:r>
      <w:r>
        <w:rPr>
          <w:rFonts w:hint="eastAsia" w:ascii="宋体" w:hAnsi="宋体"/>
          <w:color w:val="auto"/>
          <w:kern w:val="0"/>
          <w:sz w:val="24"/>
          <w:szCs w:val="24"/>
          <w:highlight w:val="none"/>
          <w:u w:val="single"/>
        </w:rPr>
        <w:t>从中标人收到招标人中标通知或参加由招标人组织的进场动员会开始算起，至本项目工程质量保修期结束且本合同工程结算金额经政府主管部门审定之日止。</w:t>
      </w:r>
      <w:r>
        <w:rPr>
          <w:rFonts w:ascii="宋体" w:hAnsi="宋体"/>
          <w:color w:val="auto"/>
          <w:kern w:val="0"/>
          <w:sz w:val="24"/>
          <w:szCs w:val="24"/>
          <w:highlight w:val="none"/>
        </w:rPr>
        <w:t xml:space="preserve">                </w:t>
      </w:r>
    </w:p>
    <w:p w14:paraId="215ECCC6">
      <w:pPr>
        <w:tabs>
          <w:tab w:val="left" w:pos="7513"/>
        </w:tabs>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2.2.4监理服务最高投标限价：</w:t>
      </w:r>
      <w:bookmarkStart w:id="16" w:name="OLE_LINK1"/>
      <w:r>
        <w:rPr>
          <w:rFonts w:hint="eastAsia" w:ascii="宋体" w:hAnsi="宋体"/>
          <w:color w:val="auto"/>
          <w:kern w:val="0"/>
          <w:sz w:val="24"/>
          <w:szCs w:val="24"/>
          <w:highlight w:val="none"/>
          <w:u w:val="single"/>
          <w:lang w:val="en-US" w:eastAsia="zh-CN"/>
        </w:rPr>
        <w:t>4911300.00</w:t>
      </w:r>
      <w:r>
        <w:rPr>
          <w:rFonts w:hint="eastAsia" w:ascii="宋体" w:hAnsi="宋体"/>
          <w:color w:val="auto"/>
          <w:kern w:val="0"/>
          <w:sz w:val="24"/>
          <w:szCs w:val="24"/>
          <w:highlight w:val="none"/>
          <w:u w:val="single"/>
        </w:rPr>
        <w:t>元</w:t>
      </w:r>
      <w:r>
        <w:rPr>
          <w:rFonts w:ascii="宋体" w:hAnsi="宋体"/>
          <w:color w:val="auto"/>
          <w:kern w:val="0"/>
          <w:sz w:val="24"/>
          <w:szCs w:val="24"/>
          <w:highlight w:val="none"/>
          <w:u w:val="single"/>
        </w:rPr>
        <w:t>。</w:t>
      </w:r>
      <w:r>
        <w:rPr>
          <w:rFonts w:ascii="宋体" w:hAnsi="宋体" w:cs="宋体"/>
          <w:color w:val="auto"/>
          <w:kern w:val="0"/>
          <w:sz w:val="24"/>
          <w:szCs w:val="24"/>
          <w:highlight w:val="none"/>
          <w:lang w:bidi="ar"/>
        </w:rPr>
        <w:t xml:space="preserve">       </w:t>
      </w:r>
      <w:bookmarkEnd w:id="16"/>
    </w:p>
    <w:p w14:paraId="7009A3AE">
      <w:pPr>
        <w:autoSpaceDE w:val="0"/>
        <w:autoSpaceDN w:val="0"/>
        <w:adjustRightInd w:val="0"/>
        <w:spacing w:before="156" w:beforeLines="50" w:after="156" w:afterLines="50" w:line="360" w:lineRule="auto"/>
        <w:jc w:val="left"/>
        <w:outlineLvl w:val="2"/>
        <w:rPr>
          <w:rFonts w:ascii="宋体" w:hAnsi="宋体" w:cs="宋体"/>
          <w:i/>
          <w:color w:val="auto"/>
          <w:kern w:val="0"/>
          <w:szCs w:val="21"/>
          <w:highlight w:val="none"/>
        </w:rPr>
      </w:pPr>
      <w:bookmarkStart w:id="17" w:name="bookmark4"/>
      <w:bookmarkEnd w:id="17"/>
      <w:bookmarkStart w:id="18" w:name="_Toc6545"/>
      <w:r>
        <w:rPr>
          <w:rFonts w:ascii="宋体" w:hAnsi="宋体" w:cs="宋体"/>
          <w:b/>
          <w:color w:val="auto"/>
          <w:kern w:val="0"/>
          <w:sz w:val="24"/>
          <w:szCs w:val="24"/>
          <w:highlight w:val="none"/>
        </w:rPr>
        <w:t>3.投标人资格要求</w:t>
      </w:r>
      <w:bookmarkEnd w:id="18"/>
    </w:p>
    <w:p w14:paraId="54D07029">
      <w:pPr>
        <w:tabs>
          <w:tab w:val="left" w:pos="7513"/>
        </w:tabs>
        <w:autoSpaceDE w:val="0"/>
        <w:autoSpaceDN w:val="0"/>
        <w:adjustRightInd w:val="0"/>
        <w:spacing w:line="360" w:lineRule="auto"/>
        <w:ind w:firstLine="480" w:firstLineChars="200"/>
        <w:jc w:val="left"/>
        <w:outlineLvl w:val="2"/>
        <w:rPr>
          <w:rFonts w:ascii="宋体" w:hAnsi="宋体" w:cs="宋体"/>
          <w:color w:val="auto"/>
          <w:kern w:val="0"/>
          <w:sz w:val="24"/>
          <w:szCs w:val="24"/>
          <w:highlight w:val="none"/>
        </w:rPr>
      </w:pPr>
      <w:bookmarkStart w:id="19" w:name="_Toc31217"/>
      <w:bookmarkStart w:id="20" w:name="_Toc15591"/>
      <w:r>
        <w:rPr>
          <w:rFonts w:ascii="宋体" w:hAnsi="宋体" w:cs="宋体"/>
          <w:color w:val="auto"/>
          <w:kern w:val="0"/>
          <w:sz w:val="24"/>
          <w:szCs w:val="24"/>
          <w:highlight w:val="none"/>
        </w:rPr>
        <w:t xml:space="preserve">3.1 </w:t>
      </w:r>
      <w:r>
        <w:rPr>
          <w:rFonts w:ascii="宋体" w:hAnsi="宋体"/>
          <w:color w:val="auto"/>
          <w:kern w:val="0"/>
          <w:sz w:val="24"/>
          <w:szCs w:val="24"/>
          <w:highlight w:val="none"/>
        </w:rPr>
        <w:t>投标人参加投标的意思表达清楚，投标人代表被授权有效</w:t>
      </w:r>
      <w:r>
        <w:rPr>
          <w:rFonts w:ascii="宋体" w:hAnsi="宋体" w:cs="宋体"/>
          <w:color w:val="auto"/>
          <w:kern w:val="0"/>
          <w:sz w:val="24"/>
          <w:szCs w:val="24"/>
          <w:highlight w:val="none"/>
        </w:rPr>
        <w:t>。</w:t>
      </w:r>
      <w:bookmarkEnd w:id="19"/>
      <w:bookmarkEnd w:id="20"/>
    </w:p>
    <w:p w14:paraId="40A34B48">
      <w:pPr>
        <w:tabs>
          <w:tab w:val="left" w:pos="7513"/>
        </w:tabs>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ascii="宋体" w:hAnsi="宋体" w:cs="宋体"/>
          <w:color w:val="auto"/>
          <w:kern w:val="0"/>
          <w:sz w:val="24"/>
          <w:szCs w:val="24"/>
          <w:highlight w:val="none"/>
        </w:rPr>
        <w:t xml:space="preserve">3.2 </w:t>
      </w:r>
      <w:r>
        <w:rPr>
          <w:rFonts w:ascii="宋体" w:hAnsi="宋体"/>
          <w:color w:val="auto"/>
          <w:kern w:val="0"/>
          <w:sz w:val="24"/>
          <w:szCs w:val="24"/>
          <w:highlight w:val="none"/>
        </w:rPr>
        <w:t>投标人是法人或其他组织，按国家法律经营。</w:t>
      </w:r>
    </w:p>
    <w:p w14:paraId="3AE3CB5D">
      <w:pPr>
        <w:tabs>
          <w:tab w:val="left" w:pos="7513"/>
        </w:tabs>
        <w:autoSpaceDE w:val="0"/>
        <w:autoSpaceDN w:val="0"/>
        <w:adjustRightInd w:val="0"/>
        <w:spacing w:line="360" w:lineRule="auto"/>
        <w:ind w:firstLine="480" w:firstLineChars="200"/>
        <w:jc w:val="left"/>
        <w:outlineLvl w:val="2"/>
        <w:rPr>
          <w:rFonts w:ascii="宋体" w:hAnsi="宋体" w:cs="宋体"/>
          <w:color w:val="auto"/>
          <w:kern w:val="0"/>
          <w:sz w:val="24"/>
          <w:szCs w:val="24"/>
          <w:highlight w:val="none"/>
        </w:rPr>
      </w:pPr>
      <w:bookmarkStart w:id="21" w:name="_Toc9121"/>
      <w:bookmarkStart w:id="22" w:name="_Toc25809"/>
      <w:r>
        <w:rPr>
          <w:rFonts w:ascii="宋体" w:hAnsi="宋体" w:cs="宋体"/>
          <w:color w:val="auto"/>
          <w:kern w:val="0"/>
          <w:sz w:val="24"/>
          <w:szCs w:val="24"/>
          <w:highlight w:val="none"/>
        </w:rPr>
        <w:t xml:space="preserve">3.3 </w:t>
      </w:r>
      <w:r>
        <w:rPr>
          <w:rFonts w:ascii="宋体" w:hAnsi="宋体"/>
          <w:color w:val="auto"/>
          <w:kern w:val="0"/>
          <w:sz w:val="24"/>
          <w:szCs w:val="24"/>
          <w:highlight w:val="none"/>
        </w:rPr>
        <w:t>本次招标要求投标人须具备</w:t>
      </w:r>
      <w:r>
        <w:rPr>
          <w:rFonts w:ascii="宋体" w:hAnsi="宋体"/>
          <w:b/>
          <w:color w:val="auto"/>
          <w:kern w:val="0"/>
          <w:sz w:val="24"/>
          <w:szCs w:val="24"/>
          <w:highlight w:val="none"/>
          <w:u w:val="single"/>
        </w:rPr>
        <w:t xml:space="preserve"> </w:t>
      </w:r>
      <w:r>
        <w:rPr>
          <w:rFonts w:hint="eastAsia" w:ascii="宋体" w:hAnsi="宋体"/>
          <w:b/>
          <w:color w:val="auto"/>
          <w:kern w:val="0"/>
          <w:sz w:val="24"/>
          <w:szCs w:val="24"/>
          <w:highlight w:val="none"/>
          <w:u w:val="single"/>
        </w:rPr>
        <w:t>水利工程施工监理甲级</w:t>
      </w:r>
      <w:r>
        <w:rPr>
          <w:rFonts w:ascii="宋体" w:hAnsi="宋体"/>
          <w:b/>
          <w:color w:val="auto"/>
          <w:kern w:val="0"/>
          <w:sz w:val="24"/>
          <w:szCs w:val="24"/>
          <w:highlight w:val="none"/>
          <w:u w:val="single"/>
        </w:rPr>
        <w:t xml:space="preserve"> </w:t>
      </w:r>
      <w:r>
        <w:rPr>
          <w:rFonts w:ascii="宋体" w:hAnsi="宋体"/>
          <w:color w:val="auto"/>
          <w:kern w:val="0"/>
          <w:sz w:val="24"/>
          <w:szCs w:val="24"/>
          <w:highlight w:val="none"/>
        </w:rPr>
        <w:t>资质。</w:t>
      </w:r>
      <w:bookmarkEnd w:id="21"/>
      <w:bookmarkEnd w:id="22"/>
    </w:p>
    <w:p w14:paraId="08E43DE5">
      <w:pPr>
        <w:tabs>
          <w:tab w:val="left" w:pos="7513"/>
        </w:tabs>
        <w:autoSpaceDE w:val="0"/>
        <w:autoSpaceDN w:val="0"/>
        <w:adjustRightIn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香港企业独立参加投标的，须在广东省住房和城乡建设主管部门备案且备案的业务范围满足本项目招标资质要求。注：依据《广东省住房和城乡建设厅关于印发香港工程建设咨询企业和专业人士在粤港澳大湾区内地城市开业执业试点管理暂行办法的通知》（粤建规范[2020]1号）确定。</w:t>
      </w:r>
    </w:p>
    <w:p w14:paraId="3D2C2C65">
      <w:pPr>
        <w:tabs>
          <w:tab w:val="left" w:pos="7513"/>
        </w:tabs>
        <w:autoSpaceDE w:val="0"/>
        <w:autoSpaceDN w:val="0"/>
        <w:adjustRightIn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注：根据《水利部关于开展水利工程建设监理单位资质行政许可有关工作的公告》（</w:t>
      </w:r>
      <w:bookmarkStart w:id="23" w:name="OLE_LINK2"/>
      <w:r>
        <w:rPr>
          <w:rFonts w:hint="eastAsia" w:ascii="仿宋" w:hAnsi="仿宋" w:eastAsia="仿宋" w:cs="仿宋"/>
          <w:color w:val="auto"/>
          <w:kern w:val="0"/>
          <w:sz w:val="24"/>
          <w:szCs w:val="24"/>
          <w:highlight w:val="none"/>
        </w:rPr>
        <w:t>中华人民共和国水利部公告2021年第9号</w:t>
      </w:r>
      <w:bookmarkEnd w:id="23"/>
      <w:r>
        <w:rPr>
          <w:rFonts w:hint="eastAsia" w:ascii="仿宋" w:hAnsi="仿宋" w:eastAsia="仿宋" w:cs="仿宋"/>
          <w:color w:val="auto"/>
          <w:kern w:val="0"/>
          <w:sz w:val="24"/>
          <w:szCs w:val="24"/>
          <w:highlight w:val="none"/>
        </w:rPr>
        <w:t>）的要求，投标人应按规定办理资质证书延期或换发的相关手续。资质电子证书按《水利部关于实行水利工程建设监理单位和甲级质量检测单位资质电子证书的公告》（中华人民共和国水利部公告2022年第9号）执行。资质证书有效期按《水利部关于水利工程建设监理单位和水利工程甲级质量检测单位资质等级证书延期的公告》（中华人民共和国水利部公告2023年第9号）规定执行。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w:t>
      </w:r>
    </w:p>
    <w:p w14:paraId="76CB747B">
      <w:pPr>
        <w:spacing w:line="360" w:lineRule="auto"/>
        <w:ind w:firstLine="480" w:firstLineChars="200"/>
        <w:rPr>
          <w:rFonts w:hint="eastAsia" w:ascii="宋体" w:hAnsi="宋体" w:eastAsia="宋体" w:cs="宋体"/>
          <w:color w:val="auto"/>
          <w:sz w:val="24"/>
          <w:szCs w:val="24"/>
          <w:highlight w:val="none"/>
        </w:rPr>
      </w:pPr>
      <w:r>
        <w:rPr>
          <w:rFonts w:ascii="宋体" w:hAnsi="宋体" w:cs="宋体"/>
          <w:color w:val="auto"/>
          <w:kern w:val="0"/>
          <w:sz w:val="24"/>
          <w:szCs w:val="24"/>
          <w:highlight w:val="none"/>
        </w:rPr>
        <w:t xml:space="preserve">3.4 </w:t>
      </w:r>
      <w:r>
        <w:rPr>
          <w:rFonts w:ascii="宋体" w:hAnsi="宋体"/>
          <w:color w:val="auto"/>
          <w:kern w:val="0"/>
          <w:sz w:val="24"/>
          <w:szCs w:val="24"/>
          <w:highlight w:val="none"/>
        </w:rPr>
        <w:t>拟派总监理工程师须具备</w:t>
      </w:r>
      <w:r>
        <w:rPr>
          <w:rFonts w:hint="eastAsia" w:ascii="宋体" w:hAnsi="宋体" w:eastAsia="宋体" w:cs="宋体"/>
          <w:color w:val="auto"/>
          <w:sz w:val="24"/>
          <w:szCs w:val="24"/>
          <w:highlight w:val="none"/>
          <w:u w:val="single"/>
          <w:lang w:val="en-US" w:eastAsia="zh-CN"/>
        </w:rPr>
        <w:t>工程类高级工程师（或以上）职称，持有有效的水利部颁发的中华人民共和国监理工程师注册证书（注册专业为水利工程施工监理）或中国水利工程协会颁发的水利工程建设监理工程师资格证书（其专业为水工建筑，执业单位为本投标单位）</w:t>
      </w:r>
      <w:r>
        <w:rPr>
          <w:rFonts w:hint="eastAsia" w:ascii="宋体" w:hAnsi="宋体" w:eastAsia="宋体" w:cs="宋体"/>
          <w:color w:val="auto"/>
          <w:sz w:val="24"/>
          <w:szCs w:val="24"/>
          <w:highlight w:val="none"/>
        </w:rPr>
        <w:t>。</w:t>
      </w:r>
    </w:p>
    <w:p w14:paraId="728ACB57">
      <w:pPr>
        <w:tabs>
          <w:tab w:val="left" w:pos="7513"/>
        </w:tabs>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若拟委派的项目负责人（总监理工程师）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2FE700E7">
      <w:pPr>
        <w:tabs>
          <w:tab w:val="left" w:pos="7513"/>
        </w:tabs>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5</w:t>
      </w:r>
      <w:r>
        <w:rPr>
          <w:rFonts w:ascii="宋体" w:hAnsi="宋体" w:cs="宋体"/>
          <w:color w:val="auto"/>
          <w:kern w:val="0"/>
          <w:sz w:val="24"/>
          <w:szCs w:val="24"/>
          <w:highlight w:val="none"/>
        </w:rPr>
        <w:t xml:space="preserve"> </w:t>
      </w:r>
      <w:r>
        <w:rPr>
          <w:rFonts w:ascii="宋体" w:hAnsi="宋体" w:cs="宋体"/>
          <w:color w:val="auto"/>
          <w:kern w:val="0"/>
          <w:sz w:val="24"/>
          <w:szCs w:val="21"/>
          <w:highlight w:val="none"/>
        </w:rPr>
        <w:t>投标登记前，投标人须在</w:t>
      </w:r>
      <w:r>
        <w:rPr>
          <w:rFonts w:hint="eastAsia" w:ascii="宋体" w:hAnsi="宋体" w:cs="宋体"/>
          <w:color w:val="auto"/>
          <w:kern w:val="0"/>
          <w:sz w:val="24"/>
          <w:szCs w:val="21"/>
          <w:highlight w:val="none"/>
        </w:rPr>
        <w:t>广州交易集团有限公司（广州公共资源交易中心）</w:t>
      </w:r>
      <w:r>
        <w:rPr>
          <w:rFonts w:ascii="宋体" w:hAnsi="宋体" w:cs="宋体"/>
          <w:color w:val="auto"/>
          <w:kern w:val="0"/>
          <w:sz w:val="24"/>
          <w:szCs w:val="21"/>
          <w:highlight w:val="none"/>
        </w:rPr>
        <w:t>企业库已办理企业信息登记及拟担任本工程总监理工程师须是本单位在企业库中的在册人员。</w:t>
      </w:r>
    </w:p>
    <w:p w14:paraId="656A712B">
      <w:pPr>
        <w:widowControl/>
        <w:autoSpaceDE w:val="0"/>
        <w:autoSpaceDN w:val="0"/>
        <w:adjustRightInd w:val="0"/>
        <w:snapToGrid w:val="0"/>
        <w:spacing w:line="360" w:lineRule="auto"/>
        <w:ind w:right="34" w:rightChars="14"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6</w:t>
      </w:r>
      <w:r>
        <w:rPr>
          <w:rFonts w:ascii="宋体" w:hAnsi="宋体" w:cs="宋体"/>
          <w:color w:val="auto"/>
          <w:kern w:val="0"/>
          <w:sz w:val="24"/>
          <w:szCs w:val="24"/>
          <w:highlight w:val="none"/>
        </w:rPr>
        <w:t xml:space="preserve"> </w:t>
      </w:r>
      <w:r>
        <w:rPr>
          <w:rFonts w:ascii="宋体" w:hAnsi="宋体" w:cs="宋体"/>
          <w:color w:val="auto"/>
          <w:kern w:val="0"/>
          <w:sz w:val="24"/>
          <w:szCs w:val="21"/>
          <w:highlight w:val="none"/>
        </w:rPr>
        <w:t>投标人已按规定格式签署盖章《投标人声明》（格式见招标文件第六章投标文件格式）</w:t>
      </w:r>
      <w:r>
        <w:rPr>
          <w:rFonts w:ascii="宋体" w:hAnsi="宋体" w:cs="宋体"/>
          <w:color w:val="auto"/>
          <w:kern w:val="0"/>
          <w:sz w:val="24"/>
          <w:szCs w:val="24"/>
          <w:highlight w:val="none"/>
        </w:rPr>
        <w:t>，且总监理工程师</w:t>
      </w:r>
      <w:r>
        <w:rPr>
          <w:rFonts w:hint="eastAsia" w:ascii="宋体" w:hAnsi="宋体" w:cs="宋体"/>
          <w:color w:val="auto"/>
          <w:kern w:val="0"/>
          <w:sz w:val="24"/>
          <w:szCs w:val="24"/>
          <w:highlight w:val="none"/>
        </w:rPr>
        <w:t>、技术负责人</w:t>
      </w:r>
      <w:r>
        <w:rPr>
          <w:rFonts w:ascii="宋体" w:hAnsi="宋体" w:cs="宋体"/>
          <w:color w:val="auto"/>
          <w:kern w:val="0"/>
          <w:sz w:val="24"/>
          <w:szCs w:val="24"/>
          <w:highlight w:val="none"/>
        </w:rPr>
        <w:t>已签字确认。</w:t>
      </w:r>
    </w:p>
    <w:p w14:paraId="17870479">
      <w:pPr>
        <w:autoSpaceDE w:val="0"/>
        <w:autoSpaceDN w:val="0"/>
        <w:adjustRightInd w:val="0"/>
        <w:snapToGrid w:val="0"/>
        <w:spacing w:line="360" w:lineRule="auto"/>
        <w:ind w:firstLine="480" w:firstLineChars="200"/>
        <w:jc w:val="left"/>
        <w:rPr>
          <w:rFonts w:ascii="Times New Roman" w:hAnsi="Times New Roman"/>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 xml:space="preserve"> </w:t>
      </w:r>
      <w:r>
        <w:rPr>
          <w:rFonts w:hint="eastAsia" w:ascii="宋体" w:hAnsi="宋体"/>
          <w:color w:val="auto"/>
          <w:kern w:val="0"/>
          <w:sz w:val="24"/>
          <w:szCs w:val="24"/>
          <w:highlight w:val="none"/>
        </w:rPr>
        <w:t>投标人未被列入“在一定期限内依法取消参加依法必须进行招标的项目的投标资格”，具体名单以递交投标文件截止时间“信用广州”公布的“黑名单”为准。注：《全国失信惩戒措施清单基础清单》（</w:t>
      </w:r>
      <w:r>
        <w:rPr>
          <w:rFonts w:hint="eastAsia" w:ascii="宋体" w:hAnsi="宋体"/>
          <w:color w:val="auto"/>
          <w:kern w:val="0"/>
          <w:sz w:val="24"/>
          <w:szCs w:val="24"/>
          <w:highlight w:val="none"/>
          <w:lang w:eastAsia="zh-CN"/>
        </w:rPr>
        <w:t>2025</w:t>
      </w:r>
      <w:r>
        <w:rPr>
          <w:rFonts w:hint="eastAsia" w:ascii="宋体" w:hAnsi="宋体"/>
          <w:color w:val="auto"/>
          <w:kern w:val="0"/>
          <w:sz w:val="24"/>
          <w:szCs w:val="24"/>
          <w:highlight w:val="none"/>
        </w:rPr>
        <w:t>版）</w:t>
      </w:r>
      <w:r>
        <w:rPr>
          <w:rFonts w:hint="eastAsia" w:ascii="仿宋" w:hAnsi="仿宋" w:eastAsia="仿宋" w:cs="仿宋"/>
          <w:color w:val="auto"/>
          <w:kern w:val="0"/>
          <w:sz w:val="24"/>
          <w:szCs w:val="24"/>
          <w:highlight w:val="none"/>
        </w:rPr>
        <w:t>。</w:t>
      </w:r>
    </w:p>
    <w:p w14:paraId="1BDA56C6">
      <w:pPr>
        <w:tabs>
          <w:tab w:val="left" w:pos="7513"/>
        </w:tabs>
        <w:autoSpaceDE w:val="0"/>
        <w:autoSpaceDN w:val="0"/>
        <w:adjustRightInd w:val="0"/>
        <w:spacing w:line="360" w:lineRule="auto"/>
        <w:ind w:firstLine="480" w:firstLineChars="200"/>
        <w:jc w:val="left"/>
        <w:rPr>
          <w:rFonts w:ascii="Times New Roman" w:hAnsi="Times New Roman" w:cs="宋体"/>
          <w:color w:val="auto"/>
          <w:kern w:val="0"/>
          <w:sz w:val="13"/>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8</w:t>
      </w:r>
      <w:r>
        <w:rPr>
          <w:rFonts w:ascii="宋体" w:hAnsi="宋体" w:cs="宋体"/>
          <w:color w:val="auto"/>
          <w:kern w:val="0"/>
          <w:sz w:val="24"/>
          <w:szCs w:val="24"/>
          <w:highlight w:val="none"/>
        </w:rPr>
        <w:t xml:space="preserve"> </w:t>
      </w:r>
      <w:r>
        <w:rPr>
          <w:rFonts w:ascii="宋体" w:hAnsi="宋体" w:cs="宋体"/>
          <w:color w:val="auto"/>
          <w:spacing w:val="7"/>
          <w:kern w:val="0"/>
          <w:sz w:val="24"/>
          <w:szCs w:val="24"/>
          <w:highlight w:val="none"/>
        </w:rPr>
        <w:t>本次</w:t>
      </w:r>
      <w:r>
        <w:rPr>
          <w:rFonts w:ascii="宋体" w:hAnsi="Times New Roman" w:cs="宋体"/>
          <w:color w:val="auto"/>
          <w:spacing w:val="7"/>
          <w:kern w:val="0"/>
          <w:sz w:val="24"/>
          <w:szCs w:val="24"/>
          <w:highlight w:val="none"/>
        </w:rPr>
        <w:t>招标</w:t>
      </w:r>
      <w:r>
        <w:rPr>
          <w:rFonts w:ascii="Times New Roman" w:hAnsi="Times New Roman" w:cs="宋体"/>
          <w:color w:val="auto"/>
          <w:spacing w:val="7"/>
          <w:kern w:val="0"/>
          <w:sz w:val="24"/>
          <w:szCs w:val="24"/>
          <w:highlight w:val="none"/>
          <w:u w:val="single"/>
        </w:rPr>
        <w:t xml:space="preserve">  </w:t>
      </w:r>
      <w:r>
        <w:rPr>
          <w:rFonts w:hint="eastAsia" w:ascii="Times New Roman" w:hAnsi="Times New Roman" w:cs="宋体"/>
          <w:color w:val="auto"/>
          <w:spacing w:val="7"/>
          <w:kern w:val="0"/>
          <w:sz w:val="24"/>
          <w:szCs w:val="24"/>
          <w:highlight w:val="none"/>
          <w:u w:val="single"/>
        </w:rPr>
        <w:t>不接受</w:t>
      </w:r>
      <w:r>
        <w:rPr>
          <w:rFonts w:ascii="Times New Roman" w:hAnsi="Times New Roman" w:cs="宋体"/>
          <w:color w:val="auto"/>
          <w:spacing w:val="7"/>
          <w:kern w:val="0"/>
          <w:sz w:val="24"/>
          <w:szCs w:val="24"/>
          <w:highlight w:val="none"/>
          <w:u w:val="single"/>
        </w:rPr>
        <w:t xml:space="preserve">  </w:t>
      </w:r>
      <w:r>
        <w:rPr>
          <w:rFonts w:ascii="宋体" w:hAnsi="Times New Roman" w:cs="宋体"/>
          <w:color w:val="auto"/>
          <w:spacing w:val="6"/>
          <w:kern w:val="0"/>
          <w:sz w:val="24"/>
          <w:szCs w:val="24"/>
          <w:highlight w:val="none"/>
        </w:rPr>
        <w:t>联合体投标。</w:t>
      </w:r>
    </w:p>
    <w:p w14:paraId="58754468">
      <w:pPr>
        <w:autoSpaceDE w:val="0"/>
        <w:autoSpaceDN w:val="0"/>
        <w:adjustRightInd w:val="0"/>
        <w:spacing w:before="156" w:beforeLines="50" w:after="156" w:afterLines="50" w:line="360" w:lineRule="auto"/>
        <w:jc w:val="left"/>
        <w:outlineLvl w:val="2"/>
        <w:rPr>
          <w:rFonts w:ascii="宋体" w:hAnsi="宋体" w:cs="宋体"/>
          <w:b/>
          <w:color w:val="auto"/>
          <w:kern w:val="0"/>
          <w:sz w:val="24"/>
          <w:szCs w:val="24"/>
          <w:highlight w:val="none"/>
        </w:rPr>
      </w:pPr>
      <w:bookmarkStart w:id="24" w:name="bookmark5"/>
      <w:bookmarkEnd w:id="24"/>
      <w:bookmarkStart w:id="25" w:name="_Toc31806"/>
      <w:r>
        <w:rPr>
          <w:rFonts w:ascii="宋体" w:hAnsi="宋体" w:cs="宋体"/>
          <w:b/>
          <w:color w:val="auto"/>
          <w:kern w:val="0"/>
          <w:sz w:val="24"/>
          <w:szCs w:val="24"/>
          <w:highlight w:val="none"/>
        </w:rPr>
        <w:t>4.招标文件的获取</w:t>
      </w:r>
      <w:bookmarkEnd w:id="25"/>
    </w:p>
    <w:p w14:paraId="05A2615F">
      <w:pPr>
        <w:widowControl/>
        <w:topLinePunct/>
        <w:snapToGrid w:val="0"/>
        <w:spacing w:line="400" w:lineRule="exact"/>
        <w:ind w:firstLine="476" w:firstLineChars="200"/>
        <w:jc w:val="left"/>
        <w:rPr>
          <w:rFonts w:ascii="宋体" w:hAnsi="宋体" w:cs="宋体"/>
          <w:color w:val="auto"/>
          <w:kern w:val="0"/>
          <w:sz w:val="24"/>
          <w:szCs w:val="24"/>
          <w:highlight w:val="none"/>
        </w:rPr>
      </w:pPr>
      <w:r>
        <w:rPr>
          <w:rFonts w:ascii="宋体" w:hAnsi="宋体" w:cs="宋体"/>
          <w:color w:val="auto"/>
          <w:spacing w:val="-1"/>
          <w:kern w:val="0"/>
          <w:sz w:val="24"/>
          <w:szCs w:val="24"/>
          <w:highlight w:val="none"/>
        </w:rPr>
        <w:t xml:space="preserve">4.1 </w:t>
      </w:r>
      <w:r>
        <w:rPr>
          <w:rFonts w:ascii="宋体" w:hAnsi="宋体" w:cs="宋体"/>
          <w:color w:val="auto"/>
          <w:kern w:val="0"/>
          <w:sz w:val="24"/>
          <w:szCs w:val="24"/>
          <w:highlight w:val="none"/>
        </w:rPr>
        <w:t>发布招标公告的时间：</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2025</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日至</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2025</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日</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时</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分（北京时间，下同），凡有意参加投标者，请登录</w:t>
      </w:r>
      <w:r>
        <w:rPr>
          <w:rFonts w:hint="eastAsia" w:ascii="宋体" w:hAnsi="宋体" w:cs="宋体"/>
          <w:color w:val="auto"/>
          <w:kern w:val="0"/>
          <w:sz w:val="24"/>
          <w:szCs w:val="24"/>
          <w:highlight w:val="none"/>
        </w:rPr>
        <w:t>广州交易集团有限公司（广州公共资源交易中心）</w:t>
      </w:r>
      <w:r>
        <w:rPr>
          <w:rFonts w:ascii="宋体" w:hAnsi="宋体" w:cs="宋体"/>
          <w:color w:val="auto"/>
          <w:kern w:val="0"/>
          <w:sz w:val="24"/>
          <w:szCs w:val="24"/>
          <w:highlight w:val="none"/>
        </w:rPr>
        <w:t>网站下载电子招标文件。</w:t>
      </w:r>
    </w:p>
    <w:p w14:paraId="280511A2">
      <w:pPr>
        <w:widowControl/>
        <w:topLinePunct/>
        <w:snapToGrid w:val="0"/>
        <w:spacing w:line="400" w:lineRule="exact"/>
        <w:ind w:left="480" w:left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注：发布招标公告的时间为招标公告发出之日起至递交投标文件截止时间止。</w:t>
      </w:r>
    </w:p>
    <w:p w14:paraId="25C82975">
      <w:pPr>
        <w:widowControl/>
        <w:topLinePunct/>
        <w:snapToGrid w:val="0"/>
        <w:spacing w:line="40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4.2</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 xml:space="preserve"> 本项目招标文件随招标公告一并在</w:t>
      </w:r>
      <w:r>
        <w:rPr>
          <w:rFonts w:hint="eastAsia" w:ascii="宋体" w:hAnsi="宋体" w:cs="宋体"/>
          <w:color w:val="auto"/>
          <w:kern w:val="0"/>
          <w:sz w:val="24"/>
          <w:szCs w:val="24"/>
          <w:highlight w:val="none"/>
        </w:rPr>
        <w:t>广州交易集团有限公司（广州公共资源交易中心）</w:t>
      </w:r>
      <w:r>
        <w:rPr>
          <w:rFonts w:ascii="宋体" w:hAnsi="宋体" w:cs="宋体"/>
          <w:color w:val="auto"/>
          <w:kern w:val="0"/>
          <w:sz w:val="24"/>
          <w:szCs w:val="24"/>
          <w:highlight w:val="none"/>
        </w:rPr>
        <w:t>网站交易平台发布。招标文件一经在交易平台发布，视为发出给投标人，招标文件由投标人自行在交易平台下载。</w:t>
      </w:r>
    </w:p>
    <w:p w14:paraId="0C2F9256">
      <w:pPr>
        <w:widowControl/>
        <w:topLinePunct/>
        <w:snapToGrid w:val="0"/>
        <w:spacing w:line="400" w:lineRule="exact"/>
        <w:ind w:firstLine="480" w:firstLineChars="200"/>
        <w:jc w:val="left"/>
        <w:outlineLvl w:val="2"/>
        <w:rPr>
          <w:rFonts w:ascii="宋体" w:hAnsi="宋体" w:cs="宋体"/>
          <w:color w:val="auto"/>
          <w:kern w:val="0"/>
          <w:sz w:val="24"/>
          <w:szCs w:val="24"/>
          <w:highlight w:val="none"/>
        </w:rPr>
      </w:pPr>
      <w:bookmarkStart w:id="26" w:name="_Toc31143"/>
      <w:bookmarkStart w:id="27" w:name="_Toc31577"/>
      <w:r>
        <w:rPr>
          <w:rFonts w:ascii="宋体" w:hAnsi="宋体" w:cs="宋体"/>
          <w:color w:val="auto"/>
          <w:kern w:val="0"/>
          <w:sz w:val="24"/>
          <w:szCs w:val="24"/>
          <w:highlight w:val="none"/>
        </w:rPr>
        <w:t>4.3 本项目采用资格后审方式。</w:t>
      </w:r>
      <w:bookmarkEnd w:id="26"/>
      <w:bookmarkEnd w:id="27"/>
    </w:p>
    <w:p w14:paraId="4A424A3B">
      <w:pPr>
        <w:autoSpaceDE w:val="0"/>
        <w:autoSpaceDN w:val="0"/>
        <w:adjustRightInd w:val="0"/>
        <w:spacing w:before="156" w:beforeLines="50" w:after="156" w:afterLines="50" w:line="360" w:lineRule="auto"/>
        <w:jc w:val="left"/>
        <w:outlineLvl w:val="2"/>
        <w:rPr>
          <w:rFonts w:ascii="宋体" w:hAnsi="宋体" w:cs="宋体"/>
          <w:b/>
          <w:color w:val="auto"/>
          <w:kern w:val="0"/>
          <w:sz w:val="24"/>
          <w:szCs w:val="24"/>
          <w:highlight w:val="none"/>
        </w:rPr>
      </w:pPr>
      <w:bookmarkStart w:id="28" w:name="bookmark6"/>
      <w:bookmarkEnd w:id="28"/>
      <w:bookmarkStart w:id="29" w:name="_Toc8907"/>
      <w:r>
        <w:rPr>
          <w:rFonts w:ascii="宋体" w:hAnsi="宋体" w:cs="宋体"/>
          <w:b/>
          <w:color w:val="auto"/>
          <w:kern w:val="0"/>
          <w:sz w:val="24"/>
          <w:szCs w:val="24"/>
          <w:highlight w:val="none"/>
        </w:rPr>
        <w:t>5.投标文件的递交</w:t>
      </w:r>
      <w:bookmarkEnd w:id="29"/>
    </w:p>
    <w:p w14:paraId="421191F1">
      <w:pPr>
        <w:widowControl/>
        <w:topLinePunct/>
        <w:snapToGrid w:val="0"/>
        <w:spacing w:line="40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5.1</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投标截止时间为</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日</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时</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分，投标人应在截止时间前通过</w:t>
      </w:r>
      <w:r>
        <w:rPr>
          <w:rFonts w:hint="eastAsia" w:ascii="宋体" w:hAnsi="宋体" w:cs="宋体"/>
          <w:color w:val="auto"/>
          <w:kern w:val="0"/>
          <w:sz w:val="24"/>
          <w:szCs w:val="24"/>
          <w:highlight w:val="none"/>
        </w:rPr>
        <w:t>广州交易集团有限公司（广州公共资源交易中心）</w:t>
      </w:r>
      <w:r>
        <w:rPr>
          <w:rFonts w:ascii="宋体" w:hAnsi="宋体" w:cs="宋体"/>
          <w:color w:val="auto"/>
          <w:kern w:val="0"/>
          <w:sz w:val="24"/>
          <w:szCs w:val="24"/>
          <w:highlight w:val="none"/>
        </w:rPr>
        <w:t>网站交易平台递交电子投标文件。投标人完成电子投标文件上传后，交易平台即时向投标人发出递交回执通知。递交时间以递交回执通知载明的传输完成时间为准。</w:t>
      </w:r>
    </w:p>
    <w:p w14:paraId="63B9AF5E">
      <w:pPr>
        <w:widowControl/>
        <w:topLinePunct/>
        <w:snapToGrid w:val="0"/>
        <w:spacing w:line="40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在投标截止时间后半小时内，投标人通过</w:t>
      </w:r>
      <w:r>
        <w:rPr>
          <w:rFonts w:hint="eastAsia" w:ascii="宋体" w:hAnsi="宋体" w:cs="宋体"/>
          <w:color w:val="auto"/>
          <w:kern w:val="0"/>
          <w:sz w:val="24"/>
          <w:szCs w:val="24"/>
          <w:highlight w:val="none"/>
        </w:rPr>
        <w:t>广州交易集团有限公司（广州公共资源交易中心）</w:t>
      </w:r>
      <w:r>
        <w:rPr>
          <w:rFonts w:ascii="宋体" w:hAnsi="宋体" w:cs="宋体"/>
          <w:color w:val="auto"/>
          <w:kern w:val="0"/>
          <w:sz w:val="24"/>
          <w:szCs w:val="24"/>
          <w:highlight w:val="none"/>
        </w:rPr>
        <w:t>网站对已递交的电子投标文件进行解密。</w:t>
      </w:r>
    </w:p>
    <w:p w14:paraId="7375CCBF">
      <w:pPr>
        <w:widowControl/>
        <w:topLinePunct/>
        <w:snapToGrid w:val="0"/>
        <w:spacing w:line="40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5.2</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投标人应在递交投标文件截止时间前，登录</w:t>
      </w:r>
      <w:r>
        <w:rPr>
          <w:rFonts w:hint="eastAsia" w:ascii="宋体" w:hAnsi="宋体" w:cs="宋体"/>
          <w:color w:val="auto"/>
          <w:kern w:val="0"/>
          <w:sz w:val="24"/>
          <w:szCs w:val="24"/>
          <w:highlight w:val="none"/>
        </w:rPr>
        <w:t>广州交易集团有限公司（广州公共资源交易中心）</w:t>
      </w:r>
      <w:r>
        <w:rPr>
          <w:rFonts w:ascii="宋体" w:hAnsi="宋体" w:cs="宋体"/>
          <w:color w:val="auto"/>
          <w:kern w:val="0"/>
          <w:sz w:val="24"/>
          <w:szCs w:val="24"/>
          <w:highlight w:val="none"/>
        </w:rPr>
        <w:t>网站交易平台办理网上投标登记手续；</w:t>
      </w:r>
      <w:r>
        <w:rPr>
          <w:rFonts w:ascii="宋体" w:hAnsi="宋体"/>
          <w:color w:val="auto"/>
          <w:kern w:val="0"/>
          <w:sz w:val="24"/>
          <w:szCs w:val="24"/>
          <w:highlight w:val="none"/>
        </w:rPr>
        <w:t>按照</w:t>
      </w:r>
      <w:r>
        <w:rPr>
          <w:rFonts w:hint="eastAsia" w:ascii="宋体" w:hAnsi="宋体"/>
          <w:color w:val="auto"/>
          <w:kern w:val="0"/>
          <w:sz w:val="24"/>
          <w:szCs w:val="24"/>
          <w:highlight w:val="none"/>
        </w:rPr>
        <w:t>广州交易集团有限公司（广州公共资源交易中心）</w:t>
      </w:r>
      <w:r>
        <w:rPr>
          <w:rFonts w:ascii="宋体" w:hAnsi="宋体"/>
          <w:color w:val="auto"/>
          <w:kern w:val="0"/>
          <w:sz w:val="24"/>
          <w:szCs w:val="24"/>
          <w:highlight w:val="none"/>
        </w:rPr>
        <w:t>网站关于全流程电子化项目的相关指南进行操作。</w:t>
      </w:r>
    </w:p>
    <w:p w14:paraId="5332EC7F">
      <w:pPr>
        <w:widowControl/>
        <w:topLinePunct/>
        <w:snapToGrid w:val="0"/>
        <w:spacing w:line="400" w:lineRule="exact"/>
        <w:ind w:left="480" w:left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5.3</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开标开始时间：</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日</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时</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分。</w:t>
      </w:r>
    </w:p>
    <w:p w14:paraId="30AC861D">
      <w:pPr>
        <w:widowControl/>
        <w:topLinePunct/>
        <w:snapToGrid w:val="0"/>
        <w:spacing w:line="40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5.4</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2BF8D541">
      <w:pPr>
        <w:widowControl/>
        <w:topLinePunct/>
        <w:snapToGrid w:val="0"/>
        <w:spacing w:line="40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5.5 逾期送达的电子投标文件，</w:t>
      </w:r>
      <w:r>
        <w:rPr>
          <w:rFonts w:hint="eastAsia" w:ascii="宋体" w:hAnsi="宋体" w:cs="宋体"/>
          <w:color w:val="auto"/>
          <w:kern w:val="0"/>
          <w:sz w:val="24"/>
          <w:szCs w:val="24"/>
          <w:highlight w:val="none"/>
        </w:rPr>
        <w:t>广州交易集团有限公司（广州公共资源交易中心）</w:t>
      </w:r>
      <w:r>
        <w:rPr>
          <w:rFonts w:ascii="宋体" w:hAnsi="宋体" w:cs="宋体"/>
          <w:color w:val="auto"/>
          <w:kern w:val="0"/>
          <w:sz w:val="24"/>
          <w:szCs w:val="24"/>
          <w:highlight w:val="none"/>
        </w:rPr>
        <w:t>网站交易平台将予以拒收。</w:t>
      </w:r>
    </w:p>
    <w:p w14:paraId="20A6DEDE">
      <w:pPr>
        <w:widowControl/>
        <w:topLinePunct/>
        <w:snapToGrid w:val="0"/>
        <w:spacing w:line="40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5.6投标人应自行检查广州公共资源交易中心信息登记中的企业基础信息扫描件（包括企业资质证书、企业营业执照、项目负责人相关证书等），评标委员会对上述资料的审查将以递交投标文件截止时间在广州公共资源交易中心信息登记的信息为依据。投标人应及时维护其在广州公共资源交易中心信息登记的信息，确保各项信息在有效期内。如因投标单位资料缺失导致资格审查不通过，责任由投标单位自行承担。</w:t>
      </w:r>
    </w:p>
    <w:p w14:paraId="02F081BC">
      <w:pPr>
        <w:autoSpaceDE w:val="0"/>
        <w:autoSpaceDN w:val="0"/>
        <w:adjustRightInd w:val="0"/>
        <w:spacing w:before="156" w:beforeLines="50" w:after="156" w:afterLines="50" w:line="360" w:lineRule="auto"/>
        <w:jc w:val="left"/>
        <w:outlineLvl w:val="2"/>
        <w:rPr>
          <w:rFonts w:ascii="宋体" w:hAnsi="宋体"/>
          <w:b/>
          <w:color w:val="auto"/>
          <w:kern w:val="0"/>
          <w:sz w:val="24"/>
          <w:szCs w:val="24"/>
          <w:highlight w:val="none"/>
        </w:rPr>
      </w:pPr>
      <w:bookmarkStart w:id="30" w:name="bookmark7"/>
      <w:bookmarkEnd w:id="30"/>
      <w:bookmarkStart w:id="31" w:name="_Toc15859"/>
      <w:r>
        <w:rPr>
          <w:rFonts w:ascii="宋体" w:hAnsi="宋体"/>
          <w:b/>
          <w:color w:val="auto"/>
          <w:kern w:val="0"/>
          <w:sz w:val="24"/>
          <w:szCs w:val="24"/>
          <w:highlight w:val="none"/>
        </w:rPr>
        <w:t>6.发布公告的媒介</w:t>
      </w:r>
      <w:bookmarkEnd w:id="31"/>
    </w:p>
    <w:p w14:paraId="1BCBB3CC">
      <w:pPr>
        <w:autoSpaceDE w:val="0"/>
        <w:autoSpaceDN w:val="0"/>
        <w:adjustRightInd w:val="0"/>
        <w:snapToGrid w:val="0"/>
        <w:spacing w:line="360" w:lineRule="auto"/>
        <w:ind w:firstLine="240" w:firstLineChars="100"/>
        <w:rPr>
          <w:rFonts w:ascii="宋体" w:hAnsi="宋体"/>
          <w:color w:val="auto"/>
          <w:kern w:val="0"/>
          <w:sz w:val="24"/>
          <w:szCs w:val="24"/>
          <w:highlight w:val="none"/>
        </w:rPr>
      </w:pPr>
      <w:r>
        <w:rPr>
          <w:rFonts w:ascii="宋体" w:hAnsi="宋体"/>
          <w:color w:val="auto"/>
          <w:kern w:val="0"/>
          <w:sz w:val="24"/>
          <w:szCs w:val="24"/>
          <w:highlight w:val="none"/>
        </w:rPr>
        <w:t>本次招标公告同时在</w:t>
      </w:r>
      <w:r>
        <w:rPr>
          <w:rFonts w:hint="eastAsia" w:ascii="宋体" w:hAnsi="宋体"/>
          <w:color w:val="auto"/>
          <w:kern w:val="0"/>
          <w:sz w:val="24"/>
          <w:szCs w:val="24"/>
          <w:highlight w:val="none"/>
          <w:u w:val="single"/>
        </w:rPr>
        <w:t>广州交易集团有限公司（广州公共资源交易中心）</w:t>
      </w:r>
      <w:r>
        <w:rPr>
          <w:rFonts w:ascii="宋体" w:hAnsi="宋体"/>
          <w:color w:val="auto"/>
          <w:kern w:val="0"/>
          <w:sz w:val="24"/>
          <w:szCs w:val="24"/>
          <w:highlight w:val="none"/>
          <w:u w:val="single"/>
        </w:rPr>
        <w:t>网（网址：http://www.gzggzy.cn）、广东省招标投标监管网（网址：http://zbtb.gd.gov.cn/）和中国招标投标公共服务平台（网址：http://www.cebpubservice.com/）</w:t>
      </w:r>
      <w:r>
        <w:rPr>
          <w:rFonts w:hint="eastAsia" w:ascii="宋体" w:hAnsi="宋体"/>
          <w:color w:val="auto"/>
          <w:kern w:val="0"/>
          <w:sz w:val="24"/>
          <w:szCs w:val="24"/>
          <w:highlight w:val="none"/>
          <w:u w:val="single"/>
        </w:rPr>
        <w:t>和广州市增城区人民政府门户网站（</w:t>
      </w:r>
      <w:r>
        <w:rPr>
          <w:rFonts w:ascii="宋体" w:hAnsi="宋体"/>
          <w:color w:val="auto"/>
          <w:kern w:val="0"/>
          <w:sz w:val="24"/>
          <w:szCs w:val="24"/>
          <w:highlight w:val="none"/>
          <w:u w:val="single"/>
        </w:rPr>
        <w:t>http://www.zc.gov.cn/）的“首页&gt;</w:t>
      </w:r>
      <w:r>
        <w:rPr>
          <w:rFonts w:hint="eastAsia" w:ascii="宋体" w:hAnsi="宋体"/>
          <w:color w:val="auto"/>
          <w:kern w:val="0"/>
          <w:sz w:val="24"/>
          <w:szCs w:val="24"/>
          <w:highlight w:val="none"/>
          <w:u w:val="single"/>
        </w:rPr>
        <w:t>公开</w:t>
      </w:r>
      <w:r>
        <w:rPr>
          <w:rFonts w:ascii="宋体" w:hAnsi="宋体"/>
          <w:color w:val="auto"/>
          <w:kern w:val="0"/>
          <w:sz w:val="24"/>
          <w:szCs w:val="24"/>
          <w:highlight w:val="none"/>
          <w:u w:val="single"/>
        </w:rPr>
        <w:t>&gt;</w:t>
      </w:r>
      <w:r>
        <w:rPr>
          <w:rFonts w:hint="eastAsia" w:ascii="宋体" w:hAnsi="宋体"/>
          <w:color w:val="auto"/>
          <w:kern w:val="0"/>
          <w:sz w:val="24"/>
          <w:szCs w:val="24"/>
          <w:highlight w:val="none"/>
          <w:u w:val="single"/>
        </w:rPr>
        <w:t>公共资源配置领域</w:t>
      </w:r>
      <w:r>
        <w:rPr>
          <w:rFonts w:ascii="宋体" w:hAnsi="宋体"/>
          <w:color w:val="auto"/>
          <w:kern w:val="0"/>
          <w:sz w:val="24"/>
          <w:szCs w:val="24"/>
          <w:highlight w:val="none"/>
          <w:u w:val="single"/>
        </w:rPr>
        <w:t>&gt;</w:t>
      </w:r>
      <w:r>
        <w:rPr>
          <w:rFonts w:hint="eastAsia" w:ascii="宋体" w:hAnsi="宋体"/>
          <w:color w:val="auto"/>
          <w:kern w:val="0"/>
          <w:sz w:val="24"/>
          <w:szCs w:val="24"/>
          <w:highlight w:val="none"/>
          <w:u w:val="single"/>
        </w:rPr>
        <w:t>工程建设项目招投标”栏目</w:t>
      </w:r>
      <w:r>
        <w:rPr>
          <w:rFonts w:ascii="宋体" w:hAnsi="宋体"/>
          <w:color w:val="auto"/>
          <w:kern w:val="0"/>
          <w:sz w:val="24"/>
          <w:szCs w:val="24"/>
          <w:highlight w:val="none"/>
        </w:rPr>
        <w:t>发布，本公告的修改、补充，在</w:t>
      </w:r>
      <w:r>
        <w:rPr>
          <w:rFonts w:hint="eastAsia" w:ascii="宋体" w:hAnsi="宋体"/>
          <w:color w:val="auto"/>
          <w:kern w:val="0"/>
          <w:sz w:val="24"/>
          <w:szCs w:val="24"/>
          <w:highlight w:val="none"/>
        </w:rPr>
        <w:t>广州交易集团有限公司（广州公共资源交易中心）</w:t>
      </w:r>
      <w:r>
        <w:rPr>
          <w:rFonts w:ascii="宋体" w:hAnsi="宋体"/>
          <w:color w:val="auto"/>
          <w:kern w:val="0"/>
          <w:sz w:val="24"/>
          <w:szCs w:val="24"/>
          <w:highlight w:val="none"/>
        </w:rPr>
        <w:t>网站上发布。</w:t>
      </w:r>
    </w:p>
    <w:p w14:paraId="4F0AAEB5">
      <w:pPr>
        <w:autoSpaceDE w:val="0"/>
        <w:autoSpaceDN w:val="0"/>
        <w:adjustRightInd w:val="0"/>
        <w:spacing w:before="156" w:beforeLines="50" w:after="156" w:afterLines="50" w:line="360" w:lineRule="auto"/>
        <w:jc w:val="left"/>
        <w:outlineLvl w:val="2"/>
        <w:rPr>
          <w:rFonts w:ascii="宋体" w:hAnsi="宋体"/>
          <w:b/>
          <w:color w:val="auto"/>
          <w:kern w:val="0"/>
          <w:sz w:val="24"/>
          <w:szCs w:val="24"/>
          <w:highlight w:val="none"/>
        </w:rPr>
      </w:pPr>
      <w:bookmarkStart w:id="32" w:name="bookmark8"/>
      <w:bookmarkEnd w:id="32"/>
      <w:bookmarkStart w:id="33" w:name="_Toc12025"/>
      <w:bookmarkStart w:id="34" w:name="_Toc29700"/>
      <w:r>
        <w:rPr>
          <w:rFonts w:hint="eastAsia" w:ascii="宋体" w:hAnsi="宋体"/>
          <w:b/>
          <w:color w:val="auto"/>
          <w:kern w:val="0"/>
          <w:sz w:val="24"/>
          <w:szCs w:val="24"/>
          <w:highlight w:val="none"/>
        </w:rPr>
        <w:t>7</w:t>
      </w:r>
      <w:r>
        <w:rPr>
          <w:rFonts w:ascii="宋体" w:hAnsi="宋体"/>
          <w:b/>
          <w:color w:val="auto"/>
          <w:kern w:val="0"/>
          <w:sz w:val="24"/>
          <w:szCs w:val="24"/>
          <w:highlight w:val="none"/>
        </w:rPr>
        <w:t>.疑问、异议、投诉处理</w:t>
      </w:r>
      <w:bookmarkEnd w:id="33"/>
    </w:p>
    <w:p w14:paraId="120E3B11">
      <w:pPr>
        <w:autoSpaceDE w:val="0"/>
        <w:autoSpaceDN w:val="0"/>
        <w:adjustRightInd w:val="0"/>
        <w:spacing w:line="360" w:lineRule="auto"/>
        <w:ind w:firstLine="480" w:firstLineChars="200"/>
        <w:jc w:val="left"/>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7.1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6356A65A">
      <w:pPr>
        <w:autoSpaceDE w:val="0"/>
        <w:autoSpaceDN w:val="0"/>
        <w:adjustRightInd w:val="0"/>
        <w:spacing w:line="360" w:lineRule="auto"/>
        <w:ind w:firstLine="480" w:firstLineChars="200"/>
        <w:jc w:val="left"/>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7.2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59BD5887">
      <w:pPr>
        <w:autoSpaceDE w:val="0"/>
        <w:autoSpaceDN w:val="0"/>
        <w:adjustRightInd w:val="0"/>
        <w:spacing w:line="360" w:lineRule="auto"/>
        <w:ind w:firstLine="480" w:firstLineChars="200"/>
        <w:jc w:val="left"/>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7.3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6D9C9E79">
      <w:pPr>
        <w:autoSpaceDE w:val="0"/>
        <w:autoSpaceDN w:val="0"/>
        <w:adjustRightInd w:val="0"/>
        <w:spacing w:line="360" w:lineRule="auto"/>
        <w:ind w:firstLine="480" w:firstLineChars="200"/>
        <w:jc w:val="left"/>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7B59DB1A">
      <w:pPr>
        <w:autoSpaceDE w:val="0"/>
        <w:autoSpaceDN w:val="0"/>
        <w:adjustRightInd w:val="0"/>
        <w:spacing w:line="360" w:lineRule="auto"/>
        <w:ind w:firstLine="480" w:firstLineChars="200"/>
        <w:jc w:val="left"/>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18D6E35">
      <w:pPr>
        <w:autoSpaceDE w:val="0"/>
        <w:autoSpaceDN w:val="0"/>
        <w:adjustRightInd w:val="0"/>
        <w:spacing w:before="156" w:beforeLines="50" w:after="156" w:afterLines="50" w:line="360" w:lineRule="auto"/>
        <w:jc w:val="left"/>
        <w:outlineLvl w:val="2"/>
        <w:rPr>
          <w:rFonts w:ascii="宋体" w:hAnsi="宋体"/>
          <w:b/>
          <w:color w:val="auto"/>
          <w:kern w:val="0"/>
          <w:sz w:val="24"/>
          <w:szCs w:val="24"/>
          <w:highlight w:val="none"/>
        </w:rPr>
      </w:pPr>
      <w:r>
        <w:rPr>
          <w:rFonts w:hint="eastAsia" w:ascii="宋体" w:hAnsi="宋体"/>
          <w:b/>
          <w:color w:val="auto"/>
          <w:kern w:val="0"/>
          <w:sz w:val="24"/>
          <w:szCs w:val="24"/>
          <w:highlight w:val="none"/>
        </w:rPr>
        <w:t>8</w:t>
      </w:r>
      <w:r>
        <w:rPr>
          <w:rFonts w:ascii="宋体" w:hAnsi="宋体"/>
          <w:b/>
          <w:color w:val="auto"/>
          <w:kern w:val="0"/>
          <w:sz w:val="24"/>
          <w:szCs w:val="24"/>
          <w:highlight w:val="none"/>
        </w:rPr>
        <w:t>.</w:t>
      </w:r>
      <w:r>
        <w:rPr>
          <w:rFonts w:hint="eastAsia" w:ascii="宋体" w:hAnsi="宋体"/>
          <w:b/>
          <w:color w:val="auto"/>
          <w:kern w:val="0"/>
          <w:sz w:val="24"/>
          <w:szCs w:val="24"/>
          <w:highlight w:val="none"/>
        </w:rPr>
        <w:t>投标人和中标候选人的重大变化告知义务：</w:t>
      </w:r>
    </w:p>
    <w:p w14:paraId="628BBA21">
      <w:pPr>
        <w:autoSpaceDE w:val="0"/>
        <w:autoSpaceDN w:val="0"/>
        <w:adjustRightInd w:val="0"/>
        <w:spacing w:line="360" w:lineRule="auto"/>
        <w:ind w:firstLine="480" w:firstLineChars="200"/>
        <w:jc w:val="left"/>
        <w:rPr>
          <w:rFonts w:ascii="Times New Roman" w:hAnsi="Times New Roman"/>
          <w:color w:val="auto"/>
          <w:kern w:val="0"/>
          <w:sz w:val="24"/>
          <w:szCs w:val="24"/>
          <w:highlight w:val="none"/>
        </w:rPr>
      </w:pPr>
      <w:r>
        <w:rPr>
          <w:rFonts w:hint="eastAsia" w:ascii="Times New Roman" w:hAnsi="Times New Roman" w:cs="宋体"/>
          <w:color w:val="auto"/>
          <w:kern w:val="0"/>
          <w:sz w:val="24"/>
          <w:szCs w:val="24"/>
          <w:highlight w:val="none"/>
        </w:rPr>
        <w:t>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34"/>
    </w:p>
    <w:p w14:paraId="06F195C8">
      <w:pPr>
        <w:autoSpaceDE w:val="0"/>
        <w:autoSpaceDN w:val="0"/>
        <w:adjustRightInd w:val="0"/>
        <w:spacing w:before="156" w:beforeLines="50" w:after="156" w:afterLines="50" w:line="360" w:lineRule="auto"/>
        <w:jc w:val="left"/>
        <w:outlineLvl w:val="2"/>
        <w:rPr>
          <w:rFonts w:ascii="Microsoft JhengHei" w:hAnsi="Microsoft JhengHei" w:eastAsia="Microsoft JhengHei"/>
          <w:color w:val="auto"/>
          <w:kern w:val="0"/>
          <w:sz w:val="19"/>
          <w:szCs w:val="24"/>
          <w:highlight w:val="none"/>
        </w:rPr>
      </w:pPr>
      <w:bookmarkStart w:id="35" w:name="_Toc20179"/>
      <w:r>
        <w:rPr>
          <w:rFonts w:hint="eastAsia" w:ascii="宋体" w:hAnsi="宋体"/>
          <w:b/>
          <w:color w:val="auto"/>
          <w:kern w:val="0"/>
          <w:sz w:val="24"/>
          <w:szCs w:val="24"/>
          <w:highlight w:val="none"/>
        </w:rPr>
        <w:t>9</w:t>
      </w:r>
      <w:r>
        <w:rPr>
          <w:rFonts w:ascii="宋体" w:hAnsi="宋体"/>
          <w:b/>
          <w:color w:val="auto"/>
          <w:kern w:val="0"/>
          <w:sz w:val="24"/>
          <w:szCs w:val="24"/>
          <w:highlight w:val="none"/>
        </w:rPr>
        <w:t>.联系方式</w:t>
      </w:r>
      <w:bookmarkEnd w:id="35"/>
    </w:p>
    <w:p w14:paraId="2BBC63C8">
      <w:pPr>
        <w:autoSpaceDE w:val="0"/>
        <w:autoSpaceDN w:val="0"/>
        <w:adjustRightInd w:val="0"/>
        <w:spacing w:line="360" w:lineRule="auto"/>
        <w:jc w:val="left"/>
        <w:rPr>
          <w:rFonts w:hint="eastAsia" w:ascii="宋体" w:hAnsi="宋体" w:eastAsia="宋体"/>
          <w:color w:val="auto"/>
          <w:kern w:val="0"/>
          <w:sz w:val="24"/>
          <w:szCs w:val="24"/>
          <w:highlight w:val="none"/>
          <w:lang w:eastAsia="zh-CN"/>
        </w:rPr>
      </w:pPr>
      <w:r>
        <w:rPr>
          <w:rFonts w:hint="eastAsia" w:ascii="宋体" w:hAnsi="宋体"/>
          <w:color w:val="auto"/>
          <w:kern w:val="0"/>
          <w:sz w:val="24"/>
          <w:szCs w:val="24"/>
          <w:highlight w:val="none"/>
        </w:rPr>
        <w:t>招标单位：</w:t>
      </w:r>
      <w:r>
        <w:rPr>
          <w:rFonts w:hint="eastAsia" w:ascii="宋体" w:hAnsi="宋体"/>
          <w:color w:val="auto"/>
          <w:kern w:val="0"/>
          <w:sz w:val="24"/>
          <w:szCs w:val="24"/>
          <w:highlight w:val="none"/>
          <w:lang w:eastAsia="zh-CN"/>
        </w:rPr>
        <w:t>广州市增城区水务建设管理所</w:t>
      </w:r>
    </w:p>
    <w:p w14:paraId="355B5252">
      <w:pPr>
        <w:autoSpaceDE w:val="0"/>
        <w:autoSpaceDN w:val="0"/>
        <w:adjustRightInd w:val="0"/>
        <w:spacing w:line="360" w:lineRule="auto"/>
        <w:jc w:val="left"/>
        <w:rPr>
          <w:rFonts w:ascii="宋体" w:hAnsi="Times New Roman"/>
          <w:color w:val="auto"/>
          <w:kern w:val="0"/>
          <w:sz w:val="24"/>
          <w:szCs w:val="24"/>
          <w:highlight w:val="none"/>
        </w:rPr>
      </w:pPr>
      <w:r>
        <w:rPr>
          <w:rFonts w:hint="eastAsia" w:ascii="宋体" w:hAnsi="Times New Roman"/>
          <w:color w:val="auto"/>
          <w:kern w:val="0"/>
          <w:sz w:val="24"/>
          <w:szCs w:val="24"/>
          <w:highlight w:val="none"/>
        </w:rPr>
        <w:t>地</w:t>
      </w:r>
      <w:r>
        <w:rPr>
          <w:rFonts w:ascii="宋体" w:hAnsi="Times New Roman"/>
          <w:color w:val="auto"/>
          <w:kern w:val="0"/>
          <w:sz w:val="24"/>
          <w:szCs w:val="24"/>
          <w:highlight w:val="none"/>
        </w:rPr>
        <w:t xml:space="preserve">    </w:t>
      </w:r>
      <w:r>
        <w:rPr>
          <w:rFonts w:hint="eastAsia" w:ascii="宋体" w:hAnsi="Times New Roman"/>
          <w:color w:val="auto"/>
          <w:kern w:val="0"/>
          <w:sz w:val="24"/>
          <w:szCs w:val="24"/>
          <w:highlight w:val="none"/>
        </w:rPr>
        <w:t>址：广州市增城区荔城街园圃路4号</w:t>
      </w:r>
    </w:p>
    <w:p w14:paraId="31D5AADA">
      <w:pPr>
        <w:autoSpaceDE w:val="0"/>
        <w:autoSpaceDN w:val="0"/>
        <w:adjustRightInd w:val="0"/>
        <w:spacing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联系人：</w:t>
      </w:r>
      <w:r>
        <w:rPr>
          <w:rFonts w:hint="eastAsia" w:ascii="宋体" w:hAnsi="宋体"/>
          <w:color w:val="auto"/>
          <w:kern w:val="0"/>
          <w:sz w:val="24"/>
          <w:szCs w:val="24"/>
          <w:highlight w:val="none"/>
          <w:lang w:val="en-US" w:eastAsia="zh-CN"/>
        </w:rPr>
        <w:t>杨</w:t>
      </w:r>
      <w:r>
        <w:rPr>
          <w:rFonts w:hint="eastAsia" w:ascii="宋体" w:hAnsi="宋体"/>
          <w:color w:val="auto"/>
          <w:kern w:val="0"/>
          <w:sz w:val="24"/>
          <w:szCs w:val="24"/>
          <w:highlight w:val="none"/>
        </w:rPr>
        <w:t>工             联系电话：020-82639382</w:t>
      </w:r>
    </w:p>
    <w:p w14:paraId="2F01E9A6">
      <w:pPr>
        <w:autoSpaceDE w:val="0"/>
        <w:autoSpaceDN w:val="0"/>
        <w:adjustRightInd w:val="0"/>
        <w:spacing w:line="360" w:lineRule="auto"/>
        <w:jc w:val="left"/>
        <w:rPr>
          <w:rFonts w:ascii="宋体" w:hAnsi="Times New Roman"/>
          <w:color w:val="auto"/>
          <w:kern w:val="0"/>
          <w:sz w:val="24"/>
          <w:szCs w:val="24"/>
          <w:highlight w:val="none"/>
          <w:u w:val="single"/>
        </w:rPr>
      </w:pPr>
    </w:p>
    <w:p w14:paraId="395B9805">
      <w:pPr>
        <w:autoSpaceDE w:val="0"/>
        <w:autoSpaceDN w:val="0"/>
        <w:adjustRightInd w:val="0"/>
        <w:spacing w:line="360" w:lineRule="auto"/>
        <w:jc w:val="left"/>
        <w:rPr>
          <w:rFonts w:ascii="宋体" w:hAnsi="Times New Roman"/>
          <w:color w:val="auto"/>
          <w:kern w:val="0"/>
          <w:sz w:val="24"/>
          <w:szCs w:val="24"/>
          <w:highlight w:val="none"/>
          <w:u w:val="single"/>
        </w:rPr>
      </w:pPr>
      <w:r>
        <w:rPr>
          <w:rFonts w:hint="eastAsia" w:ascii="宋体" w:hAnsi="宋体"/>
          <w:color w:val="auto"/>
          <w:kern w:val="0"/>
          <w:sz w:val="24"/>
          <w:szCs w:val="24"/>
          <w:highlight w:val="none"/>
        </w:rPr>
        <w:t>招标代理机构：</w:t>
      </w:r>
      <w:r>
        <w:rPr>
          <w:rFonts w:hint="eastAsia" w:ascii="宋体" w:hAnsi="宋体"/>
          <w:color w:val="auto"/>
          <w:kern w:val="0"/>
          <w:sz w:val="24"/>
          <w:szCs w:val="24"/>
          <w:highlight w:val="none"/>
          <w:lang w:eastAsia="zh-CN"/>
        </w:rPr>
        <w:t>广东省建筑工程监理有限公司</w:t>
      </w:r>
    </w:p>
    <w:p w14:paraId="348BBF8A">
      <w:pPr>
        <w:autoSpaceDE w:val="0"/>
        <w:autoSpaceDN w:val="0"/>
        <w:adjustRightInd w:val="0"/>
        <w:spacing w:line="360" w:lineRule="auto"/>
        <w:jc w:val="left"/>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rPr>
        <w:t>联系人：</w:t>
      </w:r>
      <w:r>
        <w:rPr>
          <w:rFonts w:hint="eastAsia" w:ascii="宋体" w:hAnsi="宋体"/>
          <w:color w:val="auto"/>
          <w:kern w:val="0"/>
          <w:sz w:val="24"/>
          <w:szCs w:val="24"/>
          <w:highlight w:val="none"/>
          <w:lang w:val="en-US" w:eastAsia="zh-CN"/>
        </w:rPr>
        <w:t>赖</w:t>
      </w:r>
      <w:r>
        <w:rPr>
          <w:rFonts w:hint="eastAsia" w:ascii="宋体" w:hAnsi="宋体"/>
          <w:color w:val="auto"/>
          <w:kern w:val="0"/>
          <w:sz w:val="24"/>
          <w:szCs w:val="24"/>
          <w:highlight w:val="none"/>
          <w:lang w:eastAsia="zh-CN"/>
        </w:rPr>
        <w:t>工、</w:t>
      </w:r>
      <w:r>
        <w:rPr>
          <w:rFonts w:hint="eastAsia" w:ascii="宋体" w:hAnsi="宋体"/>
          <w:color w:val="auto"/>
          <w:kern w:val="0"/>
          <w:sz w:val="24"/>
          <w:szCs w:val="24"/>
          <w:highlight w:val="none"/>
          <w:lang w:val="en-US" w:eastAsia="zh-CN"/>
        </w:rPr>
        <w:t>胡工</w:t>
      </w:r>
      <w:r>
        <w:rPr>
          <w:rFonts w:hint="eastAsia" w:ascii="宋体" w:hAnsi="宋体"/>
          <w:color w:val="auto"/>
          <w:kern w:val="0"/>
          <w:sz w:val="24"/>
          <w:szCs w:val="24"/>
          <w:highlight w:val="none"/>
        </w:rPr>
        <w:t xml:space="preserve">         联系电话：</w:t>
      </w:r>
      <w:r>
        <w:rPr>
          <w:rFonts w:hint="eastAsia" w:ascii="宋体" w:hAnsi="宋体"/>
          <w:color w:val="auto"/>
          <w:kern w:val="0"/>
          <w:sz w:val="24"/>
          <w:szCs w:val="24"/>
          <w:highlight w:val="none"/>
          <w:lang w:val="en-US" w:eastAsia="zh-CN"/>
        </w:rPr>
        <w:t>020</w:t>
      </w:r>
      <w:r>
        <w:rPr>
          <w:rFonts w:ascii="宋体" w:hAnsi="宋体"/>
          <w:color w:val="auto"/>
          <w:kern w:val="0"/>
          <w:sz w:val="24"/>
          <w:szCs w:val="24"/>
          <w:highlight w:val="none"/>
        </w:rPr>
        <w:t>-</w:t>
      </w:r>
      <w:r>
        <w:rPr>
          <w:rFonts w:hint="eastAsia" w:ascii="宋体" w:hAnsi="宋体"/>
          <w:color w:val="auto"/>
          <w:kern w:val="0"/>
          <w:sz w:val="24"/>
          <w:szCs w:val="24"/>
          <w:highlight w:val="none"/>
          <w:lang w:val="en-US" w:eastAsia="zh-CN"/>
        </w:rPr>
        <w:t>86673560</w:t>
      </w:r>
    </w:p>
    <w:p w14:paraId="21FADF95">
      <w:pPr>
        <w:autoSpaceDE w:val="0"/>
        <w:autoSpaceDN w:val="0"/>
        <w:adjustRightInd w:val="0"/>
        <w:spacing w:line="360" w:lineRule="auto"/>
        <w:jc w:val="left"/>
        <w:rPr>
          <w:rFonts w:ascii="宋体" w:hAnsi="Times New Roman"/>
          <w:color w:val="auto"/>
          <w:kern w:val="0"/>
          <w:sz w:val="24"/>
          <w:szCs w:val="24"/>
          <w:highlight w:val="none"/>
        </w:rPr>
      </w:pPr>
      <w:r>
        <w:rPr>
          <w:rFonts w:hint="eastAsia" w:ascii="宋体" w:hAnsi="Times New Roman"/>
          <w:color w:val="auto"/>
          <w:kern w:val="0"/>
          <w:sz w:val="24"/>
          <w:szCs w:val="24"/>
          <w:highlight w:val="none"/>
        </w:rPr>
        <w:t>地</w:t>
      </w:r>
      <w:r>
        <w:rPr>
          <w:rFonts w:ascii="宋体" w:hAnsi="Times New Roman"/>
          <w:color w:val="auto"/>
          <w:kern w:val="0"/>
          <w:sz w:val="24"/>
          <w:szCs w:val="24"/>
          <w:highlight w:val="none"/>
        </w:rPr>
        <w:t xml:space="preserve">    </w:t>
      </w:r>
      <w:r>
        <w:rPr>
          <w:rFonts w:hint="eastAsia" w:ascii="宋体" w:hAnsi="Times New Roman"/>
          <w:color w:val="auto"/>
          <w:kern w:val="0"/>
          <w:sz w:val="24"/>
          <w:szCs w:val="24"/>
          <w:highlight w:val="none"/>
        </w:rPr>
        <w:t>址：</w:t>
      </w:r>
      <w:r>
        <w:rPr>
          <w:rFonts w:hint="eastAsia" w:ascii="宋体" w:hAnsi="Times New Roman"/>
          <w:color w:val="auto"/>
          <w:kern w:val="0"/>
          <w:sz w:val="24"/>
          <w:szCs w:val="24"/>
          <w:highlight w:val="none"/>
          <w:lang w:eastAsia="zh-CN"/>
        </w:rPr>
        <w:t>广州市荔湾区流花路85号</w:t>
      </w:r>
    </w:p>
    <w:p w14:paraId="6E535568">
      <w:pPr>
        <w:autoSpaceDE w:val="0"/>
        <w:autoSpaceDN w:val="0"/>
        <w:adjustRightInd w:val="0"/>
        <w:spacing w:line="360" w:lineRule="auto"/>
        <w:jc w:val="left"/>
        <w:rPr>
          <w:rFonts w:ascii="宋体" w:hAnsi="Times New Roman"/>
          <w:color w:val="auto"/>
          <w:kern w:val="0"/>
          <w:sz w:val="24"/>
          <w:szCs w:val="24"/>
          <w:highlight w:val="none"/>
        </w:rPr>
      </w:pPr>
    </w:p>
    <w:p w14:paraId="6169AD5C">
      <w:pPr>
        <w:autoSpaceDE w:val="0"/>
        <w:autoSpaceDN w:val="0"/>
        <w:adjustRightInd w:val="0"/>
        <w:spacing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招标监督机构：广州市增城区水务局</w:t>
      </w:r>
    </w:p>
    <w:p w14:paraId="363A0410">
      <w:pPr>
        <w:autoSpaceDE w:val="0"/>
        <w:autoSpaceDN w:val="0"/>
        <w:adjustRightInd w:val="0"/>
        <w:spacing w:line="360" w:lineRule="auto"/>
        <w:jc w:val="left"/>
        <w:rPr>
          <w:rFonts w:ascii="宋体" w:hAnsi="Times New Roman"/>
          <w:color w:val="auto"/>
          <w:kern w:val="0"/>
          <w:sz w:val="24"/>
          <w:szCs w:val="24"/>
          <w:highlight w:val="none"/>
        </w:rPr>
      </w:pPr>
      <w:r>
        <w:rPr>
          <w:rFonts w:hint="eastAsia" w:ascii="宋体" w:hAnsi="Times New Roman"/>
          <w:color w:val="auto"/>
          <w:kern w:val="0"/>
          <w:sz w:val="24"/>
          <w:szCs w:val="24"/>
          <w:highlight w:val="none"/>
        </w:rPr>
        <w:t>地    址：广州市增城区荔城街园圃路4号</w:t>
      </w:r>
    </w:p>
    <w:p w14:paraId="62814315">
      <w:pPr>
        <w:autoSpaceDE w:val="0"/>
        <w:autoSpaceDN w:val="0"/>
        <w:adjustRightInd w:val="0"/>
        <w:spacing w:line="360" w:lineRule="auto"/>
        <w:jc w:val="left"/>
        <w:rPr>
          <w:rFonts w:ascii="Times New Roman" w:hAnsi="Times New Roman"/>
          <w:color w:val="auto"/>
          <w:kern w:val="0"/>
          <w:sz w:val="24"/>
          <w:szCs w:val="21"/>
          <w:highlight w:val="none"/>
        </w:rPr>
      </w:pPr>
      <w:r>
        <w:rPr>
          <w:rFonts w:hint="eastAsia" w:ascii="宋体" w:hAnsi="宋体"/>
          <w:color w:val="auto"/>
          <w:kern w:val="0"/>
          <w:sz w:val="24"/>
          <w:szCs w:val="24"/>
          <w:highlight w:val="none"/>
        </w:rPr>
        <w:t>监督电话：</w:t>
      </w:r>
      <w:r>
        <w:rPr>
          <w:rFonts w:ascii="宋体" w:hAnsi="宋体"/>
          <w:color w:val="auto"/>
          <w:kern w:val="0"/>
          <w:sz w:val="24"/>
          <w:szCs w:val="24"/>
          <w:highlight w:val="none"/>
        </w:rPr>
        <w:t>020-82639502</w:t>
      </w:r>
    </w:p>
    <w:p w14:paraId="4D9A663F">
      <w:pPr>
        <w:autoSpaceDE w:val="0"/>
        <w:autoSpaceDN w:val="0"/>
        <w:adjustRightInd w:val="0"/>
        <w:jc w:val="right"/>
        <w:rPr>
          <w:rFonts w:ascii="宋体" w:hAnsi="宋体"/>
          <w:color w:val="auto"/>
          <w:kern w:val="0"/>
          <w:sz w:val="24"/>
          <w:szCs w:val="24"/>
          <w:highlight w:val="none"/>
        </w:rPr>
      </w:pPr>
      <w:r>
        <w:rPr>
          <w:rFonts w:hint="eastAsia" w:ascii="宋体" w:hAnsi="宋体"/>
          <w:color w:val="auto"/>
          <w:kern w:val="0"/>
          <w:sz w:val="24"/>
          <w:szCs w:val="24"/>
          <w:highlight w:val="none"/>
          <w:lang w:eastAsia="zh-CN"/>
        </w:rPr>
        <w:t>2025</w:t>
      </w:r>
      <w:r>
        <w:rPr>
          <w:rFonts w:hint="eastAsia" w:ascii="宋体" w:hAnsi="宋体"/>
          <w:color w:val="auto"/>
          <w:kern w:val="0"/>
          <w:sz w:val="24"/>
          <w:szCs w:val="24"/>
          <w:highlight w:val="none"/>
        </w:rPr>
        <w:t>年</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月____日</w:t>
      </w:r>
    </w:p>
    <w:p w14:paraId="170B9C8F">
      <w:pPr>
        <w:spacing w:line="360" w:lineRule="auto"/>
        <w:jc w:val="right"/>
        <w:rPr>
          <w:color w:val="auto"/>
          <w:highlight w:val="none"/>
        </w:rPr>
      </w:pPr>
    </w:p>
    <w:p w14:paraId="6F59DD58">
      <w:pPr>
        <w:ind w:firstLine="0" w:firstLineChars="0"/>
        <w:jc w:val="center"/>
        <w:rPr>
          <w:rFonts w:cs="宋体"/>
          <w:sz w:val="44"/>
          <w:highlight w:val="none"/>
        </w:rPr>
      </w:pPr>
      <w:r>
        <w:rPr>
          <w:rFonts w:cs="宋体"/>
          <w:sz w:val="44"/>
          <w:highlight w:val="none"/>
        </w:rPr>
        <w:br w:type="page"/>
      </w:r>
    </w:p>
    <w:p w14:paraId="49137075">
      <w:pPr>
        <w:pStyle w:val="5"/>
        <w:rPr>
          <w:rFonts w:ascii="Microsoft JhengHei" w:hAnsi="Microsoft JhengHei" w:eastAsia="Microsoft JhengHei"/>
          <w:b w:val="0"/>
          <w:sz w:val="57"/>
          <w:highlight w:val="none"/>
        </w:rPr>
      </w:pPr>
      <w:r>
        <w:rPr>
          <w:rFonts w:cs="宋体"/>
          <w:sz w:val="44"/>
          <w:highlight w:val="none"/>
        </w:rPr>
        <w:t>第二章 投标人须知</w:t>
      </w:r>
      <w:bookmarkEnd w:id="7"/>
    </w:p>
    <w:p w14:paraId="3236E3F9">
      <w:pPr>
        <w:pStyle w:val="6"/>
        <w:kinsoku w:val="0"/>
        <w:overflowPunct w:val="0"/>
        <w:spacing w:before="120" w:after="120"/>
        <w:ind w:left="220"/>
        <w:jc w:val="center"/>
        <w:rPr>
          <w:rFonts w:ascii="Microsoft JhengHei" w:hAnsi="Microsoft JhengHei" w:eastAsia="Microsoft JhengHei"/>
          <w:b w:val="0"/>
          <w:sz w:val="20"/>
          <w:highlight w:val="none"/>
        </w:rPr>
      </w:pPr>
      <w:bookmarkStart w:id="36" w:name="bookmark19"/>
      <w:bookmarkEnd w:id="36"/>
      <w:bookmarkStart w:id="37" w:name="_Toc8684"/>
      <w:r>
        <w:rPr>
          <w:sz w:val="32"/>
          <w:highlight w:val="none"/>
        </w:rPr>
        <w:t>投标人须知前附表</w:t>
      </w:r>
      <w:bookmarkEnd w:id="37"/>
    </w:p>
    <w:tbl>
      <w:tblPr>
        <w:tblStyle w:val="2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607"/>
        <w:gridCol w:w="5463"/>
      </w:tblGrid>
      <w:tr w14:paraId="53A1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5B9D8D73">
            <w:pPr>
              <w:pStyle w:val="34"/>
              <w:kinsoku w:val="0"/>
              <w:overflowPunct w:val="0"/>
              <w:spacing w:before="41"/>
              <w:jc w:val="center"/>
              <w:rPr>
                <w:sz w:val="21"/>
                <w:highlight w:val="none"/>
              </w:rPr>
            </w:pPr>
            <w:r>
              <w:rPr>
                <w:rFonts w:ascii="宋体" w:hAnsi="宋体" w:cs="宋体"/>
                <w:b/>
                <w:sz w:val="21"/>
                <w:szCs w:val="21"/>
                <w:highlight w:val="none"/>
              </w:rPr>
              <w:t>条款号</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00B3B1F">
            <w:pPr>
              <w:pStyle w:val="34"/>
              <w:kinsoku w:val="0"/>
              <w:overflowPunct w:val="0"/>
              <w:spacing w:before="41"/>
              <w:jc w:val="center"/>
              <w:rPr>
                <w:sz w:val="21"/>
                <w:highlight w:val="none"/>
              </w:rPr>
            </w:pPr>
            <w:r>
              <w:rPr>
                <w:rFonts w:ascii="宋体" w:hAnsi="宋体" w:cs="宋体"/>
                <w:b/>
                <w:sz w:val="21"/>
                <w:szCs w:val="21"/>
                <w:highlight w:val="none"/>
              </w:rPr>
              <w:t>条款名称</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B3F1480">
            <w:pPr>
              <w:pStyle w:val="34"/>
              <w:kinsoku w:val="0"/>
              <w:overflowPunct w:val="0"/>
              <w:spacing w:before="41"/>
              <w:jc w:val="center"/>
              <w:rPr>
                <w:sz w:val="21"/>
                <w:highlight w:val="none"/>
              </w:rPr>
            </w:pPr>
            <w:r>
              <w:rPr>
                <w:rFonts w:ascii="宋体" w:hAnsi="宋体" w:cs="宋体"/>
                <w:b/>
                <w:sz w:val="21"/>
                <w:szCs w:val="21"/>
                <w:highlight w:val="none"/>
              </w:rPr>
              <w:t>编列内容</w:t>
            </w:r>
          </w:p>
        </w:tc>
      </w:tr>
      <w:tr w14:paraId="7876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7987927">
            <w:pPr>
              <w:pStyle w:val="34"/>
              <w:kinsoku w:val="0"/>
              <w:overflowPunct w:val="0"/>
              <w:jc w:val="center"/>
              <w:rPr>
                <w:sz w:val="21"/>
                <w:highlight w:val="none"/>
              </w:rPr>
            </w:pPr>
            <w:r>
              <w:rPr>
                <w:rFonts w:hint="eastAsia" w:eastAsia="Times New Roman"/>
                <w:sz w:val="21"/>
                <w:highlight w:val="none"/>
              </w:rPr>
              <w:t>1.1.2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63BBC5DD">
            <w:pPr>
              <w:pStyle w:val="34"/>
              <w:kinsoku w:val="0"/>
              <w:overflowPunct w:val="0"/>
              <w:spacing w:line="360" w:lineRule="auto"/>
              <w:jc w:val="both"/>
              <w:rPr>
                <w:sz w:val="21"/>
                <w:highlight w:val="none"/>
              </w:rPr>
            </w:pPr>
            <w:r>
              <w:rPr>
                <w:rFonts w:ascii="宋体" w:hAnsi="宋体"/>
                <w:sz w:val="21"/>
                <w:highlight w:val="none"/>
              </w:rPr>
              <w:t>招标人</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1E9E764">
            <w:pPr>
              <w:pStyle w:val="34"/>
              <w:kinsoku w:val="0"/>
              <w:overflowPunct w:val="0"/>
              <w:adjustRightInd/>
              <w:spacing w:line="360" w:lineRule="auto"/>
              <w:jc w:val="both"/>
              <w:rPr>
                <w:rFonts w:hint="eastAsia"/>
                <w:sz w:val="21"/>
                <w:highlight w:val="none"/>
              </w:rPr>
            </w:pPr>
            <w:r>
              <w:rPr>
                <w:rFonts w:hint="eastAsia"/>
                <w:sz w:val="21"/>
                <w:highlight w:val="none"/>
              </w:rPr>
              <w:t>名称：广州市增城区水务建设管理所</w:t>
            </w:r>
          </w:p>
          <w:p w14:paraId="77D011D8">
            <w:pPr>
              <w:pStyle w:val="34"/>
              <w:kinsoku w:val="0"/>
              <w:overflowPunct w:val="0"/>
              <w:adjustRightInd/>
              <w:spacing w:line="360" w:lineRule="auto"/>
              <w:jc w:val="both"/>
              <w:rPr>
                <w:sz w:val="21"/>
                <w:highlight w:val="none"/>
              </w:rPr>
            </w:pPr>
            <w:r>
              <w:rPr>
                <w:rFonts w:hint="eastAsia"/>
                <w:sz w:val="21"/>
                <w:highlight w:val="none"/>
              </w:rPr>
              <w:t>地址：广州市增城区园圃路4号</w:t>
            </w:r>
          </w:p>
          <w:p w14:paraId="1068444A">
            <w:pPr>
              <w:pStyle w:val="34"/>
              <w:kinsoku w:val="0"/>
              <w:overflowPunct w:val="0"/>
              <w:adjustRightInd/>
              <w:spacing w:line="360" w:lineRule="auto"/>
              <w:jc w:val="both"/>
              <w:rPr>
                <w:rFonts w:hint="eastAsia"/>
                <w:sz w:val="21"/>
                <w:highlight w:val="none"/>
              </w:rPr>
            </w:pPr>
            <w:r>
              <w:rPr>
                <w:rFonts w:hint="eastAsia"/>
                <w:sz w:val="21"/>
                <w:highlight w:val="none"/>
              </w:rPr>
              <w:t>联系人：</w:t>
            </w:r>
            <w:r>
              <w:rPr>
                <w:rFonts w:hint="eastAsia"/>
                <w:sz w:val="21"/>
                <w:highlight w:val="none"/>
                <w:lang w:val="en-US" w:eastAsia="zh-CN"/>
              </w:rPr>
              <w:t>杨</w:t>
            </w:r>
            <w:r>
              <w:rPr>
                <w:rFonts w:hint="eastAsia"/>
                <w:sz w:val="21"/>
                <w:highlight w:val="none"/>
              </w:rPr>
              <w:t xml:space="preserve">工 </w:t>
            </w:r>
          </w:p>
          <w:p w14:paraId="0C65C378">
            <w:pPr>
              <w:pStyle w:val="34"/>
              <w:kinsoku w:val="0"/>
              <w:overflowPunct w:val="0"/>
              <w:adjustRightInd/>
              <w:spacing w:line="360" w:lineRule="auto"/>
              <w:jc w:val="both"/>
              <w:rPr>
                <w:sz w:val="21"/>
                <w:highlight w:val="none"/>
              </w:rPr>
            </w:pPr>
            <w:r>
              <w:rPr>
                <w:rFonts w:hint="eastAsia"/>
                <w:sz w:val="21"/>
                <w:highlight w:val="none"/>
              </w:rPr>
              <w:t xml:space="preserve">电话：020-82639382 </w:t>
            </w:r>
          </w:p>
        </w:tc>
      </w:tr>
      <w:tr w14:paraId="0731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36DF2EF">
            <w:pPr>
              <w:pStyle w:val="34"/>
              <w:kinsoku w:val="0"/>
              <w:overflowPunct w:val="0"/>
              <w:jc w:val="center"/>
              <w:rPr>
                <w:sz w:val="21"/>
                <w:highlight w:val="none"/>
              </w:rPr>
            </w:pPr>
            <w:r>
              <w:rPr>
                <w:rFonts w:hint="eastAsia" w:eastAsia="Times New Roman"/>
                <w:sz w:val="21"/>
                <w:highlight w:val="none"/>
              </w:rPr>
              <w:t>1.1.3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03DA8DA">
            <w:pPr>
              <w:pStyle w:val="34"/>
              <w:kinsoku w:val="0"/>
              <w:overflowPunct w:val="0"/>
              <w:jc w:val="both"/>
              <w:rPr>
                <w:sz w:val="21"/>
                <w:highlight w:val="none"/>
              </w:rPr>
            </w:pPr>
            <w:r>
              <w:rPr>
                <w:rFonts w:ascii="宋体" w:hAnsi="宋体"/>
                <w:sz w:val="21"/>
                <w:highlight w:val="none"/>
              </w:rPr>
              <w:t>招标代理机构</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A1CADF2">
            <w:pPr>
              <w:pStyle w:val="34"/>
              <w:kinsoku w:val="0"/>
              <w:overflowPunct w:val="0"/>
              <w:spacing w:line="360" w:lineRule="auto"/>
              <w:jc w:val="both"/>
              <w:rPr>
                <w:rFonts w:hint="default"/>
                <w:sz w:val="21"/>
                <w:highlight w:val="none"/>
                <w:lang w:val="en-US" w:eastAsia="zh-CN"/>
              </w:rPr>
            </w:pPr>
            <w:r>
              <w:rPr>
                <w:rFonts w:hint="eastAsia"/>
                <w:sz w:val="21"/>
                <w:highlight w:val="none"/>
              </w:rPr>
              <w:t>名称：</w:t>
            </w:r>
            <w:r>
              <w:rPr>
                <w:rFonts w:hint="eastAsia"/>
                <w:sz w:val="21"/>
                <w:highlight w:val="none"/>
                <w:lang w:val="en-US" w:eastAsia="zh-CN"/>
              </w:rPr>
              <w:t>广东省建筑工程监理有限公司</w:t>
            </w:r>
          </w:p>
          <w:p w14:paraId="76FA66C2">
            <w:pPr>
              <w:pStyle w:val="34"/>
              <w:kinsoku w:val="0"/>
              <w:overflowPunct w:val="0"/>
              <w:spacing w:line="360" w:lineRule="auto"/>
              <w:jc w:val="both"/>
              <w:rPr>
                <w:rFonts w:hint="eastAsia"/>
                <w:sz w:val="21"/>
                <w:highlight w:val="none"/>
              </w:rPr>
            </w:pPr>
            <w:r>
              <w:rPr>
                <w:rFonts w:hint="eastAsia"/>
                <w:sz w:val="21"/>
                <w:highlight w:val="none"/>
              </w:rPr>
              <w:t>地址：</w:t>
            </w:r>
            <w:r>
              <w:rPr>
                <w:rFonts w:hint="eastAsia"/>
                <w:sz w:val="21"/>
                <w:highlight w:val="none"/>
                <w:lang w:val="en-US" w:eastAsia="zh-CN"/>
              </w:rPr>
              <w:t>广州市荔湾区流花路85号</w:t>
            </w:r>
            <w:r>
              <w:rPr>
                <w:rFonts w:hint="eastAsia"/>
                <w:sz w:val="21"/>
                <w:highlight w:val="none"/>
              </w:rPr>
              <w:t xml:space="preserve"> </w:t>
            </w:r>
          </w:p>
          <w:p w14:paraId="2C081249">
            <w:pPr>
              <w:pStyle w:val="34"/>
              <w:kinsoku w:val="0"/>
              <w:overflowPunct w:val="0"/>
              <w:spacing w:line="360" w:lineRule="auto"/>
              <w:jc w:val="both"/>
              <w:rPr>
                <w:rFonts w:hint="eastAsia"/>
                <w:sz w:val="21"/>
                <w:highlight w:val="none"/>
              </w:rPr>
            </w:pPr>
            <w:r>
              <w:rPr>
                <w:rFonts w:hint="eastAsia"/>
                <w:sz w:val="21"/>
                <w:highlight w:val="none"/>
              </w:rPr>
              <w:t>联系人：</w:t>
            </w:r>
            <w:r>
              <w:rPr>
                <w:rFonts w:hint="eastAsia"/>
                <w:sz w:val="21"/>
                <w:highlight w:val="none"/>
                <w:lang w:val="en-US" w:eastAsia="zh-CN"/>
              </w:rPr>
              <w:t>赖工、胡工</w:t>
            </w:r>
          </w:p>
          <w:p w14:paraId="001C54FC">
            <w:pPr>
              <w:pStyle w:val="34"/>
              <w:kinsoku w:val="0"/>
              <w:overflowPunct w:val="0"/>
              <w:spacing w:line="360" w:lineRule="auto"/>
              <w:jc w:val="both"/>
              <w:rPr>
                <w:sz w:val="21"/>
                <w:highlight w:val="none"/>
              </w:rPr>
            </w:pPr>
            <w:r>
              <w:rPr>
                <w:rFonts w:hint="eastAsia"/>
                <w:sz w:val="21"/>
                <w:highlight w:val="none"/>
              </w:rPr>
              <w:t>电话：</w:t>
            </w:r>
            <w:r>
              <w:rPr>
                <w:rFonts w:hint="eastAsia"/>
                <w:sz w:val="21"/>
                <w:highlight w:val="none"/>
                <w:lang w:val="en-US" w:eastAsia="zh-CN"/>
              </w:rPr>
              <w:t>020-86673560</w:t>
            </w:r>
            <w:r>
              <w:rPr>
                <w:rFonts w:hint="eastAsia"/>
                <w:sz w:val="21"/>
                <w:highlight w:val="none"/>
              </w:rPr>
              <w:t xml:space="preserve">    </w:t>
            </w:r>
          </w:p>
        </w:tc>
      </w:tr>
      <w:tr w14:paraId="05F0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4697255">
            <w:pPr>
              <w:pStyle w:val="34"/>
              <w:kinsoku w:val="0"/>
              <w:overflowPunct w:val="0"/>
              <w:jc w:val="center"/>
              <w:rPr>
                <w:sz w:val="21"/>
                <w:highlight w:val="none"/>
              </w:rPr>
            </w:pPr>
            <w:r>
              <w:rPr>
                <w:rFonts w:hint="eastAsia" w:eastAsia="Times New Roman"/>
                <w:sz w:val="21"/>
                <w:highlight w:val="none"/>
              </w:rPr>
              <w:t>1.1.4</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9F68668">
            <w:pPr>
              <w:pStyle w:val="34"/>
              <w:kinsoku w:val="0"/>
              <w:overflowPunct w:val="0"/>
              <w:jc w:val="both"/>
              <w:rPr>
                <w:sz w:val="21"/>
                <w:highlight w:val="none"/>
              </w:rPr>
            </w:pPr>
            <w:r>
              <w:rPr>
                <w:rFonts w:ascii="宋体" w:hAnsi="宋体"/>
                <w:sz w:val="21"/>
                <w:highlight w:val="none"/>
              </w:rPr>
              <w:t>招标项目名称</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CD98C57">
            <w:pPr>
              <w:jc w:val="both"/>
              <w:rPr>
                <w:sz w:val="21"/>
                <w:highlight w:val="none"/>
              </w:rPr>
            </w:pPr>
            <w:r>
              <w:rPr>
                <w:rFonts w:hint="eastAsia"/>
                <w:sz w:val="21"/>
                <w:highlight w:val="none"/>
                <w:lang w:val="en-US" w:eastAsia="zh-CN"/>
              </w:rPr>
              <w:t>广州市增城区西福河(沙河坊拦河坝至石厦陂左岸段)堤防达标整治工程施工监理</w:t>
            </w:r>
          </w:p>
        </w:tc>
      </w:tr>
      <w:tr w14:paraId="4174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FBC1CA7">
            <w:pPr>
              <w:pStyle w:val="34"/>
              <w:kinsoku w:val="0"/>
              <w:overflowPunct w:val="0"/>
              <w:jc w:val="center"/>
              <w:rPr>
                <w:sz w:val="21"/>
                <w:highlight w:val="none"/>
              </w:rPr>
            </w:pPr>
            <w:r>
              <w:rPr>
                <w:rFonts w:hint="eastAsia" w:eastAsia="Times New Roman"/>
                <w:sz w:val="21"/>
                <w:highlight w:val="none"/>
              </w:rPr>
              <w:t>1.1.5</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0E588C3">
            <w:pPr>
              <w:pStyle w:val="34"/>
              <w:kinsoku w:val="0"/>
              <w:overflowPunct w:val="0"/>
              <w:jc w:val="both"/>
              <w:rPr>
                <w:sz w:val="21"/>
                <w:highlight w:val="none"/>
              </w:rPr>
            </w:pPr>
            <w:r>
              <w:rPr>
                <w:rFonts w:ascii="宋体" w:hAnsi="宋体"/>
                <w:sz w:val="21"/>
                <w:highlight w:val="none"/>
              </w:rPr>
              <w:t>项目建设地点</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D65D07C">
            <w:pPr>
              <w:jc w:val="both"/>
              <w:rPr>
                <w:sz w:val="21"/>
                <w:highlight w:val="none"/>
              </w:rPr>
            </w:pPr>
            <w:r>
              <w:rPr>
                <w:rFonts w:hint="eastAsia"/>
                <w:sz w:val="21"/>
                <w:highlight w:val="none"/>
              </w:rPr>
              <w:t>详见本项目招标公告。</w:t>
            </w:r>
          </w:p>
        </w:tc>
      </w:tr>
      <w:tr w14:paraId="36A8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BAFD71F">
            <w:pPr>
              <w:pStyle w:val="34"/>
              <w:kinsoku w:val="0"/>
              <w:overflowPunct w:val="0"/>
              <w:jc w:val="center"/>
              <w:rPr>
                <w:sz w:val="21"/>
                <w:highlight w:val="none"/>
              </w:rPr>
            </w:pPr>
            <w:r>
              <w:rPr>
                <w:rFonts w:hint="eastAsia" w:eastAsia="Times New Roman"/>
                <w:sz w:val="21"/>
                <w:highlight w:val="none"/>
              </w:rPr>
              <w:t>1.1.6</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EDC7508">
            <w:pPr>
              <w:pStyle w:val="34"/>
              <w:kinsoku w:val="0"/>
              <w:overflowPunct w:val="0"/>
              <w:jc w:val="both"/>
              <w:rPr>
                <w:sz w:val="21"/>
                <w:highlight w:val="none"/>
              </w:rPr>
            </w:pPr>
            <w:r>
              <w:rPr>
                <w:rFonts w:ascii="宋体" w:hAnsi="宋体"/>
                <w:sz w:val="21"/>
                <w:highlight w:val="none"/>
              </w:rPr>
              <w:t>项目建设规模</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3EAB5AA">
            <w:pPr>
              <w:jc w:val="both"/>
              <w:rPr>
                <w:sz w:val="21"/>
                <w:highlight w:val="none"/>
              </w:rPr>
            </w:pPr>
            <w:r>
              <w:rPr>
                <w:rFonts w:hint="eastAsia"/>
                <w:sz w:val="21"/>
                <w:highlight w:val="none"/>
              </w:rPr>
              <w:t>详见本项目招标公告。</w:t>
            </w:r>
          </w:p>
        </w:tc>
      </w:tr>
      <w:tr w14:paraId="77B0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5F0346E">
            <w:pPr>
              <w:pStyle w:val="34"/>
              <w:kinsoku w:val="0"/>
              <w:overflowPunct w:val="0"/>
              <w:jc w:val="center"/>
              <w:rPr>
                <w:sz w:val="21"/>
                <w:highlight w:val="none"/>
              </w:rPr>
            </w:pPr>
            <w:r>
              <w:rPr>
                <w:rFonts w:hint="eastAsia" w:eastAsia="Times New Roman"/>
                <w:sz w:val="21"/>
                <w:highlight w:val="none"/>
              </w:rPr>
              <w:t>1.1.7</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D6B6712">
            <w:pPr>
              <w:pStyle w:val="34"/>
              <w:kinsoku w:val="0"/>
              <w:overflowPunct w:val="0"/>
              <w:jc w:val="both"/>
              <w:rPr>
                <w:sz w:val="21"/>
                <w:highlight w:val="none"/>
              </w:rPr>
            </w:pPr>
            <w:r>
              <w:rPr>
                <w:rFonts w:ascii="宋体" w:hAnsi="宋体"/>
                <w:sz w:val="21"/>
                <w:highlight w:val="none"/>
              </w:rPr>
              <w:t>工程项目施工预计开工日期和建设周期</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826D04B">
            <w:pPr>
              <w:jc w:val="both"/>
              <w:rPr>
                <w:sz w:val="21"/>
                <w:highlight w:val="none"/>
              </w:rPr>
            </w:pPr>
            <w:r>
              <w:rPr>
                <w:rFonts w:hint="eastAsia"/>
                <w:sz w:val="21"/>
                <w:highlight w:val="none"/>
              </w:rPr>
              <w:t>具体以开工报告为准。</w:t>
            </w:r>
          </w:p>
        </w:tc>
      </w:tr>
      <w:tr w14:paraId="0807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9AA2D0B">
            <w:pPr>
              <w:pStyle w:val="34"/>
              <w:kinsoku w:val="0"/>
              <w:overflowPunct w:val="0"/>
              <w:jc w:val="center"/>
              <w:rPr>
                <w:sz w:val="21"/>
                <w:highlight w:val="none"/>
              </w:rPr>
            </w:pPr>
            <w:r>
              <w:rPr>
                <w:rFonts w:hint="eastAsia" w:eastAsia="Times New Roman"/>
                <w:sz w:val="21"/>
                <w:highlight w:val="none"/>
              </w:rPr>
              <w:t>1.1.8</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5ECFF80">
            <w:pPr>
              <w:pStyle w:val="34"/>
              <w:kinsoku w:val="0"/>
              <w:overflowPunct w:val="0"/>
              <w:jc w:val="both"/>
              <w:rPr>
                <w:sz w:val="21"/>
                <w:highlight w:val="none"/>
              </w:rPr>
            </w:pPr>
            <w:r>
              <w:rPr>
                <w:rFonts w:ascii="宋体" w:hAnsi="宋体"/>
                <w:sz w:val="21"/>
                <w:highlight w:val="none"/>
              </w:rPr>
              <w:t>建筑安装工程费</w:t>
            </w:r>
            <w:r>
              <w:rPr>
                <w:rFonts w:hint="eastAsia" w:eastAsia="Times New Roman"/>
                <w:sz w:val="21"/>
                <w:highlight w:val="none"/>
              </w:rPr>
              <w:t>/</w:t>
            </w:r>
            <w:r>
              <w:rPr>
                <w:rFonts w:ascii="宋体" w:hAnsi="宋体"/>
                <w:sz w:val="21"/>
                <w:highlight w:val="none"/>
              </w:rPr>
              <w:t>工程概算</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2EEC8955">
            <w:pPr>
              <w:jc w:val="both"/>
              <w:rPr>
                <w:sz w:val="21"/>
                <w:highlight w:val="none"/>
              </w:rPr>
            </w:pPr>
            <w:r>
              <w:rPr>
                <w:rFonts w:hint="eastAsia"/>
                <w:sz w:val="21"/>
                <w:highlight w:val="none"/>
              </w:rPr>
              <w:t>项目概算总投资</w:t>
            </w:r>
            <w:r>
              <w:rPr>
                <w:rFonts w:hint="eastAsia"/>
                <w:sz w:val="21"/>
                <w:highlight w:val="none"/>
                <w:lang w:val="en-US" w:eastAsia="zh-CN"/>
              </w:rPr>
              <w:t>584547946.43</w:t>
            </w:r>
            <w:r>
              <w:rPr>
                <w:rFonts w:hint="eastAsia"/>
                <w:sz w:val="21"/>
                <w:highlight w:val="none"/>
              </w:rPr>
              <w:t>元，建安费为</w:t>
            </w:r>
            <w:r>
              <w:rPr>
                <w:rFonts w:hint="eastAsia"/>
                <w:sz w:val="21"/>
                <w:highlight w:val="none"/>
                <w:lang w:val="en-US" w:eastAsia="zh-CN"/>
              </w:rPr>
              <w:t>251538152.05元</w:t>
            </w:r>
          </w:p>
        </w:tc>
      </w:tr>
      <w:tr w14:paraId="7CE1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D161D87">
            <w:pPr>
              <w:pStyle w:val="34"/>
              <w:kinsoku w:val="0"/>
              <w:overflowPunct w:val="0"/>
              <w:jc w:val="center"/>
              <w:rPr>
                <w:sz w:val="21"/>
                <w:highlight w:val="none"/>
              </w:rPr>
            </w:pPr>
            <w:r>
              <w:rPr>
                <w:rFonts w:hint="eastAsia" w:eastAsia="Times New Roman"/>
                <w:sz w:val="21"/>
                <w:highlight w:val="none"/>
              </w:rPr>
              <w:t>1.2.1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11DA577C">
            <w:pPr>
              <w:pStyle w:val="34"/>
              <w:kinsoku w:val="0"/>
              <w:overflowPunct w:val="0"/>
              <w:jc w:val="both"/>
              <w:rPr>
                <w:sz w:val="21"/>
                <w:highlight w:val="none"/>
              </w:rPr>
            </w:pPr>
            <w:r>
              <w:rPr>
                <w:rFonts w:ascii="宋体" w:hAnsi="宋体"/>
                <w:sz w:val="21"/>
                <w:highlight w:val="none"/>
              </w:rPr>
              <w:t>资金来源及比例</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444A97D">
            <w:pPr>
              <w:jc w:val="both"/>
              <w:rPr>
                <w:sz w:val="21"/>
                <w:highlight w:val="none"/>
              </w:rPr>
            </w:pPr>
            <w:r>
              <w:rPr>
                <w:rFonts w:hint="eastAsia"/>
                <w:sz w:val="21"/>
                <w:highlight w:val="none"/>
              </w:rPr>
              <w:t>财政资金，100%。</w:t>
            </w:r>
          </w:p>
        </w:tc>
      </w:tr>
      <w:tr w14:paraId="33C2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FE75064">
            <w:pPr>
              <w:pStyle w:val="34"/>
              <w:kinsoku w:val="0"/>
              <w:overflowPunct w:val="0"/>
              <w:jc w:val="center"/>
              <w:rPr>
                <w:sz w:val="21"/>
                <w:highlight w:val="none"/>
              </w:rPr>
            </w:pPr>
            <w:r>
              <w:rPr>
                <w:rFonts w:hint="eastAsia" w:eastAsia="Times New Roman"/>
                <w:sz w:val="21"/>
                <w:highlight w:val="none"/>
              </w:rPr>
              <w:t>1.2.2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90BA94A">
            <w:pPr>
              <w:pStyle w:val="34"/>
              <w:kinsoku w:val="0"/>
              <w:overflowPunct w:val="0"/>
              <w:jc w:val="both"/>
              <w:rPr>
                <w:sz w:val="21"/>
                <w:highlight w:val="none"/>
              </w:rPr>
            </w:pPr>
            <w:r>
              <w:rPr>
                <w:rFonts w:ascii="宋体" w:hAnsi="宋体"/>
                <w:sz w:val="21"/>
                <w:highlight w:val="none"/>
              </w:rPr>
              <w:t>资金落实情况</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0651FD7">
            <w:pPr>
              <w:jc w:val="both"/>
              <w:rPr>
                <w:sz w:val="21"/>
                <w:highlight w:val="none"/>
              </w:rPr>
            </w:pPr>
            <w:r>
              <w:rPr>
                <w:rFonts w:hint="eastAsia"/>
                <w:sz w:val="21"/>
                <w:highlight w:val="none"/>
              </w:rPr>
              <w:t>已落实。</w:t>
            </w:r>
          </w:p>
        </w:tc>
      </w:tr>
      <w:tr w14:paraId="2FC9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E320900">
            <w:pPr>
              <w:pStyle w:val="34"/>
              <w:kinsoku w:val="0"/>
              <w:overflowPunct w:val="0"/>
              <w:jc w:val="center"/>
              <w:rPr>
                <w:sz w:val="21"/>
                <w:highlight w:val="none"/>
              </w:rPr>
            </w:pPr>
            <w:r>
              <w:rPr>
                <w:rFonts w:hint="eastAsia" w:eastAsia="Times New Roman"/>
                <w:sz w:val="21"/>
                <w:highlight w:val="none"/>
              </w:rPr>
              <w:t>1.3.1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9AE49B5">
            <w:pPr>
              <w:pStyle w:val="34"/>
              <w:kinsoku w:val="0"/>
              <w:overflowPunct w:val="0"/>
              <w:jc w:val="both"/>
              <w:rPr>
                <w:sz w:val="21"/>
                <w:highlight w:val="none"/>
              </w:rPr>
            </w:pPr>
            <w:r>
              <w:rPr>
                <w:rFonts w:ascii="宋体" w:hAnsi="宋体"/>
                <w:sz w:val="21"/>
                <w:highlight w:val="none"/>
              </w:rPr>
              <w:t>招标范围</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E2FDADA">
            <w:pPr>
              <w:jc w:val="both"/>
              <w:rPr>
                <w:sz w:val="21"/>
                <w:highlight w:val="none"/>
              </w:rPr>
            </w:pPr>
            <w:r>
              <w:rPr>
                <w:rFonts w:hint="eastAsia"/>
                <w:sz w:val="21"/>
                <w:highlight w:val="none"/>
              </w:rPr>
              <w:t>详见本项目招标公告。</w:t>
            </w:r>
          </w:p>
        </w:tc>
      </w:tr>
      <w:tr w14:paraId="3C21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DB532C0">
            <w:pPr>
              <w:pStyle w:val="34"/>
              <w:kinsoku w:val="0"/>
              <w:overflowPunct w:val="0"/>
              <w:jc w:val="center"/>
              <w:rPr>
                <w:sz w:val="21"/>
                <w:highlight w:val="none"/>
              </w:rPr>
            </w:pPr>
            <w:r>
              <w:rPr>
                <w:rFonts w:hint="eastAsia" w:eastAsia="Times New Roman"/>
                <w:sz w:val="21"/>
                <w:highlight w:val="none"/>
              </w:rPr>
              <w:t>1.3.2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1C83D190">
            <w:pPr>
              <w:pStyle w:val="34"/>
              <w:kinsoku w:val="0"/>
              <w:overflowPunct w:val="0"/>
              <w:jc w:val="both"/>
              <w:rPr>
                <w:sz w:val="21"/>
                <w:highlight w:val="none"/>
              </w:rPr>
            </w:pPr>
            <w:r>
              <w:rPr>
                <w:rFonts w:ascii="宋体" w:hAnsi="宋体"/>
                <w:sz w:val="21"/>
                <w:highlight w:val="none"/>
              </w:rPr>
              <w:t>监理服务期限</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9324B86">
            <w:pPr>
              <w:jc w:val="both"/>
              <w:rPr>
                <w:sz w:val="21"/>
                <w:highlight w:val="none"/>
              </w:rPr>
            </w:pPr>
            <w:r>
              <w:rPr>
                <w:rFonts w:hint="eastAsia"/>
                <w:sz w:val="21"/>
                <w:highlight w:val="none"/>
              </w:rPr>
              <w:t>详见本项目招标公告。</w:t>
            </w:r>
          </w:p>
        </w:tc>
      </w:tr>
      <w:tr w14:paraId="1901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C6A07AC">
            <w:pPr>
              <w:pStyle w:val="34"/>
              <w:kinsoku w:val="0"/>
              <w:overflowPunct w:val="0"/>
              <w:jc w:val="center"/>
              <w:rPr>
                <w:sz w:val="21"/>
                <w:highlight w:val="none"/>
              </w:rPr>
            </w:pPr>
            <w:r>
              <w:rPr>
                <w:rFonts w:hint="eastAsia" w:eastAsia="Times New Roman"/>
                <w:sz w:val="21"/>
                <w:highlight w:val="none"/>
              </w:rPr>
              <w:t>1.3.3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319885F">
            <w:pPr>
              <w:pStyle w:val="34"/>
              <w:kinsoku w:val="0"/>
              <w:overflowPunct w:val="0"/>
              <w:jc w:val="both"/>
              <w:rPr>
                <w:sz w:val="21"/>
                <w:highlight w:val="none"/>
              </w:rPr>
            </w:pPr>
            <w:r>
              <w:rPr>
                <w:rFonts w:ascii="宋体" w:hAnsi="宋体"/>
                <w:sz w:val="21"/>
                <w:highlight w:val="none"/>
              </w:rPr>
              <w:t>质量标准</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48D17FA">
            <w:pPr>
              <w:jc w:val="both"/>
              <w:rPr>
                <w:sz w:val="21"/>
                <w:highlight w:val="none"/>
              </w:rPr>
            </w:pPr>
            <w:r>
              <w:rPr>
                <w:rFonts w:hint="eastAsia"/>
                <w:sz w:val="21"/>
                <w:highlight w:val="none"/>
              </w:rPr>
              <w:t>按国家相关规定执行的合格标准。</w:t>
            </w:r>
          </w:p>
        </w:tc>
      </w:tr>
      <w:tr w14:paraId="0290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F37DD78">
            <w:pPr>
              <w:pStyle w:val="34"/>
              <w:kinsoku w:val="0"/>
              <w:overflowPunct w:val="0"/>
              <w:jc w:val="center"/>
              <w:rPr>
                <w:sz w:val="21"/>
                <w:highlight w:val="none"/>
              </w:rPr>
            </w:pPr>
            <w:r>
              <w:rPr>
                <w:rFonts w:hint="eastAsia" w:eastAsia="Times New Roman"/>
                <w:sz w:val="21"/>
                <w:highlight w:val="none"/>
              </w:rPr>
              <w:t>1.4.1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6D6F26B0">
            <w:pPr>
              <w:pStyle w:val="34"/>
              <w:kinsoku w:val="0"/>
              <w:overflowPunct w:val="0"/>
              <w:jc w:val="both"/>
              <w:rPr>
                <w:sz w:val="21"/>
                <w:highlight w:val="none"/>
              </w:rPr>
            </w:pPr>
            <w:r>
              <w:rPr>
                <w:rFonts w:ascii="宋体" w:hAnsi="宋体"/>
                <w:sz w:val="21"/>
                <w:highlight w:val="none"/>
              </w:rPr>
              <w:t>投标人资质条件、能力、信誉</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4A2265A">
            <w:pPr>
              <w:pStyle w:val="34"/>
              <w:kinsoku w:val="0"/>
              <w:overflowPunct w:val="0"/>
              <w:jc w:val="both"/>
              <w:rPr>
                <w:rFonts w:ascii="宋体" w:hAnsi="宋体"/>
                <w:sz w:val="21"/>
                <w:highlight w:val="none"/>
              </w:rPr>
            </w:pPr>
            <w:r>
              <w:rPr>
                <w:rFonts w:ascii="宋体" w:hAnsi="宋体"/>
                <w:sz w:val="21"/>
                <w:highlight w:val="none"/>
              </w:rPr>
              <w:t>详见本项目招标公告。</w:t>
            </w:r>
          </w:p>
        </w:tc>
      </w:tr>
      <w:tr w14:paraId="2C54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CA0B978">
            <w:pPr>
              <w:pStyle w:val="34"/>
              <w:kinsoku w:val="0"/>
              <w:overflowPunct w:val="0"/>
              <w:jc w:val="center"/>
              <w:rPr>
                <w:sz w:val="21"/>
                <w:highlight w:val="none"/>
              </w:rPr>
            </w:pPr>
            <w:r>
              <w:rPr>
                <w:rFonts w:hint="eastAsia" w:eastAsia="Times New Roman"/>
                <w:sz w:val="21"/>
                <w:highlight w:val="none"/>
              </w:rPr>
              <w:t>1.4.2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0E86B46">
            <w:pPr>
              <w:pStyle w:val="34"/>
              <w:kinsoku w:val="0"/>
              <w:overflowPunct w:val="0"/>
              <w:jc w:val="both"/>
              <w:rPr>
                <w:sz w:val="21"/>
                <w:highlight w:val="none"/>
              </w:rPr>
            </w:pPr>
            <w:r>
              <w:rPr>
                <w:rFonts w:ascii="宋体" w:hAnsi="宋体"/>
                <w:sz w:val="21"/>
                <w:highlight w:val="none"/>
              </w:rPr>
              <w:t>是否接受联合体投标</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1BC26AD">
            <w:pPr>
              <w:pStyle w:val="34"/>
              <w:kinsoku w:val="0"/>
              <w:overflowPunct w:val="0"/>
              <w:jc w:val="both"/>
              <w:rPr>
                <w:rFonts w:ascii="宋体" w:hAnsi="宋体"/>
                <w:sz w:val="21"/>
                <w:highlight w:val="none"/>
              </w:rPr>
            </w:pPr>
            <w:r>
              <w:rPr>
                <w:rFonts w:ascii="宋体" w:hAnsi="宋体" w:cs="宋体"/>
                <w:sz w:val="21"/>
                <w:szCs w:val="21"/>
                <w:highlight w:val="none"/>
              </w:rPr>
              <w:t>☑</w:t>
            </w:r>
            <w:r>
              <w:rPr>
                <w:rFonts w:ascii="宋体" w:hAnsi="宋体"/>
                <w:sz w:val="21"/>
                <w:highlight w:val="none"/>
              </w:rPr>
              <w:t>不接受</w:t>
            </w:r>
          </w:p>
          <w:p w14:paraId="79235772">
            <w:pPr>
              <w:pStyle w:val="34"/>
              <w:kinsoku w:val="0"/>
              <w:overflowPunct w:val="0"/>
              <w:jc w:val="both"/>
              <w:rPr>
                <w:sz w:val="21"/>
                <w:highlight w:val="none"/>
              </w:rPr>
            </w:pPr>
            <w:r>
              <w:rPr>
                <w:rFonts w:hint="eastAsia" w:eastAsia="Times New Roman"/>
                <w:sz w:val="21"/>
                <w:highlight w:val="none"/>
              </w:rPr>
              <w:sym w:font="Wingdings 2" w:char="00A3"/>
            </w:r>
            <w:r>
              <w:rPr>
                <w:rFonts w:ascii="宋体" w:hAnsi="宋体"/>
                <w:sz w:val="21"/>
                <w:highlight w:val="none"/>
              </w:rPr>
              <w:t>接受，应满足下列要求：</w:t>
            </w:r>
            <w:r>
              <w:rPr>
                <w:rFonts w:hint="eastAsia" w:ascii="宋体" w:hAnsi="宋体"/>
                <w:sz w:val="21"/>
                <w:highlight w:val="none"/>
              </w:rPr>
              <w:t>/</w:t>
            </w:r>
          </w:p>
        </w:tc>
      </w:tr>
      <w:tr w14:paraId="6442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144E223">
            <w:pPr>
              <w:pStyle w:val="34"/>
              <w:kinsoku w:val="0"/>
              <w:overflowPunct w:val="0"/>
              <w:jc w:val="center"/>
              <w:rPr>
                <w:rFonts w:ascii="宋体" w:hAnsi="宋体" w:cs="宋体"/>
                <w:b/>
                <w:sz w:val="21"/>
                <w:szCs w:val="21"/>
                <w:highlight w:val="none"/>
              </w:rPr>
            </w:pPr>
            <w:r>
              <w:rPr>
                <w:rFonts w:hint="eastAsia" w:eastAsia="Times New Roman"/>
                <w:sz w:val="21"/>
                <w:highlight w:val="none"/>
              </w:rPr>
              <w:t>1.4.3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670DF9E3">
            <w:pPr>
              <w:pStyle w:val="34"/>
              <w:kinsoku w:val="0"/>
              <w:overflowPunct w:val="0"/>
              <w:jc w:val="both"/>
              <w:rPr>
                <w:rFonts w:ascii="宋体" w:hAnsi="宋体" w:cs="宋体"/>
                <w:b/>
                <w:sz w:val="21"/>
                <w:szCs w:val="21"/>
                <w:highlight w:val="none"/>
              </w:rPr>
            </w:pPr>
            <w:r>
              <w:rPr>
                <w:rFonts w:ascii="宋体" w:hAnsi="宋体"/>
                <w:sz w:val="21"/>
                <w:highlight w:val="none"/>
              </w:rPr>
              <w:t>投标人不得存在的其他情形</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2395B61E">
            <w:pPr>
              <w:jc w:val="both"/>
              <w:rPr>
                <w:rFonts w:ascii="宋体" w:hAnsi="宋体" w:cs="宋体"/>
                <w:b/>
                <w:sz w:val="21"/>
                <w:szCs w:val="21"/>
                <w:highlight w:val="none"/>
              </w:rPr>
            </w:pPr>
            <w:r>
              <w:rPr>
                <w:rFonts w:hint="eastAsia" w:ascii="宋体" w:hAnsi="宋体"/>
                <w:sz w:val="21"/>
                <w:highlight w:val="none"/>
              </w:rPr>
              <w:t>详见第二章“投标人须知”第</w:t>
            </w:r>
            <w:r>
              <w:rPr>
                <w:rFonts w:ascii="宋体" w:hAnsi="宋体"/>
                <w:sz w:val="21"/>
                <w:highlight w:val="none"/>
              </w:rPr>
              <w:t>1.4.3项规定</w:t>
            </w:r>
            <w:r>
              <w:rPr>
                <w:rFonts w:hint="eastAsia" w:ascii="宋体" w:hAnsi="宋体"/>
                <w:sz w:val="21"/>
                <w:highlight w:val="none"/>
              </w:rPr>
              <w:t>。</w:t>
            </w:r>
          </w:p>
        </w:tc>
      </w:tr>
      <w:tr w14:paraId="4531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0713363">
            <w:pPr>
              <w:pStyle w:val="34"/>
              <w:kinsoku w:val="0"/>
              <w:overflowPunct w:val="0"/>
              <w:jc w:val="center"/>
              <w:rPr>
                <w:rFonts w:ascii="宋体" w:hAnsi="宋体" w:cs="宋体"/>
                <w:b/>
                <w:sz w:val="21"/>
                <w:szCs w:val="21"/>
                <w:highlight w:val="none"/>
              </w:rPr>
            </w:pPr>
            <w:r>
              <w:rPr>
                <w:rFonts w:hint="eastAsia" w:eastAsia="Times New Roman"/>
                <w:sz w:val="21"/>
                <w:highlight w:val="none"/>
              </w:rPr>
              <w:t>1.9.1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19F714DA">
            <w:pPr>
              <w:pStyle w:val="34"/>
              <w:kinsoku w:val="0"/>
              <w:overflowPunct w:val="0"/>
              <w:jc w:val="both"/>
              <w:rPr>
                <w:rFonts w:ascii="宋体" w:hAnsi="宋体" w:cs="宋体"/>
                <w:b/>
                <w:sz w:val="21"/>
                <w:szCs w:val="21"/>
                <w:highlight w:val="none"/>
              </w:rPr>
            </w:pPr>
            <w:r>
              <w:rPr>
                <w:rFonts w:ascii="宋体" w:hAnsi="宋体"/>
                <w:sz w:val="21"/>
                <w:highlight w:val="none"/>
              </w:rPr>
              <w:t>踏勘现场</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42EA235">
            <w:pPr>
              <w:rPr>
                <w:rFonts w:ascii="宋体"/>
                <w:sz w:val="21"/>
                <w:highlight w:val="none"/>
              </w:rPr>
            </w:pPr>
            <w:r>
              <w:rPr>
                <w:rFonts w:ascii="宋体" w:hAnsi="宋体" w:cs="宋体"/>
                <w:sz w:val="21"/>
                <w:szCs w:val="21"/>
                <w:highlight w:val="none"/>
              </w:rPr>
              <w:t>☑</w:t>
            </w:r>
            <w:r>
              <w:rPr>
                <w:rFonts w:hint="eastAsia" w:ascii="宋体"/>
                <w:sz w:val="21"/>
                <w:highlight w:val="none"/>
              </w:rPr>
              <w:t>不组织，由投标人自行现场考察。</w:t>
            </w:r>
          </w:p>
          <w:p w14:paraId="702838D7">
            <w:pPr>
              <w:rPr>
                <w:rFonts w:ascii="宋体"/>
                <w:sz w:val="21"/>
                <w:highlight w:val="none"/>
              </w:rPr>
            </w:pPr>
            <w:r>
              <w:rPr>
                <w:rFonts w:hint="eastAsia" w:ascii="宋体"/>
                <w:sz w:val="21"/>
                <w:highlight w:val="none"/>
              </w:rPr>
              <w:t>□组织，踏勘时间：/</w:t>
            </w:r>
          </w:p>
          <w:p w14:paraId="253CFDED">
            <w:pPr>
              <w:pStyle w:val="34"/>
              <w:kinsoku w:val="0"/>
              <w:overflowPunct w:val="0"/>
              <w:jc w:val="both"/>
              <w:rPr>
                <w:rFonts w:ascii="宋体" w:hAnsi="宋体" w:cs="宋体"/>
                <w:b/>
                <w:sz w:val="21"/>
                <w:szCs w:val="21"/>
                <w:highlight w:val="none"/>
              </w:rPr>
            </w:pPr>
            <w:r>
              <w:rPr>
                <w:rFonts w:hint="eastAsia" w:ascii="宋体"/>
                <w:sz w:val="21"/>
                <w:highlight w:val="none"/>
              </w:rPr>
              <w:t>踏勘集中地点：/</w:t>
            </w:r>
          </w:p>
        </w:tc>
      </w:tr>
      <w:tr w14:paraId="61A4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A5C5E98">
            <w:pPr>
              <w:spacing w:before="60" w:line="186" w:lineRule="auto"/>
              <w:jc w:val="center"/>
              <w:rPr>
                <w:rFonts w:eastAsia="Times New Roman"/>
                <w:sz w:val="21"/>
                <w:szCs w:val="21"/>
                <w:highlight w:val="none"/>
              </w:rPr>
            </w:pPr>
            <w:r>
              <w:rPr>
                <w:rFonts w:hint="eastAsia" w:eastAsia="Times New Roman"/>
                <w:spacing w:val="-5"/>
                <w:sz w:val="21"/>
                <w:szCs w:val="21"/>
                <w:highlight w:val="none"/>
              </w:rPr>
              <w:t>1</w:t>
            </w:r>
            <w:r>
              <w:rPr>
                <w:rFonts w:hint="eastAsia" w:eastAsia="Times New Roman"/>
                <w:spacing w:val="-4"/>
                <w:sz w:val="21"/>
                <w:szCs w:val="21"/>
                <w:highlight w:val="none"/>
              </w:rPr>
              <w:t>.10.1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656CF53">
            <w:pPr>
              <w:spacing w:before="68" w:line="217" w:lineRule="auto"/>
              <w:jc w:val="center"/>
              <w:rPr>
                <w:rFonts w:ascii="宋体" w:hAnsi="宋体" w:cs="宋体"/>
                <w:sz w:val="21"/>
                <w:szCs w:val="21"/>
                <w:highlight w:val="none"/>
              </w:rPr>
            </w:pPr>
            <w:r>
              <w:rPr>
                <w:rFonts w:ascii="宋体" w:hAnsi="宋体"/>
                <w:sz w:val="21"/>
                <w:szCs w:val="21"/>
                <w:highlight w:val="none"/>
              </w:rPr>
              <w:t>投标预备会</w:t>
            </w:r>
          </w:p>
        </w:tc>
        <w:tc>
          <w:tcPr>
            <w:tcW w:w="5463" w:type="dxa"/>
            <w:tcBorders>
              <w:top w:val="single" w:color="auto" w:sz="4" w:space="0"/>
              <w:left w:val="single" w:color="auto" w:sz="4" w:space="0"/>
              <w:bottom w:val="single" w:color="auto" w:sz="4" w:space="0"/>
              <w:right w:val="single" w:color="auto" w:sz="4" w:space="0"/>
              <w:tl2br w:val="nil"/>
              <w:tr2bl w:val="nil"/>
            </w:tcBorders>
          </w:tcPr>
          <w:p w14:paraId="647FC9C9">
            <w:pPr>
              <w:pStyle w:val="11"/>
              <w:spacing w:before="48" w:beforeLines="20" w:after="48" w:afterLines="20"/>
              <w:ind w:left="48" w:leftChars="20" w:right="48" w:rightChars="20"/>
              <w:rPr>
                <w:rFonts w:hint="default" w:ascii="宋体" w:hAnsi="宋体" w:eastAsia="宋体" w:cs="宋体"/>
                <w:sz w:val="21"/>
                <w:szCs w:val="21"/>
                <w:highlight w:val="none"/>
              </w:rPr>
            </w:pPr>
            <w:r>
              <w:rPr>
                <w:rFonts w:hint="default" w:ascii="宋体" w:hAnsi="宋体" w:eastAsia="宋体" w:cs="宋体"/>
                <w:sz w:val="21"/>
                <w:szCs w:val="21"/>
                <w:highlight w:val="none"/>
              </w:rPr>
              <w:t>☑不召开</w:t>
            </w:r>
          </w:p>
          <w:p w14:paraId="6AC8D58E">
            <w:pPr>
              <w:spacing w:before="48" w:beforeLines="20" w:after="48" w:afterLines="20"/>
              <w:ind w:left="48" w:leftChars="20" w:right="48" w:rightChars="20"/>
              <w:rPr>
                <w:rFonts w:ascii="宋体" w:hAnsi="宋体" w:cs="宋体"/>
                <w:sz w:val="21"/>
                <w:szCs w:val="21"/>
                <w:highlight w:val="none"/>
              </w:rPr>
            </w:pPr>
            <w:r>
              <w:rPr>
                <w:rFonts w:ascii="宋体" w:hAnsi="宋体" w:cs="宋体"/>
                <w:sz w:val="21"/>
                <w:szCs w:val="21"/>
                <w:highlight w:val="none"/>
              </w:rPr>
              <w:sym w:font="Wingdings 2" w:char="00A3"/>
            </w:r>
            <w:r>
              <w:rPr>
                <w:rFonts w:ascii="宋体" w:hAnsi="宋体" w:cs="宋体"/>
                <w:sz w:val="21"/>
                <w:szCs w:val="21"/>
                <w:highlight w:val="none"/>
              </w:rPr>
              <w:t>召开，召开时间：</w:t>
            </w:r>
          </w:p>
          <w:p w14:paraId="3CAD2346">
            <w:pPr>
              <w:spacing w:before="173"/>
              <w:ind w:right="50" w:firstLine="840" w:firstLineChars="400"/>
              <w:rPr>
                <w:rFonts w:ascii="宋体" w:hAnsi="宋体"/>
                <w:sz w:val="21"/>
                <w:highlight w:val="none"/>
              </w:rPr>
            </w:pPr>
            <w:r>
              <w:rPr>
                <w:rFonts w:ascii="宋体" w:hAnsi="宋体" w:cs="宋体"/>
                <w:sz w:val="21"/>
                <w:szCs w:val="21"/>
                <w:highlight w:val="none"/>
              </w:rPr>
              <w:t>召开地点：</w:t>
            </w:r>
          </w:p>
        </w:tc>
      </w:tr>
      <w:tr w14:paraId="667C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1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FAD3E50">
            <w:pPr>
              <w:spacing w:before="60" w:line="186" w:lineRule="auto"/>
              <w:jc w:val="center"/>
              <w:rPr>
                <w:rFonts w:eastAsia="Times New Roman"/>
                <w:spacing w:val="-5"/>
                <w:sz w:val="21"/>
                <w:szCs w:val="21"/>
                <w:highlight w:val="none"/>
              </w:rPr>
            </w:pPr>
            <w:r>
              <w:rPr>
                <w:rFonts w:hint="eastAsia" w:eastAsia="Times New Roman"/>
                <w:spacing w:val="-5"/>
                <w:sz w:val="21"/>
                <w:szCs w:val="21"/>
                <w:highlight w:val="none"/>
              </w:rPr>
              <w:t>1.10.2</w:t>
            </w:r>
          </w:p>
        </w:tc>
        <w:tc>
          <w:tcPr>
            <w:tcW w:w="260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64552EB">
            <w:pPr>
              <w:spacing w:before="68" w:line="217" w:lineRule="auto"/>
              <w:rPr>
                <w:rFonts w:ascii="宋体" w:hAnsi="宋体" w:cs="宋体"/>
                <w:spacing w:val="-2"/>
                <w:sz w:val="21"/>
                <w:szCs w:val="21"/>
                <w:highlight w:val="none"/>
              </w:rPr>
            </w:pPr>
            <w:r>
              <w:rPr>
                <w:rFonts w:ascii="宋体" w:hAnsi="宋体" w:cs="宋体"/>
                <w:sz w:val="21"/>
                <w:szCs w:val="21"/>
                <w:highlight w:val="none"/>
              </w:rPr>
              <w:t>投标人在投标预备会前提出问题</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6FC6016">
            <w:pPr>
              <w:autoSpaceDE/>
              <w:autoSpaceDN/>
              <w:adjustRightInd/>
              <w:spacing w:before="48" w:beforeLines="20" w:after="48" w:afterLines="20"/>
              <w:ind w:left="48" w:leftChars="20" w:right="48" w:rightChars="20"/>
              <w:rPr>
                <w:rFonts w:ascii="宋体" w:hAnsi="宋体" w:cs="宋体"/>
                <w:sz w:val="21"/>
                <w:szCs w:val="21"/>
                <w:highlight w:val="none"/>
              </w:rPr>
            </w:pPr>
            <w:r>
              <w:rPr>
                <w:rFonts w:ascii="宋体" w:hAnsi="宋体" w:cs="宋体"/>
                <w:sz w:val="21"/>
                <w:szCs w:val="21"/>
                <w:highlight w:val="none"/>
              </w:rPr>
              <w:t>时间： /</w:t>
            </w:r>
          </w:p>
        </w:tc>
      </w:tr>
      <w:tr w14:paraId="0F13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DC464C6">
            <w:pPr>
              <w:pStyle w:val="34"/>
              <w:kinsoku w:val="0"/>
              <w:overflowPunct w:val="0"/>
              <w:jc w:val="center"/>
              <w:rPr>
                <w:rFonts w:eastAsia="Times New Roman"/>
                <w:sz w:val="21"/>
                <w:highlight w:val="none"/>
              </w:rPr>
            </w:pPr>
          </w:p>
        </w:tc>
        <w:tc>
          <w:tcPr>
            <w:tcW w:w="26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00E2A6D">
            <w:pPr>
              <w:pStyle w:val="34"/>
              <w:kinsoku w:val="0"/>
              <w:overflowPunct w:val="0"/>
              <w:jc w:val="both"/>
              <w:rPr>
                <w:rFonts w:ascii="宋体" w:hAnsi="宋体"/>
                <w:sz w:val="21"/>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DB3D14A">
            <w:pPr>
              <w:autoSpaceDE/>
              <w:autoSpaceDN/>
              <w:adjustRightInd/>
              <w:spacing w:before="48" w:beforeLines="20" w:after="48" w:afterLines="20"/>
              <w:ind w:left="48" w:leftChars="20" w:right="48" w:rightChars="20"/>
              <w:rPr>
                <w:rFonts w:ascii="宋体" w:hAnsi="宋体" w:cs="宋体"/>
                <w:sz w:val="21"/>
                <w:szCs w:val="21"/>
                <w:highlight w:val="none"/>
              </w:rPr>
            </w:pPr>
            <w:r>
              <w:rPr>
                <w:rFonts w:ascii="宋体" w:hAnsi="宋体" w:cs="宋体"/>
                <w:sz w:val="21"/>
                <w:szCs w:val="21"/>
                <w:highlight w:val="none"/>
              </w:rPr>
              <w:t>形式： /</w:t>
            </w:r>
          </w:p>
        </w:tc>
      </w:tr>
      <w:tr w14:paraId="0263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53595AA">
            <w:pPr>
              <w:spacing w:before="48" w:beforeLines="20" w:after="48" w:afterLines="20"/>
              <w:ind w:left="48" w:leftChars="20" w:right="48" w:rightChars="20"/>
              <w:jc w:val="center"/>
              <w:rPr>
                <w:rFonts w:ascii="Arial" w:hAnsi="宋体" w:cs="宋体"/>
                <w:snapToGrid w:val="0"/>
                <w:sz w:val="21"/>
                <w:szCs w:val="21"/>
                <w:highlight w:val="none"/>
              </w:rPr>
            </w:pPr>
            <w:r>
              <w:rPr>
                <w:rFonts w:hint="eastAsia" w:eastAsia="Times New Roman"/>
                <w:spacing w:val="-5"/>
                <w:sz w:val="21"/>
                <w:szCs w:val="21"/>
                <w:highlight w:val="none"/>
              </w:rPr>
              <w:t>1.10.3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70D2F3C">
            <w:pPr>
              <w:spacing w:before="48" w:beforeLines="20" w:after="48" w:afterLines="20"/>
              <w:ind w:left="48" w:leftChars="20" w:right="48" w:rightChars="20"/>
              <w:rPr>
                <w:rFonts w:ascii="宋体" w:hAnsi="宋体" w:cs="宋体"/>
                <w:snapToGrid w:val="0"/>
                <w:sz w:val="21"/>
                <w:szCs w:val="21"/>
                <w:highlight w:val="none"/>
              </w:rPr>
            </w:pPr>
            <w:r>
              <w:rPr>
                <w:rFonts w:ascii="宋体" w:hAnsi="宋体" w:cs="宋体"/>
                <w:sz w:val="21"/>
                <w:szCs w:val="21"/>
                <w:highlight w:val="none"/>
              </w:rPr>
              <w:t>招标文件澄清发出的形式</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EE4A277">
            <w:pPr>
              <w:autoSpaceDE/>
              <w:autoSpaceDN/>
              <w:adjustRightInd/>
              <w:spacing w:before="48" w:beforeLines="20" w:after="48" w:afterLines="20"/>
              <w:ind w:left="48" w:leftChars="20" w:right="48" w:rightChars="20"/>
              <w:rPr>
                <w:rFonts w:ascii="宋体" w:hAnsi="宋体" w:cs="宋体"/>
                <w:sz w:val="21"/>
                <w:szCs w:val="21"/>
                <w:highlight w:val="none"/>
              </w:rPr>
            </w:pPr>
            <w:r>
              <w:rPr>
                <w:rFonts w:hint="eastAsia" w:ascii="宋体" w:hAnsi="宋体" w:cs="宋体"/>
                <w:sz w:val="21"/>
                <w:szCs w:val="21"/>
                <w:highlight w:val="none"/>
              </w:rPr>
              <w:t>在广州公共资源交易中心网站“招标答疑”专区发布。</w:t>
            </w:r>
          </w:p>
        </w:tc>
      </w:tr>
      <w:tr w14:paraId="47DD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6B6B121">
            <w:pPr>
              <w:pStyle w:val="34"/>
              <w:kinsoku w:val="0"/>
              <w:overflowPunct w:val="0"/>
              <w:jc w:val="center"/>
              <w:rPr>
                <w:rFonts w:ascii="宋体" w:hAnsi="宋体" w:cs="宋体"/>
                <w:b/>
                <w:sz w:val="21"/>
                <w:szCs w:val="21"/>
                <w:highlight w:val="none"/>
              </w:rPr>
            </w:pPr>
            <w:r>
              <w:rPr>
                <w:rFonts w:hint="eastAsia" w:eastAsia="Times New Roman"/>
                <w:sz w:val="21"/>
                <w:highlight w:val="none"/>
              </w:rPr>
              <w:t>1.12.1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7AF0F68">
            <w:pPr>
              <w:pStyle w:val="34"/>
              <w:kinsoku w:val="0"/>
              <w:overflowPunct w:val="0"/>
              <w:jc w:val="both"/>
              <w:rPr>
                <w:rFonts w:ascii="宋体" w:hAnsi="宋体" w:cs="宋体"/>
                <w:b/>
                <w:sz w:val="21"/>
                <w:szCs w:val="21"/>
                <w:highlight w:val="none"/>
              </w:rPr>
            </w:pPr>
            <w:r>
              <w:rPr>
                <w:rFonts w:ascii="宋体" w:hAnsi="宋体"/>
                <w:sz w:val="21"/>
                <w:highlight w:val="none"/>
              </w:rPr>
              <w:t>实质性要求和条件</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8D7C43D">
            <w:pPr>
              <w:jc w:val="both"/>
              <w:rPr>
                <w:rFonts w:ascii="宋体" w:hAnsi="宋体" w:cs="宋体"/>
                <w:b/>
                <w:sz w:val="21"/>
                <w:szCs w:val="21"/>
                <w:highlight w:val="none"/>
              </w:rPr>
            </w:pPr>
            <w:r>
              <w:rPr>
                <w:rFonts w:hint="eastAsia" w:hAnsi="宋体" w:cs="宋体"/>
                <w:sz w:val="21"/>
                <w:szCs w:val="21"/>
                <w:highlight w:val="none"/>
                <w:u w:val="single"/>
              </w:rPr>
              <w:t>详见评标办法前附表中2.1.1、2.1.2、2.1.3的评审标准。</w:t>
            </w:r>
          </w:p>
        </w:tc>
      </w:tr>
      <w:tr w14:paraId="0970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ABE8C8C">
            <w:pPr>
              <w:pStyle w:val="34"/>
              <w:kinsoku w:val="0"/>
              <w:overflowPunct w:val="0"/>
              <w:jc w:val="center"/>
              <w:rPr>
                <w:rFonts w:ascii="宋体" w:hAnsi="宋体" w:cs="宋体"/>
                <w:b/>
                <w:sz w:val="21"/>
                <w:szCs w:val="21"/>
                <w:highlight w:val="none"/>
              </w:rPr>
            </w:pPr>
            <w:r>
              <w:rPr>
                <w:rFonts w:hint="eastAsia" w:eastAsia="Times New Roman"/>
                <w:sz w:val="21"/>
                <w:highlight w:val="none"/>
              </w:rPr>
              <w:t>1.12.3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01F1189">
            <w:pPr>
              <w:pStyle w:val="34"/>
              <w:kinsoku w:val="0"/>
              <w:overflowPunct w:val="0"/>
              <w:jc w:val="both"/>
              <w:rPr>
                <w:rFonts w:ascii="宋体" w:hAnsi="宋体" w:cs="宋体"/>
                <w:b/>
                <w:sz w:val="21"/>
                <w:szCs w:val="21"/>
                <w:highlight w:val="none"/>
              </w:rPr>
            </w:pPr>
            <w:r>
              <w:rPr>
                <w:rFonts w:ascii="宋体" w:hAnsi="宋体"/>
                <w:sz w:val="21"/>
                <w:highlight w:val="none"/>
              </w:rPr>
              <w:t>偏差</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F50B67A">
            <w:pPr>
              <w:pStyle w:val="34"/>
              <w:kinsoku w:val="0"/>
              <w:overflowPunct w:val="0"/>
              <w:jc w:val="both"/>
              <w:rPr>
                <w:rFonts w:ascii="宋体" w:hAnsi="宋体"/>
                <w:sz w:val="21"/>
                <w:highlight w:val="none"/>
              </w:rPr>
            </w:pPr>
            <w:r>
              <w:rPr>
                <w:rFonts w:ascii="宋体" w:hAnsi="宋体" w:cs="宋体"/>
                <w:sz w:val="21"/>
                <w:szCs w:val="21"/>
                <w:highlight w:val="none"/>
              </w:rPr>
              <w:t>☑</w:t>
            </w:r>
            <w:r>
              <w:rPr>
                <w:rFonts w:ascii="宋体" w:hAnsi="宋体"/>
                <w:sz w:val="21"/>
                <w:highlight w:val="none"/>
              </w:rPr>
              <w:t>不允许</w:t>
            </w:r>
          </w:p>
          <w:p w14:paraId="0058A4C7">
            <w:pPr>
              <w:pStyle w:val="34"/>
              <w:kinsoku w:val="0"/>
              <w:overflowPunct w:val="0"/>
              <w:jc w:val="both"/>
              <w:rPr>
                <w:rFonts w:ascii="宋体" w:hAnsi="宋体"/>
                <w:sz w:val="21"/>
                <w:highlight w:val="none"/>
              </w:rPr>
            </w:pPr>
            <w:r>
              <w:rPr>
                <w:rFonts w:hint="eastAsia" w:eastAsia="Times New Roman"/>
                <w:sz w:val="21"/>
                <w:highlight w:val="none"/>
              </w:rPr>
              <w:sym w:font="Wingdings 2" w:char="00A3"/>
            </w:r>
            <w:r>
              <w:rPr>
                <w:rFonts w:ascii="宋体" w:hAnsi="宋体"/>
                <w:sz w:val="21"/>
                <w:highlight w:val="none"/>
              </w:rPr>
              <w:t>允许，偏差范围：</w:t>
            </w:r>
          </w:p>
          <w:p w14:paraId="43D430C1">
            <w:pPr>
              <w:pStyle w:val="34"/>
              <w:kinsoku w:val="0"/>
              <w:overflowPunct w:val="0"/>
              <w:jc w:val="both"/>
              <w:rPr>
                <w:rFonts w:ascii="宋体" w:hAnsi="宋体" w:cs="宋体"/>
                <w:b/>
                <w:sz w:val="21"/>
                <w:szCs w:val="21"/>
                <w:highlight w:val="none"/>
              </w:rPr>
            </w:pPr>
            <w:r>
              <w:rPr>
                <w:rFonts w:ascii="宋体" w:hAnsi="宋体"/>
                <w:sz w:val="21"/>
                <w:highlight w:val="none"/>
              </w:rPr>
              <w:t>偏差幅度：</w:t>
            </w:r>
          </w:p>
        </w:tc>
      </w:tr>
      <w:tr w14:paraId="0CB1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450D4F8">
            <w:pPr>
              <w:pStyle w:val="34"/>
              <w:kinsoku w:val="0"/>
              <w:overflowPunct w:val="0"/>
              <w:jc w:val="center"/>
              <w:rPr>
                <w:rFonts w:ascii="宋体" w:hAnsi="宋体" w:cs="宋体"/>
                <w:b/>
                <w:sz w:val="21"/>
                <w:szCs w:val="21"/>
                <w:highlight w:val="none"/>
              </w:rPr>
            </w:pPr>
            <w:r>
              <w:rPr>
                <w:rFonts w:hint="eastAsia" w:eastAsia="Times New Roman"/>
                <w:sz w:val="21"/>
                <w:highlight w:val="none"/>
              </w:rPr>
              <w:t>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004F14D">
            <w:pPr>
              <w:pStyle w:val="34"/>
              <w:kinsoku w:val="0"/>
              <w:overflowPunct w:val="0"/>
              <w:jc w:val="both"/>
              <w:rPr>
                <w:rFonts w:ascii="宋体" w:hAnsi="宋体" w:cs="宋体"/>
                <w:b/>
                <w:sz w:val="21"/>
                <w:szCs w:val="21"/>
                <w:highlight w:val="none"/>
              </w:rPr>
            </w:pPr>
            <w:r>
              <w:rPr>
                <w:rFonts w:ascii="宋体" w:hAnsi="宋体"/>
                <w:sz w:val="21"/>
                <w:highlight w:val="none"/>
              </w:rPr>
              <w:t>构成招标文件的其他资料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9DFCEA7">
            <w:pPr>
              <w:jc w:val="both"/>
              <w:rPr>
                <w:rFonts w:ascii="宋体" w:hAnsi="宋体" w:cs="宋体"/>
                <w:b/>
                <w:sz w:val="21"/>
                <w:szCs w:val="21"/>
                <w:highlight w:val="none"/>
              </w:rPr>
            </w:pPr>
            <w:r>
              <w:rPr>
                <w:rFonts w:hint="eastAsia" w:ascii="宋体" w:hAnsi="宋体" w:cs="宋体"/>
                <w:b/>
                <w:sz w:val="21"/>
                <w:szCs w:val="21"/>
                <w:highlight w:val="none"/>
              </w:rPr>
              <w:t>/</w:t>
            </w:r>
          </w:p>
        </w:tc>
      </w:tr>
      <w:tr w14:paraId="40A2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B7914E5">
            <w:pPr>
              <w:spacing w:before="60" w:line="186" w:lineRule="auto"/>
              <w:jc w:val="center"/>
              <w:rPr>
                <w:rFonts w:eastAsia="Times New Roman"/>
                <w:sz w:val="21"/>
                <w:highlight w:val="none"/>
              </w:rPr>
            </w:pPr>
            <w:r>
              <w:rPr>
                <w:rFonts w:hint="eastAsia" w:eastAsia="Times New Roman"/>
                <w:spacing w:val="-1"/>
                <w:sz w:val="21"/>
                <w:szCs w:val="21"/>
                <w:highlight w:val="none"/>
              </w:rPr>
              <w:t>2.2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F273AEE">
            <w:pPr>
              <w:spacing w:line="272" w:lineRule="auto"/>
              <w:jc w:val="center"/>
              <w:rPr>
                <w:sz w:val="21"/>
                <w:highlight w:val="none"/>
              </w:rPr>
            </w:pPr>
          </w:p>
          <w:p w14:paraId="5A9FE709">
            <w:pPr>
              <w:spacing w:before="69" w:line="220" w:lineRule="auto"/>
              <w:jc w:val="center"/>
              <w:rPr>
                <w:sz w:val="21"/>
                <w:highlight w:val="none"/>
              </w:rPr>
            </w:pPr>
            <w:r>
              <w:rPr>
                <w:rFonts w:ascii="宋体"/>
                <w:sz w:val="21"/>
                <w:highlight w:val="none"/>
              </w:rPr>
              <w:t>招标答疑</w:t>
            </w:r>
          </w:p>
          <w:p w14:paraId="094E8648">
            <w:pPr>
              <w:jc w:val="center"/>
              <w:rPr>
                <w:sz w:val="21"/>
                <w:highlight w:val="none"/>
              </w:rPr>
            </w:pPr>
          </w:p>
          <w:p w14:paraId="5DA3EA39">
            <w:pPr>
              <w:tabs>
                <w:tab w:val="left" w:pos="1103"/>
              </w:tabs>
              <w:jc w:val="center"/>
              <w:rPr>
                <w:rFonts w:ascii="宋体" w:hAnsi="宋体"/>
                <w:sz w:val="21"/>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tcPr>
          <w:p w14:paraId="2706EB97">
            <w:pPr>
              <w:autoSpaceDE/>
              <w:autoSpaceDN/>
              <w:adjustRightInd/>
              <w:snapToGrid w:val="0"/>
              <w:jc w:val="both"/>
              <w:rPr>
                <w:rFonts w:ascii="宋体" w:hAnsi="宋体" w:cs="宋体"/>
                <w:kern w:val="2"/>
                <w:sz w:val="21"/>
                <w:szCs w:val="21"/>
                <w:highlight w:val="none"/>
                <w:u w:val="single"/>
              </w:rPr>
            </w:pPr>
            <w:r>
              <w:rPr>
                <w:rFonts w:hint="eastAsia" w:ascii="宋体" w:hAnsi="宋体" w:cs="宋体"/>
                <w:kern w:val="2"/>
                <w:sz w:val="21"/>
                <w:szCs w:val="21"/>
                <w:highlight w:val="none"/>
                <w:u w:val="single"/>
              </w:rPr>
              <w:t>时间：在投标截止日期前18日</w:t>
            </w:r>
          </w:p>
          <w:p w14:paraId="634C0FF1">
            <w:pPr>
              <w:autoSpaceDE/>
              <w:autoSpaceDN/>
              <w:adjustRightInd/>
              <w:snapToGrid w:val="0"/>
              <w:jc w:val="both"/>
              <w:outlineLvl w:val="0"/>
              <w:rPr>
                <w:rFonts w:ascii="宋体" w:hAnsi="宋体" w:cs="宋体"/>
                <w:sz w:val="21"/>
                <w:szCs w:val="21"/>
                <w:highlight w:val="none"/>
                <w:u w:val="single"/>
              </w:rPr>
            </w:pPr>
            <w:r>
              <w:rPr>
                <w:rFonts w:hint="eastAsia" w:ascii="宋体" w:hAnsi="宋体" w:cs="宋体"/>
                <w:sz w:val="21"/>
                <w:szCs w:val="21"/>
                <w:highlight w:val="none"/>
                <w:u w:val="single"/>
              </w:rPr>
              <w:t>形式：1、招标答疑采用网上答疑方式进行。投标人若对招标文件有疑问的，可在规定的时间内通过广州公共资源交易中心网站进入提问区域将问题提交给招标人或招标代理人，提交问题时一律不得署名。</w:t>
            </w:r>
          </w:p>
          <w:p w14:paraId="1DAC2A41">
            <w:pPr>
              <w:autoSpaceDE/>
              <w:autoSpaceDN/>
              <w:adjustRightInd/>
              <w:snapToGrid w:val="0"/>
              <w:ind w:firstLine="420" w:firstLineChars="200"/>
              <w:jc w:val="both"/>
              <w:outlineLvl w:val="0"/>
              <w:rPr>
                <w:rFonts w:ascii="宋体" w:hAnsi="宋体" w:cs="宋体"/>
                <w:sz w:val="21"/>
                <w:szCs w:val="21"/>
                <w:highlight w:val="none"/>
                <w:u w:val="single"/>
              </w:rPr>
            </w:pPr>
            <w:r>
              <w:rPr>
                <w:rFonts w:hint="eastAsia" w:ascii="宋体" w:hAnsi="宋体" w:cs="宋体"/>
                <w:sz w:val="21"/>
                <w:szCs w:val="21"/>
                <w:highlight w:val="none"/>
                <w:u w:val="single"/>
              </w:rPr>
              <w:t>网上答疑的操作指南为：网上答疑的操作指南为：登录广州公共资源交易中心网站→进入“我是投标人”→进入“新建设工程交易平台”→进入“我的投标”→进入“招标答疑提问”→通过项目编号或名称找到所需的项目→在下述的答疑时间内点击“答疑提问”进入到提问区域→无记名或匿名提出问题。</w:t>
            </w:r>
          </w:p>
          <w:p w14:paraId="57C4F0F2">
            <w:pPr>
              <w:autoSpaceDE/>
              <w:autoSpaceDN/>
              <w:adjustRightInd/>
              <w:snapToGrid w:val="0"/>
              <w:jc w:val="both"/>
              <w:outlineLvl w:val="0"/>
              <w:rPr>
                <w:rFonts w:ascii="宋体" w:hAnsi="宋体" w:cs="宋体"/>
                <w:sz w:val="21"/>
                <w:szCs w:val="21"/>
                <w:highlight w:val="none"/>
                <w:u w:val="single"/>
              </w:rPr>
            </w:pPr>
            <w:r>
              <w:rPr>
                <w:rFonts w:hint="eastAsia" w:ascii="宋体" w:hAnsi="宋体" w:cs="宋体"/>
                <w:sz w:val="21"/>
                <w:szCs w:val="21"/>
                <w:highlight w:val="none"/>
                <w:u w:val="single"/>
              </w:rPr>
              <w:t>2、投标人应在投标截止时间18日前停止质疑。招标人应在投标截止时间15日前解答投标人对招标文件提出的疑问，形成答疑纪要，并经招标监管机构备案后，方可在广州公共资源交易中心网站项目答疑专区发布。</w:t>
            </w:r>
          </w:p>
          <w:p w14:paraId="15E6EF3E">
            <w:pPr>
              <w:autoSpaceDE/>
              <w:autoSpaceDN/>
              <w:adjustRightInd/>
              <w:snapToGrid w:val="0"/>
              <w:jc w:val="both"/>
              <w:outlineLvl w:val="0"/>
              <w:rPr>
                <w:rFonts w:ascii="宋体" w:hAnsi="宋体" w:cs="宋体"/>
                <w:sz w:val="21"/>
                <w:szCs w:val="21"/>
                <w:highlight w:val="none"/>
                <w:u w:val="single"/>
              </w:rPr>
            </w:pPr>
            <w:r>
              <w:rPr>
                <w:rFonts w:hint="eastAsia" w:ascii="宋体" w:hAnsi="宋体" w:cs="宋体"/>
                <w:sz w:val="21"/>
                <w:szCs w:val="21"/>
                <w:highlight w:val="none"/>
                <w:u w:val="single"/>
              </w:rPr>
              <w:t>3、招标答疑纪要一经在广州公共资源交易中心网站发布，视作已发放给所有投标人。</w:t>
            </w:r>
          </w:p>
          <w:p w14:paraId="3E404ED6">
            <w:pPr>
              <w:spacing w:before="120" w:beforeLines="50"/>
              <w:ind w:left="113" w:leftChars="47"/>
              <w:rPr>
                <w:rFonts w:ascii="宋体" w:hAnsi="宋体" w:cs="宋体"/>
                <w:b/>
                <w:sz w:val="21"/>
                <w:szCs w:val="21"/>
                <w:highlight w:val="none"/>
              </w:rPr>
            </w:pPr>
            <w:r>
              <w:rPr>
                <w:rFonts w:hint="eastAsia" w:ascii="宋体" w:hAnsi="宋体" w:cs="宋体"/>
                <w:kern w:val="2"/>
                <w:sz w:val="21"/>
                <w:szCs w:val="21"/>
                <w:highlight w:val="none"/>
                <w:u w:val="single"/>
              </w:rPr>
              <w:t>4、招标答疑纪要为招标文件的一部分。投标人可在广州公资源交易中心网站浏览、下载招标答疑纪要。</w:t>
            </w:r>
          </w:p>
        </w:tc>
      </w:tr>
      <w:tr w14:paraId="2EA1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82B9A73">
            <w:pPr>
              <w:spacing w:before="209" w:line="186" w:lineRule="auto"/>
              <w:jc w:val="center"/>
              <w:rPr>
                <w:rFonts w:eastAsia="Times New Roman"/>
                <w:sz w:val="21"/>
                <w:highlight w:val="none"/>
              </w:rPr>
            </w:pPr>
            <w:r>
              <w:rPr>
                <w:rFonts w:hint="eastAsia" w:eastAsia="Times New Roman"/>
                <w:spacing w:val="-1"/>
                <w:sz w:val="21"/>
                <w:szCs w:val="21"/>
                <w:highlight w:val="none"/>
              </w:rPr>
              <w:t>2.3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7A0C588">
            <w:pPr>
              <w:spacing w:before="170" w:line="220" w:lineRule="auto"/>
              <w:jc w:val="center"/>
              <w:rPr>
                <w:rFonts w:ascii="宋体" w:hAnsi="宋体"/>
                <w:sz w:val="21"/>
                <w:highlight w:val="none"/>
              </w:rPr>
            </w:pPr>
            <w:r>
              <w:rPr>
                <w:rFonts w:ascii="宋体" w:hAnsi="宋体" w:cs="宋体"/>
                <w:spacing w:val="-1"/>
                <w:sz w:val="21"/>
                <w:szCs w:val="21"/>
                <w:highlight w:val="none"/>
              </w:rPr>
              <w:t>招标文件的澄清和修改</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022E59B">
            <w:pPr>
              <w:ind w:left="91" w:leftChars="38"/>
              <w:jc w:val="both"/>
              <w:rPr>
                <w:rFonts w:ascii="宋体" w:hAnsi="宋体" w:cs="宋体"/>
                <w:b/>
                <w:sz w:val="21"/>
                <w:szCs w:val="21"/>
                <w:highlight w:val="none"/>
              </w:rPr>
            </w:pPr>
            <w:r>
              <w:rPr>
                <w:rFonts w:ascii="宋体" w:hAnsi="宋体"/>
                <w:sz w:val="21"/>
                <w:highlight w:val="none"/>
              </w:rPr>
              <w:t>招标文件的修改期限：在投标截止时间</w:t>
            </w:r>
            <w:r>
              <w:rPr>
                <w:rFonts w:ascii="宋体" w:hAnsi="宋体"/>
                <w:sz w:val="21"/>
                <w:highlight w:val="none"/>
                <w:u w:val="single"/>
              </w:rPr>
              <w:t xml:space="preserve"> 15 </w:t>
            </w:r>
            <w:r>
              <w:rPr>
                <w:rFonts w:ascii="宋体" w:hAnsi="宋体"/>
                <w:sz w:val="21"/>
                <w:highlight w:val="none"/>
              </w:rPr>
              <w:t>天前</w:t>
            </w:r>
          </w:p>
        </w:tc>
      </w:tr>
      <w:tr w14:paraId="0850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F09E594">
            <w:pPr>
              <w:pStyle w:val="34"/>
              <w:kinsoku w:val="0"/>
              <w:overflowPunct w:val="0"/>
              <w:jc w:val="center"/>
              <w:rPr>
                <w:rFonts w:ascii="宋体" w:hAnsi="宋体" w:cs="宋体"/>
                <w:b/>
                <w:sz w:val="21"/>
                <w:szCs w:val="21"/>
                <w:highlight w:val="none"/>
              </w:rPr>
            </w:pPr>
            <w:r>
              <w:rPr>
                <w:rFonts w:hint="eastAsia" w:eastAsia="Times New Roman"/>
                <w:sz w:val="21"/>
                <w:highlight w:val="none"/>
              </w:rPr>
              <w:t>3.1.1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CB85717">
            <w:pPr>
              <w:pStyle w:val="34"/>
              <w:kinsoku w:val="0"/>
              <w:overflowPunct w:val="0"/>
              <w:jc w:val="both"/>
              <w:rPr>
                <w:rFonts w:ascii="宋体" w:hAnsi="宋体" w:cs="宋体"/>
                <w:b/>
                <w:sz w:val="21"/>
                <w:szCs w:val="21"/>
                <w:highlight w:val="none"/>
              </w:rPr>
            </w:pPr>
            <w:r>
              <w:rPr>
                <w:rFonts w:ascii="宋体" w:hAnsi="宋体"/>
                <w:sz w:val="21"/>
                <w:highlight w:val="none"/>
              </w:rPr>
              <w:t>构成投标文件的其他资料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6E539E3">
            <w:pPr>
              <w:jc w:val="both"/>
              <w:rPr>
                <w:rFonts w:ascii="宋体" w:hAnsi="宋体" w:cs="宋体"/>
                <w:b/>
                <w:sz w:val="21"/>
                <w:szCs w:val="21"/>
                <w:highlight w:val="none"/>
              </w:rPr>
            </w:pPr>
            <w:r>
              <w:rPr>
                <w:rFonts w:ascii="宋体" w:hAnsi="宋体" w:cs="宋体"/>
                <w:spacing w:val="-1"/>
                <w:sz w:val="21"/>
                <w:szCs w:val="21"/>
                <w:highlight w:val="none"/>
              </w:rPr>
              <w:t>满足本项目评审要求的其他资料。</w:t>
            </w:r>
          </w:p>
        </w:tc>
      </w:tr>
      <w:tr w14:paraId="7DE7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77BD55F">
            <w:pPr>
              <w:pStyle w:val="34"/>
              <w:kinsoku w:val="0"/>
              <w:overflowPunct w:val="0"/>
              <w:jc w:val="center"/>
              <w:rPr>
                <w:rFonts w:ascii="宋体" w:hAnsi="宋体" w:cs="宋体"/>
                <w:b/>
                <w:sz w:val="21"/>
                <w:szCs w:val="21"/>
                <w:highlight w:val="none"/>
              </w:rPr>
            </w:pPr>
            <w:r>
              <w:rPr>
                <w:rFonts w:hint="eastAsia" w:eastAsia="Times New Roman"/>
                <w:sz w:val="21"/>
                <w:highlight w:val="none"/>
              </w:rPr>
              <w:t>3.2.1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5E1E5DE">
            <w:pPr>
              <w:pStyle w:val="34"/>
              <w:kinsoku w:val="0"/>
              <w:overflowPunct w:val="0"/>
              <w:jc w:val="both"/>
              <w:rPr>
                <w:rFonts w:ascii="宋体" w:hAnsi="宋体" w:cs="宋体"/>
                <w:b/>
                <w:sz w:val="21"/>
                <w:szCs w:val="21"/>
                <w:highlight w:val="none"/>
              </w:rPr>
            </w:pPr>
            <w:r>
              <w:rPr>
                <w:rFonts w:ascii="宋体" w:hAnsi="宋体"/>
                <w:sz w:val="21"/>
                <w:highlight w:val="none"/>
              </w:rPr>
              <w:t>增值税税金的计算方法</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F880CA6">
            <w:pPr>
              <w:jc w:val="both"/>
              <w:rPr>
                <w:rFonts w:ascii="宋体" w:hAnsi="宋体" w:cs="宋体"/>
                <w:b/>
                <w:sz w:val="21"/>
                <w:szCs w:val="21"/>
                <w:highlight w:val="none"/>
              </w:rPr>
            </w:pPr>
            <w:r>
              <w:rPr>
                <w:rFonts w:hint="eastAsia" w:ascii="宋体" w:hAnsi="宋体" w:cs="宋体"/>
                <w:spacing w:val="-1"/>
                <w:sz w:val="21"/>
                <w:szCs w:val="21"/>
                <w:highlight w:val="none"/>
              </w:rPr>
              <w:t>按国家税务机关的规定执行。</w:t>
            </w:r>
          </w:p>
        </w:tc>
      </w:tr>
      <w:tr w14:paraId="1DDE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9AA95A0">
            <w:pPr>
              <w:pStyle w:val="34"/>
              <w:kinsoku w:val="0"/>
              <w:overflowPunct w:val="0"/>
              <w:jc w:val="center"/>
              <w:rPr>
                <w:rFonts w:ascii="宋体" w:hAnsi="宋体" w:cs="宋体"/>
                <w:b/>
                <w:sz w:val="21"/>
                <w:szCs w:val="21"/>
                <w:highlight w:val="none"/>
              </w:rPr>
            </w:pPr>
            <w:r>
              <w:rPr>
                <w:rFonts w:hint="eastAsia" w:eastAsia="Times New Roman"/>
                <w:sz w:val="21"/>
                <w:highlight w:val="none"/>
              </w:rPr>
              <w:t>3.2.3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916B325">
            <w:pPr>
              <w:pStyle w:val="34"/>
              <w:kinsoku w:val="0"/>
              <w:overflowPunct w:val="0"/>
              <w:jc w:val="both"/>
              <w:rPr>
                <w:rFonts w:ascii="宋体" w:hAnsi="宋体" w:cs="宋体"/>
                <w:b/>
                <w:sz w:val="21"/>
                <w:szCs w:val="21"/>
                <w:highlight w:val="none"/>
              </w:rPr>
            </w:pPr>
            <w:r>
              <w:rPr>
                <w:rFonts w:ascii="宋体" w:hAnsi="宋体"/>
                <w:sz w:val="21"/>
                <w:highlight w:val="none"/>
              </w:rPr>
              <w:t>报价方式</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FE9A952">
            <w:pPr>
              <w:jc w:val="both"/>
              <w:rPr>
                <w:rFonts w:ascii="宋体" w:hAnsi="宋体" w:cs="宋体"/>
                <w:b/>
                <w:sz w:val="21"/>
                <w:szCs w:val="21"/>
                <w:highlight w:val="none"/>
              </w:rPr>
            </w:pPr>
            <w:r>
              <w:rPr>
                <w:rFonts w:hint="eastAsia" w:ascii="宋体" w:hAnsi="宋体" w:cs="宋体"/>
                <w:sz w:val="21"/>
                <w:szCs w:val="21"/>
                <w:highlight w:val="none"/>
              </w:rPr>
              <w:t>投标人自行填报投标下浮率，并依据所报下浮率列明投标报价。</w:t>
            </w:r>
          </w:p>
        </w:tc>
      </w:tr>
      <w:tr w14:paraId="58DB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D3DB85B">
            <w:pPr>
              <w:pStyle w:val="34"/>
              <w:kinsoku w:val="0"/>
              <w:overflowPunct w:val="0"/>
              <w:jc w:val="center"/>
              <w:rPr>
                <w:rFonts w:eastAsia="Times New Roman"/>
                <w:sz w:val="21"/>
                <w:highlight w:val="none"/>
              </w:rPr>
            </w:pPr>
          </w:p>
          <w:p w14:paraId="2D791284">
            <w:pPr>
              <w:pStyle w:val="34"/>
              <w:kinsoku w:val="0"/>
              <w:overflowPunct w:val="0"/>
              <w:jc w:val="center"/>
              <w:rPr>
                <w:rFonts w:ascii="宋体" w:hAnsi="宋体" w:cs="宋体"/>
                <w:b/>
                <w:sz w:val="21"/>
                <w:szCs w:val="21"/>
                <w:highlight w:val="none"/>
              </w:rPr>
            </w:pPr>
            <w:r>
              <w:rPr>
                <w:rFonts w:hint="eastAsia" w:eastAsia="Times New Roman"/>
                <w:sz w:val="21"/>
                <w:highlight w:val="none"/>
              </w:rPr>
              <w:t>3.2.4</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FCBBDDE">
            <w:pPr>
              <w:pStyle w:val="34"/>
              <w:kinsoku w:val="0"/>
              <w:overflowPunct w:val="0"/>
              <w:jc w:val="both"/>
              <w:rPr>
                <w:rFonts w:ascii="宋体" w:hAnsi="宋体" w:cs="宋体"/>
                <w:b/>
                <w:sz w:val="21"/>
                <w:szCs w:val="21"/>
                <w:highlight w:val="none"/>
              </w:rPr>
            </w:pPr>
            <w:r>
              <w:rPr>
                <w:rFonts w:ascii="宋体" w:hAnsi="宋体"/>
                <w:sz w:val="21"/>
                <w:highlight w:val="none"/>
              </w:rPr>
              <w:t>最高投标限价</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388E150">
            <w:pPr>
              <w:pStyle w:val="34"/>
              <w:kinsoku w:val="0"/>
              <w:overflowPunct w:val="0"/>
              <w:jc w:val="both"/>
              <w:rPr>
                <w:rFonts w:ascii="宋体" w:hAnsi="宋体"/>
                <w:sz w:val="21"/>
                <w:highlight w:val="none"/>
              </w:rPr>
            </w:pPr>
            <w:r>
              <w:rPr>
                <w:rFonts w:hint="eastAsia" w:eastAsia="Times New Roman"/>
                <w:sz w:val="21"/>
                <w:highlight w:val="none"/>
              </w:rPr>
              <w:sym w:font="Wingdings 2" w:char="00A3"/>
            </w:r>
            <w:r>
              <w:rPr>
                <w:rFonts w:ascii="宋体" w:hAnsi="宋体"/>
                <w:sz w:val="21"/>
                <w:highlight w:val="none"/>
              </w:rPr>
              <w:t>无</w:t>
            </w:r>
          </w:p>
          <w:p w14:paraId="550AADCA">
            <w:pPr>
              <w:pStyle w:val="34"/>
              <w:kinsoku w:val="0"/>
              <w:overflowPunct w:val="0"/>
              <w:jc w:val="both"/>
              <w:rPr>
                <w:rFonts w:ascii="宋体" w:hAnsi="宋体"/>
                <w:sz w:val="21"/>
                <w:highlight w:val="none"/>
              </w:rPr>
            </w:pPr>
            <w:r>
              <w:rPr>
                <w:rFonts w:ascii="宋体" w:hAnsi="宋体" w:cs="宋体"/>
                <w:sz w:val="21"/>
                <w:szCs w:val="21"/>
                <w:highlight w:val="none"/>
              </w:rPr>
              <w:t>☑</w:t>
            </w:r>
            <w:r>
              <w:rPr>
                <w:rFonts w:ascii="宋体" w:hAnsi="宋体"/>
                <w:sz w:val="21"/>
                <w:highlight w:val="none"/>
              </w:rPr>
              <w:t>有，最高投标限价：</w:t>
            </w:r>
            <w:r>
              <w:rPr>
                <w:rFonts w:hint="eastAsia" w:ascii="宋体" w:hAnsi="宋体"/>
                <w:sz w:val="21"/>
                <w:highlight w:val="none"/>
                <w:lang w:val="en-US" w:eastAsia="zh-CN"/>
              </w:rPr>
              <w:t>4911300.00</w:t>
            </w:r>
            <w:r>
              <w:rPr>
                <w:rFonts w:hint="eastAsia" w:ascii="宋体" w:hAnsi="宋体"/>
                <w:sz w:val="21"/>
                <w:highlight w:val="none"/>
              </w:rPr>
              <w:t>元</w:t>
            </w:r>
            <w:r>
              <w:rPr>
                <w:rFonts w:ascii="宋体" w:hAnsi="宋体"/>
                <w:sz w:val="21"/>
                <w:highlight w:val="none"/>
              </w:rPr>
              <w:t>。</w:t>
            </w:r>
            <w:r>
              <w:rPr>
                <w:rFonts w:hint="eastAsia" w:ascii="宋体" w:hAnsi="宋体"/>
                <w:sz w:val="21"/>
                <w:highlight w:val="none"/>
              </w:rPr>
              <w:t>。</w:t>
            </w:r>
          </w:p>
          <w:p w14:paraId="7F795C31">
            <w:pPr>
              <w:pStyle w:val="34"/>
              <w:kinsoku w:val="0"/>
              <w:overflowPunct w:val="0"/>
              <w:jc w:val="both"/>
              <w:rPr>
                <w:rFonts w:ascii="宋体" w:hAnsi="宋体" w:cs="宋体"/>
                <w:b/>
                <w:sz w:val="21"/>
                <w:szCs w:val="21"/>
                <w:highlight w:val="none"/>
              </w:rPr>
            </w:pPr>
            <w:r>
              <w:rPr>
                <w:rFonts w:hint="eastAsia" w:ascii="宋体" w:hAnsi="宋体"/>
                <w:sz w:val="21"/>
                <w:highlight w:val="none"/>
              </w:rPr>
              <w:t>注：投标报价不得超过本项目最高投标限价。</w:t>
            </w:r>
          </w:p>
        </w:tc>
      </w:tr>
      <w:tr w14:paraId="3631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A7BC789">
            <w:pPr>
              <w:pStyle w:val="34"/>
              <w:kinsoku w:val="0"/>
              <w:overflowPunct w:val="0"/>
              <w:jc w:val="center"/>
              <w:rPr>
                <w:rFonts w:eastAsia="Times New Roman"/>
                <w:sz w:val="21"/>
                <w:highlight w:val="none"/>
              </w:rPr>
            </w:pPr>
            <w:r>
              <w:rPr>
                <w:rFonts w:hint="eastAsia" w:eastAsia="Times New Roman"/>
                <w:sz w:val="21"/>
                <w:highlight w:val="none"/>
              </w:rPr>
              <w:t>3.2.5</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706D04F">
            <w:pPr>
              <w:pStyle w:val="34"/>
              <w:kinsoku w:val="0"/>
              <w:overflowPunct w:val="0"/>
              <w:jc w:val="both"/>
              <w:rPr>
                <w:rFonts w:ascii="宋体" w:hAnsi="宋体"/>
                <w:sz w:val="21"/>
                <w:highlight w:val="none"/>
              </w:rPr>
            </w:pPr>
            <w:r>
              <w:rPr>
                <w:rFonts w:ascii="宋体" w:hAnsi="宋体"/>
                <w:sz w:val="21"/>
                <w:highlight w:val="none"/>
              </w:rPr>
              <w:t>投标报价的其他要求</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CE17C82">
            <w:pPr>
              <w:spacing w:before="173"/>
              <w:ind w:right="50"/>
              <w:rPr>
                <w:rFonts w:ascii="宋体" w:hAnsi="宋体"/>
                <w:sz w:val="21"/>
                <w:highlight w:val="none"/>
              </w:rPr>
            </w:pPr>
            <w:r>
              <w:rPr>
                <w:rFonts w:hint="eastAsia" w:ascii="宋体" w:hAnsi="宋体"/>
                <w:sz w:val="21"/>
                <w:highlight w:val="none"/>
              </w:rPr>
              <w:t>投标</w:t>
            </w:r>
            <w:r>
              <w:rPr>
                <w:rFonts w:hint="eastAsia" w:ascii="宋体" w:hAnsi="宋体" w:cs="宋体"/>
                <w:sz w:val="21"/>
                <w:szCs w:val="21"/>
                <w:highlight w:val="none"/>
              </w:rPr>
              <w:t>报价</w:t>
            </w:r>
            <w:r>
              <w:rPr>
                <w:rFonts w:hint="eastAsia" w:ascii="宋体" w:hAnsi="宋体"/>
                <w:sz w:val="21"/>
                <w:highlight w:val="none"/>
              </w:rPr>
              <w:t>超过本项目最高投标限价的投标文件将被否决其投标。</w:t>
            </w:r>
          </w:p>
          <w:p w14:paraId="12B04F2B">
            <w:pPr>
              <w:spacing w:before="173"/>
              <w:ind w:right="50"/>
              <w:rPr>
                <w:rFonts w:eastAsiaTheme="minorEastAsia"/>
                <w:sz w:val="21"/>
                <w:highlight w:val="none"/>
              </w:rPr>
            </w:pPr>
            <w:r>
              <w:rPr>
                <w:rFonts w:hint="eastAsia" w:ascii="宋体" w:hAnsi="宋体" w:cs="宋体"/>
                <w:spacing w:val="-1"/>
                <w:sz w:val="21"/>
                <w:szCs w:val="21"/>
                <w:highlight w:val="none"/>
              </w:rPr>
              <w:t>投标人</w:t>
            </w:r>
            <w:r>
              <w:rPr>
                <w:rFonts w:hint="eastAsia" w:ascii="宋体" w:hAnsi="宋体"/>
                <w:sz w:val="21"/>
                <w:highlight w:val="none"/>
              </w:rPr>
              <w:t>必须详细审阅全部招标文件及招标相关资料</w:t>
            </w:r>
            <w:r>
              <w:rPr>
                <w:rFonts w:ascii="宋体" w:hAnsi="宋体"/>
                <w:sz w:val="21"/>
                <w:highlight w:val="none"/>
              </w:rPr>
              <w:t>,充分考虑职责和</w:t>
            </w:r>
            <w:r>
              <w:rPr>
                <w:rFonts w:hint="eastAsia" w:ascii="宋体" w:hAnsi="宋体" w:cs="宋体"/>
                <w:spacing w:val="-1"/>
                <w:sz w:val="21"/>
                <w:szCs w:val="21"/>
                <w:highlight w:val="none"/>
              </w:rPr>
              <w:t>义务</w:t>
            </w:r>
            <w:r>
              <w:rPr>
                <w:rFonts w:ascii="宋体" w:hAnsi="宋体"/>
                <w:sz w:val="21"/>
                <w:highlight w:val="none"/>
              </w:rPr>
              <w:t>,全面地理解招标文件对投标报价的要求,并按</w:t>
            </w:r>
            <w:r>
              <w:rPr>
                <w:rFonts w:hint="eastAsia" w:ascii="宋体" w:hAnsi="宋体" w:cs="宋体"/>
                <w:spacing w:val="-1"/>
                <w:sz w:val="21"/>
                <w:szCs w:val="21"/>
                <w:highlight w:val="none"/>
              </w:rPr>
              <w:t>招标</w:t>
            </w:r>
            <w:r>
              <w:rPr>
                <w:rFonts w:hint="eastAsia" w:ascii="宋体" w:hAnsi="宋体"/>
                <w:sz w:val="21"/>
                <w:highlight w:val="none"/>
              </w:rPr>
              <w:t>人提出的条件及内容进行报价。</w:t>
            </w:r>
          </w:p>
        </w:tc>
      </w:tr>
      <w:tr w14:paraId="42EC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A0D4D01">
            <w:pPr>
              <w:pStyle w:val="34"/>
              <w:kinsoku w:val="0"/>
              <w:overflowPunct w:val="0"/>
              <w:jc w:val="center"/>
              <w:rPr>
                <w:rFonts w:eastAsia="Times New Roman"/>
                <w:sz w:val="21"/>
                <w:highlight w:val="none"/>
              </w:rPr>
            </w:pPr>
            <w:r>
              <w:rPr>
                <w:rFonts w:hint="eastAsia" w:eastAsia="Times New Roman"/>
                <w:sz w:val="21"/>
                <w:highlight w:val="none"/>
              </w:rPr>
              <w:t>3.3.1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13F475F">
            <w:pPr>
              <w:pStyle w:val="34"/>
              <w:kinsoku w:val="0"/>
              <w:overflowPunct w:val="0"/>
              <w:jc w:val="both"/>
              <w:rPr>
                <w:rFonts w:ascii="宋体" w:hAnsi="宋体"/>
                <w:sz w:val="21"/>
                <w:highlight w:val="none"/>
              </w:rPr>
            </w:pPr>
            <w:r>
              <w:rPr>
                <w:rFonts w:ascii="宋体" w:hAnsi="宋体"/>
                <w:sz w:val="21"/>
                <w:highlight w:val="none"/>
              </w:rPr>
              <w:t>投标有效期</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238E9F12">
            <w:pPr>
              <w:jc w:val="both"/>
              <w:rPr>
                <w:rFonts w:eastAsia="Times New Roman"/>
                <w:sz w:val="21"/>
                <w:highlight w:val="none"/>
              </w:rPr>
            </w:pPr>
            <w:r>
              <w:rPr>
                <w:rFonts w:hint="eastAsia"/>
                <w:sz w:val="21"/>
                <w:highlight w:val="none"/>
              </w:rPr>
              <w:t>90</w:t>
            </w:r>
            <w:r>
              <w:rPr>
                <w:rFonts w:ascii="宋体"/>
                <w:sz w:val="21"/>
                <w:highlight w:val="none"/>
              </w:rPr>
              <w:t>日历天（从投标截止之日计起）</w:t>
            </w:r>
          </w:p>
        </w:tc>
      </w:tr>
      <w:tr w14:paraId="0AD6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51EC633F">
            <w:pPr>
              <w:pStyle w:val="34"/>
              <w:kinsoku w:val="0"/>
              <w:overflowPunct w:val="0"/>
              <w:jc w:val="center"/>
              <w:rPr>
                <w:rFonts w:eastAsia="Times New Roman"/>
                <w:sz w:val="21"/>
                <w:highlight w:val="none"/>
              </w:rPr>
            </w:pPr>
            <w:r>
              <w:rPr>
                <w:rFonts w:hint="eastAsia" w:eastAsia="Times New Roman"/>
                <w:sz w:val="21"/>
                <w:highlight w:val="none"/>
              </w:rPr>
              <w:t>3.4.1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1F8E222C">
            <w:pPr>
              <w:pStyle w:val="34"/>
              <w:kinsoku w:val="0"/>
              <w:overflowPunct w:val="0"/>
              <w:jc w:val="both"/>
              <w:rPr>
                <w:rFonts w:ascii="宋体" w:hAnsi="宋体"/>
                <w:sz w:val="21"/>
                <w:highlight w:val="none"/>
              </w:rPr>
            </w:pPr>
            <w:r>
              <w:rPr>
                <w:rFonts w:ascii="宋体" w:hAnsi="宋体"/>
                <w:sz w:val="21"/>
                <w:highlight w:val="none"/>
              </w:rPr>
              <w:t>投标保证金</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01A6DBE">
            <w:pPr>
              <w:spacing w:before="139" w:line="221" w:lineRule="auto"/>
              <w:rPr>
                <w:rFonts w:ascii="宋体" w:hAnsi="宋体" w:cs="宋体"/>
                <w:sz w:val="21"/>
                <w:szCs w:val="21"/>
                <w:highlight w:val="none"/>
              </w:rPr>
            </w:pPr>
            <w:r>
              <w:rPr>
                <w:rFonts w:ascii="宋体" w:hAnsi="宋体" w:cs="宋体"/>
                <w:spacing w:val="-6"/>
                <w:sz w:val="21"/>
                <w:szCs w:val="21"/>
                <w:highlight w:val="none"/>
              </w:rPr>
              <w:t>是否要</w:t>
            </w:r>
            <w:r>
              <w:rPr>
                <w:rFonts w:ascii="宋体" w:hAnsi="宋体" w:cs="宋体"/>
                <w:spacing w:val="-5"/>
                <w:sz w:val="21"/>
                <w:szCs w:val="21"/>
                <w:highlight w:val="none"/>
              </w:rPr>
              <w:t>求</w:t>
            </w:r>
            <w:r>
              <w:rPr>
                <w:rFonts w:ascii="宋体" w:hAnsi="宋体" w:cs="宋体"/>
                <w:spacing w:val="-3"/>
                <w:sz w:val="21"/>
                <w:szCs w:val="21"/>
                <w:highlight w:val="none"/>
              </w:rPr>
              <w:t>投标人递交投标保证金：</w:t>
            </w:r>
          </w:p>
          <w:p w14:paraId="07E7A6FF">
            <w:pPr>
              <w:pStyle w:val="34"/>
              <w:kinsoku w:val="0"/>
              <w:overflowPunct w:val="0"/>
              <w:jc w:val="both"/>
              <w:rPr>
                <w:rFonts w:eastAsia="Times New Roman"/>
                <w:spacing w:val="-6"/>
                <w:sz w:val="21"/>
                <w:szCs w:val="21"/>
                <w:highlight w:val="none"/>
              </w:rPr>
            </w:pPr>
            <w:r>
              <w:rPr>
                <w:rFonts w:ascii="宋体" w:hAnsi="宋体" w:cs="宋体"/>
                <w:sz w:val="21"/>
                <w:szCs w:val="21"/>
                <w:highlight w:val="none"/>
              </w:rPr>
              <w:t>☑</w:t>
            </w:r>
            <w:r>
              <w:rPr>
                <w:rFonts w:ascii="宋体" w:hAnsi="宋体" w:cs="宋体"/>
                <w:spacing w:val="-3"/>
                <w:sz w:val="21"/>
                <w:szCs w:val="21"/>
                <w:highlight w:val="none"/>
              </w:rPr>
              <w:t>不要求</w:t>
            </w:r>
          </w:p>
          <w:p w14:paraId="6ABF37B3">
            <w:pPr>
              <w:pStyle w:val="34"/>
              <w:kinsoku w:val="0"/>
              <w:overflowPunct w:val="0"/>
              <w:jc w:val="both"/>
              <w:rPr>
                <w:rFonts w:eastAsia="Times New Roman"/>
                <w:sz w:val="21"/>
                <w:highlight w:val="none"/>
              </w:rPr>
            </w:pPr>
            <w:r>
              <w:rPr>
                <w:rFonts w:hint="eastAsia" w:eastAsia="Times New Roman"/>
                <w:spacing w:val="-7"/>
                <w:sz w:val="21"/>
                <w:szCs w:val="21"/>
                <w:highlight w:val="none"/>
              </w:rPr>
              <w:sym w:font="Wingdings 2" w:char="00A3"/>
            </w:r>
            <w:r>
              <w:rPr>
                <w:rFonts w:ascii="宋体" w:hAnsi="宋体" w:cs="宋体"/>
                <w:spacing w:val="-5"/>
                <w:sz w:val="21"/>
                <w:szCs w:val="21"/>
                <w:highlight w:val="none"/>
              </w:rPr>
              <w:t>要求，</w:t>
            </w:r>
            <w:r>
              <w:rPr>
                <w:rFonts w:ascii="宋体" w:hAnsi="宋体" w:cs="宋体"/>
                <w:spacing w:val="-3"/>
                <w:sz w:val="21"/>
                <w:szCs w:val="21"/>
                <w:highlight w:val="none"/>
              </w:rPr>
              <w:t>投标</w:t>
            </w:r>
            <w:r>
              <w:rPr>
                <w:rFonts w:ascii="宋体" w:hAnsi="宋体" w:cs="宋体"/>
                <w:spacing w:val="-5"/>
                <w:sz w:val="21"/>
                <w:szCs w:val="21"/>
                <w:highlight w:val="none"/>
              </w:rPr>
              <w:t>保证金的形式：</w:t>
            </w:r>
            <w:r>
              <w:rPr>
                <w:rFonts w:hint="eastAsia" w:hAnsi="宋体" w:cs="宋体"/>
                <w:sz w:val="21"/>
                <w:szCs w:val="21"/>
                <w:highlight w:val="none"/>
                <w:shd w:val="clear" w:color="auto" w:fill="FFFFFF"/>
              </w:rPr>
              <w:t>/。</w:t>
            </w:r>
          </w:p>
        </w:tc>
      </w:tr>
      <w:tr w14:paraId="5149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7AC1FE4">
            <w:pPr>
              <w:pStyle w:val="34"/>
              <w:kinsoku w:val="0"/>
              <w:overflowPunct w:val="0"/>
              <w:jc w:val="center"/>
              <w:rPr>
                <w:rFonts w:eastAsia="Times New Roman"/>
                <w:sz w:val="21"/>
                <w:highlight w:val="none"/>
              </w:rPr>
            </w:pPr>
            <w:r>
              <w:rPr>
                <w:rFonts w:hint="eastAsia" w:eastAsia="Times New Roman"/>
                <w:sz w:val="21"/>
                <w:highlight w:val="none"/>
              </w:rPr>
              <w:t>3.5</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57DE35B">
            <w:pPr>
              <w:pStyle w:val="34"/>
              <w:kinsoku w:val="0"/>
              <w:overflowPunct w:val="0"/>
              <w:jc w:val="both"/>
              <w:rPr>
                <w:rFonts w:ascii="宋体" w:hAnsi="宋体"/>
                <w:sz w:val="21"/>
                <w:highlight w:val="none"/>
              </w:rPr>
            </w:pPr>
            <w:r>
              <w:rPr>
                <w:rFonts w:ascii="宋体" w:hAnsi="宋体"/>
                <w:sz w:val="21"/>
                <w:highlight w:val="none"/>
              </w:rPr>
              <w:t>资格审查资料的特殊要求</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23070D62">
            <w:pPr>
              <w:pStyle w:val="34"/>
              <w:kinsoku w:val="0"/>
              <w:overflowPunct w:val="0"/>
              <w:jc w:val="both"/>
              <w:rPr>
                <w:rFonts w:ascii="宋体" w:hAnsi="宋体"/>
                <w:sz w:val="21"/>
                <w:highlight w:val="none"/>
              </w:rPr>
            </w:pPr>
            <w:r>
              <w:rPr>
                <w:rFonts w:ascii="宋体" w:hAnsi="宋体" w:cs="宋体"/>
                <w:sz w:val="21"/>
                <w:szCs w:val="21"/>
                <w:highlight w:val="none"/>
              </w:rPr>
              <w:t>☑</w:t>
            </w:r>
            <w:r>
              <w:rPr>
                <w:rFonts w:ascii="宋体" w:hAnsi="宋体"/>
                <w:sz w:val="21"/>
                <w:highlight w:val="none"/>
              </w:rPr>
              <w:t>无</w:t>
            </w:r>
          </w:p>
          <w:p w14:paraId="245FEA90">
            <w:pPr>
              <w:pStyle w:val="34"/>
              <w:kinsoku w:val="0"/>
              <w:overflowPunct w:val="0"/>
              <w:jc w:val="both"/>
              <w:rPr>
                <w:rFonts w:eastAsia="Times New Roman"/>
                <w:sz w:val="21"/>
                <w:highlight w:val="none"/>
              </w:rPr>
            </w:pPr>
            <w:r>
              <w:rPr>
                <w:rFonts w:hint="eastAsia" w:eastAsia="Times New Roman"/>
                <w:sz w:val="21"/>
                <w:highlight w:val="none"/>
              </w:rPr>
              <w:sym w:font="Wingdings 2" w:char="00A3"/>
            </w:r>
            <w:r>
              <w:rPr>
                <w:rFonts w:ascii="宋体" w:hAnsi="宋体"/>
                <w:sz w:val="21"/>
                <w:highlight w:val="none"/>
              </w:rPr>
              <w:t>有，具体要求：</w:t>
            </w:r>
          </w:p>
        </w:tc>
      </w:tr>
      <w:tr w14:paraId="6743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F449EFE">
            <w:pPr>
              <w:pStyle w:val="34"/>
              <w:kinsoku w:val="0"/>
              <w:overflowPunct w:val="0"/>
              <w:jc w:val="center"/>
              <w:rPr>
                <w:rFonts w:eastAsia="Times New Roman"/>
                <w:sz w:val="21"/>
                <w:highlight w:val="none"/>
              </w:rPr>
            </w:pPr>
            <w:r>
              <w:rPr>
                <w:rFonts w:hint="eastAsia" w:eastAsia="Times New Roman"/>
                <w:sz w:val="21"/>
                <w:highlight w:val="none"/>
              </w:rPr>
              <w:t>3.5.3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9794E53">
            <w:pPr>
              <w:pStyle w:val="34"/>
              <w:kinsoku w:val="0"/>
              <w:overflowPunct w:val="0"/>
              <w:jc w:val="both"/>
              <w:rPr>
                <w:rFonts w:ascii="宋体" w:hAnsi="宋体"/>
                <w:sz w:val="21"/>
                <w:highlight w:val="none"/>
              </w:rPr>
            </w:pPr>
            <w:r>
              <w:rPr>
                <w:rFonts w:ascii="宋体" w:hAnsi="宋体"/>
                <w:sz w:val="21"/>
                <w:highlight w:val="none"/>
              </w:rPr>
              <w:t>近年完成的类似项目情况的时间要求</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C9FA456">
            <w:pPr>
              <w:pStyle w:val="34"/>
              <w:tabs>
                <w:tab w:val="left" w:pos="799"/>
                <w:tab w:val="left" w:pos="1569"/>
                <w:tab w:val="left" w:pos="2340"/>
              </w:tabs>
              <w:kinsoku w:val="0"/>
              <w:overflowPunct w:val="0"/>
              <w:jc w:val="both"/>
              <w:rPr>
                <w:rFonts w:ascii="宋体"/>
                <w:sz w:val="21"/>
                <w:highlight w:val="none"/>
              </w:rPr>
            </w:pPr>
            <w:r>
              <w:rPr>
                <w:rFonts w:ascii="宋体" w:hAnsi="宋体"/>
                <w:sz w:val="21"/>
                <w:highlight w:val="none"/>
              </w:rPr>
              <w:t>/年/月/日至今</w:t>
            </w:r>
          </w:p>
        </w:tc>
      </w:tr>
      <w:tr w14:paraId="753F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AE42F38">
            <w:pPr>
              <w:pStyle w:val="34"/>
              <w:kinsoku w:val="0"/>
              <w:overflowPunct w:val="0"/>
              <w:jc w:val="center"/>
              <w:rPr>
                <w:rFonts w:eastAsia="Times New Roman"/>
                <w:sz w:val="21"/>
                <w:highlight w:val="none"/>
              </w:rPr>
            </w:pPr>
            <w:r>
              <w:rPr>
                <w:rFonts w:hint="eastAsia" w:eastAsia="Times New Roman"/>
                <w:sz w:val="21"/>
                <w:highlight w:val="none"/>
              </w:rPr>
              <w:t>3.6.1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6DCF6CC7">
            <w:pPr>
              <w:pStyle w:val="34"/>
              <w:kinsoku w:val="0"/>
              <w:overflowPunct w:val="0"/>
              <w:jc w:val="both"/>
              <w:rPr>
                <w:rFonts w:ascii="宋体" w:hAnsi="宋体"/>
                <w:sz w:val="21"/>
                <w:highlight w:val="none"/>
              </w:rPr>
            </w:pPr>
            <w:r>
              <w:rPr>
                <w:rFonts w:ascii="宋体" w:hAnsi="宋体"/>
                <w:sz w:val="21"/>
                <w:highlight w:val="none"/>
              </w:rPr>
              <w:t>是否允许递交备选投标方案</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640B658">
            <w:pPr>
              <w:pStyle w:val="34"/>
              <w:kinsoku w:val="0"/>
              <w:overflowPunct w:val="0"/>
              <w:jc w:val="both"/>
              <w:rPr>
                <w:rFonts w:ascii="宋体" w:hAnsi="宋体"/>
                <w:sz w:val="21"/>
                <w:highlight w:val="none"/>
              </w:rPr>
            </w:pPr>
            <w:r>
              <w:rPr>
                <w:rFonts w:ascii="宋体" w:hAnsi="宋体" w:cs="宋体"/>
                <w:sz w:val="21"/>
                <w:szCs w:val="21"/>
                <w:highlight w:val="none"/>
              </w:rPr>
              <w:t>☑</w:t>
            </w:r>
            <w:r>
              <w:rPr>
                <w:rFonts w:ascii="宋体" w:hAnsi="宋体"/>
                <w:sz w:val="21"/>
                <w:highlight w:val="none"/>
              </w:rPr>
              <w:t>不允许</w:t>
            </w:r>
          </w:p>
          <w:p w14:paraId="52AA208F">
            <w:pPr>
              <w:pStyle w:val="34"/>
              <w:kinsoku w:val="0"/>
              <w:overflowPunct w:val="0"/>
              <w:jc w:val="both"/>
              <w:rPr>
                <w:rFonts w:eastAsia="Times New Roman"/>
                <w:sz w:val="21"/>
                <w:highlight w:val="none"/>
              </w:rPr>
            </w:pPr>
            <w:r>
              <w:rPr>
                <w:rFonts w:hint="eastAsia" w:eastAsia="Times New Roman"/>
                <w:sz w:val="21"/>
                <w:highlight w:val="none"/>
              </w:rPr>
              <w:sym w:font="Wingdings 2" w:char="00A3"/>
            </w:r>
            <w:r>
              <w:rPr>
                <w:rFonts w:ascii="宋体" w:hAnsi="宋体"/>
                <w:sz w:val="21"/>
                <w:highlight w:val="none"/>
              </w:rPr>
              <w:t>允许</w:t>
            </w:r>
          </w:p>
        </w:tc>
      </w:tr>
      <w:tr w14:paraId="6E76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7EE90BE">
            <w:pPr>
              <w:pStyle w:val="34"/>
              <w:kinsoku w:val="0"/>
              <w:overflowPunct w:val="0"/>
              <w:jc w:val="center"/>
              <w:rPr>
                <w:rFonts w:eastAsia="Times New Roman"/>
                <w:sz w:val="21"/>
                <w:highlight w:val="none"/>
              </w:rPr>
            </w:pPr>
            <w:r>
              <w:rPr>
                <w:rFonts w:hint="eastAsia" w:eastAsia="Times New Roman"/>
                <w:sz w:val="21"/>
                <w:highlight w:val="none"/>
              </w:rPr>
              <w:t>3.7.3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F183A6E">
            <w:pPr>
              <w:pStyle w:val="34"/>
              <w:kinsoku w:val="0"/>
              <w:overflowPunct w:val="0"/>
              <w:jc w:val="both"/>
              <w:rPr>
                <w:rFonts w:ascii="宋体" w:hAnsi="宋体"/>
                <w:sz w:val="21"/>
                <w:highlight w:val="none"/>
              </w:rPr>
            </w:pPr>
            <w:r>
              <w:rPr>
                <w:rFonts w:ascii="宋体" w:hAnsi="宋体"/>
                <w:sz w:val="21"/>
                <w:highlight w:val="none"/>
              </w:rPr>
              <w:t>投标文件签字或盖章要求</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F17FB25">
            <w:pPr>
              <w:jc w:val="both"/>
              <w:rPr>
                <w:rFonts w:eastAsia="Times New Roman"/>
                <w:sz w:val="21"/>
                <w:highlight w:val="none"/>
              </w:rPr>
            </w:pPr>
            <w:r>
              <w:rPr>
                <w:rFonts w:ascii="宋体" w:hAnsi="宋体"/>
                <w:sz w:val="21"/>
                <w:highlight w:val="none"/>
              </w:rPr>
              <w:t>投标文件格式规定需个人签字的，应签字或签章后扫描上传</w:t>
            </w:r>
            <w:r>
              <w:rPr>
                <w:rFonts w:hint="eastAsia"/>
                <w:kern w:val="2"/>
                <w:sz w:val="21"/>
                <w:szCs w:val="21"/>
                <w:highlight w:val="none"/>
              </w:rPr>
              <w:t>（</w:t>
            </w:r>
            <w:r>
              <w:rPr>
                <w:rFonts w:ascii="Calibri" w:hAnsi="Calibri"/>
                <w:kern w:val="2"/>
                <w:sz w:val="21"/>
                <w:highlight w:val="none"/>
              </w:rPr>
              <w:t>可靠的电子签名与手写签名或者盖章具有同等的法律效力</w:t>
            </w:r>
            <w:r>
              <w:rPr>
                <w:rFonts w:hint="eastAsia"/>
                <w:kern w:val="2"/>
                <w:sz w:val="21"/>
                <w:szCs w:val="21"/>
                <w:highlight w:val="none"/>
              </w:rPr>
              <w:t>）</w:t>
            </w:r>
            <w:r>
              <w:rPr>
                <w:rFonts w:ascii="宋体" w:hAnsi="宋体"/>
                <w:sz w:val="21"/>
                <w:highlight w:val="none"/>
              </w:rPr>
              <w:t>。投标文件格式规定盖单位公章的页面必须盖单位公章（公章与电子公章具有相同法律效力）</w:t>
            </w:r>
            <w:r>
              <w:rPr>
                <w:rFonts w:hint="eastAsia" w:ascii="宋体" w:hAnsi="宋体"/>
                <w:sz w:val="21"/>
                <w:highlight w:val="none"/>
              </w:rPr>
              <w:t>。电子招投标操作流程详见广州公共资源交易中心网站发布的最新版操作指引。</w:t>
            </w:r>
          </w:p>
        </w:tc>
      </w:tr>
      <w:tr w14:paraId="6828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56C32CB5">
            <w:pPr>
              <w:pStyle w:val="34"/>
              <w:kinsoku w:val="0"/>
              <w:overflowPunct w:val="0"/>
              <w:jc w:val="center"/>
              <w:rPr>
                <w:rFonts w:eastAsia="Times New Roman"/>
                <w:sz w:val="21"/>
                <w:highlight w:val="none"/>
              </w:rPr>
            </w:pPr>
            <w:r>
              <w:rPr>
                <w:rFonts w:hint="eastAsia" w:eastAsia="Times New Roman"/>
                <w:sz w:val="21"/>
                <w:highlight w:val="none"/>
              </w:rPr>
              <w:t>4.2.1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BFDE0CF">
            <w:pPr>
              <w:pStyle w:val="34"/>
              <w:kinsoku w:val="0"/>
              <w:overflowPunct w:val="0"/>
              <w:jc w:val="both"/>
              <w:rPr>
                <w:rFonts w:ascii="宋体" w:hAnsi="宋体"/>
                <w:sz w:val="21"/>
                <w:highlight w:val="none"/>
              </w:rPr>
            </w:pPr>
            <w:r>
              <w:rPr>
                <w:rFonts w:ascii="宋体" w:hAnsi="宋体"/>
                <w:sz w:val="21"/>
                <w:highlight w:val="none"/>
              </w:rPr>
              <w:t>投标截止时间</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122B6EB">
            <w:pPr>
              <w:spacing w:before="48" w:beforeLines="20" w:after="48" w:afterLines="20"/>
              <w:ind w:left="48" w:leftChars="20" w:right="48" w:rightChars="20"/>
              <w:rPr>
                <w:rFonts w:eastAsia="Times New Roman"/>
                <w:sz w:val="21"/>
                <w:highlight w:val="none"/>
              </w:rPr>
            </w:pPr>
            <w:r>
              <w:rPr>
                <w:rFonts w:hint="eastAsia" w:ascii="宋体"/>
                <w:sz w:val="21"/>
                <w:highlight w:val="none"/>
              </w:rPr>
              <w:t>具体时间以广州公共资源交易中心公布的为准。</w:t>
            </w:r>
          </w:p>
        </w:tc>
      </w:tr>
      <w:tr w14:paraId="129D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C09C5B3">
            <w:pPr>
              <w:pStyle w:val="34"/>
              <w:kinsoku w:val="0"/>
              <w:overflowPunct w:val="0"/>
              <w:jc w:val="center"/>
              <w:rPr>
                <w:rFonts w:eastAsiaTheme="minorEastAsia"/>
                <w:sz w:val="21"/>
                <w:highlight w:val="none"/>
              </w:rPr>
            </w:pPr>
            <w:r>
              <w:rPr>
                <w:rFonts w:eastAsia="Times New Roman"/>
                <w:sz w:val="21"/>
                <w:highlight w:val="none"/>
              </w:rPr>
              <w:t>4.2.2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FB987D5">
            <w:pPr>
              <w:pStyle w:val="34"/>
              <w:kinsoku w:val="0"/>
              <w:overflowPunct w:val="0"/>
              <w:jc w:val="both"/>
              <w:rPr>
                <w:rFonts w:eastAsia="Times New Roman"/>
                <w:sz w:val="21"/>
                <w:highlight w:val="none"/>
              </w:rPr>
            </w:pPr>
            <w:r>
              <w:rPr>
                <w:rFonts w:hint="eastAsia" w:eastAsia="Times New Roman"/>
                <w:sz w:val="21"/>
                <w:highlight w:val="none"/>
              </w:rPr>
              <w:t>递交投标文件时间和地点</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F600D05">
            <w:pPr>
              <w:numPr>
                <w:ilvl w:val="0"/>
                <w:numId w:val="1"/>
              </w:numPr>
              <w:autoSpaceDE/>
              <w:autoSpaceDN/>
              <w:adjustRightInd/>
              <w:snapToGrid w:val="0"/>
              <w:rPr>
                <w:rFonts w:eastAsia="Times New Roman"/>
                <w:sz w:val="21"/>
                <w:highlight w:val="none"/>
              </w:rPr>
            </w:pPr>
            <w:r>
              <w:rPr>
                <w:rFonts w:hint="eastAsia" w:eastAsia="Times New Roman"/>
                <w:sz w:val="21"/>
                <w:highlight w:val="none"/>
              </w:rPr>
              <w:t>递交方式：网上递交投标文件</w:t>
            </w:r>
          </w:p>
          <w:p w14:paraId="7601649C">
            <w:pPr>
              <w:numPr>
                <w:ilvl w:val="0"/>
                <w:numId w:val="1"/>
              </w:numPr>
              <w:autoSpaceDE/>
              <w:autoSpaceDN/>
              <w:adjustRightInd/>
              <w:snapToGrid w:val="0"/>
              <w:rPr>
                <w:rFonts w:eastAsia="Times New Roman"/>
                <w:sz w:val="21"/>
                <w:highlight w:val="none"/>
              </w:rPr>
            </w:pPr>
            <w:r>
              <w:rPr>
                <w:rFonts w:hint="eastAsia" w:eastAsia="Times New Roman"/>
                <w:sz w:val="21"/>
                <w:highlight w:val="none"/>
              </w:rPr>
              <w:t>文件的递交截止时间：同投标截止时间。</w:t>
            </w:r>
          </w:p>
          <w:p w14:paraId="4607314B">
            <w:pPr>
              <w:numPr>
                <w:ilvl w:val="0"/>
                <w:numId w:val="1"/>
              </w:numPr>
              <w:autoSpaceDE/>
              <w:autoSpaceDN/>
              <w:adjustRightInd/>
              <w:snapToGrid w:val="0"/>
              <w:rPr>
                <w:rFonts w:eastAsia="Times New Roman"/>
                <w:sz w:val="21"/>
                <w:highlight w:val="none"/>
              </w:rPr>
            </w:pPr>
            <w:r>
              <w:rPr>
                <w:rFonts w:hint="eastAsia" w:eastAsia="Times New Roman"/>
                <w:sz w:val="21"/>
                <w:highlight w:val="none"/>
              </w:rPr>
              <w:t>地点：广州公共资源交易中心网站</w:t>
            </w:r>
          </w:p>
          <w:p w14:paraId="1DB7525E">
            <w:pPr>
              <w:spacing w:before="48" w:beforeLines="20" w:after="48" w:afterLines="20"/>
              <w:ind w:left="48" w:leftChars="20" w:right="48" w:rightChars="20"/>
              <w:rPr>
                <w:rFonts w:eastAsiaTheme="minorEastAsia"/>
                <w:sz w:val="21"/>
                <w:highlight w:val="none"/>
              </w:rPr>
            </w:pPr>
            <w:r>
              <w:rPr>
                <w:rFonts w:hint="eastAsia" w:eastAsia="Times New Roman"/>
                <w:sz w:val="21"/>
                <w:highlight w:val="none"/>
              </w:rPr>
              <w:t>上述时间及地点是否有改变，请密切留意招标答疑纪要或广州公共资源交易中心网站日程安排的相关信息。</w:t>
            </w:r>
          </w:p>
          <w:p w14:paraId="0E2837A5">
            <w:pPr>
              <w:spacing w:before="48" w:beforeLines="20" w:after="48" w:afterLines="20"/>
              <w:ind w:left="48" w:leftChars="20" w:right="48" w:rightChars="20"/>
              <w:rPr>
                <w:rFonts w:eastAsiaTheme="minorEastAsia"/>
                <w:sz w:val="21"/>
                <w:highlight w:val="none"/>
              </w:rPr>
            </w:pPr>
            <w:r>
              <w:rPr>
                <w:rFonts w:hint="eastAsia" w:eastAsiaTheme="minorEastAsia"/>
                <w:sz w:val="21"/>
                <w:highlight w:val="none"/>
              </w:rPr>
              <w:t>4、上述时间及地点是否有改变，请密切留意招标答疑纪要或广州公共资源交易中心网站日程安排的相关信息。</w:t>
            </w:r>
          </w:p>
        </w:tc>
      </w:tr>
      <w:tr w14:paraId="739F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0C54B0D">
            <w:pPr>
              <w:pStyle w:val="34"/>
              <w:kinsoku w:val="0"/>
              <w:overflowPunct w:val="0"/>
              <w:jc w:val="center"/>
              <w:rPr>
                <w:rFonts w:eastAsia="Times New Roman"/>
                <w:sz w:val="21"/>
                <w:highlight w:val="none"/>
              </w:rPr>
            </w:pPr>
            <w:r>
              <w:rPr>
                <w:rFonts w:hint="eastAsia" w:eastAsia="Times New Roman"/>
                <w:sz w:val="21"/>
                <w:highlight w:val="none"/>
              </w:rPr>
              <w:t>5.1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0B0A2F3">
            <w:pPr>
              <w:pStyle w:val="34"/>
              <w:kinsoku w:val="0"/>
              <w:overflowPunct w:val="0"/>
              <w:jc w:val="both"/>
              <w:rPr>
                <w:rFonts w:ascii="宋体" w:hAnsi="宋体"/>
                <w:sz w:val="21"/>
                <w:highlight w:val="none"/>
              </w:rPr>
            </w:pPr>
            <w:r>
              <w:rPr>
                <w:rFonts w:ascii="宋体" w:hAnsi="宋体"/>
                <w:sz w:val="21"/>
                <w:highlight w:val="none"/>
              </w:rPr>
              <w:t>开标时间和地点</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28425EE8">
            <w:pPr>
              <w:spacing w:before="120" w:beforeLines="50"/>
              <w:rPr>
                <w:sz w:val="21"/>
                <w:szCs w:val="21"/>
                <w:highlight w:val="none"/>
              </w:rPr>
            </w:pPr>
            <w:r>
              <w:rPr>
                <w:sz w:val="21"/>
                <w:szCs w:val="21"/>
                <w:highlight w:val="none"/>
              </w:rPr>
              <w:t>1</w:t>
            </w:r>
            <w:r>
              <w:rPr>
                <w:rFonts w:ascii="宋体"/>
                <w:sz w:val="21"/>
                <w:szCs w:val="21"/>
                <w:highlight w:val="none"/>
              </w:rPr>
              <w:t>、开标时间：同投标截止时间</w:t>
            </w:r>
          </w:p>
          <w:p w14:paraId="7B063BB3">
            <w:pPr>
              <w:spacing w:before="174"/>
              <w:rPr>
                <w:rFonts w:ascii="宋体" w:hAnsi="宋体" w:cs="宋体"/>
                <w:sz w:val="21"/>
                <w:szCs w:val="21"/>
                <w:highlight w:val="none"/>
              </w:rPr>
            </w:pPr>
            <w:r>
              <w:rPr>
                <w:rFonts w:ascii="宋体" w:hAnsi="宋体" w:cs="宋体"/>
                <w:sz w:val="21"/>
                <w:szCs w:val="21"/>
                <w:highlight w:val="none"/>
              </w:rPr>
              <w:t>2、开标地点：</w:t>
            </w:r>
            <w:r>
              <w:rPr>
                <w:rFonts w:hint="eastAsia" w:ascii="宋体" w:hAnsi="宋体" w:cs="宋体"/>
                <w:sz w:val="21"/>
                <w:szCs w:val="21"/>
                <w:highlight w:val="none"/>
              </w:rPr>
              <w:t>广州交易集团有限公司（广州公共资源交易中心）</w:t>
            </w:r>
            <w:r>
              <w:rPr>
                <w:rFonts w:ascii="宋体" w:hAnsi="宋体" w:cs="宋体"/>
                <w:sz w:val="21"/>
                <w:szCs w:val="21"/>
                <w:highlight w:val="none"/>
                <w:u w:val="single"/>
              </w:rPr>
              <w:t xml:space="preserve">   </w:t>
            </w:r>
            <w:r>
              <w:rPr>
                <w:rFonts w:ascii="宋体" w:hAnsi="宋体" w:cs="宋体"/>
                <w:sz w:val="21"/>
                <w:szCs w:val="21"/>
                <w:highlight w:val="none"/>
              </w:rPr>
              <w:t>开标室</w:t>
            </w:r>
          </w:p>
          <w:p w14:paraId="3BF4A4D3">
            <w:pPr>
              <w:spacing w:before="120" w:beforeLines="50" w:line="360" w:lineRule="auto"/>
              <w:contextualSpacing/>
              <w:rPr>
                <w:sz w:val="21"/>
                <w:szCs w:val="18"/>
                <w:highlight w:val="none"/>
              </w:rPr>
            </w:pPr>
            <w:r>
              <w:rPr>
                <w:rFonts w:hint="eastAsia"/>
                <w:sz w:val="21"/>
                <w:szCs w:val="18"/>
                <w:highlight w:val="none"/>
              </w:rPr>
              <w:t>（选择性条款）3、递交投标文件备用光盘时间：____年____月____日____时____分至____年____月____日____时____分；递交地点：____。(建议安排在投标文件截止时间前 15 分钟至投标文件截止时间）</w:t>
            </w:r>
          </w:p>
          <w:p w14:paraId="12E7A2FA">
            <w:pPr>
              <w:spacing w:before="120" w:beforeLines="50" w:line="360" w:lineRule="auto"/>
              <w:contextualSpacing/>
              <w:rPr>
                <w:rFonts w:ascii="宋体" w:hAnsi="宋体" w:cs="宋体"/>
                <w:sz w:val="21"/>
                <w:szCs w:val="21"/>
                <w:highlight w:val="none"/>
              </w:rPr>
            </w:pPr>
            <w:r>
              <w:rPr>
                <w:rFonts w:hint="eastAsia" w:ascii="宋体" w:hAnsi="宋体" w:cs="宋体"/>
                <w:sz w:val="21"/>
                <w:szCs w:val="21"/>
                <w:highlight w:val="none"/>
              </w:rPr>
              <w:t>4、提交投标文件光盘备用</w:t>
            </w:r>
          </w:p>
          <w:p w14:paraId="2FFB3233">
            <w:pPr>
              <w:spacing w:before="120" w:beforeLines="50" w:line="360" w:lineRule="auto"/>
              <w:contextualSpacing/>
              <w:rPr>
                <w:rFonts w:ascii="宋体" w:hAnsi="宋体" w:cs="宋体"/>
                <w:sz w:val="21"/>
                <w:szCs w:val="21"/>
                <w:highlight w:val="none"/>
              </w:rPr>
            </w:pPr>
            <w:r>
              <w:rPr>
                <w:rFonts w:hint="eastAsia" w:ascii="宋体" w:hAnsi="宋体" w:cs="宋体"/>
                <w:sz w:val="21"/>
                <w:szCs w:val="21"/>
                <w:highlight w:val="none"/>
              </w:rPr>
              <w:t>投标人可制作非加密的电子投标文件（PDF 格式）刻入光盘（1份），在投标须知前附表规定的时间、地点</w:t>
            </w:r>
            <w:r>
              <w:rPr>
                <w:rFonts w:hint="eastAsia" w:ascii="宋体" w:hAnsi="宋体" w:cs="宋体"/>
                <w:sz w:val="21"/>
                <w:szCs w:val="21"/>
                <w:highlight w:val="none"/>
                <w:u w:val="single"/>
              </w:rPr>
              <w:t>凭法定代表人证明书原件、法定代表人授权委托证明书原件（非法定代表人办理手续时提供）、本人身份证原件</w:t>
            </w:r>
            <w:r>
              <w:rPr>
                <w:rFonts w:hint="eastAsia" w:ascii="宋体" w:hAnsi="宋体" w:cs="宋体"/>
                <w:sz w:val="21"/>
                <w:szCs w:val="21"/>
                <w:highlight w:val="none"/>
              </w:rPr>
              <w:t>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15278DFC">
            <w:pPr>
              <w:spacing w:before="120" w:beforeLines="50" w:line="360" w:lineRule="auto"/>
              <w:contextualSpacing/>
              <w:rPr>
                <w:rFonts w:ascii="宋体" w:hAnsi="宋体" w:cs="宋体"/>
                <w:sz w:val="21"/>
                <w:szCs w:val="21"/>
                <w:highlight w:val="none"/>
              </w:rPr>
            </w:pPr>
            <w:r>
              <w:rPr>
                <w:rFonts w:hint="eastAsia" w:ascii="宋体" w:hAnsi="宋体" w:cs="宋体"/>
                <w:sz w:val="21"/>
                <w:szCs w:val="21"/>
                <w:highlight w:val="none"/>
              </w:rPr>
              <w:t>5、补救方案</w:t>
            </w:r>
          </w:p>
          <w:p w14:paraId="06B3DBBC">
            <w:pPr>
              <w:spacing w:before="120" w:beforeLines="50" w:line="360" w:lineRule="auto"/>
              <w:contextualSpacing/>
              <w:rPr>
                <w:rFonts w:ascii="宋体" w:hAnsi="宋体" w:cs="宋体"/>
                <w:sz w:val="21"/>
                <w:szCs w:val="21"/>
                <w:highlight w:val="none"/>
              </w:rPr>
            </w:pPr>
            <w:r>
              <w:rPr>
                <w:rFonts w:hint="eastAsia" w:ascii="宋体" w:hAnsi="宋体" w:cs="宋体"/>
                <w:sz w:val="21"/>
                <w:szCs w:val="21"/>
                <w:highlight w:val="none"/>
              </w:rPr>
              <w:t>（1）投标文件解密失败的补救方案：</w:t>
            </w:r>
          </w:p>
          <w:p w14:paraId="0D283E89">
            <w:pPr>
              <w:spacing w:before="120" w:beforeLines="50" w:line="360" w:lineRule="auto"/>
              <w:contextualSpacing/>
              <w:rPr>
                <w:rFonts w:ascii="宋体" w:hAnsi="宋体" w:cs="宋体"/>
                <w:sz w:val="21"/>
                <w:szCs w:val="21"/>
                <w:highlight w:val="none"/>
              </w:rPr>
            </w:pPr>
            <w:r>
              <w:rPr>
                <w:rFonts w:hint="eastAsia" w:ascii="宋体" w:hAnsi="宋体" w:cs="宋体"/>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52A714D9">
            <w:pPr>
              <w:spacing w:before="120" w:beforeLines="50" w:line="360" w:lineRule="auto"/>
              <w:contextualSpacing/>
              <w:rPr>
                <w:rFonts w:ascii="宋体" w:hAnsi="宋体" w:cs="宋体"/>
                <w:sz w:val="21"/>
                <w:szCs w:val="21"/>
                <w:highlight w:val="none"/>
              </w:rPr>
            </w:pPr>
            <w:r>
              <w:rPr>
                <w:rFonts w:hint="eastAsia" w:ascii="宋体" w:hAnsi="宋体" w:cs="宋体"/>
                <w:sz w:val="21"/>
                <w:szCs w:val="21"/>
                <w:highlight w:val="none"/>
              </w:rPr>
              <w:t>（2）评标时突发情况的补救方案</w:t>
            </w:r>
          </w:p>
          <w:p w14:paraId="3B0D9587">
            <w:pPr>
              <w:spacing w:before="120" w:beforeLines="50" w:line="360" w:lineRule="auto"/>
              <w:contextualSpacing/>
              <w:rPr>
                <w:rFonts w:ascii="宋体" w:hAnsi="宋体" w:cs="宋体"/>
                <w:sz w:val="21"/>
                <w:szCs w:val="21"/>
                <w:highlight w:val="none"/>
              </w:rPr>
            </w:pPr>
            <w:r>
              <w:rPr>
                <w:rFonts w:hint="eastAsia" w:ascii="宋体" w:hAnsi="宋体" w:cs="宋体"/>
                <w:sz w:val="21"/>
                <w:szCs w:val="21"/>
                <w:highlight w:val="none"/>
              </w:rPr>
              <w:t>若遇不可抗力发生（指网络瘫痪、服务器损坏、交易系统故障短期无法恢复等因素），由评标委员会开启投标人递交的全部投标文件光盘，并按光盘内容进行评审。</w:t>
            </w:r>
          </w:p>
          <w:p w14:paraId="1CAAB9FD">
            <w:pPr>
              <w:spacing w:before="120" w:beforeLines="50"/>
              <w:contextualSpacing/>
              <w:rPr>
                <w:rFonts w:ascii="Calibri" w:hAnsi="Calibri"/>
                <w:kern w:val="2"/>
                <w:sz w:val="21"/>
                <w:szCs w:val="21"/>
                <w:highlight w:val="none"/>
              </w:rPr>
            </w:pPr>
            <w:r>
              <w:rPr>
                <w:rFonts w:hint="eastAsia" w:ascii="宋体" w:hAnsi="宋体" w:cs="宋体"/>
                <w:sz w:val="21"/>
                <w:szCs w:val="21"/>
                <w:highlight w:val="none"/>
              </w:rPr>
              <w:t>（3）除发生上述情况外，开标评标均以投标人通过交易平台网上递交的电子投标文件为准。</w:t>
            </w:r>
          </w:p>
          <w:p w14:paraId="1049C4A9">
            <w:pPr>
              <w:spacing w:before="174"/>
              <w:rPr>
                <w:sz w:val="21"/>
                <w:szCs w:val="21"/>
                <w:highlight w:val="none"/>
              </w:rPr>
            </w:pPr>
            <w:r>
              <w:rPr>
                <w:rFonts w:hint="eastAsia" w:ascii="Calibri" w:hAnsi="Calibri"/>
                <w:kern w:val="2"/>
                <w:sz w:val="21"/>
                <w:szCs w:val="21"/>
                <w:highlight w:val="none"/>
              </w:rPr>
              <w:t>开标时，投标人代表有权参加现场开标或在线开标，也可以自主决定不参加开标</w:t>
            </w:r>
            <w:r>
              <w:rPr>
                <w:rFonts w:hint="eastAsia"/>
                <w:kern w:val="2"/>
                <w:sz w:val="21"/>
                <w:szCs w:val="21"/>
                <w:highlight w:val="none"/>
              </w:rPr>
              <w:t>，</w:t>
            </w:r>
            <w:r>
              <w:rPr>
                <w:rFonts w:hint="eastAsia"/>
                <w:sz w:val="21"/>
                <w:szCs w:val="21"/>
                <w:highlight w:val="none"/>
              </w:rPr>
              <w:t>投标人选择参加在线开标的，具体按照交易平台相关指南进行操作。</w:t>
            </w:r>
          </w:p>
          <w:p w14:paraId="154836B8">
            <w:pPr>
              <w:spacing w:before="174"/>
              <w:rPr>
                <w:rFonts w:eastAsia="Times New Roman"/>
                <w:sz w:val="21"/>
                <w:highlight w:val="none"/>
              </w:rPr>
            </w:pPr>
            <w:r>
              <w:rPr>
                <w:rFonts w:hint="eastAsia"/>
                <w:sz w:val="21"/>
                <w:szCs w:val="21"/>
                <w:highlight w:val="none"/>
              </w:rPr>
              <w:t>6、上述时</w:t>
            </w:r>
            <w:r>
              <w:rPr>
                <w:rFonts w:hint="eastAsia" w:ascii="宋体" w:hAnsi="宋体" w:cs="宋体"/>
                <w:sz w:val="21"/>
                <w:szCs w:val="21"/>
                <w:highlight w:val="none"/>
              </w:rPr>
              <w:t>间</w:t>
            </w:r>
            <w:r>
              <w:rPr>
                <w:rFonts w:hint="eastAsia"/>
                <w:sz w:val="21"/>
                <w:szCs w:val="21"/>
                <w:highlight w:val="none"/>
              </w:rPr>
              <w:t>及地点是否有改变，请密切留意补充公告或招标答疑纪要的相关信息。</w:t>
            </w:r>
          </w:p>
        </w:tc>
      </w:tr>
      <w:tr w14:paraId="4A74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72974F2">
            <w:pPr>
              <w:pStyle w:val="34"/>
              <w:kinsoku w:val="0"/>
              <w:overflowPunct w:val="0"/>
              <w:jc w:val="center"/>
              <w:rPr>
                <w:rFonts w:eastAsia="Times New Roman"/>
                <w:sz w:val="21"/>
                <w:highlight w:val="none"/>
              </w:rPr>
            </w:pPr>
            <w:r>
              <w:rPr>
                <w:rFonts w:hint="eastAsia" w:eastAsia="Times New Roman"/>
                <w:sz w:val="21"/>
                <w:highlight w:val="none"/>
              </w:rPr>
              <w:t>6.1.1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591A889">
            <w:pPr>
              <w:pStyle w:val="34"/>
              <w:kinsoku w:val="0"/>
              <w:overflowPunct w:val="0"/>
              <w:jc w:val="both"/>
              <w:rPr>
                <w:rFonts w:ascii="宋体" w:hAnsi="宋体"/>
                <w:sz w:val="21"/>
                <w:highlight w:val="none"/>
              </w:rPr>
            </w:pPr>
            <w:r>
              <w:rPr>
                <w:rFonts w:ascii="宋体" w:hAnsi="宋体"/>
                <w:sz w:val="21"/>
                <w:highlight w:val="none"/>
              </w:rPr>
              <w:t>评标委员会的组建</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2CF4075B">
            <w:pPr>
              <w:pStyle w:val="34"/>
              <w:tabs>
                <w:tab w:val="left" w:pos="2729"/>
              </w:tabs>
              <w:kinsoku w:val="0"/>
              <w:overflowPunct w:val="0"/>
              <w:jc w:val="both"/>
              <w:rPr>
                <w:rFonts w:ascii="宋体" w:hAnsi="宋体"/>
                <w:spacing w:val="-2"/>
                <w:sz w:val="21"/>
                <w:highlight w:val="none"/>
              </w:rPr>
            </w:pPr>
            <w:r>
              <w:rPr>
                <w:rFonts w:ascii="宋体" w:hAnsi="宋体"/>
                <w:spacing w:val="-2"/>
                <w:sz w:val="21"/>
                <w:highlight w:val="none"/>
              </w:rPr>
              <w:t>评标委员会构成：</w:t>
            </w:r>
            <w:r>
              <w:rPr>
                <w:rFonts w:hint="eastAsia" w:ascii="宋体" w:hAnsi="宋体"/>
                <w:spacing w:val="-2"/>
                <w:sz w:val="21"/>
                <w:highlight w:val="none"/>
                <w:u w:val="single"/>
                <w:lang w:val="en-US" w:eastAsia="zh-CN"/>
              </w:rPr>
              <w:t>5</w:t>
            </w:r>
            <w:r>
              <w:rPr>
                <w:rFonts w:ascii="宋体" w:hAnsi="宋体"/>
                <w:spacing w:val="-2"/>
                <w:sz w:val="21"/>
                <w:highlight w:val="none"/>
                <w:u w:val="single"/>
              </w:rPr>
              <w:t>人</w:t>
            </w:r>
          </w:p>
          <w:p w14:paraId="39AC9103">
            <w:pPr>
              <w:pStyle w:val="34"/>
              <w:tabs>
                <w:tab w:val="left" w:pos="2309"/>
                <w:tab w:val="left" w:pos="3826"/>
              </w:tabs>
              <w:kinsoku w:val="0"/>
              <w:overflowPunct w:val="0"/>
              <w:spacing w:line="440" w:lineRule="atLeast"/>
              <w:jc w:val="both"/>
              <w:rPr>
                <w:rFonts w:ascii="宋体" w:hAnsi="宋体"/>
                <w:spacing w:val="-3"/>
                <w:sz w:val="21"/>
                <w:highlight w:val="none"/>
              </w:rPr>
            </w:pPr>
            <w:r>
              <w:rPr>
                <w:rFonts w:ascii="宋体" w:hAnsi="宋体"/>
                <w:spacing w:val="-2"/>
                <w:sz w:val="21"/>
                <w:highlight w:val="none"/>
              </w:rPr>
              <w:t>其中招标人代表</w:t>
            </w:r>
            <w:r>
              <w:rPr>
                <w:rFonts w:hint="eastAsia" w:ascii="宋体" w:hAnsi="宋体"/>
                <w:spacing w:val="-2"/>
                <w:sz w:val="21"/>
                <w:highlight w:val="none"/>
                <w:u w:val="single"/>
                <w:lang w:val="en-US" w:eastAsia="zh-CN"/>
              </w:rPr>
              <w:t>0</w:t>
            </w:r>
            <w:r>
              <w:rPr>
                <w:rFonts w:ascii="宋体" w:hAnsi="宋体"/>
                <w:spacing w:val="-2"/>
                <w:sz w:val="21"/>
                <w:highlight w:val="none"/>
                <w:u w:val="single"/>
              </w:rPr>
              <w:t>人</w:t>
            </w:r>
            <w:r>
              <w:rPr>
                <w:rFonts w:ascii="宋体" w:hAnsi="宋体"/>
                <w:spacing w:val="-2"/>
                <w:sz w:val="21"/>
                <w:highlight w:val="none"/>
              </w:rPr>
              <w:t>，专家</w:t>
            </w:r>
            <w:r>
              <w:rPr>
                <w:rFonts w:hint="eastAsia" w:ascii="宋体" w:hAnsi="宋体"/>
                <w:spacing w:val="-2"/>
                <w:sz w:val="21"/>
                <w:highlight w:val="none"/>
                <w:u w:val="single"/>
                <w:lang w:eastAsia="zh-CN"/>
              </w:rPr>
              <w:t>5</w:t>
            </w:r>
            <w:r>
              <w:rPr>
                <w:rFonts w:ascii="宋体" w:hAnsi="宋体"/>
                <w:spacing w:val="-2"/>
                <w:sz w:val="21"/>
                <w:highlight w:val="none"/>
                <w:u w:val="single"/>
              </w:rPr>
              <w:t>人</w:t>
            </w:r>
            <w:r>
              <w:rPr>
                <w:rFonts w:ascii="宋体" w:hAnsi="宋体"/>
                <w:spacing w:val="-2"/>
                <w:sz w:val="21"/>
                <w:highlight w:val="none"/>
              </w:rPr>
              <w:t>；</w:t>
            </w:r>
          </w:p>
          <w:p w14:paraId="2BA57FF0">
            <w:pPr>
              <w:pStyle w:val="34"/>
              <w:tabs>
                <w:tab w:val="left" w:pos="2309"/>
                <w:tab w:val="left" w:pos="3826"/>
              </w:tabs>
              <w:kinsoku w:val="0"/>
              <w:overflowPunct w:val="0"/>
              <w:spacing w:line="440" w:lineRule="atLeast"/>
              <w:jc w:val="both"/>
              <w:rPr>
                <w:rFonts w:eastAsia="Times New Roman"/>
                <w:sz w:val="21"/>
                <w:highlight w:val="none"/>
              </w:rPr>
            </w:pPr>
            <w:r>
              <w:rPr>
                <w:rFonts w:ascii="宋体" w:hAnsi="宋体"/>
                <w:spacing w:val="-103"/>
                <w:sz w:val="21"/>
                <w:highlight w:val="none"/>
              </w:rPr>
              <w:t xml:space="preserve"> </w:t>
            </w:r>
            <w:r>
              <w:rPr>
                <w:rFonts w:ascii="宋体" w:hAnsi="宋体"/>
                <w:sz w:val="21"/>
                <w:highlight w:val="none"/>
              </w:rPr>
              <w:t>评标专家确定方式：</w:t>
            </w:r>
            <w:r>
              <w:rPr>
                <w:rFonts w:hint="eastAsia" w:ascii="宋体" w:hAnsi="宋体"/>
                <w:sz w:val="21"/>
                <w:highlight w:val="none"/>
                <w:u w:val="single"/>
              </w:rPr>
              <w:t>从广东省综合评标专家库中随机抽取。</w:t>
            </w:r>
          </w:p>
        </w:tc>
      </w:tr>
      <w:tr w14:paraId="0802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1C9928B">
            <w:pPr>
              <w:pStyle w:val="34"/>
              <w:kinsoku w:val="0"/>
              <w:overflowPunct w:val="0"/>
              <w:jc w:val="center"/>
              <w:rPr>
                <w:rFonts w:eastAsia="Times New Roman"/>
                <w:sz w:val="21"/>
                <w:highlight w:val="none"/>
              </w:rPr>
            </w:pPr>
            <w:r>
              <w:rPr>
                <w:rFonts w:hint="eastAsia" w:eastAsia="Times New Roman"/>
                <w:sz w:val="21"/>
                <w:highlight w:val="none"/>
              </w:rPr>
              <w:t>6.3.2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8DF0B12">
            <w:pPr>
              <w:pStyle w:val="34"/>
              <w:kinsoku w:val="0"/>
              <w:overflowPunct w:val="0"/>
              <w:jc w:val="both"/>
              <w:rPr>
                <w:rFonts w:ascii="宋体" w:hAnsi="宋体"/>
                <w:sz w:val="21"/>
                <w:highlight w:val="none"/>
              </w:rPr>
            </w:pPr>
            <w:r>
              <w:rPr>
                <w:rFonts w:ascii="宋体" w:hAnsi="宋体"/>
                <w:sz w:val="21"/>
                <w:highlight w:val="none"/>
              </w:rPr>
              <w:t>评标委员会推荐中标候选人的人数</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25F9E70D">
            <w:pPr>
              <w:jc w:val="both"/>
              <w:rPr>
                <w:rFonts w:eastAsia="Times New Roman"/>
                <w:sz w:val="21"/>
                <w:highlight w:val="none"/>
              </w:rPr>
            </w:pPr>
            <w:r>
              <w:rPr>
                <w:rFonts w:hint="eastAsia" w:ascii="宋体" w:hAnsi="宋体"/>
                <w:sz w:val="21"/>
                <w:highlight w:val="none"/>
              </w:rPr>
              <w:t>推荐的中标候选人数：</w:t>
            </w:r>
            <w:r>
              <w:rPr>
                <w:rFonts w:ascii="宋体" w:hAnsi="宋体"/>
                <w:sz w:val="21"/>
                <w:highlight w:val="none"/>
                <w:u w:val="single"/>
              </w:rPr>
              <w:t xml:space="preserve"> 3 人</w:t>
            </w:r>
            <w:r>
              <w:rPr>
                <w:rFonts w:hint="eastAsia" w:ascii="宋体" w:hAnsi="宋体"/>
                <w:sz w:val="21"/>
                <w:highlight w:val="none"/>
              </w:rPr>
              <w:t>。</w:t>
            </w:r>
          </w:p>
        </w:tc>
      </w:tr>
      <w:tr w14:paraId="049F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FCE65C7">
            <w:pPr>
              <w:pStyle w:val="34"/>
              <w:kinsoku w:val="0"/>
              <w:overflowPunct w:val="0"/>
              <w:jc w:val="center"/>
              <w:rPr>
                <w:rFonts w:eastAsia="Times New Roman"/>
                <w:sz w:val="21"/>
                <w:highlight w:val="none"/>
              </w:rPr>
            </w:pPr>
            <w:r>
              <w:rPr>
                <w:rFonts w:hint="eastAsia" w:eastAsia="Times New Roman"/>
                <w:sz w:val="21"/>
                <w:highlight w:val="none"/>
              </w:rPr>
              <w:t>7.1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690F6B6D">
            <w:pPr>
              <w:pStyle w:val="34"/>
              <w:kinsoku w:val="0"/>
              <w:overflowPunct w:val="0"/>
              <w:jc w:val="both"/>
              <w:rPr>
                <w:rFonts w:ascii="宋体" w:hAnsi="宋体"/>
                <w:sz w:val="21"/>
                <w:highlight w:val="none"/>
              </w:rPr>
            </w:pPr>
            <w:r>
              <w:rPr>
                <w:rFonts w:ascii="宋体" w:hAnsi="宋体"/>
                <w:sz w:val="21"/>
                <w:highlight w:val="none"/>
              </w:rPr>
              <w:t>中标候选人公示媒介及期限</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6D55049">
            <w:pPr>
              <w:spacing w:before="171"/>
              <w:ind w:left="40"/>
              <w:rPr>
                <w:rFonts w:ascii="宋体" w:hAnsi="宋体" w:cs="宋体"/>
                <w:sz w:val="21"/>
                <w:szCs w:val="21"/>
                <w:highlight w:val="none"/>
              </w:rPr>
            </w:pPr>
            <w:r>
              <w:rPr>
                <w:rFonts w:ascii="宋体" w:hAnsi="宋体" w:cs="宋体"/>
                <w:spacing w:val="-11"/>
                <w:sz w:val="21"/>
                <w:szCs w:val="21"/>
                <w:highlight w:val="none"/>
              </w:rPr>
              <w:t>公</w:t>
            </w:r>
            <w:r>
              <w:rPr>
                <w:rFonts w:ascii="宋体" w:hAnsi="宋体" w:cs="宋体"/>
                <w:spacing w:val="-10"/>
                <w:sz w:val="21"/>
                <w:szCs w:val="21"/>
                <w:highlight w:val="none"/>
              </w:rPr>
              <w:t>示媒介：</w:t>
            </w:r>
            <w:r>
              <w:rPr>
                <w:rFonts w:hint="eastAsia" w:ascii="宋体" w:hAnsi="宋体" w:cs="宋体"/>
                <w:sz w:val="21"/>
                <w:szCs w:val="21"/>
                <w:highlight w:val="none"/>
                <w:lang w:val="zh-CN"/>
              </w:rPr>
              <w:t>广州交易集团有限公司</w:t>
            </w:r>
            <w:r>
              <w:rPr>
                <w:rFonts w:hint="eastAsia" w:ascii="宋体" w:hAnsi="宋体" w:cs="宋体"/>
                <w:sz w:val="21"/>
                <w:szCs w:val="21"/>
                <w:highlight w:val="none"/>
              </w:rPr>
              <w:t>（</w:t>
            </w:r>
            <w:r>
              <w:rPr>
                <w:rFonts w:hint="eastAsia" w:ascii="宋体" w:hAnsi="宋体" w:cs="宋体"/>
                <w:sz w:val="21"/>
                <w:szCs w:val="21"/>
                <w:highlight w:val="none"/>
                <w:lang w:val="zh-CN"/>
              </w:rPr>
              <w:t>广州公共资源交易中心</w:t>
            </w:r>
            <w:r>
              <w:rPr>
                <w:rFonts w:hint="eastAsia" w:ascii="宋体" w:hAnsi="宋体" w:cs="宋体"/>
                <w:sz w:val="21"/>
                <w:szCs w:val="21"/>
                <w:highlight w:val="none"/>
              </w:rPr>
              <w:t>）</w:t>
            </w:r>
            <w:r>
              <w:rPr>
                <w:rFonts w:ascii="宋体" w:hAnsi="宋体" w:cs="宋体"/>
                <w:sz w:val="21"/>
                <w:szCs w:val="21"/>
                <w:highlight w:val="none"/>
                <w:lang w:val="zh-CN"/>
              </w:rPr>
              <w:t>网和广东省招标投标监管网和</w:t>
            </w:r>
            <w:r>
              <w:rPr>
                <w:rFonts w:hint="eastAsia" w:ascii="宋体" w:hAnsi="宋体" w:cs="宋体"/>
                <w:sz w:val="21"/>
                <w:szCs w:val="21"/>
                <w:highlight w:val="none"/>
                <w:lang w:val="zh-CN"/>
              </w:rPr>
              <w:t>中国招标投标公共服务平台和广州市增城区人民政府门户网站的</w:t>
            </w:r>
            <w:r>
              <w:rPr>
                <w:rFonts w:hint="eastAsia" w:ascii="宋体" w:hAnsi="宋体" w:cs="宋体"/>
                <w:sz w:val="21"/>
                <w:szCs w:val="21"/>
                <w:highlight w:val="none"/>
              </w:rPr>
              <w:t>“</w:t>
            </w:r>
            <w:r>
              <w:rPr>
                <w:rFonts w:hint="eastAsia" w:ascii="宋体" w:hAnsi="宋体" w:cs="宋体"/>
                <w:sz w:val="21"/>
                <w:szCs w:val="21"/>
                <w:highlight w:val="none"/>
                <w:lang w:val="zh-CN"/>
              </w:rPr>
              <w:t>首页</w:t>
            </w:r>
            <w:r>
              <w:rPr>
                <w:rFonts w:ascii="宋体" w:hAnsi="宋体" w:cs="宋体"/>
                <w:sz w:val="21"/>
                <w:szCs w:val="21"/>
                <w:highlight w:val="none"/>
              </w:rPr>
              <w:t>&gt;</w:t>
            </w:r>
            <w:r>
              <w:rPr>
                <w:rFonts w:hint="eastAsia" w:ascii="宋体" w:hAnsi="宋体" w:cs="宋体"/>
                <w:sz w:val="21"/>
                <w:szCs w:val="21"/>
                <w:highlight w:val="none"/>
                <w:lang w:val="zh-CN"/>
              </w:rPr>
              <w:t>公开</w:t>
            </w:r>
            <w:r>
              <w:rPr>
                <w:rFonts w:ascii="宋体" w:hAnsi="宋体" w:cs="宋体"/>
                <w:sz w:val="21"/>
                <w:szCs w:val="21"/>
                <w:highlight w:val="none"/>
              </w:rPr>
              <w:t>&gt;</w:t>
            </w:r>
            <w:r>
              <w:rPr>
                <w:rFonts w:hint="eastAsia" w:ascii="宋体" w:hAnsi="宋体" w:cs="宋体"/>
                <w:sz w:val="21"/>
                <w:szCs w:val="21"/>
                <w:highlight w:val="none"/>
                <w:lang w:val="zh-CN"/>
              </w:rPr>
              <w:t>公共资源配置领域</w:t>
            </w:r>
            <w:r>
              <w:rPr>
                <w:rFonts w:ascii="宋体" w:hAnsi="宋体" w:cs="宋体"/>
                <w:sz w:val="21"/>
                <w:szCs w:val="21"/>
                <w:highlight w:val="none"/>
              </w:rPr>
              <w:t>&gt;</w:t>
            </w:r>
            <w:r>
              <w:rPr>
                <w:rFonts w:hint="eastAsia" w:ascii="宋体" w:hAnsi="宋体" w:cs="宋体"/>
                <w:sz w:val="21"/>
                <w:szCs w:val="21"/>
                <w:highlight w:val="none"/>
                <w:lang w:val="zh-CN"/>
              </w:rPr>
              <w:t>工程建设项目招投标</w:t>
            </w:r>
            <w:r>
              <w:rPr>
                <w:rFonts w:hint="eastAsia" w:ascii="宋体" w:hAnsi="宋体" w:cs="宋体"/>
                <w:sz w:val="21"/>
                <w:szCs w:val="21"/>
                <w:highlight w:val="none"/>
              </w:rPr>
              <w:t>”</w:t>
            </w:r>
            <w:r>
              <w:rPr>
                <w:rFonts w:hint="eastAsia" w:ascii="宋体" w:hAnsi="宋体" w:cs="宋体"/>
                <w:sz w:val="21"/>
                <w:szCs w:val="21"/>
                <w:highlight w:val="none"/>
                <w:lang w:val="zh-CN"/>
              </w:rPr>
              <w:t>栏目发布</w:t>
            </w:r>
          </w:p>
          <w:p w14:paraId="1BFECEA9">
            <w:pPr>
              <w:pStyle w:val="34"/>
              <w:tabs>
                <w:tab w:val="left" w:pos="2100"/>
              </w:tabs>
              <w:kinsoku w:val="0"/>
              <w:overflowPunct w:val="0"/>
              <w:jc w:val="both"/>
              <w:rPr>
                <w:rFonts w:eastAsia="Times New Roman"/>
                <w:sz w:val="21"/>
                <w:highlight w:val="none"/>
              </w:rPr>
            </w:pPr>
            <w:r>
              <w:rPr>
                <w:rFonts w:ascii="宋体" w:hAnsi="宋体" w:cs="宋体"/>
                <w:spacing w:val="-8"/>
                <w:sz w:val="21"/>
                <w:szCs w:val="21"/>
                <w:highlight w:val="none"/>
              </w:rPr>
              <w:t>公示期</w:t>
            </w:r>
            <w:r>
              <w:rPr>
                <w:rFonts w:ascii="宋体" w:hAnsi="宋体" w:cs="宋体"/>
                <w:spacing w:val="-4"/>
                <w:sz w:val="21"/>
                <w:szCs w:val="21"/>
                <w:highlight w:val="none"/>
              </w:rPr>
              <w:t>限：</w:t>
            </w:r>
            <w:r>
              <w:rPr>
                <w:rFonts w:ascii="宋体" w:hAnsi="宋体" w:cs="宋体"/>
                <w:spacing w:val="-4"/>
                <w:sz w:val="21"/>
                <w:szCs w:val="21"/>
                <w:highlight w:val="none"/>
                <w:u w:val="single"/>
              </w:rPr>
              <w:t>不少于3</w:t>
            </w:r>
            <w:r>
              <w:rPr>
                <w:rFonts w:ascii="宋体" w:hAnsi="宋体" w:cs="宋体"/>
                <w:spacing w:val="-4"/>
                <w:sz w:val="21"/>
                <w:szCs w:val="21"/>
                <w:highlight w:val="none"/>
              </w:rPr>
              <w:t>日</w:t>
            </w:r>
            <w:r>
              <w:rPr>
                <w:rFonts w:ascii="宋体" w:hAnsi="宋体" w:cs="宋体"/>
                <w:spacing w:val="-5"/>
                <w:sz w:val="21"/>
                <w:szCs w:val="21"/>
                <w:highlight w:val="none"/>
              </w:rPr>
              <w:t>（最后一天应为工作日）</w:t>
            </w:r>
          </w:p>
        </w:tc>
      </w:tr>
      <w:tr w14:paraId="31B5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1702114">
            <w:pPr>
              <w:pStyle w:val="34"/>
              <w:kinsoku w:val="0"/>
              <w:overflowPunct w:val="0"/>
              <w:jc w:val="center"/>
              <w:rPr>
                <w:rFonts w:eastAsia="Times New Roman"/>
                <w:sz w:val="21"/>
                <w:highlight w:val="none"/>
              </w:rPr>
            </w:pPr>
            <w:r>
              <w:rPr>
                <w:rFonts w:hint="eastAsia" w:eastAsia="Times New Roman"/>
                <w:sz w:val="21"/>
                <w:highlight w:val="none"/>
              </w:rPr>
              <w:t>7.4</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B8D8E79">
            <w:pPr>
              <w:pStyle w:val="34"/>
              <w:kinsoku w:val="0"/>
              <w:overflowPunct w:val="0"/>
              <w:jc w:val="both"/>
              <w:rPr>
                <w:rFonts w:ascii="宋体" w:hAnsi="宋体"/>
                <w:sz w:val="21"/>
                <w:highlight w:val="none"/>
              </w:rPr>
            </w:pPr>
            <w:r>
              <w:rPr>
                <w:rFonts w:ascii="宋体" w:hAnsi="宋体"/>
                <w:sz w:val="21"/>
                <w:highlight w:val="none"/>
              </w:rPr>
              <w:t>是否授权评标委员会确定中标人</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12A5DE5">
            <w:pPr>
              <w:pStyle w:val="34"/>
              <w:kinsoku w:val="0"/>
              <w:overflowPunct w:val="0"/>
              <w:jc w:val="both"/>
              <w:rPr>
                <w:rFonts w:ascii="宋体" w:hAnsi="宋体"/>
                <w:sz w:val="21"/>
                <w:highlight w:val="none"/>
              </w:rPr>
            </w:pPr>
            <w:r>
              <w:rPr>
                <w:rFonts w:hint="eastAsia" w:eastAsia="Times New Roman"/>
                <w:sz w:val="21"/>
                <w:highlight w:val="none"/>
              </w:rPr>
              <w:sym w:font="Wingdings 2" w:char="00A3"/>
            </w:r>
            <w:r>
              <w:rPr>
                <w:rFonts w:ascii="宋体" w:hAnsi="宋体"/>
                <w:sz w:val="21"/>
                <w:highlight w:val="none"/>
              </w:rPr>
              <w:t>是</w:t>
            </w:r>
          </w:p>
          <w:p w14:paraId="5F8BBE4A">
            <w:pPr>
              <w:pStyle w:val="34"/>
              <w:kinsoku w:val="0"/>
              <w:overflowPunct w:val="0"/>
              <w:jc w:val="both"/>
              <w:rPr>
                <w:rFonts w:ascii="宋体" w:hAnsi="宋体"/>
                <w:sz w:val="21"/>
                <w:highlight w:val="none"/>
              </w:rPr>
            </w:pPr>
            <w:r>
              <w:rPr>
                <w:rFonts w:ascii="宋体" w:hAnsi="宋体" w:cs="宋体"/>
                <w:sz w:val="21"/>
                <w:szCs w:val="21"/>
                <w:highlight w:val="none"/>
              </w:rPr>
              <w:t>☑</w:t>
            </w:r>
            <w:r>
              <w:rPr>
                <w:rFonts w:ascii="宋体" w:hAnsi="宋体"/>
                <w:sz w:val="21"/>
                <w:highlight w:val="none"/>
              </w:rPr>
              <w:t>否</w:t>
            </w:r>
          </w:p>
          <w:p w14:paraId="0B710F1E">
            <w:pPr>
              <w:pStyle w:val="34"/>
              <w:kinsoku w:val="0"/>
              <w:overflowPunct w:val="0"/>
              <w:jc w:val="both"/>
              <w:rPr>
                <w:rFonts w:eastAsia="Times New Roman"/>
                <w:sz w:val="21"/>
                <w:highlight w:val="none"/>
              </w:rPr>
            </w:pPr>
            <w:r>
              <w:rPr>
                <w:rFonts w:hint="eastAsia" w:eastAsia="Times New Roman"/>
                <w:sz w:val="21"/>
                <w:highlight w:val="none"/>
              </w:rPr>
              <w:t>1</w:t>
            </w:r>
            <w:r>
              <w:rPr>
                <w:rFonts w:hint="eastAsia" w:ascii="宋体" w:hAnsi="宋体" w:cs="宋体"/>
                <w:sz w:val="21"/>
                <w:highlight w:val="none"/>
              </w:rPr>
              <w:t>、招标人依据评标委员会推荐的中标候选人确定中标人。</w:t>
            </w:r>
          </w:p>
          <w:p w14:paraId="38108AC7">
            <w:pPr>
              <w:pStyle w:val="34"/>
              <w:kinsoku w:val="0"/>
              <w:overflowPunct w:val="0"/>
              <w:jc w:val="both"/>
              <w:rPr>
                <w:rFonts w:eastAsia="Times New Roman"/>
                <w:sz w:val="21"/>
                <w:highlight w:val="none"/>
              </w:rPr>
            </w:pPr>
            <w:r>
              <w:rPr>
                <w:rFonts w:hint="eastAsia" w:eastAsia="Times New Roman"/>
                <w:sz w:val="21"/>
                <w:highlight w:val="none"/>
              </w:rPr>
              <w:t>2</w:t>
            </w:r>
            <w:r>
              <w:rPr>
                <w:rFonts w:hint="eastAsia" w:ascii="宋体" w:hAnsi="宋体" w:cs="宋体"/>
                <w:sz w:val="21"/>
                <w:highlight w:val="none"/>
              </w:rPr>
              <w:t>、依法必须进行公开招标的项目，招标人确定排名第一的中标候选人为中标人。</w:t>
            </w:r>
          </w:p>
          <w:p w14:paraId="2249C408">
            <w:pPr>
              <w:pStyle w:val="34"/>
              <w:kinsoku w:val="0"/>
              <w:overflowPunct w:val="0"/>
              <w:jc w:val="both"/>
              <w:rPr>
                <w:rFonts w:eastAsia="Times New Roman"/>
                <w:sz w:val="21"/>
                <w:highlight w:val="none"/>
              </w:rPr>
            </w:pPr>
            <w:r>
              <w:rPr>
                <w:rFonts w:hint="eastAsia" w:eastAsia="Times New Roman"/>
                <w:sz w:val="21"/>
                <w:highlight w:val="none"/>
              </w:rPr>
              <w:t>3</w:t>
            </w:r>
            <w:r>
              <w:rPr>
                <w:rFonts w:hint="eastAsia" w:ascii="宋体" w:hAnsi="宋体" w:cs="宋体"/>
                <w:sz w:val="21"/>
                <w:highlight w:val="none"/>
              </w:rPr>
              <w:t>、排名第一的中标候选人放弃中标、或被取消中标资格，或因不可抗力提出不能履行合同，或者招标文件规定应当提交履约担保而在规定的期限内未能提交的，招标人可以按照中标候选人顺序依次上升替补定标，以此类推。</w:t>
            </w:r>
          </w:p>
          <w:p w14:paraId="3C9A46A1">
            <w:pPr>
              <w:pStyle w:val="34"/>
              <w:kinsoku w:val="0"/>
              <w:overflowPunct w:val="0"/>
              <w:jc w:val="both"/>
              <w:rPr>
                <w:rFonts w:eastAsia="Times New Roman"/>
                <w:sz w:val="21"/>
                <w:highlight w:val="none"/>
              </w:rPr>
            </w:pPr>
            <w:r>
              <w:rPr>
                <w:rFonts w:hint="eastAsia" w:eastAsia="Times New Roman"/>
                <w:sz w:val="21"/>
                <w:highlight w:val="none"/>
              </w:rPr>
              <w:t>4.</w:t>
            </w:r>
            <w:r>
              <w:rPr>
                <w:rFonts w:hint="eastAsia" w:ascii="宋体" w:hAnsi="宋体" w:cs="宋体"/>
                <w:sz w:val="21"/>
                <w:highlight w:val="none"/>
              </w:rPr>
              <w:t>发出中标通知书前，中标人应未被纳入失信联合惩戒名单，失信联合惩戒名单以</w:t>
            </w:r>
            <w:r>
              <w:rPr>
                <w:rFonts w:eastAsia="Times New Roman"/>
                <w:sz w:val="21"/>
                <w:highlight w:val="none"/>
              </w:rPr>
              <w:t>“</w:t>
            </w:r>
            <w:r>
              <w:rPr>
                <w:rFonts w:hint="eastAsia" w:ascii="宋体" w:hAnsi="宋体" w:cs="宋体"/>
                <w:sz w:val="21"/>
                <w:highlight w:val="none"/>
              </w:rPr>
              <w:t>信用广州</w:t>
            </w:r>
            <w:r>
              <w:rPr>
                <w:rFonts w:eastAsia="Times New Roman"/>
                <w:sz w:val="21"/>
                <w:highlight w:val="none"/>
              </w:rPr>
              <w:t>”</w:t>
            </w:r>
            <w:r>
              <w:rPr>
                <w:rFonts w:hint="eastAsia" w:ascii="宋体" w:hAnsi="宋体" w:cs="宋体"/>
                <w:sz w:val="21"/>
                <w:highlight w:val="none"/>
              </w:rPr>
              <w:t>网站公布的名单为准。否则招标人取消其中标资格，招标人可以按照评标委员会提出的中标候选人名单排序依次确定其他中标候选人为中标人。</w:t>
            </w:r>
          </w:p>
        </w:tc>
      </w:tr>
      <w:tr w14:paraId="5C78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3830CB1">
            <w:pPr>
              <w:pStyle w:val="34"/>
              <w:kinsoku w:val="0"/>
              <w:overflowPunct w:val="0"/>
              <w:jc w:val="center"/>
              <w:rPr>
                <w:rFonts w:eastAsia="Times New Roman"/>
                <w:sz w:val="21"/>
                <w:highlight w:val="none"/>
              </w:rPr>
            </w:pPr>
            <w:r>
              <w:rPr>
                <w:rFonts w:hint="eastAsia" w:eastAsia="Times New Roman"/>
                <w:sz w:val="21"/>
                <w:highlight w:val="none"/>
              </w:rPr>
              <w:t>7.6.1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209C15D">
            <w:pPr>
              <w:pStyle w:val="34"/>
              <w:kinsoku w:val="0"/>
              <w:overflowPunct w:val="0"/>
              <w:jc w:val="both"/>
              <w:rPr>
                <w:rFonts w:ascii="宋体" w:hAnsi="宋体"/>
                <w:sz w:val="21"/>
                <w:highlight w:val="none"/>
              </w:rPr>
            </w:pPr>
            <w:r>
              <w:rPr>
                <w:rFonts w:ascii="宋体" w:hAnsi="宋体"/>
                <w:sz w:val="21"/>
                <w:highlight w:val="none"/>
              </w:rPr>
              <w:t>履约保证金</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302E16C">
            <w:pPr>
              <w:pStyle w:val="34"/>
              <w:kinsoku w:val="0"/>
              <w:overflowPunct w:val="0"/>
              <w:spacing w:line="360" w:lineRule="auto"/>
              <w:jc w:val="both"/>
              <w:rPr>
                <w:rFonts w:ascii="宋体" w:hAnsi="宋体"/>
                <w:sz w:val="21"/>
                <w:highlight w:val="none"/>
              </w:rPr>
            </w:pPr>
            <w:r>
              <w:rPr>
                <w:rFonts w:ascii="宋体" w:hAnsi="宋体"/>
                <w:sz w:val="21"/>
                <w:highlight w:val="none"/>
              </w:rPr>
              <w:t>是否要求中标人提交履约保证金：</w:t>
            </w:r>
          </w:p>
          <w:p w14:paraId="45F6C74C">
            <w:pPr>
              <w:pStyle w:val="34"/>
              <w:kinsoku w:val="0"/>
              <w:overflowPunct w:val="0"/>
              <w:spacing w:line="360" w:lineRule="auto"/>
              <w:jc w:val="both"/>
              <w:rPr>
                <w:rFonts w:ascii="宋体" w:hAnsi="宋体"/>
                <w:sz w:val="21"/>
                <w:highlight w:val="none"/>
              </w:rPr>
            </w:pPr>
            <w:r>
              <w:rPr>
                <w:rFonts w:hint="eastAsia" w:eastAsia="Times New Roman"/>
                <w:sz w:val="21"/>
                <w:highlight w:val="none"/>
              </w:rPr>
              <w:sym w:font="Wingdings 2" w:char="00A3"/>
            </w:r>
            <w:r>
              <w:rPr>
                <w:rFonts w:ascii="宋体" w:hAnsi="宋体"/>
                <w:sz w:val="21"/>
                <w:highlight w:val="none"/>
              </w:rPr>
              <w:t>不要求</w:t>
            </w:r>
          </w:p>
          <w:p w14:paraId="033F2038">
            <w:pPr>
              <w:pStyle w:val="34"/>
              <w:kinsoku w:val="0"/>
              <w:overflowPunct w:val="0"/>
              <w:spacing w:line="360" w:lineRule="auto"/>
              <w:jc w:val="both"/>
              <w:rPr>
                <w:rFonts w:ascii="宋体" w:hAnsi="宋体"/>
                <w:sz w:val="21"/>
                <w:highlight w:val="none"/>
              </w:rPr>
            </w:pPr>
            <w:r>
              <w:rPr>
                <w:rFonts w:ascii="宋体" w:hAnsi="宋体" w:cs="宋体"/>
                <w:sz w:val="21"/>
                <w:szCs w:val="21"/>
                <w:highlight w:val="none"/>
              </w:rPr>
              <w:t>☑</w:t>
            </w:r>
            <w:r>
              <w:rPr>
                <w:rFonts w:ascii="宋体" w:hAnsi="宋体"/>
                <w:sz w:val="21"/>
                <w:highlight w:val="none"/>
              </w:rPr>
              <w:t>要求，履约保证金的形式：</w:t>
            </w:r>
            <w:r>
              <w:rPr>
                <w:rFonts w:hint="eastAsia" w:ascii="宋体" w:hAnsi="宋体"/>
                <w:sz w:val="21"/>
                <w:highlight w:val="none"/>
              </w:rPr>
              <w:t>中标人根据自身情况，自主选择提供履约保证金的形式。担保内容、担保范围、担保金额、担保要求等须按合同约定格式。</w:t>
            </w:r>
          </w:p>
          <w:p w14:paraId="20C98679">
            <w:pPr>
              <w:pStyle w:val="34"/>
              <w:kinsoku w:val="0"/>
              <w:overflowPunct w:val="0"/>
              <w:spacing w:line="360" w:lineRule="auto"/>
              <w:jc w:val="both"/>
              <w:rPr>
                <w:rFonts w:ascii="宋体" w:hAnsi="宋体"/>
                <w:sz w:val="21"/>
                <w:highlight w:val="none"/>
              </w:rPr>
            </w:pPr>
            <w:r>
              <w:rPr>
                <w:rFonts w:ascii="宋体" w:hAnsi="宋体"/>
                <w:sz w:val="21"/>
                <w:highlight w:val="none"/>
              </w:rPr>
              <w:t>履约保证金的金额：</w:t>
            </w:r>
            <w:r>
              <w:rPr>
                <w:rFonts w:hint="eastAsia" w:ascii="宋体" w:hAnsi="宋体"/>
                <w:sz w:val="21"/>
                <w:highlight w:val="none"/>
              </w:rPr>
              <w:t>中标价款的10%。</w:t>
            </w:r>
          </w:p>
          <w:p w14:paraId="53B5C604">
            <w:pPr>
              <w:pStyle w:val="34"/>
              <w:kinsoku w:val="0"/>
              <w:overflowPunct w:val="0"/>
              <w:jc w:val="both"/>
              <w:rPr>
                <w:rFonts w:eastAsia="Times New Roman"/>
                <w:sz w:val="21"/>
                <w:highlight w:val="none"/>
              </w:rPr>
            </w:pPr>
          </w:p>
        </w:tc>
      </w:tr>
      <w:tr w14:paraId="5650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5D4E6F39">
            <w:pPr>
              <w:pStyle w:val="34"/>
              <w:kinsoku w:val="0"/>
              <w:overflowPunct w:val="0"/>
              <w:jc w:val="center"/>
              <w:rPr>
                <w:rFonts w:eastAsia="Times New Roman"/>
                <w:sz w:val="21"/>
                <w:highlight w:val="none"/>
              </w:rPr>
            </w:pPr>
            <w:r>
              <w:rPr>
                <w:rFonts w:hint="eastAsia" w:eastAsia="Times New Roman"/>
                <w:sz w:val="21"/>
                <w:highlight w:val="none"/>
              </w:rPr>
              <w:t>10</w:t>
            </w:r>
          </w:p>
        </w:tc>
        <w:tc>
          <w:tcPr>
            <w:tcW w:w="807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028840F">
            <w:pPr>
              <w:pStyle w:val="34"/>
              <w:kinsoku w:val="0"/>
              <w:overflowPunct w:val="0"/>
              <w:jc w:val="both"/>
              <w:rPr>
                <w:rFonts w:eastAsiaTheme="minorEastAsia"/>
                <w:b/>
                <w:sz w:val="21"/>
                <w:highlight w:val="none"/>
              </w:rPr>
            </w:pPr>
            <w:r>
              <w:rPr>
                <w:rFonts w:ascii="宋体" w:hAnsi="宋体"/>
                <w:sz w:val="21"/>
                <w:highlight w:val="none"/>
              </w:rPr>
              <w:t>需要补充的其他内容</w:t>
            </w:r>
          </w:p>
        </w:tc>
      </w:tr>
      <w:tr w14:paraId="19DB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E14E261">
            <w:pPr>
              <w:pStyle w:val="34"/>
              <w:kinsoku w:val="0"/>
              <w:overflowPunct w:val="0"/>
              <w:jc w:val="center"/>
              <w:rPr>
                <w:rFonts w:eastAsia="Times New Roman"/>
                <w:sz w:val="21"/>
                <w:highlight w:val="none"/>
              </w:rPr>
            </w:pPr>
            <w:r>
              <w:rPr>
                <w:rFonts w:hint="eastAsia" w:ascii="宋体" w:hAnsi="宋体" w:cs="宋体"/>
                <w:sz w:val="21"/>
                <w:highlight w:val="none"/>
              </w:rPr>
              <w:t>10.1</w:t>
            </w:r>
          </w:p>
        </w:tc>
        <w:tc>
          <w:tcPr>
            <w:tcW w:w="807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9A6997F">
            <w:pPr>
              <w:jc w:val="both"/>
              <w:rPr>
                <w:rFonts w:eastAsia="Times New Roman"/>
                <w:sz w:val="21"/>
                <w:highlight w:val="none"/>
              </w:rPr>
            </w:pPr>
            <w:r>
              <w:rPr>
                <w:rFonts w:hint="eastAsia" w:ascii="宋体" w:hAnsi="宋体" w:cs="宋体"/>
                <w:sz w:val="21"/>
                <w:highlight w:val="none"/>
              </w:rPr>
              <w:t>1、中标人必须按照招标代理机构的通知及时地向广州交易集团有限公司（广州公共资源交易中心）缴纳公共资源交易服务费，向广州交易集团有限公司（广州公共资源交易中心）索取发票，并在取得发票后及时告知招标代理机构。（该公共资源交易服务费具体收费标准投标人可以在广州交易集团有限公司（广州公共资源交易中心）网站查阅，如有变更以广州交易集团有限公司（广州公共资源交易中心）最新发布的标准为准）。</w:t>
            </w:r>
          </w:p>
        </w:tc>
      </w:tr>
      <w:tr w14:paraId="6634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8E7BCCA">
            <w:pPr>
              <w:pStyle w:val="34"/>
              <w:kinsoku w:val="0"/>
              <w:overflowPunct w:val="0"/>
              <w:jc w:val="center"/>
              <w:rPr>
                <w:rFonts w:hint="eastAsia" w:eastAsia="宋体"/>
                <w:sz w:val="21"/>
                <w:highlight w:val="none"/>
                <w:lang w:eastAsia="zh-CN"/>
              </w:rPr>
            </w:pPr>
            <w:r>
              <w:rPr>
                <w:rFonts w:hint="eastAsia" w:ascii="宋体" w:hAnsi="宋体" w:cs="宋体"/>
                <w:sz w:val="21"/>
                <w:highlight w:val="none"/>
              </w:rPr>
              <w:t>10.2</w:t>
            </w:r>
          </w:p>
        </w:tc>
        <w:tc>
          <w:tcPr>
            <w:tcW w:w="807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B8CB248">
            <w:pPr>
              <w:jc w:val="both"/>
              <w:rPr>
                <w:rFonts w:eastAsia="Times New Roman"/>
                <w:sz w:val="21"/>
                <w:highlight w:val="none"/>
              </w:rPr>
            </w:pPr>
            <w:r>
              <w:rPr>
                <w:rFonts w:hint="eastAsia" w:ascii="宋体" w:hAnsi="宋体" w:cs="宋体"/>
                <w:sz w:val="21"/>
                <w:highlight w:val="none"/>
              </w:rPr>
              <w:t>投标人通过本项目的资格审查或成为本项目中标候选人，须同意并授招标人将其响应招标文件资格能力条件（资质、营业执照等证书名称、等级、编号，人员、业绩）、投标文件商务部分（报价清单、技术方案等涉及商业秘密的内容除外）等资料进行公示。</w:t>
            </w:r>
          </w:p>
        </w:tc>
      </w:tr>
      <w:tr w14:paraId="381F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8E85DE3">
            <w:pPr>
              <w:pStyle w:val="34"/>
              <w:kinsoku w:val="0"/>
              <w:overflowPunct w:val="0"/>
              <w:jc w:val="center"/>
              <w:rPr>
                <w:rFonts w:eastAsia="Times New Roman"/>
                <w:sz w:val="21"/>
                <w:highlight w:val="none"/>
              </w:rPr>
            </w:pPr>
            <w:r>
              <w:rPr>
                <w:rFonts w:hint="eastAsia" w:ascii="宋体" w:hAnsi="宋体" w:cs="宋体"/>
                <w:sz w:val="21"/>
                <w:highlight w:val="none"/>
              </w:rPr>
              <w:t>10.3</w:t>
            </w:r>
          </w:p>
        </w:tc>
        <w:tc>
          <w:tcPr>
            <w:tcW w:w="807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74DE3F9">
            <w:pPr>
              <w:jc w:val="both"/>
              <w:rPr>
                <w:rFonts w:eastAsia="Times New Roman"/>
                <w:sz w:val="21"/>
                <w:highlight w:val="none"/>
              </w:rPr>
            </w:pPr>
            <w:r>
              <w:rPr>
                <w:rFonts w:hint="eastAsia" w:ascii="宋体" w:hAnsi="宋体" w:cs="宋体"/>
                <w:sz w:val="21"/>
                <w:highlight w:val="none"/>
              </w:rPr>
              <w:t>中标人在领取中标通知书前，须按招标人要求向招标人提供盖章的纸质版投标文件（内容与交易平台网上递交的电子投标文件一致）5套（1正4副）及电子文件光盘2份。</w:t>
            </w:r>
          </w:p>
        </w:tc>
      </w:tr>
      <w:tr w14:paraId="58AF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B582498">
            <w:pPr>
              <w:pStyle w:val="34"/>
              <w:kinsoku w:val="0"/>
              <w:overflowPunct w:val="0"/>
              <w:jc w:val="center"/>
              <w:rPr>
                <w:rFonts w:eastAsia="Times New Roman"/>
                <w:sz w:val="21"/>
                <w:highlight w:val="none"/>
              </w:rPr>
            </w:pPr>
            <w:r>
              <w:rPr>
                <w:rFonts w:hint="eastAsia" w:ascii="宋体" w:hAnsi="宋体" w:cs="宋体"/>
                <w:sz w:val="21"/>
                <w:highlight w:val="none"/>
              </w:rPr>
              <w:t>10.4</w:t>
            </w:r>
          </w:p>
        </w:tc>
        <w:tc>
          <w:tcPr>
            <w:tcW w:w="807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988A38E">
            <w:pPr>
              <w:spacing w:line="288" w:lineRule="auto"/>
              <w:rPr>
                <w:rFonts w:ascii="宋体" w:hAnsi="宋体" w:cs="宋体"/>
                <w:sz w:val="21"/>
                <w:szCs w:val="21"/>
                <w:highlight w:val="none"/>
              </w:rPr>
            </w:pPr>
            <w:r>
              <w:rPr>
                <w:rFonts w:hint="eastAsia" w:ascii="宋体" w:hAnsi="宋体" w:cs="宋体"/>
                <w:sz w:val="21"/>
                <w:szCs w:val="21"/>
                <w:highlight w:val="none"/>
              </w:rPr>
              <w:t>（1）根据《广东省政府采购促进中小企业发展实施细则(试行)》要求，对符合《政府采购促进中小企业发展管理办法》的投标人，给予相应的价格评审优惠。</w:t>
            </w:r>
          </w:p>
          <w:p w14:paraId="5C19ED29">
            <w:pPr>
              <w:spacing w:line="288" w:lineRule="auto"/>
              <w:rPr>
                <w:rFonts w:ascii="宋体" w:hAnsi="宋体" w:cs="宋体"/>
                <w:sz w:val="21"/>
                <w:szCs w:val="21"/>
                <w:highlight w:val="none"/>
              </w:rPr>
            </w:pPr>
            <w:r>
              <w:rPr>
                <w:rFonts w:hint="eastAsia" w:ascii="宋体" w:hAnsi="宋体" w:cs="宋体"/>
                <w:sz w:val="21"/>
                <w:szCs w:val="21"/>
                <w:highlight w:val="none"/>
              </w:rPr>
              <w:t>（2）本招标项目评标计算价格分时，对小微企业投标的，在采用原报价进行评分的基础上增加其价格得分（分数出现小数点时，保留小数点后二位，第三位小数四舍五入）的5%作为其价格分，若原报价己满分，仍可突破满分上限继续享受加分优惠，以实际计算结果作为最终价格分。</w:t>
            </w:r>
          </w:p>
          <w:p w14:paraId="06086289">
            <w:pPr>
              <w:spacing w:line="288" w:lineRule="auto"/>
              <w:rPr>
                <w:rFonts w:hint="eastAsia" w:ascii="宋体" w:hAnsi="宋体" w:cs="宋体"/>
                <w:sz w:val="21"/>
                <w:szCs w:val="21"/>
                <w:highlight w:val="none"/>
              </w:rPr>
            </w:pPr>
            <w:r>
              <w:rPr>
                <w:rFonts w:hint="eastAsia" w:ascii="宋体" w:hAnsi="宋体" w:cs="宋体"/>
                <w:sz w:val="21"/>
                <w:szCs w:val="21"/>
                <w:highlight w:val="none"/>
              </w:rPr>
              <w:t>（3）投标人应按《政府采购促进中小企业发展管理办法》规定出具《中小企业声明函》(格式详见第六章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1F7454D7">
            <w:pPr>
              <w:spacing w:line="288" w:lineRule="auto"/>
              <w:rPr>
                <w:rFonts w:hint="eastAsia" w:ascii="宋体" w:hAnsi="宋体" w:cs="宋体"/>
                <w:sz w:val="21"/>
                <w:szCs w:val="21"/>
                <w:highlight w:val="none"/>
              </w:rPr>
            </w:pPr>
            <w:r>
              <w:rPr>
                <w:rFonts w:hint="eastAsia" w:ascii="宋体" w:hAnsi="宋体" w:cs="宋体"/>
                <w:sz w:val="21"/>
                <w:szCs w:val="21"/>
                <w:highlight w:val="none"/>
              </w:rPr>
              <w:t>(4)小微企业划分标准按照《工业和信息化部国家统计局国家发展和改革委员会财政部关于印发中小企业划型标准规定的通知》(工信部联企业(2011)300号)执行。本招标项目属于</w:t>
            </w:r>
            <w:r>
              <w:rPr>
                <w:rFonts w:hint="eastAsia" w:ascii="宋体" w:hAnsi="宋体" w:cs="宋体"/>
                <w:b/>
                <w:sz w:val="21"/>
                <w:szCs w:val="21"/>
                <w:highlight w:val="none"/>
                <w:u w:val="single"/>
              </w:rPr>
              <w:t>其他未列明</w:t>
            </w:r>
            <w:r>
              <w:rPr>
                <w:rFonts w:hint="eastAsia" w:ascii="宋体" w:hAnsi="宋体" w:cs="宋体"/>
                <w:sz w:val="21"/>
                <w:szCs w:val="21"/>
                <w:highlight w:val="none"/>
              </w:rPr>
              <w:t>行业。从业人员300人以下的为中小微型企业。其中，从业人员100人及以上的为中型企业;从业人员10人及以上的为小型企业;从业人员10人以下的为微型企业。</w:t>
            </w:r>
          </w:p>
          <w:p w14:paraId="5F9100A6">
            <w:pPr>
              <w:spacing w:line="288" w:lineRule="auto"/>
              <w:rPr>
                <w:rFonts w:hint="eastAsia" w:ascii="宋体" w:hAnsi="宋体" w:cs="宋体"/>
                <w:sz w:val="21"/>
                <w:szCs w:val="21"/>
                <w:highlight w:val="none"/>
              </w:rPr>
            </w:pPr>
            <w:r>
              <w:rPr>
                <w:rFonts w:hint="eastAsia" w:ascii="宋体" w:hAnsi="宋体" w:cs="宋体"/>
                <w:sz w:val="21"/>
                <w:szCs w:val="21"/>
                <w:highlight w:val="none"/>
              </w:rPr>
              <w:t>注:(1)中小微企业，是指在中华人民共和国境内依法设立，依据国务院批准的中小企业划分标准确定的中型企业、小型企业和微型企业，但与大企业的负责人为同一人，或者与大企业存在直接控股、管理关系的除外。</w:t>
            </w:r>
          </w:p>
          <w:p w14:paraId="652E79B6">
            <w:pPr>
              <w:spacing w:line="288" w:lineRule="auto"/>
              <w:rPr>
                <w:rFonts w:hint="eastAsia" w:ascii="宋体" w:hAnsi="宋体" w:cs="宋体"/>
                <w:sz w:val="21"/>
                <w:szCs w:val="21"/>
                <w:highlight w:val="none"/>
              </w:rPr>
            </w:pPr>
            <w:r>
              <w:rPr>
                <w:rFonts w:hint="eastAsia" w:ascii="宋体" w:hAnsi="宋体" w:cs="宋体"/>
                <w:sz w:val="21"/>
                <w:szCs w:val="21"/>
                <w:highlight w:val="none"/>
              </w:rPr>
              <w:t>（2）公示期间如有异议、投诉的，被异议、投诉单位需提供注册登记所在地的县级以上人民政府中小企业主管部门认定函。</w:t>
            </w:r>
          </w:p>
          <w:p w14:paraId="569CAB44">
            <w:pPr>
              <w:jc w:val="both"/>
              <w:rPr>
                <w:rFonts w:eastAsia="Times New Roman"/>
                <w:sz w:val="21"/>
                <w:highlight w:val="none"/>
              </w:rPr>
            </w:pPr>
            <w:r>
              <w:rPr>
                <w:rFonts w:hint="eastAsia" w:ascii="宋体" w:hAnsi="宋体" w:cs="宋体"/>
                <w:sz w:val="21"/>
                <w:szCs w:val="21"/>
                <w:highlight w:val="none"/>
              </w:rPr>
              <w:t>（3）根据《财政部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民政部中国残疾人联合会关于促进残疾人就业政府采购政策的通知》（财库〔2017〕141号）规定，残疾人福利性单位视同小型、微型企业，需提供《残疾人福利性单位声明函》（格式详见第四章投标文件格式），经评审满足要求后，可享受上述加分优惠，否则不得享受上述加分优惠。监狱企业、残疾人福利性单位属于小型、微型企业的，不重复享受政策。</w:t>
            </w:r>
          </w:p>
        </w:tc>
      </w:tr>
    </w:tbl>
    <w:p w14:paraId="6C8557E8">
      <w:pPr>
        <w:rPr>
          <w:highlight w:val="none"/>
        </w:rPr>
      </w:pPr>
    </w:p>
    <w:p w14:paraId="461B646B">
      <w:pPr>
        <w:pStyle w:val="6"/>
        <w:spacing w:before="120" w:after="120"/>
        <w:rPr>
          <w:rFonts w:cs="宋体"/>
          <w:highlight w:val="none"/>
        </w:rPr>
        <w:sectPr>
          <w:footerReference r:id="rId5" w:type="default"/>
          <w:pgSz w:w="11905" w:h="16838"/>
          <w:pgMar w:top="1417" w:right="1417" w:bottom="1417" w:left="1417" w:header="992" w:footer="992" w:gutter="0"/>
          <w:cols w:space="720" w:num="1"/>
        </w:sectPr>
      </w:pPr>
      <w:bookmarkStart w:id="38" w:name="bookmark20"/>
      <w:bookmarkEnd w:id="38"/>
    </w:p>
    <w:p w14:paraId="7ED37778">
      <w:pPr>
        <w:pStyle w:val="6"/>
        <w:spacing w:before="120" w:after="120"/>
        <w:jc w:val="center"/>
        <w:rPr>
          <w:sz w:val="32"/>
          <w:highlight w:val="none"/>
        </w:rPr>
      </w:pPr>
      <w:bookmarkStart w:id="39" w:name="_Toc17452664"/>
      <w:bookmarkStart w:id="40" w:name="_Toc17451623"/>
      <w:bookmarkStart w:id="41" w:name="_Toc17556931"/>
      <w:bookmarkStart w:id="42" w:name="_Toc17451101"/>
      <w:bookmarkStart w:id="43" w:name="_Toc17454922"/>
      <w:bookmarkStart w:id="44" w:name="_Toc17556876"/>
      <w:bookmarkStart w:id="45" w:name="_Toc17454871"/>
      <w:bookmarkStart w:id="46" w:name="_Toc262229161"/>
      <w:bookmarkStart w:id="47" w:name="_Toc17451578"/>
      <w:bookmarkStart w:id="48" w:name="_Toc32198"/>
      <w:r>
        <w:rPr>
          <w:sz w:val="32"/>
          <w:highlight w:val="none"/>
        </w:rPr>
        <w:t>投标须知修改表</w:t>
      </w:r>
      <w:bookmarkEnd w:id="39"/>
      <w:bookmarkEnd w:id="40"/>
      <w:bookmarkEnd w:id="41"/>
      <w:bookmarkEnd w:id="42"/>
      <w:bookmarkEnd w:id="43"/>
      <w:bookmarkEnd w:id="44"/>
      <w:bookmarkEnd w:id="45"/>
      <w:bookmarkEnd w:id="46"/>
      <w:bookmarkEnd w:id="47"/>
      <w:bookmarkEnd w:id="48"/>
    </w:p>
    <w:p w14:paraId="158E9CDC">
      <w:pPr>
        <w:pStyle w:val="22"/>
        <w:spacing w:line="360" w:lineRule="auto"/>
        <w:rPr>
          <w:rFonts w:hint="default" w:ascii="宋体" w:hAnsi="宋体" w:eastAsia="宋体"/>
          <w:b/>
          <w:sz w:val="24"/>
          <w:highlight w:val="none"/>
        </w:rPr>
      </w:pPr>
      <w:r>
        <w:rPr>
          <w:rFonts w:hint="default" w:ascii="宋体" w:hAnsi="宋体" w:eastAsia="宋体"/>
          <w:b/>
          <w:sz w:val="24"/>
          <w:highlight w:val="none"/>
        </w:rPr>
        <w:t>本投标须知使用</w:t>
      </w:r>
      <w:r>
        <w:rPr>
          <w:rFonts w:ascii="宋体" w:hAnsi="宋体" w:eastAsia="宋体"/>
          <w:b/>
          <w:sz w:val="24"/>
          <w:highlight w:val="none"/>
        </w:rPr>
        <w:t>SWZB2024-06</w:t>
      </w:r>
      <w:r>
        <w:rPr>
          <w:rFonts w:hint="default" w:ascii="宋体" w:hAnsi="宋体" w:eastAsia="宋体"/>
          <w:b/>
          <w:sz w:val="24"/>
          <w:highlight w:val="none"/>
        </w:rPr>
        <w:t>招标文件范本的投标须知通用条款，与该通用条款不同之处，均在本表中列明，并以现文为准，原文不再有效。</w:t>
      </w:r>
    </w:p>
    <w:p w14:paraId="6A614C67">
      <w:pPr>
        <w:spacing w:line="480" w:lineRule="auto"/>
        <w:ind w:firstLine="540" w:firstLineChars="224"/>
        <w:rPr>
          <w:rFonts w:ascii="宋体" w:hAnsi="宋体"/>
          <w:highlight w:val="none"/>
        </w:rPr>
      </w:pPr>
      <w:r>
        <w:rPr>
          <w:rFonts w:hint="eastAsia" w:ascii="宋体" w:hAnsi="宋体"/>
          <w:b/>
          <w:bCs/>
          <w:highlight w:val="none"/>
        </w:rPr>
        <w:t>条款号：1.4             修改类型：删除</w:t>
      </w:r>
    </w:p>
    <w:p w14:paraId="29DF5FF0">
      <w:pPr>
        <w:pBdr>
          <w:bottom w:val="single" w:color="auto" w:sz="6" w:space="1"/>
        </w:pBdr>
        <w:spacing w:line="480" w:lineRule="auto"/>
        <w:ind w:firstLine="537" w:firstLineChars="224"/>
        <w:rPr>
          <w:rFonts w:ascii="宋体" w:hAnsi="宋体"/>
          <w:highlight w:val="none"/>
        </w:rPr>
      </w:pPr>
      <w:r>
        <w:rPr>
          <w:rFonts w:hint="eastAsia" w:ascii="宋体" w:hAnsi="宋体"/>
          <w:highlight w:val="none"/>
        </w:rPr>
        <w:t>原文：1.4.2 投标人须知前附表规定接受联合体投标的，联合体除应符合本章第 1.4.1 项和投标人须知前附表的要求外，还应遵守以下规定：</w:t>
      </w:r>
    </w:p>
    <w:p w14:paraId="006738A6">
      <w:pPr>
        <w:pBdr>
          <w:bottom w:val="single" w:color="auto" w:sz="6" w:space="1"/>
        </w:pBdr>
        <w:spacing w:line="480" w:lineRule="auto"/>
        <w:ind w:firstLine="537" w:firstLineChars="224"/>
        <w:rPr>
          <w:rFonts w:ascii="宋体" w:hAnsi="宋体"/>
          <w:highlight w:val="none"/>
        </w:rPr>
      </w:pPr>
      <w:r>
        <w:rPr>
          <w:rFonts w:hint="eastAsia" w:ascii="宋体" w:hAnsi="宋体"/>
          <w:highlight w:val="none"/>
        </w:rPr>
        <w:t>（1）联合体各方应按招标文件提供的格式签订联合体协议书，明确联合体主办方和各方权利义务，并承诺就中标项目向招标人承担连带责任；</w:t>
      </w:r>
    </w:p>
    <w:p w14:paraId="2FAD2AE9">
      <w:pPr>
        <w:pBdr>
          <w:bottom w:val="single" w:color="auto" w:sz="6" w:space="1"/>
        </w:pBdr>
        <w:spacing w:line="480" w:lineRule="auto"/>
        <w:ind w:firstLine="537" w:firstLineChars="224"/>
        <w:rPr>
          <w:rFonts w:hint="eastAsia" w:ascii="宋体" w:hAnsi="宋体"/>
          <w:highlight w:val="none"/>
        </w:rPr>
      </w:pPr>
      <w:r>
        <w:rPr>
          <w:rFonts w:hint="eastAsia" w:ascii="宋体" w:hAnsi="宋体"/>
          <w:highlight w:val="none"/>
        </w:rPr>
        <w:t>（2）由同一专业的单位组成的联合体，按照资质等级较低的单位确定资质等级；</w:t>
      </w:r>
    </w:p>
    <w:p w14:paraId="72CF2CFB">
      <w:pPr>
        <w:pBdr>
          <w:bottom w:val="single" w:color="auto" w:sz="6" w:space="1"/>
        </w:pBdr>
        <w:spacing w:line="480" w:lineRule="auto"/>
        <w:ind w:firstLine="537" w:firstLineChars="224"/>
        <w:rPr>
          <w:rFonts w:hint="eastAsia" w:ascii="宋体" w:hAnsi="宋体"/>
          <w:highlight w:val="none"/>
        </w:rPr>
      </w:pPr>
      <w:r>
        <w:rPr>
          <w:rFonts w:hint="eastAsia" w:ascii="宋体" w:hAnsi="宋体"/>
          <w:highlight w:val="none"/>
        </w:rPr>
        <w:t>（3）联合体各方不得再以自己名义单独或参加其他联合体在本招标项目中投标，否则各相关投标均无效。</w:t>
      </w:r>
    </w:p>
    <w:p w14:paraId="0CD3FAF6">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r>
        <w:rPr>
          <w:rFonts w:hint="eastAsia" w:ascii="宋体" w:hAnsi="宋体" w:cs="宋体"/>
          <w:b/>
          <w:bCs/>
          <w:color w:val="auto"/>
          <w:sz w:val="24"/>
          <w:szCs w:val="24"/>
          <w:highlight w:val="none"/>
          <w:lang w:val="en-US" w:eastAsia="zh-CN"/>
        </w:rPr>
        <w:t>1.4.3</w:t>
      </w:r>
      <w:r>
        <w:rPr>
          <w:rFonts w:hint="eastAsia" w:ascii="宋体" w:hAnsi="宋体" w:eastAsia="宋体" w:cs="宋体"/>
          <w:b/>
          <w:bCs/>
          <w:color w:val="auto"/>
          <w:sz w:val="24"/>
          <w:szCs w:val="24"/>
          <w:highlight w:val="none"/>
        </w:rPr>
        <w:t xml:space="preserve">             修改类型：修改</w:t>
      </w:r>
    </w:p>
    <w:p w14:paraId="43A9ECC4">
      <w:pPr>
        <w:spacing w:line="48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1.4.3 投标人不得存在下列情形之一：</w:t>
      </w:r>
    </w:p>
    <w:p w14:paraId="4DEA99E8">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（1）为招标人不具有独立法人资格的附属机构（单位）；</w:t>
      </w:r>
    </w:p>
    <w:p w14:paraId="3716BCB4">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（2）与招标人存在利害关系且可能影响招标公正性；</w:t>
      </w:r>
    </w:p>
    <w:p w14:paraId="58D51483">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（3）与本招标项目的其他投标人为同一个单位负责人；</w:t>
      </w:r>
    </w:p>
    <w:p w14:paraId="72C99D99">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（4）与本招标项目的其他投标人存在控股、管理关系；</w:t>
      </w:r>
    </w:p>
    <w:p w14:paraId="0F4D8BF3">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（5）为本招标项目的代建人；</w:t>
      </w:r>
    </w:p>
    <w:p w14:paraId="544C8CAD">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（6）为本招标项目的招标代理机构；</w:t>
      </w:r>
    </w:p>
    <w:p w14:paraId="58044DAA">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（7）与本招标项目的代建人或招标代理机构同为一个法定代表人；</w:t>
      </w:r>
    </w:p>
    <w:p w14:paraId="059B1615">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（8）与本招标项目的代建人或招标代理机构存在控股或参股关系；</w:t>
      </w:r>
    </w:p>
    <w:p w14:paraId="39478D38">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（9）与本招标项目的检测机构、建设、施工单位以及建筑材料、建筑构配件和设备供应商有隶属关系或者其他利害关系有隶属关系或者其他利害关系；</w:t>
      </w:r>
    </w:p>
    <w:p w14:paraId="73CDE3E3">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（10）被依法暂停或者取消投标资格；</w:t>
      </w:r>
    </w:p>
    <w:p w14:paraId="222AEFE1">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53257098">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6327222E">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（13）进入清算程序，或被宣布破产，或其他丧失履约能力的情形；</w:t>
      </w:r>
    </w:p>
    <w:p w14:paraId="4E6DF896">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9C696CF">
      <w:pPr>
        <w:spacing w:line="48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（15）法律法规规定的其他情形。</w:t>
      </w:r>
    </w:p>
    <w:p w14:paraId="48314501">
      <w:pPr>
        <w:spacing w:line="48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现文：</w:t>
      </w:r>
      <w:r>
        <w:rPr>
          <w:rFonts w:hint="eastAsia" w:ascii="宋体" w:hAnsi="宋体" w:eastAsia="宋体" w:cs="宋体"/>
          <w:color w:val="auto"/>
          <w:sz w:val="24"/>
          <w:szCs w:val="24"/>
          <w:highlight w:val="none"/>
        </w:rPr>
        <w:t>1.4.3 投标人不得存在下列情形之一</w:t>
      </w:r>
      <w:r>
        <w:rPr>
          <w:rFonts w:hint="eastAsia" w:ascii="宋体" w:hAnsi="宋体" w:eastAsia="宋体" w:cs="宋体"/>
          <w:color w:val="auto"/>
          <w:sz w:val="24"/>
          <w:szCs w:val="24"/>
          <w:highlight w:val="none"/>
          <w:u w:val="none"/>
          <w:lang w:eastAsia="zh-CN"/>
        </w:rPr>
        <w:t>：</w:t>
      </w:r>
    </w:p>
    <w:p w14:paraId="409704C5">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（1）为招标人不具有独立法人资格的附属机构（单位）；</w:t>
      </w:r>
    </w:p>
    <w:p w14:paraId="08B4AF60">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（2）与招标人存在利害关系且可能影响招标公正性；</w:t>
      </w:r>
    </w:p>
    <w:p w14:paraId="4E321C5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（3）与本招标项目的其他投标人为同一个单位负责人；</w:t>
      </w:r>
    </w:p>
    <w:p w14:paraId="39B2C06C">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（4）与本招标项目的其他投标人存在控股、管理关系；</w:t>
      </w:r>
    </w:p>
    <w:p w14:paraId="171FD5E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（5）为本招标项目的代建人；</w:t>
      </w:r>
    </w:p>
    <w:p w14:paraId="740CD3A0">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（6）为本招标项目的招标代理机构；</w:t>
      </w:r>
    </w:p>
    <w:p w14:paraId="47E8F74D">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（7）与本招标项目的代建人或招标代理机构同为一个法定代表人；</w:t>
      </w:r>
    </w:p>
    <w:p w14:paraId="05C92797">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（8）与本招标项目的代建人或招标代理机构存在控股或参股关系；</w:t>
      </w:r>
    </w:p>
    <w:p w14:paraId="090AD07C">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（9）与本招标项目的检测机构、建设、施工单位以及建筑材料、建筑构配件和设备供应商有隶属关系或者其他利害关系有隶属关系或者其他利害关系；</w:t>
      </w:r>
    </w:p>
    <w:p w14:paraId="5CED0F10">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（10）被依法暂停或者取消投标资格；</w:t>
      </w:r>
    </w:p>
    <w:p w14:paraId="7D4ED9E8">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0F08D9D3">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2F08AE53">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（13）进入清算程序，或被宣布破产，或其他丧失履约能力的情形；</w:t>
      </w:r>
    </w:p>
    <w:p w14:paraId="60B4FCE7">
      <w:pPr>
        <w:spacing w:line="48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s="宋体"/>
          <w:color w:val="auto"/>
          <w:sz w:val="24"/>
          <w:szCs w:val="24"/>
          <w:highlight w:val="none"/>
          <w:u w:val="none"/>
          <w:lang w:eastAsia="zh-CN"/>
        </w:rPr>
        <w:t>；</w:t>
      </w:r>
    </w:p>
    <w:p w14:paraId="65663E9B">
      <w:pPr>
        <w:pBdr>
          <w:bottom w:val="single" w:color="auto" w:sz="6" w:space="1"/>
        </w:pBdr>
        <w:spacing w:line="48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（15）被最高人民法院在“信用中国”网站（www.creditchina.gov.cn）或“信用广州”网站或各级信用信息共享平台中列入失信被执行人名单（黑名单）；</w:t>
      </w:r>
    </w:p>
    <w:p w14:paraId="5E428D14">
      <w:pPr>
        <w:pBdr>
          <w:bottom w:val="single" w:color="auto" w:sz="6" w:space="1"/>
        </w:pBdr>
        <w:spacing w:line="48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（16）在近三年内投标人或其法定代表人、拟委任的总监理工程师有行贿犯罪行为的；</w:t>
      </w:r>
    </w:p>
    <w:p w14:paraId="01FFB050">
      <w:pPr>
        <w:pBdr>
          <w:bottom w:val="single" w:color="auto" w:sz="6" w:space="1"/>
        </w:pBdr>
        <w:spacing w:line="48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）法律法规规定的其他情形</w:t>
      </w:r>
      <w:r>
        <w:rPr>
          <w:rFonts w:hint="eastAsia" w:ascii="宋体" w:hAnsi="宋体" w:eastAsia="宋体" w:cs="宋体"/>
          <w:color w:val="auto"/>
          <w:sz w:val="24"/>
          <w:szCs w:val="24"/>
          <w:highlight w:val="none"/>
          <w:u w:val="single"/>
          <w:lang w:eastAsia="zh-CN"/>
        </w:rPr>
        <w:t>。</w:t>
      </w:r>
    </w:p>
    <w:p w14:paraId="5F8CB5C4">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条款号：3.1.1              修改类型：修改</w:t>
      </w:r>
    </w:p>
    <w:p w14:paraId="70FD3A7B">
      <w:pPr>
        <w:spacing w:line="48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b w:val="0"/>
          <w:bCs w:val="0"/>
          <w:color w:val="auto"/>
          <w:sz w:val="24"/>
          <w:szCs w:val="24"/>
          <w:highlight w:val="none"/>
        </w:rPr>
        <w:t>3.1.1 投标文件应包括下列内容：</w:t>
      </w:r>
    </w:p>
    <w:p w14:paraId="53D4BAAC">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（1）投标函及投标函附录；</w:t>
      </w:r>
    </w:p>
    <w:p w14:paraId="20F4C517">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（2）法定代表人身份证明或授权委托书；</w:t>
      </w:r>
    </w:p>
    <w:p w14:paraId="63EF451A">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（3）联合体协议书；</w:t>
      </w:r>
    </w:p>
    <w:p w14:paraId="4D2F280A">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（4）投标保证金；</w:t>
      </w:r>
    </w:p>
    <w:p w14:paraId="292A8C40">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（5）监理报酬清单；</w:t>
      </w:r>
    </w:p>
    <w:p w14:paraId="221C7AC3">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（6）资格审查资料；</w:t>
      </w:r>
    </w:p>
    <w:p w14:paraId="0129A382">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（7）监理大纲；</w:t>
      </w:r>
    </w:p>
    <w:p w14:paraId="6902F743">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（8）投标人须知前附表规定的其他资料。投标人在评标过程中作出的符合法律法规和招标文件规定的澄清确认，构成投标文件的组成部分。</w:t>
      </w:r>
    </w:p>
    <w:p w14:paraId="22E61BE9">
      <w:pPr>
        <w:spacing w:line="48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现文：</w:t>
      </w:r>
      <w:r>
        <w:rPr>
          <w:rFonts w:hint="eastAsia" w:ascii="宋体" w:hAnsi="宋体" w:eastAsia="宋体" w:cs="宋体"/>
          <w:b w:val="0"/>
          <w:bCs w:val="0"/>
          <w:color w:val="auto"/>
          <w:sz w:val="24"/>
          <w:szCs w:val="24"/>
          <w:highlight w:val="none"/>
        </w:rPr>
        <w:t>3.1.1 投标文件应包括下列内容：</w:t>
      </w:r>
    </w:p>
    <w:p w14:paraId="33CC4418">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（1）投标函及投标函附录；</w:t>
      </w:r>
    </w:p>
    <w:p w14:paraId="6ECC3DEB">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（2）法定代表人身份证明或授权委托书；</w:t>
      </w:r>
    </w:p>
    <w:p w14:paraId="05606881">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）监理报酬清单；</w:t>
      </w:r>
    </w:p>
    <w:p w14:paraId="06C3A26B">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）资格审查资料；</w:t>
      </w:r>
    </w:p>
    <w:p w14:paraId="51B3FBB0">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）监理大纲；</w:t>
      </w:r>
    </w:p>
    <w:p w14:paraId="7B43449F">
      <w:pPr>
        <w:pBdr>
          <w:bottom w:val="single" w:color="auto" w:sz="6" w:space="1"/>
        </w:pBdr>
        <w:spacing w:line="480" w:lineRule="auto"/>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其他资料</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rPr>
        <w:t>投标人在评标过程中作出的符合法律法规和招标文件规定的澄清确认，构成投标文件的组成部分</w:t>
      </w:r>
      <w:r>
        <w:rPr>
          <w:rFonts w:hint="eastAsia" w:ascii="宋体" w:hAnsi="宋体" w:eastAsia="宋体" w:cs="宋体"/>
          <w:b w:val="0"/>
          <w:bCs w:val="0"/>
          <w:color w:val="auto"/>
          <w:sz w:val="24"/>
          <w:szCs w:val="24"/>
          <w:highlight w:val="none"/>
          <w:lang w:eastAsia="zh-CN"/>
        </w:rPr>
        <w:t>。</w:t>
      </w:r>
    </w:p>
    <w:p w14:paraId="15145814">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r>
        <w:rPr>
          <w:rFonts w:hint="eastAsia" w:ascii="宋体" w:hAnsi="宋体" w:cs="宋体"/>
          <w:b/>
          <w:bCs/>
          <w:color w:val="auto"/>
          <w:sz w:val="24"/>
          <w:szCs w:val="24"/>
          <w:highlight w:val="none"/>
          <w:lang w:val="en-US" w:eastAsia="zh-CN"/>
        </w:rPr>
        <w:t>3.2.1</w:t>
      </w:r>
      <w:r>
        <w:rPr>
          <w:rFonts w:hint="eastAsia" w:ascii="宋体" w:hAnsi="宋体" w:eastAsia="宋体" w:cs="宋体"/>
          <w:b/>
          <w:bCs/>
          <w:color w:val="auto"/>
          <w:sz w:val="24"/>
          <w:szCs w:val="24"/>
          <w:highlight w:val="none"/>
        </w:rPr>
        <w:t xml:space="preserve">             修改类型：修改</w:t>
      </w:r>
    </w:p>
    <w:p w14:paraId="0BDFBDEB">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b w:val="0"/>
          <w:bCs w:val="0"/>
          <w:color w:val="auto"/>
          <w:sz w:val="24"/>
          <w:szCs w:val="24"/>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14:paraId="44A28CBB">
      <w:pPr>
        <w:pBdr>
          <w:bottom w:val="single" w:color="auto" w:sz="6" w:space="1"/>
        </w:pBdr>
        <w:spacing w:line="48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现文：</w:t>
      </w:r>
      <w:r>
        <w:rPr>
          <w:rFonts w:hint="eastAsia" w:ascii="宋体" w:hAnsi="宋体" w:eastAsia="宋体" w:cs="宋体"/>
          <w:b w:val="0"/>
          <w:bCs w:val="0"/>
          <w:color w:val="auto"/>
          <w:sz w:val="24"/>
          <w:szCs w:val="24"/>
          <w:highlight w:val="none"/>
        </w:rPr>
        <w:t>3.2.1 投标报价应包括国家规定的增值税税金，除投标人须知前附表另有规定外，增值税税金按一般计税方法计算。投标人应按第六章“投标文件格式”的要求在投标函</w:t>
      </w:r>
      <w:r>
        <w:rPr>
          <w:rFonts w:hint="eastAsia" w:ascii="宋体" w:hAnsi="宋体" w:eastAsia="宋体" w:cs="宋体"/>
          <w:b w:val="0"/>
          <w:bCs w:val="0"/>
          <w:color w:val="auto"/>
          <w:sz w:val="24"/>
          <w:szCs w:val="24"/>
          <w:highlight w:val="none"/>
          <w:u w:val="single"/>
        </w:rPr>
        <w:t>及投标函附录</w:t>
      </w:r>
      <w:r>
        <w:rPr>
          <w:rFonts w:hint="eastAsia" w:ascii="宋体" w:hAnsi="宋体" w:eastAsia="宋体" w:cs="宋体"/>
          <w:b w:val="0"/>
          <w:bCs w:val="0"/>
          <w:color w:val="auto"/>
          <w:sz w:val="24"/>
          <w:szCs w:val="24"/>
          <w:highlight w:val="none"/>
        </w:rPr>
        <w:t>中进行报价并填写监理报酬清单。</w:t>
      </w:r>
    </w:p>
    <w:p w14:paraId="71FF708B">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r>
        <w:rPr>
          <w:rFonts w:hint="eastAsia" w:ascii="宋体" w:hAnsi="宋体" w:cs="宋体"/>
          <w:b/>
          <w:bCs/>
          <w:color w:val="auto"/>
          <w:sz w:val="24"/>
          <w:szCs w:val="24"/>
          <w:highlight w:val="none"/>
          <w:lang w:val="en-US" w:eastAsia="zh-CN"/>
        </w:rPr>
        <w:t>3.2.3</w:t>
      </w:r>
      <w:r>
        <w:rPr>
          <w:rFonts w:hint="eastAsia" w:ascii="宋体" w:hAnsi="宋体" w:eastAsia="宋体" w:cs="宋体"/>
          <w:b/>
          <w:bCs/>
          <w:color w:val="auto"/>
          <w:sz w:val="24"/>
          <w:szCs w:val="24"/>
          <w:highlight w:val="none"/>
        </w:rPr>
        <w:t xml:space="preserve">             修改类型：修改</w:t>
      </w:r>
    </w:p>
    <w:p w14:paraId="7055EC4B">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b w:val="0"/>
          <w:bCs w:val="0"/>
          <w:color w:val="auto"/>
          <w:sz w:val="24"/>
          <w:szCs w:val="24"/>
          <w:highlight w:val="none"/>
        </w:rPr>
        <w:t>3.2.3 本项目的报价方式见投标人须知前附表。投标人在投标截止时间前修改投标函中的投标报价总额，应同时修改投标文件“监理报酬清单”中的相应报价。此修改须符合本章第4.3款的有关要求。</w:t>
      </w:r>
    </w:p>
    <w:p w14:paraId="780071AA">
      <w:pPr>
        <w:pBdr>
          <w:bottom w:val="single" w:color="auto" w:sz="6" w:space="1"/>
        </w:pBdr>
        <w:spacing w:line="48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现文：</w:t>
      </w:r>
      <w:r>
        <w:rPr>
          <w:rFonts w:hint="eastAsia" w:ascii="宋体" w:hAnsi="宋体" w:eastAsia="宋体" w:cs="宋体"/>
          <w:b w:val="0"/>
          <w:bCs w:val="0"/>
          <w:color w:val="auto"/>
          <w:sz w:val="24"/>
          <w:szCs w:val="24"/>
          <w:highlight w:val="none"/>
        </w:rPr>
        <w:t>3.2.3 本项目的报价方式见投标人须知前附表。投标人在投标截止时间前修改投标函</w:t>
      </w:r>
      <w:r>
        <w:rPr>
          <w:rFonts w:hint="eastAsia" w:ascii="宋体" w:hAnsi="宋体" w:eastAsia="宋体" w:cs="宋体"/>
          <w:b w:val="0"/>
          <w:bCs w:val="0"/>
          <w:color w:val="auto"/>
          <w:sz w:val="24"/>
          <w:szCs w:val="24"/>
          <w:highlight w:val="none"/>
          <w:u w:val="single"/>
        </w:rPr>
        <w:t>及投标函附录</w:t>
      </w:r>
      <w:r>
        <w:rPr>
          <w:rFonts w:hint="eastAsia" w:ascii="宋体" w:hAnsi="宋体" w:eastAsia="宋体" w:cs="宋体"/>
          <w:b w:val="0"/>
          <w:bCs w:val="0"/>
          <w:color w:val="auto"/>
          <w:sz w:val="24"/>
          <w:szCs w:val="24"/>
          <w:highlight w:val="none"/>
        </w:rPr>
        <w:t>中的投标报价总额，应同时修改投标文件“监理报酬清单”中的相应报价。此修改须符合本章第4.3款的有关要求。</w:t>
      </w:r>
    </w:p>
    <w:p w14:paraId="653C8183">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r>
        <w:rPr>
          <w:rFonts w:hint="eastAsia" w:ascii="宋体" w:hAnsi="宋体" w:cs="宋体"/>
          <w:b/>
          <w:bCs/>
          <w:color w:val="auto"/>
          <w:sz w:val="24"/>
          <w:szCs w:val="24"/>
          <w:highlight w:val="none"/>
          <w:lang w:val="en-US" w:eastAsia="zh-CN"/>
        </w:rPr>
        <w:t>3.3.3</w:t>
      </w:r>
      <w:r>
        <w:rPr>
          <w:rFonts w:hint="eastAsia" w:ascii="宋体" w:hAnsi="宋体" w:eastAsia="宋体" w:cs="宋体"/>
          <w:b/>
          <w:bCs/>
          <w:color w:val="auto"/>
          <w:sz w:val="24"/>
          <w:szCs w:val="24"/>
          <w:highlight w:val="none"/>
        </w:rPr>
        <w:t xml:space="preserve">             修改类型：修改</w:t>
      </w:r>
    </w:p>
    <w:p w14:paraId="1A31865B">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b w:val="0"/>
          <w:bCs w:val="0"/>
          <w:color w:val="auto"/>
          <w:sz w:val="24"/>
          <w:szCs w:val="24"/>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7B44F1A0">
      <w:pPr>
        <w:pBdr>
          <w:bottom w:val="single" w:color="auto" w:sz="6" w:space="1"/>
        </w:pBdr>
        <w:spacing w:line="48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现文：</w:t>
      </w:r>
      <w:r>
        <w:rPr>
          <w:rFonts w:hint="eastAsia" w:ascii="宋体" w:hAnsi="宋体" w:eastAsia="宋体" w:cs="宋体"/>
          <w:b w:val="0"/>
          <w:bCs w:val="0"/>
          <w:color w:val="auto"/>
          <w:sz w:val="24"/>
          <w:szCs w:val="24"/>
          <w:highlight w:val="none"/>
        </w:rPr>
        <w:t>3.3.3 出现特殊情况需要延长投标有效期的，招标人以书面形式通知所有投标人延长投标有效期。投标人应予以书面答复，同意延长的，</w:t>
      </w:r>
      <w:r>
        <w:rPr>
          <w:rFonts w:hint="eastAsia" w:ascii="宋体" w:hAnsi="宋体" w:eastAsia="宋体" w:cs="宋体"/>
          <w:b w:val="0"/>
          <w:bCs w:val="0"/>
          <w:strike/>
          <w:color w:val="auto"/>
          <w:sz w:val="24"/>
          <w:szCs w:val="24"/>
          <w:highlight w:val="none"/>
        </w:rPr>
        <w:t>应相应延长其投标保证金的有效期，但</w:t>
      </w:r>
      <w:r>
        <w:rPr>
          <w:rFonts w:hint="eastAsia" w:ascii="宋体" w:hAnsi="宋体" w:eastAsia="宋体" w:cs="宋体"/>
          <w:b w:val="0"/>
          <w:bCs w:val="0"/>
          <w:color w:val="auto"/>
          <w:sz w:val="24"/>
          <w:szCs w:val="24"/>
          <w:highlight w:val="none"/>
        </w:rPr>
        <w:t>不得要求或被允许修改其投标文件；投标人拒绝延长的，其投标失效</w:t>
      </w:r>
      <w:r>
        <w:rPr>
          <w:rFonts w:hint="eastAsia" w:ascii="宋体" w:hAnsi="宋体" w:eastAsia="宋体" w:cs="宋体"/>
          <w:b w:val="0"/>
          <w:bCs w:val="0"/>
          <w:strike/>
          <w:color w:val="auto"/>
          <w:sz w:val="24"/>
          <w:szCs w:val="24"/>
          <w:highlight w:val="none"/>
        </w:rPr>
        <w:t>，但投标人有权收回其投标保证金及以现金或者支票形式递交的投标保证金的银行同期存款利息。</w:t>
      </w:r>
    </w:p>
    <w:p w14:paraId="4CB4F61C">
      <w:pPr>
        <w:spacing w:line="480" w:lineRule="auto"/>
        <w:ind w:firstLine="540" w:firstLineChars="224"/>
        <w:rPr>
          <w:rFonts w:ascii="宋体" w:hAnsi="宋体"/>
          <w:b/>
          <w:bCs/>
          <w:highlight w:val="none"/>
        </w:rPr>
      </w:pPr>
      <w:r>
        <w:rPr>
          <w:rFonts w:ascii="宋体" w:hAnsi="宋体"/>
          <w:b/>
          <w:bCs/>
          <w:highlight w:val="none"/>
        </w:rPr>
        <w:t>条款号：3.4             修改类型：</w:t>
      </w:r>
      <w:r>
        <w:rPr>
          <w:rFonts w:hint="eastAsia" w:ascii="宋体" w:hAnsi="宋体"/>
          <w:b/>
          <w:bCs/>
          <w:highlight w:val="none"/>
        </w:rPr>
        <w:t>删除</w:t>
      </w:r>
    </w:p>
    <w:p w14:paraId="0E75CF86">
      <w:pPr>
        <w:pBdr>
          <w:bottom w:val="single" w:color="auto" w:sz="6" w:space="1"/>
        </w:pBdr>
        <w:spacing w:line="480" w:lineRule="auto"/>
        <w:ind w:firstLine="540" w:firstLineChars="224"/>
        <w:rPr>
          <w:rFonts w:ascii="宋体" w:hAnsi="宋体"/>
          <w:highlight w:val="none"/>
        </w:rPr>
      </w:pPr>
      <w:r>
        <w:rPr>
          <w:rFonts w:hint="eastAsia" w:ascii="宋体" w:hAnsi="宋体"/>
          <w:b/>
          <w:bCs/>
          <w:highlight w:val="none"/>
        </w:rPr>
        <w:t>原文：</w:t>
      </w:r>
      <w:r>
        <w:rPr>
          <w:rFonts w:hint="eastAsia" w:ascii="宋体" w:hAnsi="宋体"/>
          <w:highlight w:val="none"/>
        </w:rPr>
        <w:t>3.4  投标保证金</w:t>
      </w:r>
    </w:p>
    <w:p w14:paraId="627FBDA7">
      <w:pPr>
        <w:pBdr>
          <w:bottom w:val="single" w:color="auto" w:sz="6" w:space="1"/>
        </w:pBdr>
        <w:spacing w:line="480" w:lineRule="auto"/>
        <w:ind w:firstLine="537" w:firstLineChars="224"/>
        <w:rPr>
          <w:rFonts w:ascii="宋体" w:hAnsi="宋体"/>
          <w:highlight w:val="none"/>
        </w:rPr>
      </w:pPr>
      <w:r>
        <w:rPr>
          <w:rFonts w:hint="eastAsia" w:ascii="宋体" w:hAnsi="宋体"/>
          <w:highlight w:val="none"/>
        </w:rPr>
        <w:t xml:space="preserve">3.4.1 投标人应按投标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   </w:t>
      </w:r>
    </w:p>
    <w:p w14:paraId="0DA079E5">
      <w:pPr>
        <w:pBdr>
          <w:bottom w:val="single" w:color="auto" w:sz="6" w:space="1"/>
        </w:pBdr>
        <w:spacing w:line="480" w:lineRule="auto"/>
        <w:ind w:firstLine="537" w:firstLineChars="224"/>
        <w:rPr>
          <w:rFonts w:ascii="宋体" w:hAnsi="宋体"/>
          <w:highlight w:val="none"/>
        </w:rPr>
      </w:pPr>
      <w:r>
        <w:rPr>
          <w:rFonts w:hint="eastAsia" w:ascii="宋体" w:hAnsi="宋体"/>
          <w:highlight w:val="none"/>
        </w:rPr>
        <w:t>3.4.2 开标时投标人没有按要求提交投标保证金的，其投标文件将被否决。</w:t>
      </w:r>
    </w:p>
    <w:p w14:paraId="7DC2B43E">
      <w:pPr>
        <w:pBdr>
          <w:bottom w:val="single" w:color="auto" w:sz="6" w:space="1"/>
        </w:pBdr>
        <w:spacing w:line="480" w:lineRule="auto"/>
        <w:ind w:firstLine="537" w:firstLineChars="224"/>
        <w:rPr>
          <w:rFonts w:ascii="宋体" w:hAnsi="宋体"/>
          <w:highlight w:val="none"/>
        </w:rPr>
      </w:pPr>
      <w:r>
        <w:rPr>
          <w:rFonts w:hint="eastAsia" w:ascii="宋体" w:hAnsi="宋体"/>
          <w:highlight w:val="none"/>
        </w:rPr>
        <w:t>3.4.3 中标候选人以外的投标人的投标保证金将尽快退还，最迟不超过中标通知书发出之日起五日内；中标人和其他中标候选人的投标保证金，在书面合同订立之日起五日内予以退还。</w:t>
      </w:r>
    </w:p>
    <w:p w14:paraId="600A34FD">
      <w:pPr>
        <w:pBdr>
          <w:bottom w:val="single" w:color="auto" w:sz="6" w:space="1"/>
        </w:pBdr>
        <w:spacing w:line="480" w:lineRule="auto"/>
        <w:ind w:firstLine="537" w:firstLineChars="224"/>
        <w:rPr>
          <w:rFonts w:ascii="宋体" w:hAnsi="宋体"/>
          <w:highlight w:val="none"/>
        </w:rPr>
      </w:pPr>
      <w:r>
        <w:rPr>
          <w:rFonts w:hint="eastAsia" w:ascii="宋体" w:hAnsi="宋体"/>
          <w:highlight w:val="none"/>
        </w:rPr>
        <w:t>3.4.4 有下列情形之一的，投标保证金将不予退还：</w:t>
      </w:r>
    </w:p>
    <w:p w14:paraId="4E27280A">
      <w:pPr>
        <w:pBdr>
          <w:bottom w:val="single" w:color="auto" w:sz="6" w:space="1"/>
        </w:pBdr>
        <w:spacing w:line="480" w:lineRule="auto"/>
        <w:ind w:firstLine="537" w:firstLineChars="224"/>
        <w:rPr>
          <w:rFonts w:ascii="宋体" w:hAnsi="宋体"/>
          <w:highlight w:val="none"/>
        </w:rPr>
      </w:pPr>
      <w:r>
        <w:rPr>
          <w:rFonts w:hint="eastAsia" w:ascii="宋体" w:hAnsi="宋体"/>
          <w:highlight w:val="none"/>
        </w:rPr>
        <w:t>(1) 投标人在规定的投标有效期内撤销其投标文件；</w:t>
      </w:r>
    </w:p>
    <w:p w14:paraId="0ECFA04C">
      <w:pPr>
        <w:pBdr>
          <w:bottom w:val="single" w:color="auto" w:sz="6" w:space="1"/>
        </w:pBdr>
        <w:spacing w:line="480" w:lineRule="auto"/>
        <w:ind w:firstLine="537" w:firstLineChars="224"/>
        <w:rPr>
          <w:rFonts w:ascii="宋体" w:hAnsi="宋体"/>
          <w:highlight w:val="none"/>
        </w:rPr>
      </w:pPr>
      <w:r>
        <w:rPr>
          <w:rFonts w:hint="eastAsia" w:ascii="宋体" w:hAnsi="宋体"/>
          <w:highlight w:val="none"/>
        </w:rPr>
        <w:t>(2) 中标人在收到中标通知书后，无正当理由不与招标人订立合同，在签订合同时向招标 人提出附加条件，或者不按照招标文件要求提交履约保证金。</w:t>
      </w:r>
    </w:p>
    <w:p w14:paraId="0B11A7D8">
      <w:pPr>
        <w:spacing w:line="480" w:lineRule="auto"/>
        <w:ind w:firstLine="537" w:firstLineChars="224"/>
        <w:rPr>
          <w:rFonts w:ascii="宋体" w:hAnsi="宋体"/>
          <w:highlight w:val="none"/>
        </w:rPr>
      </w:pPr>
      <w:r>
        <w:rPr>
          <w:rFonts w:ascii="宋体" w:hAnsi="宋体"/>
          <w:highlight w:val="none"/>
        </w:rPr>
        <w:t>条款号：3.7.4             修改类型：删除</w:t>
      </w:r>
    </w:p>
    <w:p w14:paraId="61F54E7F">
      <w:pPr>
        <w:pBdr>
          <w:bottom w:val="single" w:color="auto" w:sz="6" w:space="1"/>
        </w:pBdr>
        <w:spacing w:line="480" w:lineRule="auto"/>
        <w:ind w:firstLine="537" w:firstLineChars="224"/>
        <w:rPr>
          <w:rFonts w:ascii="宋体" w:hAnsi="宋体"/>
          <w:highlight w:val="none"/>
        </w:rPr>
      </w:pPr>
      <w:r>
        <w:rPr>
          <w:rFonts w:ascii="宋体" w:hAnsi="宋体"/>
          <w:highlight w:val="none"/>
        </w:rPr>
        <w:t>原文：</w:t>
      </w:r>
      <w:r>
        <w:rPr>
          <w:rFonts w:hint="eastAsia" w:ascii="宋体" w:hAnsi="宋体"/>
          <w:highlight w:val="none"/>
        </w:rPr>
        <w:t>3.7.4 联合体投标时，投标人封面及其他内容落款中的“投标人”应填写联合体各方的单位全称【格式为：（主）XXXX公司（成）XXXX公司】。除联合体共同投标协议需联合体各方按要求共同盖章签字，其余可由联合体主办方签字、盖章即可，由联合体主办方法人签字的电子投标文件需提供主办方法定代表人证明书，若由联合体主办方法定代表人授权签字的电子投标文件需提供法定代表人证明书及其授权委托书、授权委托人身份证扫描件。</w:t>
      </w:r>
    </w:p>
    <w:p w14:paraId="6EC48FDF">
      <w:pPr>
        <w:spacing w:line="480" w:lineRule="auto"/>
        <w:ind w:firstLine="537" w:firstLineChars="224"/>
        <w:rPr>
          <w:rFonts w:ascii="宋体" w:hAnsi="宋体"/>
          <w:highlight w:val="none"/>
        </w:rPr>
      </w:pPr>
      <w:r>
        <w:rPr>
          <w:rFonts w:ascii="宋体" w:hAnsi="宋体"/>
          <w:highlight w:val="none"/>
        </w:rPr>
        <w:t>条款号：</w:t>
      </w:r>
      <w:r>
        <w:rPr>
          <w:rFonts w:hint="eastAsia" w:ascii="宋体" w:hAnsi="宋体"/>
          <w:highlight w:val="none"/>
        </w:rPr>
        <w:t>7.5.2</w:t>
      </w:r>
      <w:r>
        <w:rPr>
          <w:rFonts w:ascii="宋体" w:hAnsi="宋体"/>
          <w:highlight w:val="none"/>
        </w:rPr>
        <w:t xml:space="preserve">             修改类型：</w:t>
      </w:r>
      <w:r>
        <w:rPr>
          <w:rFonts w:hint="eastAsia" w:ascii="宋体" w:hAnsi="宋体"/>
          <w:highlight w:val="none"/>
        </w:rPr>
        <w:t>修改</w:t>
      </w:r>
    </w:p>
    <w:p w14:paraId="365A6F28">
      <w:pPr>
        <w:spacing w:line="480" w:lineRule="auto"/>
        <w:ind w:firstLine="537" w:firstLineChars="224"/>
        <w:rPr>
          <w:rFonts w:ascii="宋体" w:hAnsi="宋体"/>
          <w:highlight w:val="none"/>
        </w:rPr>
      </w:pPr>
      <w:r>
        <w:rPr>
          <w:rFonts w:hint="eastAsia" w:ascii="宋体" w:hAnsi="宋体"/>
          <w:highlight w:val="none"/>
        </w:rPr>
        <w:t>原文：7.5.2 中标通知书发出前，中标人应未被纳入失信联合惩戒名单，否则招标人将取消其中标资格。失信联合惩戒名单以“信用广州”网站公布的“黑名单”为准。</w:t>
      </w:r>
    </w:p>
    <w:p w14:paraId="224A065A">
      <w:pPr>
        <w:pBdr>
          <w:bottom w:val="single" w:color="auto" w:sz="6" w:space="1"/>
        </w:pBdr>
        <w:spacing w:line="480" w:lineRule="auto"/>
        <w:ind w:firstLine="537" w:firstLineChars="224"/>
        <w:rPr>
          <w:rFonts w:ascii="宋体" w:hAnsi="宋体"/>
          <w:highlight w:val="none"/>
        </w:rPr>
      </w:pPr>
      <w:r>
        <w:rPr>
          <w:rFonts w:hint="eastAsia" w:ascii="宋体" w:hAnsi="宋体"/>
          <w:highlight w:val="none"/>
        </w:rPr>
        <w:t>现文：7.5.2 中标通知书发出前，中标人应未被纳入失信联合惩戒名单，否则招标人将取消其中标资格，招标人可以按照评标委员会提出的中标候选人名单排序依次确定其他中标候选人为中标人。失信联合惩戒名单以“信用广州”网站公布的“黑名单”为准。</w:t>
      </w:r>
    </w:p>
    <w:p w14:paraId="75D9D873">
      <w:pPr>
        <w:spacing w:line="480" w:lineRule="auto"/>
        <w:ind w:firstLine="537" w:firstLineChars="224"/>
        <w:rPr>
          <w:rFonts w:ascii="宋体" w:hAnsi="宋体"/>
          <w:highlight w:val="none"/>
        </w:rPr>
      </w:pPr>
      <w:r>
        <w:rPr>
          <w:rFonts w:ascii="宋体" w:hAnsi="宋体"/>
          <w:highlight w:val="none"/>
        </w:rPr>
        <w:t>条款号：</w:t>
      </w:r>
      <w:r>
        <w:rPr>
          <w:rFonts w:hint="eastAsia" w:ascii="宋体" w:hAnsi="宋体"/>
          <w:highlight w:val="none"/>
        </w:rPr>
        <w:t>7.6</w:t>
      </w:r>
      <w:r>
        <w:rPr>
          <w:rFonts w:ascii="宋体" w:hAnsi="宋体"/>
          <w:highlight w:val="none"/>
        </w:rPr>
        <w:t xml:space="preserve">             修改类型：</w:t>
      </w:r>
      <w:r>
        <w:rPr>
          <w:rFonts w:hint="eastAsia" w:ascii="宋体" w:hAnsi="宋体"/>
          <w:highlight w:val="none"/>
        </w:rPr>
        <w:t>修改</w:t>
      </w:r>
    </w:p>
    <w:p w14:paraId="3B1E5F2F">
      <w:pPr>
        <w:spacing w:line="480" w:lineRule="auto"/>
        <w:ind w:firstLine="537" w:firstLineChars="224"/>
        <w:rPr>
          <w:rFonts w:ascii="宋体" w:hAnsi="宋体"/>
          <w:highlight w:val="none"/>
        </w:rPr>
      </w:pPr>
      <w:r>
        <w:rPr>
          <w:rFonts w:hint="eastAsia" w:ascii="宋体" w:hAnsi="宋体"/>
          <w:highlight w:val="none"/>
        </w:rPr>
        <w:t xml:space="preserve">原文：7.6.1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主办方的名义提交。 </w:t>
      </w:r>
    </w:p>
    <w:p w14:paraId="3BE1872F">
      <w:pPr>
        <w:spacing w:line="480" w:lineRule="auto"/>
        <w:ind w:firstLine="537" w:firstLineChars="224"/>
        <w:rPr>
          <w:rFonts w:ascii="宋体" w:hAnsi="宋体"/>
          <w:highlight w:val="none"/>
        </w:rPr>
      </w:pPr>
      <w:r>
        <w:rPr>
          <w:rFonts w:hint="eastAsia" w:ascii="宋体" w:hAnsi="宋体"/>
          <w:highlight w:val="none"/>
        </w:rPr>
        <w:t>7.6.2 中标人不能按本章第 7.6.1 项要求提交履约保证金的，视为放弃中标，其投标保证金不予退还，给招标人造成的损失超过投标保证金数额的， 中标人还应当对超过部分予以赔偿。</w:t>
      </w:r>
    </w:p>
    <w:p w14:paraId="56471918">
      <w:pPr>
        <w:spacing w:line="480" w:lineRule="auto"/>
        <w:ind w:firstLine="537" w:firstLineChars="224"/>
        <w:rPr>
          <w:rFonts w:ascii="宋体" w:hAnsi="宋体"/>
          <w:highlight w:val="none"/>
        </w:rPr>
      </w:pPr>
      <w:r>
        <w:rPr>
          <w:rFonts w:hint="eastAsia" w:ascii="宋体" w:hAnsi="宋体"/>
          <w:highlight w:val="none"/>
        </w:rPr>
        <w:t>现文：7.6.1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r>
        <w:rPr>
          <w:rFonts w:hint="eastAsia" w:ascii="宋体" w:hAnsi="宋体"/>
          <w:strike/>
          <w:highlight w:val="none"/>
        </w:rPr>
        <w:t>联合体中标的，其履约保证金以联合体各方或者联合体中主办方的名义提交。</w:t>
      </w:r>
    </w:p>
    <w:p w14:paraId="09535969">
      <w:pPr>
        <w:pBdr>
          <w:bottom w:val="single" w:color="auto" w:sz="6" w:space="1"/>
        </w:pBdr>
        <w:spacing w:line="480" w:lineRule="auto"/>
        <w:ind w:firstLine="537" w:firstLineChars="224"/>
        <w:rPr>
          <w:rFonts w:ascii="宋体" w:hAnsi="宋体"/>
          <w:highlight w:val="none"/>
        </w:rPr>
      </w:pPr>
      <w:r>
        <w:rPr>
          <w:rFonts w:hint="eastAsia" w:ascii="宋体" w:hAnsi="宋体"/>
          <w:highlight w:val="none"/>
        </w:rPr>
        <w:t>7.6.2 中标人不能按本章第 7.6.1 项要求提交履约保证金的，视为放弃中标，</w:t>
      </w:r>
      <w:r>
        <w:rPr>
          <w:rFonts w:hint="eastAsia" w:ascii="宋体" w:hAnsi="宋体"/>
          <w:strike/>
          <w:highlight w:val="none"/>
        </w:rPr>
        <w:t>其投标保证金不予退还，给招标人造成的损失超过投标保证金数额的，</w:t>
      </w:r>
      <w:r>
        <w:rPr>
          <w:rFonts w:hint="eastAsia" w:ascii="宋体" w:hAnsi="宋体"/>
          <w:highlight w:val="none"/>
        </w:rPr>
        <w:t>中标人还应当对超过部分予以赔偿。</w:t>
      </w:r>
    </w:p>
    <w:p w14:paraId="2A697C4A">
      <w:pPr>
        <w:spacing w:line="480" w:lineRule="auto"/>
        <w:ind w:firstLine="537" w:firstLineChars="224"/>
        <w:rPr>
          <w:rFonts w:ascii="宋体" w:hAnsi="宋体"/>
          <w:highlight w:val="none"/>
        </w:rPr>
      </w:pPr>
      <w:r>
        <w:rPr>
          <w:rFonts w:ascii="宋体" w:hAnsi="宋体"/>
          <w:highlight w:val="none"/>
        </w:rPr>
        <w:t>条款号：</w:t>
      </w:r>
      <w:r>
        <w:rPr>
          <w:rFonts w:hint="eastAsia" w:ascii="宋体" w:hAnsi="宋体"/>
          <w:highlight w:val="none"/>
        </w:rPr>
        <w:t>7.7</w:t>
      </w:r>
      <w:r>
        <w:rPr>
          <w:rFonts w:ascii="宋体" w:hAnsi="宋体"/>
          <w:highlight w:val="none"/>
        </w:rPr>
        <w:t xml:space="preserve">             修改类型：</w:t>
      </w:r>
      <w:r>
        <w:rPr>
          <w:rFonts w:hint="eastAsia" w:ascii="宋体" w:hAnsi="宋体"/>
          <w:highlight w:val="none"/>
        </w:rPr>
        <w:t>修改</w:t>
      </w:r>
    </w:p>
    <w:p w14:paraId="6B6994CB">
      <w:pPr>
        <w:pBdr>
          <w:bottom w:val="single" w:color="auto" w:sz="6" w:space="1"/>
        </w:pBdr>
        <w:spacing w:line="480" w:lineRule="auto"/>
        <w:ind w:firstLine="537" w:firstLineChars="224"/>
        <w:rPr>
          <w:rFonts w:ascii="宋体" w:hAnsi="宋体"/>
          <w:highlight w:val="none"/>
        </w:rPr>
      </w:pPr>
      <w:r>
        <w:rPr>
          <w:rFonts w:hint="eastAsia" w:ascii="宋体" w:hAnsi="宋体"/>
          <w:highlight w:val="none"/>
        </w:rPr>
        <w:t>原文：7.7.1 招标人和中标人应当在中标通知书发出之日起30日内，根据招标文件和中标人的投标文件订立书面合同，并通过电子交易系统与中标人在线签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7E3FBC0">
      <w:pPr>
        <w:pBdr>
          <w:bottom w:val="single" w:color="auto" w:sz="6" w:space="1"/>
        </w:pBdr>
        <w:spacing w:line="480" w:lineRule="auto"/>
        <w:ind w:firstLine="537" w:firstLineChars="224"/>
        <w:rPr>
          <w:rFonts w:ascii="宋体" w:hAnsi="宋体"/>
          <w:highlight w:val="none"/>
        </w:rPr>
      </w:pPr>
      <w:r>
        <w:rPr>
          <w:rFonts w:hint="eastAsia" w:ascii="宋体" w:hAnsi="宋体"/>
          <w:highlight w:val="none"/>
        </w:rPr>
        <w:t>7.7.2 发出中标通知书后，招标人无正当理由拒签合同，或者在签订合同时向中标人提出附加条件的，招标人向中标人退还投标保证金；给中标人造成损失的，还应当赔偿损失。</w:t>
      </w:r>
    </w:p>
    <w:p w14:paraId="5F61D42C">
      <w:pPr>
        <w:pBdr>
          <w:bottom w:val="single" w:color="auto" w:sz="6" w:space="1"/>
        </w:pBdr>
        <w:spacing w:line="480" w:lineRule="auto"/>
        <w:ind w:firstLine="537" w:firstLineChars="224"/>
        <w:rPr>
          <w:rFonts w:ascii="宋体" w:hAnsi="宋体"/>
          <w:highlight w:val="none"/>
        </w:rPr>
      </w:pPr>
      <w:r>
        <w:rPr>
          <w:rFonts w:hint="eastAsia" w:ascii="宋体" w:hAnsi="宋体"/>
          <w:highlight w:val="none"/>
        </w:rPr>
        <w:t>7.7.3 联合体中标的，联合体各方应当共同与招标人签订合同，就中标项目向招标人承担连带责任。</w:t>
      </w:r>
    </w:p>
    <w:p w14:paraId="5903876D">
      <w:pPr>
        <w:pBdr>
          <w:bottom w:val="single" w:color="auto" w:sz="6" w:space="1"/>
        </w:pBdr>
        <w:spacing w:line="480" w:lineRule="auto"/>
        <w:ind w:firstLine="537" w:firstLineChars="224"/>
        <w:rPr>
          <w:rFonts w:ascii="宋体" w:hAnsi="宋体"/>
          <w:highlight w:val="none"/>
        </w:rPr>
      </w:pPr>
      <w:r>
        <w:rPr>
          <w:rFonts w:hint="eastAsia" w:ascii="宋体" w:hAnsi="宋体"/>
          <w:highlight w:val="none"/>
        </w:rPr>
        <w:t>现文：7.7.1 招标人和中标人应当在中标通知书发出之日起30日内，根据招标文件和中标人的投标文件订立书面合同，并通过电子交易系统与中标人在线签订合同。中标人无正当理由拒签合同，在签订合同时向招标人提出附加条件，或者不按照招标文件要求提交履约保证金的，招标人有权取消其中标资格，</w:t>
      </w:r>
      <w:r>
        <w:rPr>
          <w:rFonts w:hint="eastAsia" w:ascii="宋体" w:hAnsi="宋体"/>
          <w:strike/>
          <w:highlight w:val="none"/>
        </w:rPr>
        <w:t>其投标保证金不予退还；给招标人造成的损失超过投标保证金数额的，</w:t>
      </w:r>
      <w:r>
        <w:rPr>
          <w:rFonts w:hint="eastAsia" w:ascii="宋体" w:hAnsi="宋体"/>
          <w:highlight w:val="none"/>
        </w:rPr>
        <w:t xml:space="preserve">中标人还应当对超过部分予以赔偿。 </w:t>
      </w:r>
    </w:p>
    <w:p w14:paraId="575571C4">
      <w:pPr>
        <w:pBdr>
          <w:bottom w:val="single" w:color="auto" w:sz="6" w:space="1"/>
        </w:pBdr>
        <w:spacing w:line="480" w:lineRule="auto"/>
        <w:ind w:firstLine="537" w:firstLineChars="224"/>
        <w:rPr>
          <w:rFonts w:ascii="宋体" w:hAnsi="宋体"/>
          <w:highlight w:val="none"/>
        </w:rPr>
      </w:pPr>
      <w:r>
        <w:rPr>
          <w:rFonts w:hint="eastAsia" w:ascii="宋体" w:hAnsi="宋体"/>
          <w:highlight w:val="none"/>
        </w:rPr>
        <w:t>7.7.2 发出中标通知书后，招标人无正当理由拒签合同，或者在签订合同时向中标人提出附加条件的</w:t>
      </w:r>
      <w:r>
        <w:rPr>
          <w:rFonts w:hint="eastAsia" w:ascii="宋体" w:hAnsi="宋体"/>
          <w:strike/>
          <w:highlight w:val="none"/>
        </w:rPr>
        <w:t>，招标人向中标人退还投标保证金</w:t>
      </w:r>
      <w:r>
        <w:rPr>
          <w:rFonts w:hint="eastAsia" w:ascii="宋体" w:hAnsi="宋体"/>
          <w:highlight w:val="none"/>
        </w:rPr>
        <w:t>；给中标人造成损失的，还应当赔偿损失。</w:t>
      </w:r>
    </w:p>
    <w:p w14:paraId="4D3C6BBB">
      <w:pPr>
        <w:pBdr>
          <w:bottom w:val="single" w:color="auto" w:sz="6" w:space="1"/>
        </w:pBdr>
        <w:spacing w:line="480" w:lineRule="auto"/>
        <w:ind w:firstLine="537" w:firstLineChars="224"/>
        <w:rPr>
          <w:rFonts w:ascii="宋体" w:hAnsi="宋体"/>
          <w:highlight w:val="none"/>
        </w:rPr>
      </w:pPr>
      <w:r>
        <w:rPr>
          <w:rFonts w:ascii="宋体" w:hAnsi="宋体"/>
          <w:strike/>
          <w:highlight w:val="none"/>
        </w:rPr>
        <w:t xml:space="preserve">7.7.3 </w:t>
      </w:r>
      <w:r>
        <w:rPr>
          <w:rFonts w:hint="eastAsia" w:ascii="宋体" w:hAnsi="宋体"/>
          <w:strike/>
          <w:highlight w:val="none"/>
        </w:rPr>
        <w:t>联合体中标的，联合体各方应当共同与招标人签订合同，就中标项目向招标人承担连带责任。</w:t>
      </w:r>
    </w:p>
    <w:p w14:paraId="1CD53509">
      <w:pPr>
        <w:spacing w:line="360" w:lineRule="auto"/>
        <w:rPr>
          <w:rFonts w:ascii="宋体" w:hAnsi="宋体"/>
          <w:highlight w:val="none"/>
        </w:rPr>
      </w:pPr>
      <w:r>
        <w:rPr>
          <w:rFonts w:ascii="宋体" w:hAnsi="宋体"/>
          <w:highlight w:val="none"/>
        </w:rPr>
        <w:t>注：以上修改，仅限于本范本中有可供选择条款的情形。</w:t>
      </w:r>
    </w:p>
    <w:p w14:paraId="500D53F5">
      <w:pPr>
        <w:spacing w:line="360" w:lineRule="auto"/>
        <w:rPr>
          <w:rFonts w:ascii="宋体" w:hAnsi="宋体"/>
          <w:highlight w:val="none"/>
        </w:rPr>
      </w:pPr>
      <w:r>
        <w:rPr>
          <w:rFonts w:ascii="宋体" w:hAnsi="宋体"/>
          <w:highlight w:val="none"/>
        </w:rPr>
        <w:t>（以下无正文）</w:t>
      </w:r>
    </w:p>
    <w:p w14:paraId="50DFF641">
      <w:pPr>
        <w:pStyle w:val="6"/>
        <w:spacing w:before="120" w:after="120"/>
        <w:rPr>
          <w:rFonts w:cs="宋体"/>
          <w:highlight w:val="none"/>
        </w:rPr>
        <w:sectPr>
          <w:pgSz w:w="11905" w:h="16838"/>
          <w:pgMar w:top="1417" w:right="1417" w:bottom="1417" w:left="1417" w:header="992" w:footer="992" w:gutter="0"/>
          <w:cols w:space="720" w:num="1"/>
        </w:sectPr>
      </w:pPr>
    </w:p>
    <w:p w14:paraId="2A349D4F">
      <w:pPr>
        <w:pStyle w:val="6"/>
        <w:spacing w:before="120" w:after="120"/>
        <w:rPr>
          <w:rFonts w:cs="宋体"/>
          <w:b w:val="0"/>
          <w:highlight w:val="none"/>
        </w:rPr>
      </w:pPr>
      <w:bookmarkStart w:id="49" w:name="_Toc16248"/>
      <w:r>
        <w:rPr>
          <w:rFonts w:cs="宋体"/>
          <w:highlight w:val="none"/>
        </w:rPr>
        <w:t>1.总则</w:t>
      </w:r>
      <w:bookmarkEnd w:id="49"/>
    </w:p>
    <w:p w14:paraId="097202C1">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4"/>
          <w:highlight w:val="none"/>
        </w:rPr>
      </w:pPr>
      <w:bookmarkStart w:id="50" w:name="bookmark21"/>
      <w:bookmarkEnd w:id="50"/>
      <w:bookmarkStart w:id="51" w:name="_Toc21335"/>
      <w:r>
        <w:rPr>
          <w:sz w:val="24"/>
          <w:highlight w:val="none"/>
        </w:rPr>
        <w:t>1.1 招标项目概况</w:t>
      </w:r>
      <w:bookmarkEnd w:id="51"/>
    </w:p>
    <w:p w14:paraId="4FF604B7">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sz w:val="24"/>
          <w:highlight w:val="none"/>
        </w:rPr>
      </w:pPr>
      <w:r>
        <w:rPr>
          <w:sz w:val="24"/>
          <w:highlight w:val="none"/>
        </w:rPr>
        <w:t>1.1.1 根据《中华人民共和国招标投标法》、《中华人民共和国招标投标法实施条例》等有关法律、法规和规章的规定，本招标项目已具备招标条件，现对监理进行招标。</w:t>
      </w:r>
    </w:p>
    <w:p w14:paraId="4F51CDFE">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sz w:val="24"/>
          <w:highlight w:val="none"/>
        </w:rPr>
      </w:pPr>
      <w:r>
        <w:rPr>
          <w:sz w:val="24"/>
          <w:highlight w:val="none"/>
        </w:rPr>
        <w:t>1.1.2 招标人：见投标人须知前附表。</w:t>
      </w:r>
    </w:p>
    <w:p w14:paraId="78D594D7">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sz w:val="24"/>
          <w:highlight w:val="none"/>
        </w:rPr>
      </w:pPr>
      <w:r>
        <w:rPr>
          <w:sz w:val="24"/>
          <w:highlight w:val="none"/>
        </w:rPr>
        <w:t>1.1.3 招标代理机构：见投标人须知前附表。</w:t>
      </w:r>
    </w:p>
    <w:p w14:paraId="5197C014">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sz w:val="24"/>
          <w:highlight w:val="none"/>
        </w:rPr>
      </w:pPr>
      <w:r>
        <w:rPr>
          <w:sz w:val="24"/>
          <w:highlight w:val="none"/>
        </w:rPr>
        <w:t>1.1.4 招标项目名称：见投标人须知前附表。</w:t>
      </w:r>
    </w:p>
    <w:p w14:paraId="7FFEE693">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sz w:val="24"/>
          <w:highlight w:val="none"/>
        </w:rPr>
      </w:pPr>
      <w:r>
        <w:rPr>
          <w:sz w:val="24"/>
          <w:highlight w:val="none"/>
        </w:rPr>
        <w:t>1.1.5 项目建设地点：见投标人须知前附表。</w:t>
      </w:r>
    </w:p>
    <w:p w14:paraId="09B0CA77">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sz w:val="24"/>
          <w:highlight w:val="none"/>
        </w:rPr>
      </w:pPr>
      <w:r>
        <w:rPr>
          <w:sz w:val="24"/>
          <w:highlight w:val="none"/>
        </w:rPr>
        <w:t>1.1.6 项目建设规模：见投标人须知前附表。</w:t>
      </w:r>
    </w:p>
    <w:p w14:paraId="36662DB9">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sz w:val="24"/>
          <w:highlight w:val="none"/>
        </w:rPr>
      </w:pPr>
      <w:r>
        <w:rPr>
          <w:sz w:val="24"/>
          <w:highlight w:val="none"/>
        </w:rPr>
        <w:t>1.1.7 工程项目施工预计开工日期和建设周期：见投标人须知前附表。</w:t>
      </w:r>
    </w:p>
    <w:p w14:paraId="6B67A710">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sz w:val="24"/>
          <w:highlight w:val="none"/>
        </w:rPr>
      </w:pPr>
      <w:r>
        <w:rPr>
          <w:sz w:val="24"/>
          <w:highlight w:val="none"/>
        </w:rPr>
        <w:t>1.1.8 建筑安装工程费/工程概算：见投标人须知前附表。</w:t>
      </w:r>
    </w:p>
    <w:p w14:paraId="3AFE9C7B">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4"/>
          <w:highlight w:val="none"/>
        </w:rPr>
      </w:pPr>
      <w:bookmarkStart w:id="52" w:name="bookmark22"/>
      <w:bookmarkEnd w:id="52"/>
      <w:bookmarkStart w:id="53" w:name="_Toc17099"/>
      <w:r>
        <w:rPr>
          <w:sz w:val="24"/>
          <w:highlight w:val="none"/>
        </w:rPr>
        <w:t>1.2 招标项目的资金来源和落实情况</w:t>
      </w:r>
      <w:bookmarkEnd w:id="53"/>
    </w:p>
    <w:p w14:paraId="50053B84">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sz w:val="24"/>
          <w:highlight w:val="none"/>
        </w:rPr>
      </w:pPr>
      <w:r>
        <w:rPr>
          <w:sz w:val="24"/>
          <w:highlight w:val="none"/>
        </w:rPr>
        <w:t>1.2.1 资金来源及比例：见投标人须知前附表。</w:t>
      </w:r>
    </w:p>
    <w:p w14:paraId="075628E1">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sz w:val="24"/>
          <w:highlight w:val="none"/>
        </w:rPr>
      </w:pPr>
      <w:r>
        <w:rPr>
          <w:sz w:val="24"/>
          <w:highlight w:val="none"/>
        </w:rPr>
        <w:t>1.2.2 资金落实情况：见投标人须知前附表。</w:t>
      </w:r>
    </w:p>
    <w:p w14:paraId="13156D84">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4"/>
          <w:highlight w:val="none"/>
        </w:rPr>
      </w:pPr>
      <w:bookmarkStart w:id="54" w:name="bookmark23"/>
      <w:bookmarkEnd w:id="54"/>
      <w:bookmarkStart w:id="55" w:name="_Toc4457"/>
      <w:r>
        <w:rPr>
          <w:sz w:val="24"/>
          <w:highlight w:val="none"/>
        </w:rPr>
        <w:t>1.3 招标范围、监理服务期限和质量标准</w:t>
      </w:r>
      <w:bookmarkEnd w:id="55"/>
    </w:p>
    <w:p w14:paraId="2AF5DA94">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sz w:val="24"/>
          <w:highlight w:val="none"/>
        </w:rPr>
      </w:pPr>
      <w:r>
        <w:rPr>
          <w:sz w:val="24"/>
          <w:highlight w:val="none"/>
        </w:rPr>
        <w:t>1.3.1 招标范围：见投标人须知前附表。</w:t>
      </w:r>
    </w:p>
    <w:p w14:paraId="6850E346">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sz w:val="24"/>
          <w:highlight w:val="none"/>
        </w:rPr>
      </w:pPr>
      <w:r>
        <w:rPr>
          <w:sz w:val="24"/>
          <w:highlight w:val="none"/>
        </w:rPr>
        <w:t>1.3.2 监理服务期限：见投标人须知前附表。</w:t>
      </w:r>
    </w:p>
    <w:p w14:paraId="4A22701D">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sz w:val="24"/>
          <w:highlight w:val="none"/>
        </w:rPr>
      </w:pPr>
      <w:r>
        <w:rPr>
          <w:sz w:val="24"/>
          <w:highlight w:val="none"/>
        </w:rPr>
        <w:t>1.3.3 质量标准：见投标人须知前附表。</w:t>
      </w:r>
    </w:p>
    <w:p w14:paraId="17149DD1">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4"/>
          <w:highlight w:val="none"/>
        </w:rPr>
      </w:pPr>
      <w:bookmarkStart w:id="56" w:name="bookmark24"/>
      <w:bookmarkEnd w:id="56"/>
      <w:bookmarkStart w:id="57" w:name="_Toc13328"/>
      <w:r>
        <w:rPr>
          <w:sz w:val="24"/>
          <w:highlight w:val="none"/>
        </w:rPr>
        <w:t>1.4 投标人资格要求</w:t>
      </w:r>
      <w:bookmarkEnd w:id="57"/>
    </w:p>
    <w:p w14:paraId="261C948E">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sz w:val="24"/>
          <w:highlight w:val="none"/>
        </w:rPr>
      </w:pPr>
      <w:r>
        <w:rPr>
          <w:sz w:val="24"/>
          <w:highlight w:val="none"/>
        </w:rPr>
        <w:t>1.4.1 投标人应具备承担本招标项目资质条件、能力和信誉：</w:t>
      </w:r>
    </w:p>
    <w:p w14:paraId="3E669417">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sz w:val="24"/>
          <w:highlight w:val="none"/>
        </w:rPr>
      </w:pPr>
      <w:r>
        <w:rPr>
          <w:sz w:val="24"/>
          <w:highlight w:val="none"/>
        </w:rPr>
        <w:t>（1）资质要求：见投标人须知前附表；</w:t>
      </w:r>
    </w:p>
    <w:p w14:paraId="1A3616D7">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sz w:val="24"/>
          <w:highlight w:val="none"/>
        </w:rPr>
      </w:pPr>
      <w:r>
        <w:rPr>
          <w:sz w:val="24"/>
          <w:highlight w:val="none"/>
        </w:rPr>
        <w:t>（2）财务要求：见投标人须知前附表；</w:t>
      </w:r>
    </w:p>
    <w:p w14:paraId="681B3C60">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sz w:val="24"/>
          <w:highlight w:val="none"/>
        </w:rPr>
      </w:pPr>
      <w:r>
        <w:rPr>
          <w:sz w:val="24"/>
          <w:highlight w:val="none"/>
        </w:rPr>
        <w:t>（3）业绩要求：见投标人须知前附表；</w:t>
      </w:r>
    </w:p>
    <w:p w14:paraId="1EE33B34">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sz w:val="24"/>
          <w:highlight w:val="none"/>
        </w:rPr>
      </w:pPr>
      <w:r>
        <w:rPr>
          <w:sz w:val="24"/>
          <w:highlight w:val="none"/>
        </w:rPr>
        <w:t>（4）信誉要求：见投标人须知前附表；</w:t>
      </w:r>
    </w:p>
    <w:p w14:paraId="34BF7A0A">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sz w:val="24"/>
          <w:highlight w:val="none"/>
        </w:rPr>
      </w:pPr>
      <w:r>
        <w:rPr>
          <w:sz w:val="24"/>
          <w:highlight w:val="none"/>
        </w:rPr>
        <w:t>（5）总监理工程师的资格要求：应当具备工程注册监理工程师执业资格，具体要求见投标人须知前附表；</w:t>
      </w:r>
    </w:p>
    <w:p w14:paraId="7FA41DA4">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sz w:val="24"/>
          <w:highlight w:val="none"/>
        </w:rPr>
      </w:pPr>
      <w:r>
        <w:rPr>
          <w:sz w:val="24"/>
          <w:highlight w:val="none"/>
        </w:rPr>
        <w:t>（6）其他主要人员要求：见投标人须知前附表。</w:t>
      </w:r>
    </w:p>
    <w:p w14:paraId="7D24949A">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sz w:val="24"/>
          <w:highlight w:val="none"/>
        </w:rPr>
      </w:pPr>
      <w:r>
        <w:rPr>
          <w:sz w:val="24"/>
          <w:highlight w:val="none"/>
        </w:rPr>
        <w:t>（7）试验检测仪器设备要求：见投标人须知前附表。</w:t>
      </w:r>
    </w:p>
    <w:p w14:paraId="26561622">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sz w:val="24"/>
          <w:highlight w:val="none"/>
        </w:rPr>
      </w:pPr>
      <w:r>
        <w:rPr>
          <w:sz w:val="24"/>
          <w:highlight w:val="none"/>
        </w:rPr>
        <w:t>（8）其他要求：见投标人须知前附表。需要提交的相关证明材料见本章第 3.5 款的规定。</w:t>
      </w:r>
    </w:p>
    <w:p w14:paraId="11F1A88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trike/>
          <w:sz w:val="24"/>
          <w:highlight w:val="none"/>
        </w:rPr>
      </w:pPr>
      <w:r>
        <w:rPr>
          <w:strike/>
          <w:sz w:val="24"/>
          <w:highlight w:val="none"/>
        </w:rPr>
        <w:t>1.4.2 投标人须知前附表规定接受联合体投标的，联合体除应符合本章第 1.4.1 项和投标人须知前附表的要求外，还应遵守以下规定：</w:t>
      </w:r>
    </w:p>
    <w:p w14:paraId="21617CD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trike/>
          <w:sz w:val="24"/>
          <w:highlight w:val="none"/>
        </w:rPr>
      </w:pPr>
      <w:r>
        <w:rPr>
          <w:strike/>
          <w:sz w:val="24"/>
          <w:highlight w:val="none"/>
        </w:rPr>
        <w:t>（1）联合体各方应按招标文件提供的格式签订联合体协议书，明确联合体</w:t>
      </w:r>
      <w:r>
        <w:rPr>
          <w:strike/>
          <w:spacing w:val="-2"/>
          <w:sz w:val="24"/>
          <w:highlight w:val="none"/>
        </w:rPr>
        <w:t>主办方</w:t>
      </w:r>
      <w:r>
        <w:rPr>
          <w:strike/>
          <w:sz w:val="24"/>
          <w:highlight w:val="none"/>
        </w:rPr>
        <w:t>和各方权利义务，并承诺就中标项目向招标人承担连带责任；</w:t>
      </w:r>
    </w:p>
    <w:p w14:paraId="377C99C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trike/>
          <w:sz w:val="24"/>
          <w:highlight w:val="none"/>
        </w:rPr>
      </w:pPr>
      <w:r>
        <w:rPr>
          <w:strike/>
          <w:sz w:val="24"/>
          <w:highlight w:val="none"/>
        </w:rPr>
        <w:t>（2）由同一专业的单位组成的联合体，按照资质等级较低的单位确定资质等级；</w:t>
      </w:r>
    </w:p>
    <w:p w14:paraId="3647C79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trike/>
          <w:sz w:val="24"/>
          <w:highlight w:val="none"/>
        </w:rPr>
      </w:pPr>
      <w:r>
        <w:rPr>
          <w:strike/>
          <w:sz w:val="24"/>
          <w:highlight w:val="none"/>
        </w:rPr>
        <w:t>（3）联合体各方不得再以自己名义单独或参加其他联合体在本招标项目中投标，否则各相关投标均无效。</w:t>
      </w:r>
    </w:p>
    <w:p w14:paraId="4776521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1.4.3 投标人不得存在下列情形之一：</w:t>
      </w:r>
    </w:p>
    <w:p w14:paraId="289CA19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（1）为招标人不具有独立法人资格的附属机构（单位）；</w:t>
      </w:r>
    </w:p>
    <w:p w14:paraId="1470CBA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（2）与招标人存在利害关系且可能影响招标公正性；</w:t>
      </w:r>
    </w:p>
    <w:p w14:paraId="6F0DA8B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（3）与本招标项目的其他投标人为同一个单位负责人；</w:t>
      </w:r>
    </w:p>
    <w:p w14:paraId="00981FB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（4）与本招标项目的其他投标人存在控股、管理关系；</w:t>
      </w:r>
    </w:p>
    <w:p w14:paraId="26E4A16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（5）为本招标项目的代建人；</w:t>
      </w:r>
    </w:p>
    <w:p w14:paraId="4CF8318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（6）为本招标项目的招标代理机构；</w:t>
      </w:r>
    </w:p>
    <w:p w14:paraId="1295268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（7）与本招标项目的代建人或招标代理机构同为一个法定代表人；</w:t>
      </w:r>
    </w:p>
    <w:p w14:paraId="2F96C45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（8）与本招标项目的代建人或招标代理机构存在控股或参股关系；</w:t>
      </w:r>
    </w:p>
    <w:p w14:paraId="4A46609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（9）与本招标项目的检测机构、建设、施工单位以及建筑材料、建筑构配件和设备供应商有隶属关系或者其他利害关系有隶属关系或者其他利害关系；</w:t>
      </w:r>
    </w:p>
    <w:p w14:paraId="6252533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（10）被依法暂停或者取消投标资格；</w:t>
      </w:r>
    </w:p>
    <w:p w14:paraId="04C1849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（11）被依法暂停或取消投标资格的；</w:t>
      </w:r>
      <w:r>
        <w:rPr>
          <w:rFonts w:hint="eastAsia"/>
          <w:sz w:val="24"/>
          <w:highlight w:val="none"/>
        </w:rPr>
        <w:t>(</w:t>
      </w:r>
      <w:r>
        <w:rPr>
          <w:sz w:val="24"/>
          <w:highlight w:val="none"/>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sz w:val="24"/>
          <w:highlight w:val="none"/>
        </w:rPr>
        <w:t>)</w:t>
      </w:r>
      <w:r>
        <w:rPr>
          <w:sz w:val="24"/>
          <w:highlight w:val="none"/>
        </w:rPr>
        <w:t>；</w:t>
      </w:r>
    </w:p>
    <w:p w14:paraId="1913E67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（12）被责令停产停业、暂扣或者吊销许可证、暂扣或者吊销执照的（本项事实应当以根据《中华人民共和国行政处罚法》依法作出并已经生效的行政处罚决定为认定依据。）；</w:t>
      </w:r>
    </w:p>
    <w:p w14:paraId="43E0BCA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（13）进入清算程序，或被宣布破产，或其他丧失履约能力的情形；</w:t>
      </w:r>
    </w:p>
    <w:p w14:paraId="2D0ADAE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1D3880B">
      <w:pPr>
        <w:pStyle w:val="35"/>
        <w:tabs>
          <w:tab w:val="left" w:pos="1343"/>
          <w:tab w:val="left" w:pos="2697"/>
          <w:tab w:val="left" w:pos="3264"/>
          <w:tab w:val="left" w:pos="4896"/>
          <w:tab w:val="left" w:pos="6005"/>
          <w:tab w:val="left" w:pos="7085"/>
          <w:tab w:val="left" w:pos="7498"/>
          <w:tab w:val="clear" w:pos="1260"/>
          <w:tab w:val="clear" w:pos="6030"/>
          <w:tab w:val="clear" w:pos="6720"/>
        </w:tabs>
        <w:kinsoku w:val="0"/>
        <w:overflowPunct w:val="0"/>
        <w:ind w:firstLine="480" w:firstLineChars="200"/>
        <w:rPr>
          <w:rFonts w:hint="eastAsia" w:ascii="宋体" w:eastAsia="宋体"/>
          <w:sz w:val="24"/>
          <w:szCs w:val="24"/>
          <w:highlight w:val="none"/>
          <w:u w:val="single"/>
        </w:rPr>
      </w:pPr>
      <w:r>
        <w:rPr>
          <w:rFonts w:hint="eastAsia" w:ascii="宋体" w:eastAsia="宋体"/>
          <w:sz w:val="24"/>
          <w:szCs w:val="24"/>
          <w:highlight w:val="none"/>
          <w:u w:val="single"/>
        </w:rPr>
        <w:t>（15）被最高人民法院在“信用中国”网站（www.creditchina.gov.cn）或“信用广州”网站或各级信用信息共享平台中列入失信被执行人名单（黑名单）；</w:t>
      </w:r>
    </w:p>
    <w:p w14:paraId="0F4E3E83">
      <w:pPr>
        <w:pStyle w:val="35"/>
        <w:tabs>
          <w:tab w:val="left" w:pos="1343"/>
          <w:tab w:val="left" w:pos="2697"/>
          <w:tab w:val="left" w:pos="3264"/>
          <w:tab w:val="left" w:pos="4896"/>
          <w:tab w:val="left" w:pos="6005"/>
          <w:tab w:val="left" w:pos="7085"/>
          <w:tab w:val="left" w:pos="7498"/>
          <w:tab w:val="clear" w:pos="1260"/>
          <w:tab w:val="clear" w:pos="6030"/>
          <w:tab w:val="clear" w:pos="6720"/>
        </w:tabs>
        <w:kinsoku w:val="0"/>
        <w:overflowPunct w:val="0"/>
        <w:ind w:firstLine="480" w:firstLineChars="200"/>
        <w:rPr>
          <w:rFonts w:hint="eastAsia" w:ascii="宋体" w:eastAsia="宋体"/>
          <w:sz w:val="24"/>
          <w:szCs w:val="24"/>
          <w:highlight w:val="none"/>
          <w:u w:val="single"/>
        </w:rPr>
      </w:pPr>
      <w:r>
        <w:rPr>
          <w:rFonts w:hint="eastAsia" w:ascii="宋体" w:eastAsia="宋体"/>
          <w:sz w:val="24"/>
          <w:szCs w:val="24"/>
          <w:highlight w:val="none"/>
          <w:u w:val="single"/>
        </w:rPr>
        <w:t>（16）在近三年内投标人或其法定代表人、拟委任的总监理工程师有行贿犯罪行为的；</w:t>
      </w:r>
    </w:p>
    <w:p w14:paraId="1DC7CDFE">
      <w:pPr>
        <w:pStyle w:val="35"/>
        <w:tabs>
          <w:tab w:val="left" w:pos="1343"/>
          <w:tab w:val="left" w:pos="2697"/>
          <w:tab w:val="left" w:pos="3264"/>
          <w:tab w:val="left" w:pos="4896"/>
          <w:tab w:val="left" w:pos="6005"/>
          <w:tab w:val="left" w:pos="7085"/>
          <w:tab w:val="left" w:pos="7498"/>
          <w:tab w:val="clear" w:pos="1260"/>
          <w:tab w:val="clear" w:pos="6030"/>
          <w:tab w:val="clear" w:pos="6720"/>
        </w:tabs>
        <w:kinsoku w:val="0"/>
        <w:overflowPunct w:val="0"/>
        <w:ind w:firstLine="480" w:firstLineChars="200"/>
        <w:rPr>
          <w:rFonts w:hint="eastAsia" w:ascii="宋体" w:eastAsia="宋体"/>
          <w:sz w:val="24"/>
          <w:szCs w:val="24"/>
          <w:highlight w:val="none"/>
          <w:u w:val="single"/>
          <w:lang w:eastAsia="zh-CN"/>
        </w:rPr>
      </w:pPr>
      <w:r>
        <w:rPr>
          <w:rFonts w:hint="eastAsia" w:ascii="宋体" w:eastAsia="宋体"/>
          <w:sz w:val="24"/>
          <w:szCs w:val="24"/>
          <w:highlight w:val="none"/>
          <w:u w:val="single"/>
        </w:rPr>
        <w:t>（1</w:t>
      </w:r>
      <w:r>
        <w:rPr>
          <w:rFonts w:hint="eastAsia" w:ascii="宋体" w:eastAsia="宋体"/>
          <w:sz w:val="24"/>
          <w:szCs w:val="24"/>
          <w:highlight w:val="none"/>
          <w:u w:val="single"/>
          <w:lang w:val="en-US" w:eastAsia="zh-CN"/>
        </w:rPr>
        <w:t>7</w:t>
      </w:r>
      <w:r>
        <w:rPr>
          <w:rFonts w:hint="eastAsia" w:ascii="宋体" w:eastAsia="宋体"/>
          <w:sz w:val="24"/>
          <w:szCs w:val="24"/>
          <w:highlight w:val="none"/>
          <w:u w:val="single"/>
        </w:rPr>
        <w:t>）法律法规规定的其他情形</w:t>
      </w:r>
      <w:r>
        <w:rPr>
          <w:rFonts w:hint="eastAsia" w:ascii="宋体" w:eastAsia="宋体"/>
          <w:sz w:val="24"/>
          <w:szCs w:val="24"/>
          <w:highlight w:val="none"/>
          <w:u w:val="single"/>
          <w:lang w:eastAsia="zh-CN"/>
        </w:rPr>
        <w:t>。</w:t>
      </w:r>
    </w:p>
    <w:p w14:paraId="0C9B2389">
      <w:pPr>
        <w:pStyle w:val="35"/>
        <w:tabs>
          <w:tab w:val="left" w:pos="1343"/>
          <w:tab w:val="left" w:pos="2697"/>
          <w:tab w:val="left" w:pos="3264"/>
          <w:tab w:val="left" w:pos="4896"/>
          <w:tab w:val="left" w:pos="6005"/>
          <w:tab w:val="left" w:pos="7085"/>
          <w:tab w:val="left" w:pos="7498"/>
          <w:tab w:val="clear" w:pos="1260"/>
          <w:tab w:val="clear" w:pos="6030"/>
          <w:tab w:val="clear" w:pos="6720"/>
        </w:tabs>
        <w:kinsoku w:val="0"/>
        <w:overflowPunct w:val="0"/>
        <w:ind w:firstLine="480" w:firstLineChars="200"/>
        <w:rPr>
          <w:rFonts w:hint="default"/>
          <w:sz w:val="24"/>
          <w:highlight w:val="none"/>
        </w:rPr>
      </w:pPr>
      <w:r>
        <w:rPr>
          <w:rFonts w:ascii="宋体" w:eastAsia="宋体"/>
          <w:sz w:val="24"/>
          <w:szCs w:val="24"/>
          <w:highlight w:val="none"/>
        </w:rPr>
        <w:t>1.4.4投标人未被列入“在一定期限内依法取消参加依法必须进行招标的项目的投标资格”，具体名单以递交投标文件截止时间“信用广州”公布的“黑名单”为准。</w:t>
      </w:r>
    </w:p>
    <w:p w14:paraId="282D0C67">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4"/>
          <w:highlight w:val="none"/>
        </w:rPr>
      </w:pPr>
      <w:bookmarkStart w:id="58" w:name="bookmark25"/>
      <w:bookmarkEnd w:id="58"/>
      <w:bookmarkStart w:id="59" w:name="_Toc12360"/>
      <w:r>
        <w:rPr>
          <w:sz w:val="24"/>
          <w:highlight w:val="none"/>
        </w:rPr>
        <w:t>1.5 费用承担</w:t>
      </w:r>
      <w:bookmarkEnd w:id="59"/>
    </w:p>
    <w:p w14:paraId="2840E26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投标人准备和参加投标活动发生的费用自理。</w:t>
      </w:r>
    </w:p>
    <w:p w14:paraId="23844D29">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4"/>
          <w:highlight w:val="none"/>
        </w:rPr>
      </w:pPr>
      <w:bookmarkStart w:id="60" w:name="bookmark26"/>
      <w:bookmarkEnd w:id="60"/>
      <w:bookmarkStart w:id="61" w:name="_Toc8195"/>
      <w:r>
        <w:rPr>
          <w:sz w:val="24"/>
          <w:highlight w:val="none"/>
        </w:rPr>
        <w:t>1.6 保密</w:t>
      </w:r>
      <w:bookmarkEnd w:id="61"/>
    </w:p>
    <w:p w14:paraId="1511132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参与招标投标活动的各方应对招标文件和投标文件中的商业和技术等秘密保密，否则应承 担相应的法律责任。</w:t>
      </w:r>
    </w:p>
    <w:p w14:paraId="1526857F">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4"/>
          <w:highlight w:val="none"/>
        </w:rPr>
      </w:pPr>
      <w:bookmarkStart w:id="62" w:name="bookmark27"/>
      <w:bookmarkEnd w:id="62"/>
      <w:bookmarkStart w:id="63" w:name="_Toc12511"/>
      <w:r>
        <w:rPr>
          <w:sz w:val="24"/>
          <w:highlight w:val="none"/>
        </w:rPr>
        <w:t>1.7 语言文字</w:t>
      </w:r>
      <w:bookmarkEnd w:id="63"/>
    </w:p>
    <w:p w14:paraId="3C3E21D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招标投标文件使用的语言文字为中文。专用术语使用外文的，应附有中文注释。</w:t>
      </w:r>
    </w:p>
    <w:p w14:paraId="3428A632">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4"/>
          <w:highlight w:val="none"/>
        </w:rPr>
      </w:pPr>
      <w:bookmarkStart w:id="64" w:name="bookmark28"/>
      <w:bookmarkEnd w:id="64"/>
      <w:bookmarkStart w:id="65" w:name="_Toc30360"/>
      <w:r>
        <w:rPr>
          <w:sz w:val="24"/>
          <w:highlight w:val="none"/>
        </w:rPr>
        <w:t>1.8 计量单位</w:t>
      </w:r>
      <w:bookmarkEnd w:id="65"/>
    </w:p>
    <w:p w14:paraId="0BC51EC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所有计量均采用中华人民共和国法定计量单位。</w:t>
      </w:r>
    </w:p>
    <w:p w14:paraId="20B10217">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4"/>
          <w:highlight w:val="none"/>
        </w:rPr>
      </w:pPr>
      <w:bookmarkStart w:id="66" w:name="bookmark29"/>
      <w:bookmarkEnd w:id="66"/>
      <w:bookmarkStart w:id="67" w:name="_Toc13105"/>
      <w:r>
        <w:rPr>
          <w:sz w:val="24"/>
          <w:highlight w:val="none"/>
        </w:rPr>
        <w:t>1.9 踏勘现场</w:t>
      </w:r>
      <w:bookmarkEnd w:id="67"/>
    </w:p>
    <w:p w14:paraId="551362E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1.9.1 投标人须知前附表规定组织踏勘现场的，招标人按投标人须知前附表规定的时间、地点组织投标人踏勘项目现场。部分投标人未按时参加踏勘现场的，不影响踏勘现场的正常进行。</w:t>
      </w:r>
    </w:p>
    <w:p w14:paraId="1EAD9B2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1.9.2 投标人踏勘现场发生的费用自理。</w:t>
      </w:r>
    </w:p>
    <w:p w14:paraId="5F8A75D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1.9.3 除招标人的原因外，投标人自行负责在踏勘现场中所发生的人员伤亡和财产损失。</w:t>
      </w:r>
    </w:p>
    <w:p w14:paraId="0EEC285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1.9.4 招标人在踏勘现场中介绍的工程场地和相关的周边环境情况，供投标人在编制投标文件时参考，招标人不对投标人据此作出的判断和决策负责。</w:t>
      </w:r>
    </w:p>
    <w:p w14:paraId="55D2E70D">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4"/>
          <w:highlight w:val="none"/>
        </w:rPr>
      </w:pPr>
      <w:bookmarkStart w:id="68" w:name="bookmark30"/>
      <w:bookmarkEnd w:id="68"/>
      <w:bookmarkStart w:id="69" w:name="_Toc12293"/>
      <w:r>
        <w:rPr>
          <w:sz w:val="24"/>
          <w:highlight w:val="none"/>
        </w:rPr>
        <w:t>1.10 投标预备会</w:t>
      </w:r>
      <w:bookmarkEnd w:id="69"/>
    </w:p>
    <w:p w14:paraId="2DB9ABC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sz w:val="24"/>
          <w:highlight w:val="none"/>
        </w:rPr>
      </w:pPr>
      <w:r>
        <w:rPr>
          <w:sz w:val="24"/>
          <w:highlight w:val="none"/>
        </w:rPr>
        <w:t>1.10.1 投标人须知前附表规定召开投标预备会的，招标人按投标人须知前附表规定的时间和地点召开投标预备会，澄清投标人提出的问题。</w:t>
      </w:r>
    </w:p>
    <w:p w14:paraId="0C1F1F9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sz w:val="24"/>
          <w:highlight w:val="none"/>
        </w:rPr>
      </w:pPr>
      <w:r>
        <w:rPr>
          <w:sz w:val="24"/>
          <w:highlight w:val="none"/>
        </w:rPr>
        <w:t>1.10.2 投标人应按投标人须知前附表规定的时间和形式将提出的问题送达招标人，以便招标人在会议期间澄清。</w:t>
      </w:r>
    </w:p>
    <w:p w14:paraId="7FCC0AC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sz w:val="24"/>
          <w:highlight w:val="none"/>
        </w:rPr>
      </w:pPr>
      <w:r>
        <w:rPr>
          <w:sz w:val="24"/>
          <w:highlight w:val="none"/>
        </w:rPr>
        <w:t>1.10.3 投标预备会后，招标人将对投标人所提问题的澄清，以投标人须知前附表规定的形式通知所有潜在投标人。该澄清内容为招标文件的组成部分。</w:t>
      </w:r>
    </w:p>
    <w:p w14:paraId="702806EA">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4"/>
          <w:highlight w:val="none"/>
        </w:rPr>
      </w:pPr>
      <w:bookmarkStart w:id="70" w:name="bookmark31"/>
      <w:bookmarkEnd w:id="70"/>
      <w:bookmarkStart w:id="71" w:name="_Toc19938"/>
      <w:r>
        <w:rPr>
          <w:sz w:val="24"/>
          <w:highlight w:val="none"/>
        </w:rPr>
        <w:t>1.11 分包</w:t>
      </w:r>
      <w:bookmarkEnd w:id="71"/>
    </w:p>
    <w:p w14:paraId="2726718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本项目严禁分包。</w:t>
      </w:r>
    </w:p>
    <w:p w14:paraId="316F0BDF">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4"/>
          <w:highlight w:val="none"/>
        </w:rPr>
      </w:pPr>
      <w:bookmarkStart w:id="72" w:name="bookmark32"/>
      <w:bookmarkEnd w:id="72"/>
      <w:bookmarkStart w:id="73" w:name="_Toc29362"/>
      <w:r>
        <w:rPr>
          <w:sz w:val="24"/>
          <w:highlight w:val="none"/>
        </w:rPr>
        <w:t>1.12 响应和偏差</w:t>
      </w:r>
      <w:bookmarkEnd w:id="73"/>
    </w:p>
    <w:p w14:paraId="105EBB2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1.12.1 投标文件应当对招标文件的实质性要求和条件作出满足性或更有利于招标人的响应，否则，投标人的投标将被否决。实质性要求和条件见投标人须知前附表。</w:t>
      </w:r>
    </w:p>
    <w:p w14:paraId="0307AD6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1.12.2 投标人应根据招标文件的要求提供投标监理大纲等内容以对招标文件作出响应。</w:t>
      </w:r>
    </w:p>
    <w:p w14:paraId="6A753ED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1.12.3 投标人须知前附表允许投标文件偏离招标文件某些要求的，偏差应当符合招标文件规定的偏差范围和幅度。</w:t>
      </w:r>
    </w:p>
    <w:p w14:paraId="334DD3AD">
      <w:pPr>
        <w:pStyle w:val="6"/>
        <w:spacing w:before="120" w:after="120"/>
        <w:rPr>
          <w:rFonts w:cs="宋体"/>
          <w:highlight w:val="none"/>
        </w:rPr>
      </w:pPr>
      <w:bookmarkStart w:id="74" w:name="bookmark33"/>
      <w:bookmarkEnd w:id="74"/>
      <w:bookmarkStart w:id="75" w:name="_Toc5819"/>
      <w:r>
        <w:rPr>
          <w:rFonts w:cs="宋体"/>
          <w:highlight w:val="none"/>
        </w:rPr>
        <w:t>2.招标文件</w:t>
      </w:r>
      <w:bookmarkEnd w:id="75"/>
    </w:p>
    <w:p w14:paraId="7DD73659">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outlineLvl w:val="2"/>
        <w:rPr>
          <w:sz w:val="24"/>
          <w:highlight w:val="none"/>
        </w:rPr>
      </w:pPr>
      <w:bookmarkStart w:id="76" w:name="bookmark34"/>
      <w:bookmarkEnd w:id="76"/>
      <w:bookmarkStart w:id="77" w:name="_Toc2597"/>
      <w:r>
        <w:rPr>
          <w:sz w:val="24"/>
          <w:highlight w:val="none"/>
        </w:rPr>
        <w:t>2.1 招标文件的组成</w:t>
      </w:r>
      <w:bookmarkEnd w:id="77"/>
    </w:p>
    <w:p w14:paraId="2032843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本招标文件包括：</w:t>
      </w:r>
    </w:p>
    <w:p w14:paraId="02D6FDB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（1）招标公告；</w:t>
      </w:r>
    </w:p>
    <w:p w14:paraId="3089DE7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（2）投标人须知；</w:t>
      </w:r>
    </w:p>
    <w:p w14:paraId="4DA6690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（3）评标办法；</w:t>
      </w:r>
    </w:p>
    <w:p w14:paraId="03FA809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（4）合同条款及格式；</w:t>
      </w:r>
    </w:p>
    <w:p w14:paraId="3618B95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（5）委托人要求；</w:t>
      </w:r>
    </w:p>
    <w:p w14:paraId="3C5DFA8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（6）投标文件格式；</w:t>
      </w:r>
    </w:p>
    <w:p w14:paraId="77E8F51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（7）投标人须知前附表规定的其他资料。</w:t>
      </w:r>
    </w:p>
    <w:p w14:paraId="7B9C222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根据本章第1.10款、第2.2款和第2.3款对招标文件所作的澄清、修改，构成招标文件的组成部分。</w:t>
      </w:r>
    </w:p>
    <w:p w14:paraId="62D7576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outlineLvl w:val="2"/>
        <w:rPr>
          <w:sz w:val="24"/>
          <w:highlight w:val="none"/>
        </w:rPr>
      </w:pPr>
      <w:bookmarkStart w:id="78" w:name="bookmark38"/>
      <w:bookmarkEnd w:id="78"/>
      <w:bookmarkStart w:id="79" w:name="bookmark35"/>
      <w:bookmarkEnd w:id="79"/>
      <w:bookmarkStart w:id="80" w:name="_Toc3209"/>
      <w:r>
        <w:rPr>
          <w:sz w:val="24"/>
          <w:highlight w:val="none"/>
        </w:rPr>
        <w:t>2.2  招标文件的答疑</w:t>
      </w:r>
      <w:bookmarkEnd w:id="80"/>
    </w:p>
    <w:p w14:paraId="2B7D372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2.2.1  投标人应仔细阅读和检查招标文件的全部内容。如有疑问，应按投标人须知前附表规定的时间和形式将提出的问题送达招标人，要求招标人对招标文件予以澄清。</w:t>
      </w:r>
    </w:p>
    <w:p w14:paraId="35E2D14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2.2.2</w:t>
      </w:r>
      <w:r>
        <w:rPr>
          <w:rFonts w:hint="eastAsia"/>
          <w:sz w:val="24"/>
          <w:highlight w:val="none"/>
        </w:rPr>
        <w:t xml:space="preserve">  </w:t>
      </w:r>
      <w:r>
        <w:rPr>
          <w:sz w:val="24"/>
          <w:highlight w:val="none"/>
        </w:rPr>
        <w:t>招标答疑采用网上答疑方式进行。投标人若对招标文件有疑问的，通过</w:t>
      </w:r>
      <w:r>
        <w:rPr>
          <w:rFonts w:hint="eastAsia"/>
          <w:sz w:val="24"/>
          <w:highlight w:val="none"/>
        </w:rPr>
        <w:t>广州交易集团有限公司（广州公共资源交易中心）</w:t>
      </w:r>
      <w:r>
        <w:rPr>
          <w:sz w:val="24"/>
          <w:highlight w:val="none"/>
        </w:rPr>
        <w:t>网站提交，应按照</w:t>
      </w:r>
      <w:r>
        <w:rPr>
          <w:rFonts w:hint="eastAsia"/>
          <w:sz w:val="24"/>
          <w:highlight w:val="none"/>
        </w:rPr>
        <w:t>广州交易集团有限公司（广州公共资源交易中心）</w:t>
      </w:r>
      <w:r>
        <w:rPr>
          <w:sz w:val="24"/>
          <w:highlight w:val="none"/>
        </w:rPr>
        <w:t>网站关于全流程电子化项目的相关指南进行操作。提问一律不得署名。</w:t>
      </w:r>
    </w:p>
    <w:p w14:paraId="2AE50AF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2.2.3  招标答疑会会议纪要将在提交投标文件截止时间 15 日前在</w:t>
      </w:r>
      <w:r>
        <w:rPr>
          <w:rFonts w:hint="eastAsia"/>
          <w:sz w:val="24"/>
          <w:highlight w:val="none"/>
        </w:rPr>
        <w:t>广州交易集团有限公司（广州公共资源交易中心）</w:t>
      </w:r>
      <w:r>
        <w:rPr>
          <w:sz w:val="24"/>
          <w:highlight w:val="none"/>
        </w:rPr>
        <w:t>网站“项目答疑纪要”专区公开发布。答疑纪要一经在</w:t>
      </w:r>
      <w:r>
        <w:rPr>
          <w:rFonts w:hint="eastAsia"/>
          <w:sz w:val="24"/>
          <w:highlight w:val="none"/>
        </w:rPr>
        <w:t>广州交易集团有限公司（广州公共资源交易中心）</w:t>
      </w:r>
      <w:r>
        <w:rPr>
          <w:sz w:val="24"/>
          <w:highlight w:val="none"/>
        </w:rPr>
        <w:t>网站发布，视作已发放给所有投标人。</w:t>
      </w:r>
    </w:p>
    <w:p w14:paraId="5CB7FF1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2.2.4  招标答疑会会议纪要是招标文件的组成部分，对投标人起约束作用。</w:t>
      </w:r>
    </w:p>
    <w:p w14:paraId="4D66AC2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2.2.5  若招标答疑会会议纪要与招标文件有矛盾时，以</w:t>
      </w:r>
      <w:r>
        <w:rPr>
          <w:rFonts w:hint="eastAsia"/>
          <w:sz w:val="24"/>
          <w:highlight w:val="none"/>
        </w:rPr>
        <w:t>广州交易集团有限公司（广州公共资源交易中心）</w:t>
      </w:r>
      <w:r>
        <w:rPr>
          <w:sz w:val="24"/>
          <w:highlight w:val="none"/>
        </w:rPr>
        <w:t>网站最后发布的答疑纪要为准。</w:t>
      </w:r>
    </w:p>
    <w:p w14:paraId="70EB364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p>
    <w:p w14:paraId="1916313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outlineLvl w:val="2"/>
        <w:rPr>
          <w:sz w:val="24"/>
          <w:highlight w:val="none"/>
        </w:rPr>
      </w:pPr>
      <w:bookmarkStart w:id="81" w:name="_Toc15850"/>
      <w:r>
        <w:rPr>
          <w:sz w:val="24"/>
          <w:highlight w:val="none"/>
        </w:rPr>
        <w:t>2.3  招标文件的澄清与修改</w:t>
      </w:r>
      <w:bookmarkEnd w:id="81"/>
    </w:p>
    <w:p w14:paraId="734F277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2.3.1  招标文件发出后，在提交投标文件截止时间15日前，招标人可对招标文件进行必要的澄清或修改。</w:t>
      </w:r>
    </w:p>
    <w:p w14:paraId="72400EA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2.3.2  招标文件的澄清或修改将在</w:t>
      </w:r>
      <w:r>
        <w:rPr>
          <w:rFonts w:hint="eastAsia"/>
          <w:sz w:val="24"/>
          <w:highlight w:val="none"/>
        </w:rPr>
        <w:t>广州交易集团有限公司（广州公共资源交易中心）</w:t>
      </w:r>
      <w:r>
        <w:rPr>
          <w:sz w:val="24"/>
          <w:highlight w:val="none"/>
        </w:rPr>
        <w:t>网站“项目答疑纪要”专区公开发布。招标文件的澄清或修改一经在</w:t>
      </w:r>
      <w:r>
        <w:rPr>
          <w:rFonts w:hint="eastAsia"/>
          <w:sz w:val="24"/>
          <w:highlight w:val="none"/>
        </w:rPr>
        <w:t>广州交易集团有限公司（广州公共资源交易中心）</w:t>
      </w:r>
      <w:r>
        <w:rPr>
          <w:sz w:val="24"/>
          <w:highlight w:val="none"/>
        </w:rPr>
        <w:t>网站发布，视作已发放给所有投标人，以</w:t>
      </w:r>
      <w:r>
        <w:rPr>
          <w:rFonts w:hint="eastAsia"/>
          <w:sz w:val="24"/>
          <w:highlight w:val="none"/>
        </w:rPr>
        <w:t>广州交易集团有限公司（广州公共资源交易中心）</w:t>
      </w:r>
      <w:r>
        <w:rPr>
          <w:sz w:val="24"/>
          <w:highlight w:val="none"/>
        </w:rPr>
        <w:t>网站发布时间作为送达时间。</w:t>
      </w:r>
    </w:p>
    <w:p w14:paraId="5EA916D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2.3.3  招标文件的澄清或修改是招标文件的组成部分，对投标人起约束作用。</w:t>
      </w:r>
    </w:p>
    <w:p w14:paraId="62E5AA5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2.3.4  招标文件的澄清或修改均以</w:t>
      </w:r>
      <w:r>
        <w:rPr>
          <w:rFonts w:hint="eastAsia"/>
          <w:sz w:val="24"/>
          <w:highlight w:val="none"/>
        </w:rPr>
        <w:t>广州交易集团有限公司（广州公共资源交易中心）</w:t>
      </w:r>
      <w:r>
        <w:rPr>
          <w:sz w:val="24"/>
          <w:highlight w:val="none"/>
        </w:rPr>
        <w:t>网站发布的内容为准。当招标文件的澄清、修改、补充等在同一内容的表述不一致时，以</w:t>
      </w:r>
      <w:r>
        <w:rPr>
          <w:rFonts w:hint="eastAsia"/>
          <w:sz w:val="24"/>
          <w:highlight w:val="none"/>
        </w:rPr>
        <w:t>广州交易集团有限公司（广州公共资源交易中心）</w:t>
      </w:r>
      <w:r>
        <w:rPr>
          <w:sz w:val="24"/>
          <w:highlight w:val="none"/>
        </w:rPr>
        <w:t>网站最后发布的内容为准。</w:t>
      </w:r>
    </w:p>
    <w:p w14:paraId="5DDC724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2.3.5  为使投标人在编制投标文件时有充分的时间对招标文件的澄清或修改等内容考虑进去，招标人将酌情延长提交投标文件的截止时间，具体时间将在招标文件的澄清或修改中予以明确。若澄清或修改中没有明确延长时间</w:t>
      </w:r>
      <w:r>
        <w:rPr>
          <w:spacing w:val="-11"/>
          <w:sz w:val="24"/>
          <w:highlight w:val="none"/>
        </w:rPr>
        <w:t>，即表示投标时间不延长。</w:t>
      </w:r>
    </w:p>
    <w:p w14:paraId="1672CB03">
      <w:pPr>
        <w:pStyle w:val="6"/>
        <w:spacing w:before="120" w:after="120"/>
        <w:rPr>
          <w:rFonts w:cs="宋体"/>
          <w:highlight w:val="none"/>
        </w:rPr>
      </w:pPr>
      <w:bookmarkStart w:id="82" w:name="_Toc21710"/>
      <w:r>
        <w:rPr>
          <w:rFonts w:cs="宋体"/>
          <w:highlight w:val="none"/>
        </w:rPr>
        <w:t>3.投标文件</w:t>
      </w:r>
      <w:bookmarkEnd w:id="82"/>
    </w:p>
    <w:p w14:paraId="28FDA9A1">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cs="宋体"/>
          <w:sz w:val="24"/>
          <w:highlight w:val="none"/>
        </w:rPr>
      </w:pPr>
      <w:bookmarkStart w:id="83" w:name="bookmark39"/>
      <w:bookmarkEnd w:id="83"/>
      <w:bookmarkStart w:id="84" w:name="_Toc20731"/>
      <w:r>
        <w:rPr>
          <w:rFonts w:cs="宋体"/>
          <w:sz w:val="24"/>
          <w:highlight w:val="none"/>
        </w:rPr>
        <w:t>3.1 投标文件的组成</w:t>
      </w:r>
      <w:bookmarkEnd w:id="84"/>
    </w:p>
    <w:p w14:paraId="3998FC1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3.1.1 投标文件应包括下列内容：</w:t>
      </w:r>
    </w:p>
    <w:p w14:paraId="76A91EA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（1）投标函及投标函附录；</w:t>
      </w:r>
    </w:p>
    <w:p w14:paraId="57CB3F5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（2）法定代表人身份证明或授权委托书；</w:t>
      </w:r>
    </w:p>
    <w:p w14:paraId="2DA231F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w:t>
      </w:r>
      <w:r>
        <w:rPr>
          <w:rFonts w:hint="eastAsia"/>
          <w:sz w:val="24"/>
          <w:highlight w:val="none"/>
        </w:rPr>
        <w:t>3</w:t>
      </w:r>
      <w:r>
        <w:rPr>
          <w:sz w:val="24"/>
          <w:highlight w:val="none"/>
        </w:rPr>
        <w:t>）监理报酬清单；</w:t>
      </w:r>
    </w:p>
    <w:p w14:paraId="579A444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w:t>
      </w:r>
      <w:r>
        <w:rPr>
          <w:rFonts w:hint="eastAsia"/>
          <w:sz w:val="24"/>
          <w:highlight w:val="none"/>
        </w:rPr>
        <w:t>4</w:t>
      </w:r>
      <w:r>
        <w:rPr>
          <w:sz w:val="24"/>
          <w:highlight w:val="none"/>
        </w:rPr>
        <w:t>）资格审查资料；</w:t>
      </w:r>
    </w:p>
    <w:p w14:paraId="591B5AD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w:t>
      </w:r>
      <w:r>
        <w:rPr>
          <w:rFonts w:hint="eastAsia"/>
          <w:sz w:val="24"/>
          <w:highlight w:val="none"/>
        </w:rPr>
        <w:t>5</w:t>
      </w:r>
      <w:r>
        <w:rPr>
          <w:sz w:val="24"/>
          <w:highlight w:val="none"/>
        </w:rPr>
        <w:t>）监理大纲；</w:t>
      </w:r>
    </w:p>
    <w:p w14:paraId="40B9263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w:t>
      </w:r>
      <w:r>
        <w:rPr>
          <w:rFonts w:hint="eastAsia"/>
          <w:sz w:val="24"/>
          <w:highlight w:val="none"/>
        </w:rPr>
        <w:t>6</w:t>
      </w:r>
      <w:r>
        <w:rPr>
          <w:sz w:val="24"/>
          <w:highlight w:val="none"/>
        </w:rPr>
        <w:t>）</w:t>
      </w:r>
      <w:r>
        <w:rPr>
          <w:rFonts w:hint="eastAsia"/>
          <w:sz w:val="24"/>
          <w:highlight w:val="none"/>
          <w:u w:val="single"/>
        </w:rPr>
        <w:t>其他资料</w:t>
      </w:r>
      <w:r>
        <w:rPr>
          <w:rFonts w:hint="eastAsia"/>
          <w:sz w:val="24"/>
          <w:highlight w:val="none"/>
        </w:rPr>
        <w:t>。投标人在评标过程中作出的符合法律法规和招标文件规定的澄清确认，构成投标文件的组成部分</w:t>
      </w:r>
      <w:r>
        <w:rPr>
          <w:rFonts w:hint="eastAsia"/>
          <w:sz w:val="24"/>
          <w:highlight w:val="none"/>
          <w:lang w:eastAsia="zh-CN"/>
        </w:rPr>
        <w:t>。</w:t>
      </w:r>
    </w:p>
    <w:p w14:paraId="4AFC3BC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3.1.2 投标人须知前附表规定不接受联合体投标的，或投标人没有组成联合体的，投标文件不包括本章第 3.1.1（3）目所指的联合体协议书。</w:t>
      </w:r>
    </w:p>
    <w:p w14:paraId="54757CF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3.1.3 投标人须知前附表未要求提交投标保证金的，投标文件不包括本章第 3.1.1（4）目所指的投标保证金。</w:t>
      </w:r>
    </w:p>
    <w:p w14:paraId="59508D8B">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cs="宋体"/>
          <w:sz w:val="24"/>
          <w:highlight w:val="none"/>
        </w:rPr>
      </w:pPr>
      <w:bookmarkStart w:id="85" w:name="bookmark40"/>
      <w:bookmarkEnd w:id="85"/>
      <w:bookmarkStart w:id="86" w:name="_Toc5145"/>
      <w:r>
        <w:rPr>
          <w:rFonts w:cs="宋体"/>
          <w:sz w:val="24"/>
          <w:highlight w:val="none"/>
        </w:rPr>
        <w:t>3.2 投标报价</w:t>
      </w:r>
      <w:bookmarkEnd w:id="86"/>
    </w:p>
    <w:p w14:paraId="4EAFE57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3.2.1 投标报价应包括国家规定的增值税税金，除投标人须知前附表另有规定外，增值税税金按一般计税方法计算。投标人应按第六章“投标文件格式”的要求在投标函</w:t>
      </w:r>
      <w:r>
        <w:rPr>
          <w:rFonts w:hint="eastAsia" w:ascii="宋体" w:hAnsi="宋体" w:eastAsia="宋体" w:cs="宋体"/>
          <w:b w:val="0"/>
          <w:bCs w:val="0"/>
          <w:color w:val="auto"/>
          <w:sz w:val="24"/>
          <w:szCs w:val="24"/>
          <w:highlight w:val="none"/>
          <w:u w:val="single"/>
        </w:rPr>
        <w:t>及投标函附录</w:t>
      </w:r>
      <w:r>
        <w:rPr>
          <w:sz w:val="24"/>
          <w:highlight w:val="none"/>
        </w:rPr>
        <w:t>中进行报价并填写监理报酬清单。</w:t>
      </w:r>
    </w:p>
    <w:p w14:paraId="59424DA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3.2.2 投标人应充分了解该项目的总体情况以及影响投标报价的其他要素。</w:t>
      </w:r>
    </w:p>
    <w:p w14:paraId="38B869D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3.2.3 本项目的报价方式见投标人须知前附表。投标人在投标截止时间前修改投标函</w:t>
      </w:r>
      <w:r>
        <w:rPr>
          <w:rFonts w:hint="eastAsia" w:ascii="宋体" w:hAnsi="宋体" w:eastAsia="宋体" w:cs="宋体"/>
          <w:b w:val="0"/>
          <w:bCs w:val="0"/>
          <w:color w:val="auto"/>
          <w:sz w:val="24"/>
          <w:szCs w:val="24"/>
          <w:highlight w:val="none"/>
          <w:u w:val="single"/>
        </w:rPr>
        <w:t>及投标函附录</w:t>
      </w:r>
      <w:r>
        <w:rPr>
          <w:sz w:val="24"/>
          <w:highlight w:val="none"/>
        </w:rPr>
        <w:t>中的投标报价总额，应同时修改投标文件“监理报酬清单”中的相应报价。此修改须符合本章第4.3款的有关要求。</w:t>
      </w:r>
    </w:p>
    <w:p w14:paraId="3A7AC9C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3.2.4 招标人设有最高投标限价的，投标人的投标报价不得超过最高投标限价，最高投标限价在投标人须知前附表中载明。</w:t>
      </w:r>
    </w:p>
    <w:p w14:paraId="4FB0749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3.2.5 投标报价的其他要求见投标人须知前附表。</w:t>
      </w:r>
    </w:p>
    <w:p w14:paraId="1695ED33">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7"/>
          <w:highlight w:val="none"/>
        </w:rPr>
      </w:pPr>
      <w:bookmarkStart w:id="87" w:name="bookmark41"/>
      <w:bookmarkEnd w:id="87"/>
      <w:bookmarkStart w:id="88" w:name="_Toc30013"/>
      <w:r>
        <w:rPr>
          <w:rFonts w:cs="宋体"/>
          <w:sz w:val="24"/>
          <w:highlight w:val="none"/>
        </w:rPr>
        <w:t>3.3 投标有效期</w:t>
      </w:r>
      <w:bookmarkEnd w:id="88"/>
    </w:p>
    <w:p w14:paraId="747F881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3.3.1 除投标人须知前附表另有规定外，投标有效期为 90 天。</w:t>
      </w:r>
    </w:p>
    <w:p w14:paraId="409759D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3.3.2 在投标有效期内，投标人撤销投标文件的，应承担招标文件和法律规定的责任。</w:t>
      </w:r>
    </w:p>
    <w:p w14:paraId="2A3C31F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trike/>
          <w:sz w:val="24"/>
          <w:highlight w:val="none"/>
        </w:rPr>
      </w:pPr>
      <w:r>
        <w:rPr>
          <w:sz w:val="24"/>
          <w:highlight w:val="none"/>
        </w:rPr>
        <w:t>3.3.3 出现特殊情况需要延长投标有效期的，招标人以书面形式通知所有投标人延长投标有效期。投标人应予以书面答复，同意延长的，</w:t>
      </w:r>
      <w:r>
        <w:rPr>
          <w:strike/>
          <w:sz w:val="24"/>
          <w:highlight w:val="none"/>
        </w:rPr>
        <w:t>应相应延长其投标保证金的有效期，但</w:t>
      </w:r>
      <w:r>
        <w:rPr>
          <w:sz w:val="24"/>
          <w:highlight w:val="none"/>
        </w:rPr>
        <w:t>不得要求或被允许修改其投标文件；投标人拒绝延长的，其投标失效，</w:t>
      </w:r>
      <w:r>
        <w:rPr>
          <w:strike/>
          <w:sz w:val="24"/>
          <w:highlight w:val="none"/>
        </w:rPr>
        <w:t>但投标人有权收回其投标保证金及以现金或者支票形式递交的投标保证金的银行同期存款利息。</w:t>
      </w:r>
    </w:p>
    <w:p w14:paraId="20D0EF49">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trike/>
          <w:sz w:val="27"/>
          <w:highlight w:val="none"/>
        </w:rPr>
      </w:pPr>
      <w:bookmarkStart w:id="89" w:name="bookmark42"/>
      <w:bookmarkEnd w:id="89"/>
      <w:bookmarkStart w:id="90" w:name="_Toc7684"/>
      <w:r>
        <w:rPr>
          <w:rFonts w:cs="宋体"/>
          <w:strike/>
          <w:sz w:val="24"/>
          <w:highlight w:val="none"/>
        </w:rPr>
        <w:t>3.4  投标保证金</w:t>
      </w:r>
      <w:bookmarkEnd w:id="90"/>
    </w:p>
    <w:p w14:paraId="6427911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trike/>
          <w:sz w:val="24"/>
          <w:highlight w:val="none"/>
        </w:rPr>
      </w:pPr>
      <w:r>
        <w:rPr>
          <w:strike/>
          <w:sz w:val="24"/>
          <w:highlight w:val="none"/>
        </w:rPr>
        <w:t>3.4.1 投标人应按投标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14:paraId="316F5E8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trike/>
          <w:sz w:val="24"/>
          <w:highlight w:val="none"/>
        </w:rPr>
      </w:pPr>
      <w:r>
        <w:rPr>
          <w:strike/>
          <w:sz w:val="24"/>
          <w:highlight w:val="none"/>
        </w:rPr>
        <w:t>3.4.2 开标时投标人没有按要求提交投标保证金的，其投标文件将被否决。</w:t>
      </w:r>
    </w:p>
    <w:p w14:paraId="227CCBE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trike/>
          <w:sz w:val="24"/>
          <w:highlight w:val="none"/>
        </w:rPr>
      </w:pPr>
      <w:r>
        <w:rPr>
          <w:strike/>
          <w:sz w:val="24"/>
          <w:highlight w:val="none"/>
        </w:rPr>
        <w:t>3.4.3 中标候选人以外的投标人的投标保证金将尽快退还，最迟不超过中标通知书发出之日起五日内；中标人和其他中标候选人的投标保证金，在书面合同订立之日起五日内予以退还。</w:t>
      </w:r>
    </w:p>
    <w:p w14:paraId="2F9D42A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trike/>
          <w:sz w:val="24"/>
          <w:highlight w:val="none"/>
        </w:rPr>
      </w:pPr>
      <w:r>
        <w:rPr>
          <w:strike/>
          <w:sz w:val="24"/>
          <w:highlight w:val="none"/>
        </w:rPr>
        <w:t>3.4.4 有下列情形之一的，投标保证金将不予退还：</w:t>
      </w:r>
    </w:p>
    <w:p w14:paraId="15AF376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trike/>
          <w:sz w:val="24"/>
          <w:highlight w:val="none"/>
        </w:rPr>
      </w:pPr>
      <w:r>
        <w:rPr>
          <w:strike/>
          <w:sz w:val="24"/>
          <w:highlight w:val="none"/>
        </w:rPr>
        <w:t>(1) 投标人在规定的投标有效期内撤销其投标文件；</w:t>
      </w:r>
    </w:p>
    <w:p w14:paraId="071E1D9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trike/>
          <w:sz w:val="24"/>
          <w:highlight w:val="none"/>
        </w:rPr>
      </w:pPr>
      <w:r>
        <w:rPr>
          <w:strike/>
          <w:sz w:val="24"/>
          <w:highlight w:val="none"/>
        </w:rPr>
        <w:t>(2) 中标人在收到中标通知书后，无正当理由不与招标人订立合同，在签订合同时向招标 人提出附加条件，或者不按照招标文件要求提交履约保证金。</w:t>
      </w:r>
    </w:p>
    <w:p w14:paraId="580D3DC5">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7"/>
          <w:highlight w:val="none"/>
        </w:rPr>
      </w:pPr>
      <w:bookmarkStart w:id="91" w:name="bookmark43"/>
      <w:bookmarkEnd w:id="91"/>
      <w:bookmarkStart w:id="92" w:name="bookmark44"/>
      <w:bookmarkEnd w:id="92"/>
      <w:bookmarkStart w:id="93" w:name="_Toc7177"/>
      <w:r>
        <w:rPr>
          <w:rFonts w:cs="宋体"/>
          <w:sz w:val="24"/>
          <w:highlight w:val="none"/>
        </w:rPr>
        <w:t>3.5 资格审查资料</w:t>
      </w:r>
      <w:bookmarkEnd w:id="93"/>
    </w:p>
    <w:p w14:paraId="409BC79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除投标人须知前附表另有规定外，投标人应按下列规定提供资格审查资料，以证明其满足本章第 1.4 款规定的资质、财务、业绩、信誉等要求。</w:t>
      </w:r>
    </w:p>
    <w:p w14:paraId="2BE2C3C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3.5.1 “投标人基本情况表”应附投标人营业执照、投标人监理资质证书副本等材料的扫描件。</w:t>
      </w:r>
    </w:p>
    <w:p w14:paraId="4A8ED49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3.5.2 “近年完成的类似监理项目情况表”应附中标通知书和（或）合同协议书、委托人出具的证明文件；具体时间要求见投标人须知前附表，每张表格只填写一个项目，并标明序号。</w:t>
      </w:r>
    </w:p>
    <w:p w14:paraId="20CD9F3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3.5.3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若有）；其他主要人员应附身份证、学历证、职称证、有关证书和社保缴费证明（若有）。</w:t>
      </w:r>
      <w:r>
        <w:rPr>
          <w:rFonts w:hint="eastAsia"/>
          <w:sz w:val="24"/>
          <w:highlight w:val="none"/>
        </w:rPr>
        <w:t>（注：以上人员社保要求：</w:t>
      </w:r>
      <w:bookmarkStart w:id="94" w:name="OLE_LINK3"/>
      <w:r>
        <w:rPr>
          <w:rFonts w:hint="eastAsia"/>
          <w:sz w:val="24"/>
          <w:highlight w:val="none"/>
        </w:rPr>
        <w:t>具有离投标截止时间最近的至少1个月（202</w:t>
      </w:r>
      <w:r>
        <w:rPr>
          <w:rFonts w:hint="eastAsia"/>
          <w:sz w:val="24"/>
          <w:highlight w:val="none"/>
          <w:lang w:val="en-US" w:eastAsia="zh-CN"/>
        </w:rPr>
        <w:t>5</w:t>
      </w:r>
      <w:r>
        <w:rPr>
          <w:rFonts w:hint="eastAsia"/>
          <w:sz w:val="24"/>
          <w:highlight w:val="none"/>
        </w:rPr>
        <w:t>年</w:t>
      </w:r>
      <w:r>
        <w:rPr>
          <w:rFonts w:hint="eastAsia"/>
          <w:sz w:val="24"/>
          <w:highlight w:val="none"/>
          <w:lang w:val="en-US" w:eastAsia="zh-CN"/>
        </w:rPr>
        <w:t>5</w:t>
      </w:r>
      <w:r>
        <w:rPr>
          <w:rFonts w:hint="eastAsia"/>
          <w:sz w:val="24"/>
          <w:highlight w:val="none"/>
        </w:rPr>
        <w:t>月）在本单位缴纳的社保证明文件</w:t>
      </w:r>
      <w:bookmarkEnd w:id="94"/>
      <w:r>
        <w:rPr>
          <w:rFonts w:hint="eastAsia"/>
          <w:sz w:val="24"/>
          <w:highlight w:val="none"/>
        </w:rPr>
        <w:t>（已退休人员提供退休证）。）</w:t>
      </w:r>
    </w:p>
    <w:p w14:paraId="3F576BC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3.5.4 投标人须知前附表规定接受联合体投标的，本章第3.5.1 项至第3.5.3项规定的表格和资料应包括联合体各方相关情况。</w:t>
      </w:r>
    </w:p>
    <w:p w14:paraId="0CD3FF65">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cs="宋体"/>
          <w:sz w:val="24"/>
          <w:highlight w:val="none"/>
        </w:rPr>
      </w:pPr>
      <w:bookmarkStart w:id="95" w:name="bookmark45"/>
      <w:bookmarkEnd w:id="95"/>
      <w:bookmarkStart w:id="96" w:name="_Toc25118"/>
      <w:r>
        <w:rPr>
          <w:rFonts w:cs="宋体"/>
          <w:sz w:val="24"/>
          <w:highlight w:val="none"/>
        </w:rPr>
        <w:t>3.6 备选投标方案</w:t>
      </w:r>
      <w:bookmarkEnd w:id="96"/>
    </w:p>
    <w:p w14:paraId="4A0B11C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3.6.1 除投标人须知前附表规定允许外，投标人不得递交备选投标方案，否则其投标将被否决。</w:t>
      </w:r>
    </w:p>
    <w:p w14:paraId="6C1CAD2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6286A75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3.6.3 投标人提供两个或两个以上投标报价，或者在投标文件中提供一个报价，但同时提供两个或两个以上监理方案的，视为提供备选方案。</w:t>
      </w:r>
    </w:p>
    <w:p w14:paraId="6D58553A">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7"/>
          <w:highlight w:val="none"/>
        </w:rPr>
      </w:pPr>
      <w:bookmarkStart w:id="97" w:name="bookmark46"/>
      <w:bookmarkEnd w:id="97"/>
      <w:bookmarkStart w:id="98" w:name="_Toc5084"/>
      <w:r>
        <w:rPr>
          <w:rFonts w:cs="宋体"/>
          <w:sz w:val="24"/>
          <w:highlight w:val="none"/>
        </w:rPr>
        <w:t>3.7 投标文件的编制</w:t>
      </w:r>
      <w:bookmarkEnd w:id="98"/>
    </w:p>
    <w:p w14:paraId="097EC5B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3.7.1  投标文件应按第六章“投标文件格式”进行编写， 如有必要，可以增加附页， 作为投标文件的组成部分。其中，投标函附录在满足招标文件实质性要求的基础上，可以提出比招标文件要求更有利于招标人的承诺。</w:t>
      </w:r>
    </w:p>
    <w:p w14:paraId="4F81990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3.7.2  投标文件应当对招标文件有关监理服务期限、投标有效期、委托人要求、招标范围等实质性内容作出响应。</w:t>
      </w:r>
    </w:p>
    <w:p w14:paraId="4DD92C6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3.7.3  投标文件全部采用电子文档，投标文件所附证书证件均为原件扫描件或电子证书，并采用单位数字证书，按招标文件要求在相应位置加盖电子印章。投标文件中需个人签字或盖章的，应加盖个人电子印章或在线下完成后扫描上传</w:t>
      </w:r>
      <w:r>
        <w:rPr>
          <w:rFonts w:hint="eastAsia"/>
          <w:kern w:val="2"/>
          <w:sz w:val="24"/>
          <w:highlight w:val="none"/>
        </w:rPr>
        <w:t>（</w:t>
      </w:r>
      <w:r>
        <w:rPr>
          <w:rFonts w:ascii="Calibri" w:hAnsi="Calibri"/>
          <w:kern w:val="2"/>
          <w:sz w:val="24"/>
          <w:highlight w:val="none"/>
        </w:rPr>
        <w:t>可靠的电子签名与手写签名或者盖章具有同等的法律效力</w:t>
      </w:r>
      <w:r>
        <w:rPr>
          <w:rFonts w:hint="eastAsia"/>
          <w:kern w:val="2"/>
          <w:sz w:val="24"/>
          <w:highlight w:val="none"/>
        </w:rPr>
        <w:t>）</w:t>
      </w:r>
      <w:r>
        <w:rPr>
          <w:sz w:val="24"/>
          <w:highlight w:val="none"/>
        </w:rPr>
        <w:t>。按照</w:t>
      </w:r>
      <w:r>
        <w:rPr>
          <w:rFonts w:hint="eastAsia"/>
          <w:sz w:val="24"/>
          <w:highlight w:val="none"/>
        </w:rPr>
        <w:t>广州交易集团有限公司（广州公共资源交易中心）</w:t>
      </w:r>
      <w:r>
        <w:rPr>
          <w:sz w:val="24"/>
          <w:highlight w:val="none"/>
        </w:rPr>
        <w:t>网站关于全流程电子化项目的相关指南进行操作。</w:t>
      </w:r>
    </w:p>
    <w:p w14:paraId="20F56F1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trike/>
          <w:sz w:val="24"/>
          <w:highlight w:val="none"/>
        </w:rPr>
      </w:pPr>
      <w:r>
        <w:rPr>
          <w:strike/>
          <w:sz w:val="24"/>
          <w:highlight w:val="none"/>
        </w:rPr>
        <w:t>3.7.4  联合体投标时，投标人封面及其他内容落款中的“投标人”应填写联合体各方的单位全称【格式为：（主）XXXX公司（成）XXXX公司】。除联合体共同投标协议需联合体各方按要求共同盖章签字，其余可由联合体主办方签字、盖章即可，由联合体主办方法人签字的电子投标文件需提供主办方法定代表人证明书，若由联合体主办方法定代表人授权签字的电子投标文件需提供法定代表人证明书及其授权委托书、授权委托人身份证扫描件。</w:t>
      </w:r>
    </w:p>
    <w:p w14:paraId="5468895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 xml:space="preserve">3.7.5 </w:t>
      </w:r>
      <w:r>
        <w:rPr>
          <w:rFonts w:hint="eastAsia"/>
          <w:sz w:val="24"/>
          <w:highlight w:val="none"/>
        </w:rPr>
        <w:t xml:space="preserve"> </w:t>
      </w:r>
      <w:r>
        <w:rPr>
          <w:sz w:val="24"/>
          <w:highlight w:val="none"/>
        </w:rPr>
        <w:t>投标文件应按照</w:t>
      </w:r>
      <w:r>
        <w:rPr>
          <w:rFonts w:hint="eastAsia"/>
          <w:sz w:val="24"/>
          <w:highlight w:val="none"/>
        </w:rPr>
        <w:t>广州交易集团有限公司（广州公共资源交易中心）</w:t>
      </w:r>
      <w:r>
        <w:rPr>
          <w:sz w:val="24"/>
          <w:highlight w:val="none"/>
        </w:rPr>
        <w:t>网站关于全流程电子化项目的相关指南进行编制。如因不按上述编排要求编制而所引起系统无法检索、读取相关信息时，其后果将由投标人自行承担。</w:t>
      </w:r>
    </w:p>
    <w:p w14:paraId="3B23B8A6">
      <w:pPr>
        <w:pStyle w:val="6"/>
        <w:spacing w:before="120" w:after="120"/>
        <w:rPr>
          <w:rFonts w:cs="宋体"/>
          <w:highlight w:val="none"/>
        </w:rPr>
      </w:pPr>
      <w:bookmarkStart w:id="99" w:name="bookmark47"/>
      <w:bookmarkEnd w:id="99"/>
      <w:bookmarkStart w:id="100" w:name="_Toc25949"/>
      <w:r>
        <w:rPr>
          <w:rFonts w:cs="宋体"/>
          <w:highlight w:val="none"/>
        </w:rPr>
        <w:t>4.投标</w:t>
      </w:r>
      <w:bookmarkEnd w:id="100"/>
    </w:p>
    <w:p w14:paraId="0BDC7E1B">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cs="宋体"/>
          <w:sz w:val="24"/>
          <w:highlight w:val="none"/>
        </w:rPr>
      </w:pPr>
      <w:bookmarkStart w:id="101" w:name="bookmark48"/>
      <w:bookmarkEnd w:id="101"/>
      <w:bookmarkStart w:id="102" w:name="_Toc9375"/>
      <w:r>
        <w:rPr>
          <w:rFonts w:cs="宋体"/>
          <w:sz w:val="24"/>
          <w:highlight w:val="none"/>
        </w:rPr>
        <w:t>4.1  投标文件的加密</w:t>
      </w:r>
      <w:bookmarkEnd w:id="102"/>
    </w:p>
    <w:p w14:paraId="6512C3B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bookmarkStart w:id="103" w:name="bookmark49"/>
      <w:bookmarkEnd w:id="103"/>
      <w:r>
        <w:rPr>
          <w:sz w:val="24"/>
          <w:highlight w:val="none"/>
        </w:rPr>
        <w:t xml:space="preserve">4.1.1 </w:t>
      </w:r>
      <w:r>
        <w:rPr>
          <w:rFonts w:hint="eastAsia"/>
          <w:sz w:val="24"/>
          <w:highlight w:val="none"/>
        </w:rPr>
        <w:t xml:space="preserve"> </w:t>
      </w:r>
      <w:r>
        <w:rPr>
          <w:sz w:val="24"/>
          <w:highlight w:val="none"/>
        </w:rPr>
        <w:t>递交的电子投标文件（不含备用光盘）必须进行加密。按照</w:t>
      </w:r>
      <w:r>
        <w:rPr>
          <w:rFonts w:hint="eastAsia"/>
          <w:sz w:val="24"/>
          <w:highlight w:val="none"/>
        </w:rPr>
        <w:t>广州交易集团有限公司（广州公共资源交易中心）</w:t>
      </w:r>
      <w:r>
        <w:rPr>
          <w:sz w:val="24"/>
          <w:highlight w:val="none"/>
        </w:rPr>
        <w:t>网站关于全流程电子化项目的相关指南进行操作。</w:t>
      </w:r>
    </w:p>
    <w:p w14:paraId="37D92B0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4.1.2  未按要求加密的投标文件，</w:t>
      </w:r>
      <w:r>
        <w:rPr>
          <w:rFonts w:hint="eastAsia"/>
          <w:sz w:val="24"/>
          <w:highlight w:val="none"/>
        </w:rPr>
        <w:t>广州交易集团有限公司（广州公共资源交易中心）</w:t>
      </w:r>
      <w:r>
        <w:rPr>
          <w:sz w:val="24"/>
          <w:highlight w:val="none"/>
        </w:rPr>
        <w:t>网站交易平台将予以拒收。</w:t>
      </w:r>
    </w:p>
    <w:p w14:paraId="294CF0BB">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cs="宋体"/>
          <w:sz w:val="24"/>
          <w:highlight w:val="none"/>
        </w:rPr>
      </w:pPr>
      <w:bookmarkStart w:id="104" w:name="_Toc21435"/>
      <w:r>
        <w:rPr>
          <w:rFonts w:cs="宋体"/>
          <w:sz w:val="24"/>
          <w:highlight w:val="none"/>
        </w:rPr>
        <w:t>4.2  投标文件的递交</w:t>
      </w:r>
      <w:bookmarkEnd w:id="104"/>
    </w:p>
    <w:p w14:paraId="73EA1F7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bookmarkStart w:id="105" w:name="bookmark50"/>
      <w:bookmarkEnd w:id="105"/>
      <w:r>
        <w:rPr>
          <w:sz w:val="24"/>
          <w:highlight w:val="none"/>
        </w:rPr>
        <w:t>4.2.1  投标人应在投标人须知前附表规定的投标截止时间前，通过</w:t>
      </w:r>
      <w:r>
        <w:rPr>
          <w:rFonts w:hint="eastAsia"/>
          <w:sz w:val="24"/>
          <w:highlight w:val="none"/>
        </w:rPr>
        <w:t>广州交易集团有限公司（广州公共资源交易中心）</w:t>
      </w:r>
      <w:r>
        <w:rPr>
          <w:sz w:val="24"/>
          <w:highlight w:val="none"/>
        </w:rPr>
        <w:t>网站交易平台递交电子投标文件。</w:t>
      </w:r>
    </w:p>
    <w:p w14:paraId="51636A0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4.2.2  投标人完成电子投标文件上传后，</w:t>
      </w:r>
      <w:r>
        <w:rPr>
          <w:rFonts w:hint="eastAsia"/>
          <w:sz w:val="24"/>
          <w:highlight w:val="none"/>
        </w:rPr>
        <w:t>广州交易集团有限公司（广州公共资源交易中心）</w:t>
      </w:r>
      <w:r>
        <w:rPr>
          <w:sz w:val="24"/>
          <w:highlight w:val="none"/>
        </w:rPr>
        <w:t>网站交易平台即时向投标人发出递交回执通知。递交时间以递交回执通知载明的传输完成时间为准。</w:t>
      </w:r>
    </w:p>
    <w:p w14:paraId="05A524A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4.2.3  逾期送达的电子投标文件，</w:t>
      </w:r>
      <w:r>
        <w:rPr>
          <w:rFonts w:hint="eastAsia"/>
          <w:sz w:val="24"/>
          <w:highlight w:val="none"/>
        </w:rPr>
        <w:t>广州交易集团有限公司（广州公共资源交易中心）</w:t>
      </w:r>
      <w:r>
        <w:rPr>
          <w:sz w:val="24"/>
          <w:highlight w:val="none"/>
        </w:rPr>
        <w:t>网站交易平台将予以拒收。</w:t>
      </w:r>
    </w:p>
    <w:p w14:paraId="71EEDB2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4.2.4  投标截止前，招标人拒绝接收符合条件的投标文件，投标人可向招标监督机构投诉。</w:t>
      </w:r>
      <w:bookmarkStart w:id="106" w:name="_bookmark83"/>
      <w:bookmarkEnd w:id="106"/>
    </w:p>
    <w:p w14:paraId="0D48B4A0">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cs="宋体"/>
          <w:sz w:val="24"/>
          <w:highlight w:val="none"/>
        </w:rPr>
      </w:pPr>
      <w:bookmarkStart w:id="107" w:name="_Toc10029"/>
      <w:r>
        <w:rPr>
          <w:rFonts w:cs="宋体"/>
          <w:sz w:val="24"/>
          <w:highlight w:val="none"/>
        </w:rPr>
        <w:t>4.3  投标文件的修改与撤回</w:t>
      </w:r>
      <w:bookmarkEnd w:id="107"/>
    </w:p>
    <w:p w14:paraId="63A9BE2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4.3.1  在规定的投标截止时间前， 投标人可以修改或撤回已递交的投标文件， 但应以书面形式通知招标人。</w:t>
      </w:r>
    </w:p>
    <w:p w14:paraId="187600E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4.3.2  投标人修改或撤回已递交投标文件,需在交易平台发出修改或撤回通知，并按要求加盖电子印章。电子招标投标交易平台收到通知后，即时向投标人发出确认回执通知。</w:t>
      </w:r>
    </w:p>
    <w:p w14:paraId="7290244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4.3.3  修改后再次递交的，按第4.2项的规定执行。</w:t>
      </w:r>
    </w:p>
    <w:p w14:paraId="034E4BC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4.3.4  在投标截止时间之后，投标人不得补充、修改和更换投标文件。</w:t>
      </w:r>
    </w:p>
    <w:p w14:paraId="295E3471">
      <w:pPr>
        <w:pStyle w:val="6"/>
        <w:spacing w:before="120" w:after="120"/>
        <w:rPr>
          <w:rFonts w:cs="宋体"/>
          <w:highlight w:val="none"/>
        </w:rPr>
      </w:pPr>
      <w:bookmarkStart w:id="108" w:name="bookmark51"/>
      <w:bookmarkEnd w:id="108"/>
      <w:bookmarkStart w:id="109" w:name="_Toc21556"/>
      <w:r>
        <w:rPr>
          <w:rFonts w:cs="宋体"/>
          <w:highlight w:val="none"/>
        </w:rPr>
        <w:t>5.开标</w:t>
      </w:r>
      <w:bookmarkEnd w:id="109"/>
    </w:p>
    <w:p w14:paraId="14B6B6D3">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cs="宋体"/>
          <w:sz w:val="24"/>
          <w:highlight w:val="none"/>
        </w:rPr>
      </w:pPr>
      <w:bookmarkStart w:id="110" w:name="bookmark52"/>
      <w:bookmarkEnd w:id="110"/>
      <w:bookmarkStart w:id="111" w:name="bookmark53"/>
      <w:bookmarkEnd w:id="111"/>
      <w:bookmarkStart w:id="112" w:name="_Toc14844"/>
      <w:r>
        <w:rPr>
          <w:rFonts w:cs="宋体"/>
          <w:sz w:val="24"/>
          <w:highlight w:val="none"/>
        </w:rPr>
        <w:t>5.1 开标时间和地点</w:t>
      </w:r>
      <w:bookmarkEnd w:id="112"/>
    </w:p>
    <w:p w14:paraId="0079AFB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bookmarkStart w:id="113" w:name="bookmark54"/>
      <w:bookmarkEnd w:id="113"/>
      <w:r>
        <w:rPr>
          <w:sz w:val="24"/>
          <w:highlight w:val="none"/>
        </w:rPr>
        <w:t>5.1.1  招标人按投标须知前附表规定的时间和地点公开开标。截标后，开标开始时间因故推迟的，相关评标信息仍以原定的开标开始时间的信息为准。</w:t>
      </w:r>
    </w:p>
    <w:p w14:paraId="1B73059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5.1.2  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072A7889">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cs="宋体"/>
          <w:sz w:val="24"/>
          <w:highlight w:val="none"/>
        </w:rPr>
      </w:pPr>
      <w:bookmarkStart w:id="114" w:name="_Toc22847"/>
      <w:r>
        <w:rPr>
          <w:rFonts w:cs="宋体"/>
          <w:sz w:val="24"/>
          <w:highlight w:val="none"/>
        </w:rPr>
        <w:t>5.2 开标程序</w:t>
      </w:r>
      <w:bookmarkEnd w:id="114"/>
    </w:p>
    <w:p w14:paraId="1456E7C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bookmarkStart w:id="115" w:name="bookmark55"/>
      <w:bookmarkEnd w:id="115"/>
      <w:r>
        <w:rPr>
          <w:sz w:val="24"/>
          <w:highlight w:val="none"/>
        </w:rPr>
        <w:t>5.2.1  在投标截止时间后</w:t>
      </w:r>
      <w:r>
        <w:rPr>
          <w:sz w:val="24"/>
          <w:highlight w:val="none"/>
          <w:u w:val="single"/>
        </w:rPr>
        <w:t>半小时</w:t>
      </w:r>
      <w:r>
        <w:rPr>
          <w:sz w:val="24"/>
          <w:highlight w:val="none"/>
        </w:rPr>
        <w:t>内，投标人通过递交投标文件的交易平台对已递交的电子投标文件进行解密。投标人完成解密后，再由招标人进行解密。解密完成后，公布招标项目名称、投标人名称、投标保证金的递交情况、投标报价、拟派总监理工程师及其他内容。未在规定时间内解密的投标文件不参与开标、评标。</w:t>
      </w:r>
    </w:p>
    <w:p w14:paraId="7F5A9FD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5.2.2  按开标记录表规定的内容进行唱标。</w:t>
      </w:r>
    </w:p>
    <w:p w14:paraId="236B6EA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5.2.3  投标人代表、招标人代表、监标人、记录人等有关人员在开标记录上签字确认；若有关人员不签字的，不影响开标程序。</w:t>
      </w:r>
    </w:p>
    <w:p w14:paraId="1DE4228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5.2.4  开标结束。</w:t>
      </w:r>
    </w:p>
    <w:p w14:paraId="2E64DFD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758605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5.2.6  开标时，两个（含两个）以上的投标人加密打包投标文件电脑机器特征码一致的，不参与下一程序，并由评标委员会否决其投标。</w:t>
      </w:r>
    </w:p>
    <w:p w14:paraId="76D85A46">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7"/>
          <w:highlight w:val="none"/>
        </w:rPr>
      </w:pPr>
      <w:bookmarkStart w:id="116" w:name="_Toc1043"/>
      <w:r>
        <w:rPr>
          <w:rFonts w:cs="宋体"/>
          <w:sz w:val="24"/>
          <w:highlight w:val="none"/>
        </w:rPr>
        <w:t>5.3  开标异议</w:t>
      </w:r>
      <w:bookmarkEnd w:id="116"/>
    </w:p>
    <w:p w14:paraId="173EF20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5.3.1  参加现场开标的投标人对开标结果有异议的，应当在开标现场提出，招标人应当当场作出答复，并制作记录。</w:t>
      </w:r>
    </w:p>
    <w:p w14:paraId="02E3F7E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22D57DD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5.3.3  投标人未参加开标或在规定的时间内未提出异议的，视为对开标无异议。</w:t>
      </w:r>
    </w:p>
    <w:p w14:paraId="7800F48B">
      <w:pPr>
        <w:pStyle w:val="6"/>
        <w:spacing w:before="120" w:after="120"/>
        <w:rPr>
          <w:rFonts w:ascii="Microsoft JhengHei" w:hAnsi="Microsoft JhengHei" w:eastAsia="Microsoft JhengHei"/>
          <w:b w:val="0"/>
          <w:sz w:val="30"/>
          <w:highlight w:val="none"/>
        </w:rPr>
      </w:pPr>
      <w:bookmarkStart w:id="117" w:name="bookmark56"/>
      <w:bookmarkEnd w:id="117"/>
      <w:bookmarkStart w:id="118" w:name="_Toc14961"/>
      <w:r>
        <w:rPr>
          <w:rFonts w:cs="宋体"/>
          <w:highlight w:val="none"/>
        </w:rPr>
        <w:t>6.评标</w:t>
      </w:r>
      <w:bookmarkEnd w:id="118"/>
    </w:p>
    <w:p w14:paraId="5DCA9E76">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cs="宋体"/>
          <w:sz w:val="24"/>
          <w:highlight w:val="none"/>
        </w:rPr>
      </w:pPr>
      <w:bookmarkStart w:id="119" w:name="bookmark57"/>
      <w:bookmarkEnd w:id="119"/>
      <w:bookmarkStart w:id="120" w:name="_Toc16566"/>
      <w:r>
        <w:rPr>
          <w:rFonts w:cs="宋体"/>
          <w:sz w:val="24"/>
          <w:highlight w:val="none"/>
        </w:rPr>
        <w:t>6.1  评标委员会</w:t>
      </w:r>
      <w:bookmarkEnd w:id="120"/>
    </w:p>
    <w:p w14:paraId="7F86AB4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 xml:space="preserve">6.1.1 </w:t>
      </w:r>
      <w:r>
        <w:rPr>
          <w:rFonts w:cs="宋体"/>
          <w:sz w:val="24"/>
          <w:highlight w:val="none"/>
        </w:rPr>
        <w:t>评标由招标人依法组建的评标委员会负责。评标委员会由有关技术、经济等方面的专家和招标人代表组成，专家从广东省综合评标评审专家库中抽取。评标委员会成员人数以及技术、经济等方面专家的确定方式见投标人须知前附表</w:t>
      </w:r>
      <w:r>
        <w:rPr>
          <w:sz w:val="24"/>
          <w:highlight w:val="none"/>
        </w:rPr>
        <w:t>。</w:t>
      </w:r>
    </w:p>
    <w:p w14:paraId="20FFBFD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6.1.2 评标委员会成员有下列情形之一的，应当回避：</w:t>
      </w:r>
    </w:p>
    <w:p w14:paraId="087EDA4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（1）投标人或投标人主要负责人的近亲属；</w:t>
      </w:r>
    </w:p>
    <w:p w14:paraId="7EEB013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（2）项目主管部门或者行政监督部门的人员；</w:t>
      </w:r>
    </w:p>
    <w:p w14:paraId="68552873">
      <w:pPr>
        <w:spacing w:line="360" w:lineRule="auto"/>
        <w:ind w:firstLine="480" w:firstLineChars="200"/>
        <w:rPr>
          <w:highlight w:val="none"/>
        </w:rPr>
      </w:pPr>
      <w:r>
        <w:rPr>
          <w:rFonts w:hint="eastAsia"/>
          <w:highlight w:val="none"/>
        </w:rPr>
        <w:t>（3）招标人或投标人的工作人员、退休或离职未满3年的人员；</w:t>
      </w:r>
    </w:p>
    <w:p w14:paraId="3EAECE6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w:t>
      </w:r>
      <w:r>
        <w:rPr>
          <w:rFonts w:hint="eastAsia"/>
          <w:sz w:val="24"/>
          <w:highlight w:val="none"/>
        </w:rPr>
        <w:t>4</w:t>
      </w:r>
      <w:r>
        <w:rPr>
          <w:sz w:val="24"/>
          <w:highlight w:val="none"/>
        </w:rPr>
        <w:t>）与投标人有经济利益关系，可能影响对投标公正评审的；</w:t>
      </w:r>
    </w:p>
    <w:p w14:paraId="36D2759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w:t>
      </w:r>
      <w:r>
        <w:rPr>
          <w:rFonts w:hint="eastAsia"/>
          <w:sz w:val="24"/>
          <w:highlight w:val="none"/>
        </w:rPr>
        <w:t>5</w:t>
      </w:r>
      <w:r>
        <w:rPr>
          <w:sz w:val="24"/>
          <w:highlight w:val="none"/>
        </w:rPr>
        <w:t>）曾因在招标、评标以及其他与招标投标有关活动中从事违法行为而受过行政处罚或刑事处罚的；</w:t>
      </w:r>
    </w:p>
    <w:p w14:paraId="50FBDD4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w:t>
      </w:r>
      <w:r>
        <w:rPr>
          <w:rFonts w:hint="eastAsia"/>
          <w:sz w:val="24"/>
          <w:highlight w:val="none"/>
        </w:rPr>
        <w:t>6</w:t>
      </w:r>
      <w:r>
        <w:rPr>
          <w:sz w:val="24"/>
          <w:highlight w:val="none"/>
        </w:rPr>
        <w:t>）与投标人有其他利害关系。</w:t>
      </w:r>
    </w:p>
    <w:p w14:paraId="3CD7B3F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01B16B35">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cs="宋体"/>
          <w:sz w:val="24"/>
          <w:highlight w:val="none"/>
        </w:rPr>
      </w:pPr>
      <w:bookmarkStart w:id="121" w:name="bookmark58"/>
      <w:bookmarkEnd w:id="121"/>
      <w:bookmarkStart w:id="122" w:name="_Toc2040"/>
      <w:r>
        <w:rPr>
          <w:rFonts w:cs="宋体"/>
          <w:sz w:val="24"/>
          <w:highlight w:val="none"/>
        </w:rPr>
        <w:t>6.2  评标原则</w:t>
      </w:r>
      <w:bookmarkEnd w:id="122"/>
    </w:p>
    <w:p w14:paraId="72C1768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评标活动遵循公平、公正、科学和择优的原则。</w:t>
      </w:r>
    </w:p>
    <w:p w14:paraId="6DCF496C">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cs="宋体"/>
          <w:sz w:val="24"/>
          <w:highlight w:val="none"/>
        </w:rPr>
      </w:pPr>
      <w:bookmarkStart w:id="123" w:name="bookmark59"/>
      <w:bookmarkEnd w:id="123"/>
      <w:bookmarkStart w:id="124" w:name="_Toc24943"/>
      <w:r>
        <w:rPr>
          <w:rFonts w:cs="宋体"/>
          <w:sz w:val="24"/>
          <w:highlight w:val="none"/>
        </w:rPr>
        <w:t>6.3 评标</w:t>
      </w:r>
      <w:bookmarkEnd w:id="124"/>
    </w:p>
    <w:p w14:paraId="50D85FA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6.3.1 评标委员会按照第三章“评标办法”规定的方法、评审因素、标准和程序对投标文件进 行评审。第三章“评标办法”没有规定的方法、评审因素和标准，不作为评标依据。</w:t>
      </w:r>
    </w:p>
    <w:p w14:paraId="4CD83D8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6.3.2 评标完成后，评标委员会应当向招标人提交书面评标报告和中标候选人名单。评标委员会推荐中标候选人的人数见投标人须知前附表。</w:t>
      </w:r>
    </w:p>
    <w:p w14:paraId="78A6414E">
      <w:pPr>
        <w:pStyle w:val="6"/>
        <w:spacing w:before="120" w:after="120"/>
        <w:rPr>
          <w:rFonts w:cs="宋体"/>
          <w:highlight w:val="none"/>
        </w:rPr>
      </w:pPr>
      <w:bookmarkStart w:id="125" w:name="bookmark60"/>
      <w:bookmarkEnd w:id="125"/>
      <w:bookmarkStart w:id="126" w:name="_Toc20225"/>
      <w:r>
        <w:rPr>
          <w:rFonts w:cs="宋体"/>
          <w:highlight w:val="none"/>
        </w:rPr>
        <w:t>7.合同授予</w:t>
      </w:r>
      <w:bookmarkEnd w:id="126"/>
    </w:p>
    <w:p w14:paraId="437C9BDB">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cs="宋体"/>
          <w:sz w:val="24"/>
          <w:highlight w:val="none"/>
        </w:rPr>
      </w:pPr>
      <w:bookmarkStart w:id="127" w:name="bookmark61"/>
      <w:bookmarkEnd w:id="127"/>
      <w:bookmarkStart w:id="128" w:name="_Toc16732"/>
      <w:r>
        <w:rPr>
          <w:rFonts w:cs="宋体"/>
          <w:sz w:val="24"/>
          <w:highlight w:val="none"/>
        </w:rPr>
        <w:t>7.1 中标候选人公示</w:t>
      </w:r>
      <w:bookmarkEnd w:id="128"/>
    </w:p>
    <w:p w14:paraId="2691E2A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招标人在收到评标报告之日起3日内，按照投标人须知前附表规定的公示媒介和期限公示中标候选人，公示期不得少于3天</w:t>
      </w:r>
      <w:r>
        <w:rPr>
          <w:rFonts w:hint="eastAsia"/>
          <w:sz w:val="24"/>
          <w:highlight w:val="none"/>
        </w:rPr>
        <w:t>，最后一天应为工作日</w:t>
      </w:r>
      <w:r>
        <w:rPr>
          <w:sz w:val="24"/>
          <w:highlight w:val="none"/>
        </w:rPr>
        <w:t>。</w:t>
      </w:r>
    </w:p>
    <w:p w14:paraId="752C1C4F">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cs="宋体"/>
          <w:sz w:val="24"/>
          <w:highlight w:val="none"/>
        </w:rPr>
      </w:pPr>
      <w:bookmarkStart w:id="129" w:name="bookmark62"/>
      <w:bookmarkEnd w:id="129"/>
      <w:bookmarkStart w:id="130" w:name="_Toc32332"/>
      <w:r>
        <w:rPr>
          <w:rFonts w:cs="宋体"/>
          <w:sz w:val="24"/>
          <w:highlight w:val="none"/>
        </w:rPr>
        <w:t>7.2 评标结果异议</w:t>
      </w:r>
      <w:bookmarkEnd w:id="130"/>
    </w:p>
    <w:p w14:paraId="1275DD6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投标人或者其他利害关系人对评标结果有异议的，应当在中标候选人公示期间提出。招标人将在收到异议之日起3日内作出答复；作出答复前，将暂停招标投标活动。</w:t>
      </w:r>
    </w:p>
    <w:p w14:paraId="0FD994E8">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cs="宋体"/>
          <w:sz w:val="24"/>
          <w:highlight w:val="none"/>
        </w:rPr>
      </w:pPr>
      <w:bookmarkStart w:id="131" w:name="bookmark63"/>
      <w:bookmarkEnd w:id="131"/>
      <w:bookmarkStart w:id="132" w:name="_Toc31719"/>
      <w:r>
        <w:rPr>
          <w:rFonts w:cs="宋体"/>
          <w:sz w:val="24"/>
          <w:highlight w:val="none"/>
        </w:rPr>
        <w:t>7.3 中标候选人履约能力审查</w:t>
      </w:r>
      <w:bookmarkEnd w:id="132"/>
    </w:p>
    <w:p w14:paraId="2B14311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20EE681A">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7"/>
          <w:highlight w:val="none"/>
        </w:rPr>
      </w:pPr>
      <w:bookmarkStart w:id="133" w:name="bookmark64"/>
      <w:bookmarkEnd w:id="133"/>
      <w:bookmarkStart w:id="134" w:name="_Toc21635"/>
      <w:r>
        <w:rPr>
          <w:rFonts w:cs="宋体"/>
          <w:sz w:val="24"/>
          <w:highlight w:val="none"/>
        </w:rPr>
        <w:t>7.4 定标</w:t>
      </w:r>
      <w:bookmarkEnd w:id="134"/>
    </w:p>
    <w:p w14:paraId="172789C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按照投标人须知前附表的规定，招标人或招标人授权的评标委员会依法确定中标人。</w:t>
      </w:r>
    </w:p>
    <w:p w14:paraId="20A1DAE1">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7"/>
          <w:highlight w:val="none"/>
        </w:rPr>
      </w:pPr>
      <w:bookmarkStart w:id="135" w:name="bookmark65"/>
      <w:bookmarkEnd w:id="135"/>
      <w:bookmarkStart w:id="136" w:name="_Toc19033"/>
      <w:r>
        <w:rPr>
          <w:rFonts w:cs="宋体"/>
          <w:sz w:val="24"/>
          <w:highlight w:val="none"/>
        </w:rPr>
        <w:t>7.5 中标通知</w:t>
      </w:r>
      <w:bookmarkEnd w:id="136"/>
    </w:p>
    <w:p w14:paraId="70CF871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bookmarkStart w:id="137" w:name="bookmark66"/>
      <w:bookmarkEnd w:id="137"/>
      <w:r>
        <w:rPr>
          <w:sz w:val="24"/>
          <w:highlight w:val="none"/>
        </w:rPr>
        <w:t>7.5.1  在法规规定的时间内，招标人以书面形式向中标人发出中标通知书。在</w:t>
      </w:r>
      <w:r>
        <w:rPr>
          <w:rFonts w:hint="eastAsia"/>
          <w:sz w:val="24"/>
          <w:highlight w:val="none"/>
        </w:rPr>
        <w:t>广州交易集团有限公司（广州公共资源交易中心）</w:t>
      </w:r>
      <w:r>
        <w:rPr>
          <w:sz w:val="24"/>
          <w:highlight w:val="none"/>
        </w:rPr>
        <w:t>网和广东省招标投标监管网发布中标信息，视同将中标结果通知未中标的投标人。</w:t>
      </w:r>
    </w:p>
    <w:p w14:paraId="4DF48B9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7.5.2  中标通知书发出前，中标人应未被纳入失信联合惩戒名单，否则招标人将取消其中标资格，</w:t>
      </w:r>
      <w:r>
        <w:rPr>
          <w:rFonts w:hint="eastAsia"/>
          <w:sz w:val="24"/>
          <w:highlight w:val="none"/>
          <w:u w:val="single"/>
        </w:rPr>
        <w:t>招标人可以按照评标委员会提出的中标候选人名单排序依次确定其他中标候选人为中标人。</w:t>
      </w:r>
      <w:r>
        <w:rPr>
          <w:sz w:val="24"/>
          <w:highlight w:val="none"/>
        </w:rPr>
        <w:t>失信联合惩戒名单以“信用广州”网站公布的“</w:t>
      </w:r>
      <w:r>
        <w:rPr>
          <w:rFonts w:hint="eastAsia"/>
          <w:sz w:val="24"/>
          <w:highlight w:val="none"/>
        </w:rPr>
        <w:t>黑名单</w:t>
      </w:r>
      <w:r>
        <w:rPr>
          <w:sz w:val="24"/>
          <w:highlight w:val="none"/>
        </w:rPr>
        <w:t xml:space="preserve">”为准。 </w:t>
      </w:r>
    </w:p>
    <w:p w14:paraId="67F7D397">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7"/>
          <w:highlight w:val="none"/>
        </w:rPr>
      </w:pPr>
      <w:bookmarkStart w:id="138" w:name="_Toc19973"/>
      <w:r>
        <w:rPr>
          <w:rFonts w:cs="宋体"/>
          <w:sz w:val="24"/>
          <w:highlight w:val="none"/>
        </w:rPr>
        <w:t>7.6  履约保证金</w:t>
      </w:r>
      <w:bookmarkEnd w:id="138"/>
    </w:p>
    <w:p w14:paraId="5D4C1DE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r>
        <w:rPr>
          <w:strike/>
          <w:sz w:val="24"/>
          <w:highlight w:val="none"/>
        </w:rPr>
        <w:t>联合体中标的，其履约保证金以联合体各方或者联合体中</w:t>
      </w:r>
      <w:r>
        <w:rPr>
          <w:strike/>
          <w:spacing w:val="-2"/>
          <w:sz w:val="24"/>
          <w:highlight w:val="none"/>
        </w:rPr>
        <w:t>主办方</w:t>
      </w:r>
      <w:r>
        <w:rPr>
          <w:strike/>
          <w:sz w:val="24"/>
          <w:highlight w:val="none"/>
        </w:rPr>
        <w:t>的名义提交。</w:t>
      </w:r>
    </w:p>
    <w:p w14:paraId="0DEB23D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7.6.2 中标人不能按本章第 7.6.1 项要求提交履约保证金的，视为放弃中标，</w:t>
      </w:r>
      <w:r>
        <w:rPr>
          <w:strike/>
          <w:sz w:val="24"/>
          <w:highlight w:val="none"/>
        </w:rPr>
        <w:t>其投标保证金不予退还，给招标人造成的损失超过投标保证金数额的，</w:t>
      </w:r>
      <w:r>
        <w:rPr>
          <w:sz w:val="24"/>
          <w:highlight w:val="none"/>
        </w:rPr>
        <w:t>中标人还应当对超过部分予以赔偿。</w:t>
      </w:r>
    </w:p>
    <w:p w14:paraId="70282068">
      <w:pPr>
        <w:pStyle w:val="12"/>
        <w:kinsoku w:val="0"/>
        <w:overflowPunct w:val="0"/>
        <w:spacing w:before="13"/>
        <w:ind w:left="0"/>
        <w:rPr>
          <w:sz w:val="13"/>
          <w:highlight w:val="none"/>
        </w:rPr>
      </w:pPr>
    </w:p>
    <w:p w14:paraId="041A80D2">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7"/>
          <w:highlight w:val="none"/>
        </w:rPr>
      </w:pPr>
      <w:bookmarkStart w:id="139" w:name="bookmark67"/>
      <w:bookmarkEnd w:id="139"/>
      <w:bookmarkStart w:id="140" w:name="_Toc9958"/>
      <w:r>
        <w:rPr>
          <w:rFonts w:cs="宋体"/>
          <w:sz w:val="24"/>
          <w:highlight w:val="none"/>
        </w:rPr>
        <w:t>7.7  签订合同</w:t>
      </w:r>
      <w:bookmarkEnd w:id="140"/>
    </w:p>
    <w:p w14:paraId="73AB93F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7.7.1 招标人和中标人应当在中标通知书发出之日起30日内，根据招标文件和中标人的投标文件订立书面合同</w:t>
      </w:r>
      <w:r>
        <w:rPr>
          <w:rFonts w:hint="eastAsia"/>
          <w:sz w:val="24"/>
          <w:highlight w:val="none"/>
        </w:rPr>
        <w:t>，并通过电子交易系统与中标人在线签订合同</w:t>
      </w:r>
      <w:r>
        <w:rPr>
          <w:sz w:val="24"/>
          <w:highlight w:val="none"/>
        </w:rPr>
        <w:t>。中标人无正当理由拒签合同，在签订合同时向招标人提出附加条件，或者不按照招标文件要求提交履约保证金的，招标人有权取消其中标资格</w:t>
      </w:r>
      <w:r>
        <w:rPr>
          <w:strike/>
          <w:sz w:val="24"/>
          <w:highlight w:val="none"/>
        </w:rPr>
        <w:t>，其投标保证金不予退还</w:t>
      </w:r>
      <w:r>
        <w:rPr>
          <w:sz w:val="24"/>
          <w:highlight w:val="none"/>
        </w:rPr>
        <w:t>；</w:t>
      </w:r>
      <w:r>
        <w:rPr>
          <w:strike/>
          <w:sz w:val="24"/>
          <w:highlight w:val="none"/>
        </w:rPr>
        <w:t>给招标人造成的损失超过投标保证金数额的，</w:t>
      </w:r>
      <w:r>
        <w:rPr>
          <w:sz w:val="24"/>
          <w:highlight w:val="none"/>
        </w:rPr>
        <w:t>中标人还应当对超过部分予以赔偿。</w:t>
      </w:r>
    </w:p>
    <w:p w14:paraId="2351E3A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7.7.2 发出中标通知书后，招标人无正当理由拒签合同，或者在签订合同时向中标人提出附加条件的</w:t>
      </w:r>
      <w:r>
        <w:rPr>
          <w:strike/>
          <w:sz w:val="24"/>
          <w:highlight w:val="none"/>
        </w:rPr>
        <w:t>，招标人向中标人退还投标保证金；</w:t>
      </w:r>
      <w:r>
        <w:rPr>
          <w:sz w:val="24"/>
          <w:highlight w:val="none"/>
        </w:rPr>
        <w:t>给中标人造成损失的，还应当赔偿损失。</w:t>
      </w:r>
    </w:p>
    <w:p w14:paraId="6BAE71A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trike/>
          <w:sz w:val="24"/>
          <w:highlight w:val="none"/>
        </w:rPr>
        <w:t>7.7.3 联合体中标的，联合体各方应当共同与招标人签订合同，就中标项目向招标人承担连带责任。</w:t>
      </w:r>
    </w:p>
    <w:p w14:paraId="3731F095">
      <w:pPr>
        <w:pStyle w:val="6"/>
        <w:spacing w:before="120" w:after="120"/>
        <w:rPr>
          <w:rFonts w:ascii="Microsoft JhengHei" w:hAnsi="Microsoft JhengHei" w:eastAsia="Microsoft JhengHei"/>
          <w:b w:val="0"/>
          <w:sz w:val="30"/>
          <w:highlight w:val="none"/>
        </w:rPr>
      </w:pPr>
      <w:bookmarkStart w:id="141" w:name="bookmark68"/>
      <w:bookmarkEnd w:id="141"/>
      <w:bookmarkStart w:id="142" w:name="_Toc30276"/>
      <w:r>
        <w:rPr>
          <w:rFonts w:cs="宋体"/>
          <w:highlight w:val="none"/>
        </w:rPr>
        <w:t>8.纪律和监督</w:t>
      </w:r>
      <w:bookmarkEnd w:id="142"/>
    </w:p>
    <w:p w14:paraId="6E252973">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7"/>
          <w:highlight w:val="none"/>
        </w:rPr>
      </w:pPr>
      <w:bookmarkStart w:id="143" w:name="bookmark69"/>
      <w:bookmarkEnd w:id="143"/>
      <w:bookmarkStart w:id="144" w:name="_Toc10523"/>
      <w:r>
        <w:rPr>
          <w:rFonts w:cs="宋体"/>
          <w:sz w:val="24"/>
          <w:highlight w:val="none"/>
        </w:rPr>
        <w:t>8.1 对招标人的纪律要求</w:t>
      </w:r>
      <w:bookmarkEnd w:id="144"/>
    </w:p>
    <w:p w14:paraId="3C76057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招标人不得泄露招标投标活动中应当保密的情况和资料，不得与投标人串通损害国家利益、社会公共利益或者他人合法权益。</w:t>
      </w:r>
    </w:p>
    <w:p w14:paraId="2815A867">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cs="宋体"/>
          <w:sz w:val="24"/>
          <w:highlight w:val="none"/>
        </w:rPr>
      </w:pPr>
      <w:bookmarkStart w:id="145" w:name="bookmark70"/>
      <w:bookmarkEnd w:id="145"/>
      <w:bookmarkStart w:id="146" w:name="_Toc24813"/>
      <w:r>
        <w:rPr>
          <w:rFonts w:cs="宋体"/>
          <w:sz w:val="24"/>
          <w:highlight w:val="none"/>
        </w:rPr>
        <w:t>8.2 对投标人的纪律要求</w:t>
      </w:r>
      <w:bookmarkEnd w:id="146"/>
    </w:p>
    <w:p w14:paraId="4BC9901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2CD70C1">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7"/>
          <w:highlight w:val="none"/>
        </w:rPr>
      </w:pPr>
      <w:bookmarkStart w:id="147" w:name="bookmark71"/>
      <w:bookmarkEnd w:id="147"/>
      <w:bookmarkStart w:id="148" w:name="_Toc28387"/>
      <w:r>
        <w:rPr>
          <w:rFonts w:cs="宋体"/>
          <w:sz w:val="24"/>
          <w:highlight w:val="none"/>
        </w:rPr>
        <w:t>8.3 对评标委员会成员的纪律要求</w:t>
      </w:r>
      <w:bookmarkEnd w:id="148"/>
    </w:p>
    <w:p w14:paraId="144899D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E80416B">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7"/>
          <w:highlight w:val="none"/>
        </w:rPr>
      </w:pPr>
      <w:bookmarkStart w:id="149" w:name="bookmark72"/>
      <w:bookmarkEnd w:id="149"/>
      <w:bookmarkStart w:id="150" w:name="_Toc29038"/>
      <w:r>
        <w:rPr>
          <w:rFonts w:cs="宋体"/>
          <w:sz w:val="24"/>
          <w:highlight w:val="none"/>
        </w:rPr>
        <w:t>8.4 对与评标活动有关的工作人员的纪律要求</w:t>
      </w:r>
      <w:bookmarkEnd w:id="150"/>
    </w:p>
    <w:p w14:paraId="1679A01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B3754C8">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cs="宋体"/>
          <w:sz w:val="24"/>
          <w:highlight w:val="none"/>
        </w:rPr>
      </w:pPr>
      <w:bookmarkStart w:id="151" w:name="bookmark73"/>
      <w:bookmarkEnd w:id="151"/>
      <w:bookmarkStart w:id="152" w:name="_Toc15989"/>
      <w:r>
        <w:rPr>
          <w:rFonts w:cs="宋体"/>
          <w:sz w:val="24"/>
          <w:highlight w:val="none"/>
        </w:rPr>
        <w:t>8.5 投诉</w:t>
      </w:r>
      <w:bookmarkEnd w:id="152"/>
    </w:p>
    <w:p w14:paraId="058C26F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0C019B8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8.5.2  投标人或者其他利害关系人对招标文件、开标和评标结果提出投诉的，应当按照投标人须知第2.4款、第5.3款和第7.2款的规定先向招标人提出异议。异议答复期间不计算在第8.5.1项规定的期限内。</w:t>
      </w:r>
    </w:p>
    <w:p w14:paraId="567357AD">
      <w:pPr>
        <w:pStyle w:val="6"/>
        <w:spacing w:before="120" w:after="120"/>
        <w:rPr>
          <w:rFonts w:ascii="Microsoft JhengHei" w:hAnsi="Microsoft JhengHei" w:eastAsia="Microsoft JhengHei"/>
          <w:b w:val="0"/>
          <w:sz w:val="19"/>
          <w:highlight w:val="none"/>
        </w:rPr>
      </w:pPr>
      <w:bookmarkStart w:id="153" w:name="bookmark74"/>
      <w:bookmarkEnd w:id="153"/>
      <w:bookmarkStart w:id="154" w:name="_Toc2971"/>
      <w:r>
        <w:rPr>
          <w:rFonts w:cs="宋体"/>
          <w:highlight w:val="none"/>
        </w:rPr>
        <w:t>9.采用电子招标投标</w:t>
      </w:r>
      <w:bookmarkEnd w:id="154"/>
    </w:p>
    <w:p w14:paraId="461B553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48" w:firstLineChars="200"/>
        <w:jc w:val="both"/>
        <w:rPr>
          <w:rFonts w:ascii="Times New Roman" w:hAnsi="Times New Roman"/>
          <w:spacing w:val="-8"/>
          <w:sz w:val="24"/>
          <w:highlight w:val="none"/>
        </w:rPr>
      </w:pPr>
      <w:r>
        <w:rPr>
          <w:rFonts w:hint="eastAsia" w:ascii="Times New Roman" w:hAnsi="Times New Roman"/>
          <w:spacing w:val="-8"/>
          <w:sz w:val="24"/>
          <w:highlight w:val="none"/>
        </w:rPr>
        <w:t>本招标项目采用电子招标投标方式，按照广州交易集团有限公司（广州公共资源交易中心）网站关于全流程电子化项目的相关指南进行操作</w:t>
      </w:r>
      <w:r>
        <w:rPr>
          <w:rFonts w:ascii="Times New Roman" w:hAnsi="Times New Roman"/>
          <w:spacing w:val="-8"/>
          <w:sz w:val="24"/>
          <w:highlight w:val="none"/>
        </w:rPr>
        <w:t>。</w:t>
      </w:r>
    </w:p>
    <w:p w14:paraId="126E61EA">
      <w:pPr>
        <w:pStyle w:val="6"/>
        <w:spacing w:before="120" w:after="120"/>
        <w:rPr>
          <w:rFonts w:ascii="Microsoft JhengHei" w:hAnsi="Microsoft JhengHei" w:eastAsia="Microsoft JhengHei"/>
          <w:b w:val="0"/>
          <w:sz w:val="19"/>
          <w:highlight w:val="none"/>
        </w:rPr>
      </w:pPr>
      <w:bookmarkStart w:id="155" w:name="bookmark75"/>
      <w:bookmarkEnd w:id="155"/>
      <w:bookmarkStart w:id="156" w:name="_Toc12519"/>
      <w:r>
        <w:rPr>
          <w:rFonts w:cs="宋体"/>
          <w:highlight w:val="none"/>
        </w:rPr>
        <w:t>10.需要补充的其他内容</w:t>
      </w:r>
      <w:bookmarkEnd w:id="156"/>
    </w:p>
    <w:p w14:paraId="783CE95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cs="宋体"/>
          <w:sz w:val="24"/>
          <w:highlight w:val="none"/>
        </w:rPr>
      </w:pPr>
      <w:r>
        <w:rPr>
          <w:rFonts w:cs="宋体"/>
          <w:sz w:val="24"/>
          <w:highlight w:val="none"/>
        </w:rPr>
        <w:t>需要补充的其他内容：见投标人须知前附表。</w:t>
      </w:r>
    </w:p>
    <w:p w14:paraId="79DA9397">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cs="宋体"/>
          <w:sz w:val="24"/>
          <w:highlight w:val="none"/>
        </w:rPr>
        <w:sectPr>
          <w:pgSz w:w="11905" w:h="16838"/>
          <w:pgMar w:top="1417" w:right="1417" w:bottom="1417" w:left="1417" w:header="992" w:footer="992" w:gutter="0"/>
          <w:cols w:space="720" w:num="1"/>
        </w:sectPr>
      </w:pPr>
    </w:p>
    <w:p w14:paraId="3BB9ADB7">
      <w:pPr>
        <w:pStyle w:val="7"/>
        <w:rPr>
          <w:highlight w:val="none"/>
        </w:rPr>
      </w:pPr>
      <w:bookmarkStart w:id="157" w:name="bookmark77"/>
      <w:bookmarkEnd w:id="157"/>
      <w:bookmarkStart w:id="158" w:name="bookmark76"/>
      <w:bookmarkEnd w:id="158"/>
      <w:bookmarkStart w:id="159" w:name="_Toc24188"/>
      <w:bookmarkStart w:id="160" w:name="_Toc5057"/>
      <w:r>
        <w:rPr>
          <w:highlight w:val="none"/>
        </w:rPr>
        <w:t>附件一：问题澄清通知</w:t>
      </w:r>
      <w:bookmarkEnd w:id="159"/>
      <w:bookmarkEnd w:id="160"/>
    </w:p>
    <w:p w14:paraId="476F02B4">
      <w:pPr>
        <w:pStyle w:val="12"/>
        <w:kinsoku w:val="0"/>
        <w:overflowPunct w:val="0"/>
        <w:ind w:left="0"/>
        <w:rPr>
          <w:sz w:val="20"/>
          <w:highlight w:val="none"/>
        </w:rPr>
      </w:pPr>
    </w:p>
    <w:p w14:paraId="3272A417">
      <w:pPr>
        <w:pStyle w:val="12"/>
        <w:kinsoku w:val="0"/>
        <w:overflowPunct w:val="0"/>
        <w:ind w:left="0"/>
        <w:rPr>
          <w:sz w:val="20"/>
          <w:highlight w:val="none"/>
        </w:rPr>
      </w:pPr>
    </w:p>
    <w:p w14:paraId="191A91AF">
      <w:pPr>
        <w:pStyle w:val="12"/>
        <w:kinsoku w:val="0"/>
        <w:overflowPunct w:val="0"/>
        <w:ind w:left="0"/>
        <w:rPr>
          <w:sz w:val="20"/>
          <w:highlight w:val="none"/>
        </w:rPr>
      </w:pPr>
    </w:p>
    <w:p w14:paraId="1A5D0A11">
      <w:pPr>
        <w:pStyle w:val="12"/>
        <w:kinsoku w:val="0"/>
        <w:overflowPunct w:val="0"/>
        <w:spacing w:before="4"/>
        <w:ind w:left="0"/>
        <w:rPr>
          <w:sz w:val="17"/>
          <w:highlight w:val="none"/>
        </w:rPr>
      </w:pPr>
    </w:p>
    <w:p w14:paraId="27066A9A">
      <w:pPr>
        <w:pStyle w:val="12"/>
        <w:kinsoku w:val="0"/>
        <w:overflowPunct w:val="0"/>
        <w:spacing w:before="14"/>
        <w:ind w:left="0" w:right="13"/>
        <w:jc w:val="center"/>
        <w:rPr>
          <w:sz w:val="28"/>
          <w:highlight w:val="none"/>
        </w:rPr>
      </w:pPr>
      <w:r>
        <w:rPr>
          <w:sz w:val="28"/>
          <w:highlight w:val="none"/>
        </w:rPr>
        <w:t>问题澄清通知</w:t>
      </w:r>
    </w:p>
    <w:p w14:paraId="2DC80718">
      <w:pPr>
        <w:pStyle w:val="12"/>
        <w:tabs>
          <w:tab w:val="left" w:pos="2937"/>
        </w:tabs>
        <w:kinsoku w:val="0"/>
        <w:overflowPunct w:val="0"/>
        <w:spacing w:before="157"/>
        <w:ind w:left="0" w:right="20"/>
        <w:jc w:val="center"/>
        <w:rPr>
          <w:highlight w:val="none"/>
        </w:rPr>
      </w:pPr>
      <w:r>
        <w:rPr>
          <w:spacing w:val="-1"/>
          <w:highlight w:val="none"/>
        </w:rPr>
        <w:t>（编号：</w:t>
      </w:r>
      <w:r>
        <w:rPr>
          <w:rFonts w:hint="eastAsia" w:ascii="Times New Roman" w:hAnsi="Times New Roman" w:eastAsia="Times New Roman"/>
          <w:spacing w:val="-1"/>
          <w:highlight w:val="none"/>
          <w:u w:val="single"/>
        </w:rPr>
        <w:tab/>
      </w:r>
      <w:r>
        <w:rPr>
          <w:highlight w:val="none"/>
        </w:rPr>
        <w:t>）</w:t>
      </w:r>
    </w:p>
    <w:p w14:paraId="63547E52">
      <w:pPr>
        <w:pStyle w:val="12"/>
        <w:kinsoku w:val="0"/>
        <w:overflowPunct w:val="0"/>
        <w:ind w:left="0"/>
        <w:rPr>
          <w:sz w:val="20"/>
          <w:highlight w:val="none"/>
        </w:rPr>
      </w:pPr>
    </w:p>
    <w:p w14:paraId="2ABE83AB">
      <w:pPr>
        <w:pStyle w:val="12"/>
        <w:kinsoku w:val="0"/>
        <w:overflowPunct w:val="0"/>
        <w:spacing w:before="5"/>
        <w:ind w:left="0"/>
        <w:rPr>
          <w:sz w:val="23"/>
          <w:highlight w:val="none"/>
        </w:rPr>
      </w:pPr>
    </w:p>
    <w:p w14:paraId="27D602F2">
      <w:pPr>
        <w:pStyle w:val="12"/>
        <w:tabs>
          <w:tab w:val="left" w:pos="2305"/>
        </w:tabs>
        <w:kinsoku w:val="0"/>
        <w:overflowPunct w:val="0"/>
        <w:spacing w:before="36"/>
        <w:ind w:left="100" w:right="113"/>
        <w:rPr>
          <w:spacing w:val="-15"/>
          <w:highlight w:val="none"/>
        </w:rPr>
      </w:pPr>
      <w:r>
        <w:rPr>
          <w:rFonts w:hint="eastAsia" w:ascii="Times New Roman" w:hAnsi="Times New Roman" w:eastAsia="Times New Roman"/>
          <w:highlight w:val="none"/>
          <w:u w:val="single"/>
        </w:rPr>
        <w:t xml:space="preserve"> </w:t>
      </w:r>
      <w:r>
        <w:rPr>
          <w:rFonts w:hint="eastAsia" w:ascii="Times New Roman" w:hAnsi="Times New Roman" w:eastAsia="Times New Roman"/>
          <w:highlight w:val="none"/>
          <w:u w:val="single"/>
        </w:rPr>
        <w:tab/>
      </w:r>
      <w:r>
        <w:rPr>
          <w:spacing w:val="-15"/>
          <w:highlight w:val="none"/>
        </w:rPr>
        <w:t>（投标人名称）：</w:t>
      </w:r>
    </w:p>
    <w:p w14:paraId="327729D8">
      <w:pPr>
        <w:pStyle w:val="12"/>
        <w:kinsoku w:val="0"/>
        <w:overflowPunct w:val="0"/>
        <w:ind w:left="0"/>
        <w:rPr>
          <w:sz w:val="20"/>
          <w:highlight w:val="none"/>
        </w:rPr>
      </w:pPr>
    </w:p>
    <w:p w14:paraId="50017930">
      <w:pPr>
        <w:pStyle w:val="12"/>
        <w:kinsoku w:val="0"/>
        <w:overflowPunct w:val="0"/>
        <w:spacing w:before="8"/>
        <w:ind w:left="0"/>
        <w:rPr>
          <w:sz w:val="23"/>
          <w:highlight w:val="none"/>
        </w:rPr>
      </w:pPr>
    </w:p>
    <w:p w14:paraId="60A251B9">
      <w:pPr>
        <w:pStyle w:val="12"/>
        <w:kinsoku w:val="0"/>
        <w:overflowPunct w:val="0"/>
        <w:spacing w:before="36" w:line="384" w:lineRule="auto"/>
        <w:ind w:left="100" w:right="113" w:firstLine="422"/>
        <w:rPr>
          <w:highlight w:val="none"/>
        </w:rPr>
      </w:pPr>
      <w:r>
        <w:rPr>
          <w:spacing w:val="-1"/>
          <w:highlight w:val="none"/>
        </w:rPr>
        <w:t>评标委员会对你方的投标文件进行了仔细的审查，现需你方对下列问题以书面形式予以澄</w:t>
      </w:r>
      <w:r>
        <w:rPr>
          <w:highlight w:val="none"/>
        </w:rPr>
        <w:t xml:space="preserve"> 清、说明或补正：</w:t>
      </w:r>
    </w:p>
    <w:p w14:paraId="33976613">
      <w:pPr>
        <w:pStyle w:val="12"/>
        <w:kinsoku w:val="0"/>
        <w:overflowPunct w:val="0"/>
        <w:ind w:left="0"/>
        <w:rPr>
          <w:sz w:val="20"/>
          <w:highlight w:val="none"/>
        </w:rPr>
      </w:pPr>
    </w:p>
    <w:p w14:paraId="20EC5EF9">
      <w:pPr>
        <w:pStyle w:val="12"/>
        <w:kinsoku w:val="0"/>
        <w:overflowPunct w:val="0"/>
        <w:spacing w:before="6"/>
        <w:ind w:left="0"/>
        <w:rPr>
          <w:sz w:val="20"/>
          <w:highlight w:val="none"/>
        </w:rPr>
      </w:pPr>
    </w:p>
    <w:p w14:paraId="665AAF1C">
      <w:pPr>
        <w:pStyle w:val="12"/>
        <w:kinsoku w:val="0"/>
        <w:overflowPunct w:val="0"/>
        <w:ind w:left="522" w:right="113"/>
        <w:rPr>
          <w:rFonts w:ascii="Times New Roman" w:hAnsi="Times New Roman" w:eastAsia="Times New Roman"/>
          <w:highlight w:val="none"/>
        </w:rPr>
      </w:pPr>
      <w:r>
        <w:rPr>
          <w:rFonts w:hint="eastAsia" w:ascii="Times New Roman" w:hAnsi="Times New Roman" w:eastAsia="Times New Roman"/>
          <w:highlight w:val="none"/>
        </w:rPr>
        <w:t>1.</w:t>
      </w:r>
    </w:p>
    <w:p w14:paraId="43596813">
      <w:pPr>
        <w:pStyle w:val="12"/>
        <w:kinsoku w:val="0"/>
        <w:overflowPunct w:val="0"/>
        <w:spacing w:before="2"/>
        <w:ind w:left="0"/>
        <w:rPr>
          <w:rFonts w:ascii="Times New Roman" w:hAnsi="Times New Roman" w:eastAsia="Times New Roman"/>
          <w:sz w:val="17"/>
          <w:highlight w:val="none"/>
        </w:rPr>
      </w:pPr>
    </w:p>
    <w:p w14:paraId="029731C2">
      <w:pPr>
        <w:pStyle w:val="12"/>
        <w:kinsoku w:val="0"/>
        <w:overflowPunct w:val="0"/>
        <w:ind w:left="522" w:right="113"/>
        <w:rPr>
          <w:rFonts w:ascii="Times New Roman" w:hAnsi="Times New Roman" w:eastAsia="Times New Roman"/>
          <w:highlight w:val="none"/>
        </w:rPr>
      </w:pPr>
      <w:r>
        <w:rPr>
          <w:rFonts w:hint="eastAsia" w:ascii="Times New Roman" w:hAnsi="Times New Roman" w:eastAsia="Times New Roman"/>
          <w:highlight w:val="none"/>
        </w:rPr>
        <w:t>2.</w:t>
      </w:r>
    </w:p>
    <w:p w14:paraId="2395B8FB">
      <w:pPr>
        <w:pStyle w:val="12"/>
        <w:kinsoku w:val="0"/>
        <w:overflowPunct w:val="0"/>
        <w:spacing w:before="5"/>
        <w:ind w:left="0"/>
        <w:rPr>
          <w:rFonts w:ascii="Times New Roman" w:hAnsi="Times New Roman" w:eastAsia="Times New Roman"/>
          <w:sz w:val="17"/>
          <w:highlight w:val="none"/>
        </w:rPr>
      </w:pPr>
    </w:p>
    <w:p w14:paraId="1A78ED03">
      <w:pPr>
        <w:pStyle w:val="12"/>
        <w:kinsoku w:val="0"/>
        <w:overflowPunct w:val="0"/>
        <w:ind w:left="628" w:right="113"/>
        <w:rPr>
          <w:rFonts w:ascii="Times New Roman" w:hAnsi="Times New Roman" w:eastAsia="Times New Roman"/>
          <w:highlight w:val="none"/>
        </w:rPr>
      </w:pPr>
      <w:r>
        <w:rPr>
          <w:rFonts w:hint="eastAsia" w:ascii="Times New Roman" w:hAnsi="Times New Roman" w:eastAsia="Times New Roman"/>
          <w:highlight w:val="none"/>
        </w:rPr>
        <w:t>......</w:t>
      </w:r>
    </w:p>
    <w:p w14:paraId="79CA6CBB">
      <w:pPr>
        <w:pStyle w:val="12"/>
        <w:kinsoku w:val="0"/>
        <w:overflowPunct w:val="0"/>
        <w:ind w:left="0"/>
        <w:rPr>
          <w:rFonts w:ascii="Times New Roman" w:hAnsi="Times New Roman" w:eastAsia="Times New Roman"/>
          <w:sz w:val="20"/>
          <w:highlight w:val="none"/>
        </w:rPr>
      </w:pPr>
    </w:p>
    <w:p w14:paraId="232DD616">
      <w:pPr>
        <w:pStyle w:val="12"/>
        <w:kinsoku w:val="0"/>
        <w:overflowPunct w:val="0"/>
        <w:ind w:left="0"/>
        <w:rPr>
          <w:rFonts w:ascii="Times New Roman" w:hAnsi="Times New Roman" w:eastAsia="Times New Roman"/>
          <w:sz w:val="20"/>
          <w:highlight w:val="none"/>
        </w:rPr>
      </w:pPr>
    </w:p>
    <w:p w14:paraId="455BC85D">
      <w:pPr>
        <w:pStyle w:val="12"/>
        <w:tabs>
          <w:tab w:val="left" w:pos="4603"/>
          <w:tab w:val="left" w:pos="5549"/>
          <w:tab w:val="left" w:pos="6494"/>
          <w:tab w:val="left" w:pos="7438"/>
        </w:tabs>
        <w:kinsoku w:val="0"/>
        <w:overflowPunct w:val="0"/>
        <w:spacing w:before="127"/>
        <w:ind w:left="505" w:right="113"/>
        <w:rPr>
          <w:spacing w:val="-2"/>
          <w:highlight w:val="none"/>
        </w:rPr>
      </w:pPr>
      <w:r>
        <w:rPr>
          <w:spacing w:val="-2"/>
          <w:highlight w:val="none"/>
        </w:rPr>
        <w:t>请将上述问题的澄清、说明或补正于</w:t>
      </w:r>
      <w:r>
        <w:rPr>
          <w:rFonts w:hint="eastAsia" w:ascii="Times New Roman" w:hAnsi="Times New Roman" w:eastAsia="Times New Roman"/>
          <w:spacing w:val="-2"/>
          <w:highlight w:val="none"/>
          <w:u w:val="single"/>
        </w:rPr>
        <w:tab/>
      </w:r>
      <w:r>
        <w:rPr>
          <w:highlight w:val="none"/>
        </w:rPr>
        <w:t>年</w:t>
      </w:r>
      <w:r>
        <w:rPr>
          <w:rFonts w:hint="eastAsia" w:ascii="Times New Roman" w:hAnsi="Times New Roman" w:eastAsia="Times New Roman"/>
          <w:highlight w:val="none"/>
          <w:u w:val="single"/>
        </w:rPr>
        <w:tab/>
      </w:r>
      <w:r>
        <w:rPr>
          <w:highlight w:val="none"/>
        </w:rPr>
        <w:t>月</w:t>
      </w:r>
      <w:r>
        <w:rPr>
          <w:rFonts w:hint="eastAsia" w:ascii="Times New Roman" w:hAnsi="Times New Roman" w:eastAsia="Times New Roman"/>
          <w:highlight w:val="none"/>
          <w:u w:val="single"/>
        </w:rPr>
        <w:tab/>
      </w:r>
      <w:r>
        <w:rPr>
          <w:spacing w:val="-3"/>
          <w:highlight w:val="none"/>
        </w:rPr>
        <w:t>日</w:t>
      </w:r>
      <w:r>
        <w:rPr>
          <w:rFonts w:hint="eastAsia" w:ascii="Times New Roman" w:hAnsi="Times New Roman" w:eastAsia="Times New Roman"/>
          <w:spacing w:val="-3"/>
          <w:highlight w:val="none"/>
          <w:u w:val="single"/>
        </w:rPr>
        <w:tab/>
      </w:r>
      <w:r>
        <w:rPr>
          <w:spacing w:val="-2"/>
          <w:highlight w:val="none"/>
        </w:rPr>
        <w:t>时前递交至</w:t>
      </w:r>
    </w:p>
    <w:p w14:paraId="0B8DA483">
      <w:pPr>
        <w:pStyle w:val="12"/>
        <w:kinsoku w:val="0"/>
        <w:overflowPunct w:val="0"/>
        <w:spacing w:before="13"/>
        <w:ind w:left="0"/>
        <w:rPr>
          <w:sz w:val="9"/>
          <w:highlight w:val="none"/>
        </w:rPr>
      </w:pPr>
    </w:p>
    <w:p w14:paraId="5B4FB423">
      <w:pPr>
        <w:pStyle w:val="12"/>
        <w:tabs>
          <w:tab w:val="left" w:pos="3040"/>
          <w:tab w:val="left" w:pos="7296"/>
        </w:tabs>
        <w:kinsoku w:val="0"/>
        <w:overflowPunct w:val="0"/>
        <w:spacing w:before="36"/>
        <w:ind w:left="100"/>
        <w:rPr>
          <w:spacing w:val="-5"/>
          <w:highlight w:val="none"/>
        </w:rPr>
      </w:pPr>
      <w:r>
        <w:rPr>
          <w:rFonts w:hint="eastAsia" w:ascii="Times New Roman" w:hAnsi="Times New Roman" w:eastAsia="Times New Roman"/>
          <w:highlight w:val="none"/>
          <w:u w:val="single"/>
        </w:rPr>
        <w:t xml:space="preserve"> </w:t>
      </w:r>
      <w:r>
        <w:rPr>
          <w:rFonts w:hint="eastAsia" w:ascii="Times New Roman" w:hAnsi="Times New Roman" w:eastAsia="Times New Roman"/>
          <w:highlight w:val="none"/>
          <w:u w:val="single"/>
        </w:rPr>
        <w:tab/>
      </w:r>
      <w:r>
        <w:rPr>
          <w:spacing w:val="-5"/>
          <w:highlight w:val="none"/>
        </w:rPr>
        <w:t>（详细地址）或传真至</w:t>
      </w:r>
      <w:r>
        <w:rPr>
          <w:rFonts w:hint="eastAsia" w:ascii="Times New Roman" w:hAnsi="Times New Roman" w:eastAsia="Times New Roman"/>
          <w:spacing w:val="-5"/>
          <w:highlight w:val="none"/>
          <w:u w:val="single"/>
        </w:rPr>
        <w:tab/>
      </w:r>
      <w:r>
        <w:rPr>
          <w:spacing w:val="-5"/>
          <w:highlight w:val="none"/>
        </w:rPr>
        <w:t>（传真号码）或</w:t>
      </w:r>
    </w:p>
    <w:p w14:paraId="2D6831E3">
      <w:pPr>
        <w:pStyle w:val="12"/>
        <w:kinsoku w:val="0"/>
        <w:overflowPunct w:val="0"/>
        <w:spacing w:before="10"/>
        <w:ind w:left="0"/>
        <w:rPr>
          <w:sz w:val="9"/>
          <w:highlight w:val="none"/>
        </w:rPr>
      </w:pPr>
    </w:p>
    <w:p w14:paraId="63D1BE7F">
      <w:pPr>
        <w:pStyle w:val="12"/>
        <w:tabs>
          <w:tab w:val="left" w:pos="7138"/>
          <w:tab w:val="left" w:pos="8084"/>
        </w:tabs>
        <w:kinsoku w:val="0"/>
        <w:overflowPunct w:val="0"/>
        <w:spacing w:before="36"/>
        <w:ind w:left="100" w:right="113"/>
        <w:rPr>
          <w:highlight w:val="none"/>
        </w:rPr>
      </w:pPr>
      <w:r>
        <w:rPr>
          <w:spacing w:val="-2"/>
          <w:highlight w:val="none"/>
        </w:rPr>
        <w:t>通过下载招标文件的电子招标交易平台上传。采用传真方式的，应在</w:t>
      </w:r>
      <w:r>
        <w:rPr>
          <w:rFonts w:hint="eastAsia" w:ascii="Times New Roman" w:hAnsi="Times New Roman" w:eastAsia="Times New Roman"/>
          <w:spacing w:val="-2"/>
          <w:highlight w:val="none"/>
          <w:u w:val="single"/>
        </w:rPr>
        <w:tab/>
      </w:r>
      <w:r>
        <w:rPr>
          <w:highlight w:val="none"/>
        </w:rPr>
        <w:t>年</w:t>
      </w:r>
      <w:r>
        <w:rPr>
          <w:rFonts w:hint="eastAsia" w:ascii="Times New Roman" w:hAnsi="Times New Roman" w:eastAsia="Times New Roman"/>
          <w:highlight w:val="none"/>
          <w:u w:val="single"/>
        </w:rPr>
        <w:tab/>
      </w:r>
      <w:r>
        <w:rPr>
          <w:highlight w:val="none"/>
        </w:rPr>
        <w:t>月</w:t>
      </w:r>
    </w:p>
    <w:p w14:paraId="2B40DFED">
      <w:pPr>
        <w:pStyle w:val="12"/>
        <w:kinsoku w:val="0"/>
        <w:overflowPunct w:val="0"/>
        <w:spacing w:before="10"/>
        <w:ind w:left="0"/>
        <w:rPr>
          <w:sz w:val="9"/>
          <w:highlight w:val="none"/>
        </w:rPr>
      </w:pPr>
    </w:p>
    <w:p w14:paraId="423694F2">
      <w:pPr>
        <w:pStyle w:val="12"/>
        <w:tabs>
          <w:tab w:val="left" w:pos="837"/>
          <w:tab w:val="left" w:pos="1782"/>
          <w:tab w:val="left" w:pos="5669"/>
        </w:tabs>
        <w:kinsoku w:val="0"/>
        <w:overflowPunct w:val="0"/>
        <w:spacing w:before="36"/>
        <w:ind w:left="100" w:right="113"/>
        <w:rPr>
          <w:spacing w:val="-17"/>
          <w:highlight w:val="none"/>
        </w:rPr>
      </w:pPr>
      <w:r>
        <w:rPr>
          <w:rFonts w:hint="eastAsia" w:ascii="Times New Roman" w:hAnsi="Times New Roman" w:eastAsia="Times New Roman"/>
          <w:highlight w:val="none"/>
          <w:u w:val="single"/>
        </w:rPr>
        <w:t xml:space="preserve"> </w:t>
      </w:r>
      <w:r>
        <w:rPr>
          <w:rFonts w:hint="eastAsia" w:ascii="Times New Roman" w:hAnsi="Times New Roman" w:eastAsia="Times New Roman"/>
          <w:highlight w:val="none"/>
          <w:u w:val="single"/>
        </w:rPr>
        <w:tab/>
      </w:r>
      <w:r>
        <w:rPr>
          <w:highlight w:val="none"/>
        </w:rPr>
        <w:t>日</w:t>
      </w:r>
      <w:r>
        <w:rPr>
          <w:rFonts w:hint="eastAsia" w:ascii="Times New Roman" w:hAnsi="Times New Roman" w:eastAsia="Times New Roman"/>
          <w:highlight w:val="none"/>
          <w:u w:val="single"/>
        </w:rPr>
        <w:tab/>
      </w:r>
      <w:r>
        <w:rPr>
          <w:spacing w:val="-2"/>
          <w:highlight w:val="none"/>
        </w:rPr>
        <w:t>时前将原件递交至</w:t>
      </w:r>
      <w:r>
        <w:rPr>
          <w:rFonts w:hint="eastAsia" w:ascii="Times New Roman" w:hAnsi="Times New Roman" w:eastAsia="Times New Roman"/>
          <w:spacing w:val="-2"/>
          <w:highlight w:val="none"/>
          <w:u w:val="single"/>
        </w:rPr>
        <w:tab/>
      </w:r>
      <w:r>
        <w:rPr>
          <w:spacing w:val="-17"/>
          <w:highlight w:val="none"/>
        </w:rPr>
        <w:t>（详细地址）。</w:t>
      </w:r>
    </w:p>
    <w:p w14:paraId="27DFF048">
      <w:pPr>
        <w:pStyle w:val="12"/>
        <w:kinsoku w:val="0"/>
        <w:overflowPunct w:val="0"/>
        <w:ind w:left="0"/>
        <w:rPr>
          <w:sz w:val="20"/>
          <w:highlight w:val="none"/>
        </w:rPr>
      </w:pPr>
    </w:p>
    <w:p w14:paraId="2DB1CFEC">
      <w:pPr>
        <w:pStyle w:val="12"/>
        <w:kinsoku w:val="0"/>
        <w:overflowPunct w:val="0"/>
        <w:ind w:left="0"/>
        <w:rPr>
          <w:sz w:val="20"/>
          <w:highlight w:val="none"/>
        </w:rPr>
      </w:pPr>
    </w:p>
    <w:p w14:paraId="779458D6">
      <w:pPr>
        <w:pStyle w:val="12"/>
        <w:kinsoku w:val="0"/>
        <w:overflowPunct w:val="0"/>
        <w:ind w:left="0"/>
        <w:rPr>
          <w:sz w:val="20"/>
          <w:highlight w:val="none"/>
        </w:rPr>
      </w:pPr>
    </w:p>
    <w:p w14:paraId="15DEB2ED">
      <w:pPr>
        <w:pStyle w:val="12"/>
        <w:kinsoku w:val="0"/>
        <w:overflowPunct w:val="0"/>
        <w:spacing w:before="2"/>
        <w:ind w:left="0"/>
        <w:rPr>
          <w:sz w:val="17"/>
          <w:highlight w:val="none"/>
        </w:rPr>
      </w:pPr>
    </w:p>
    <w:p w14:paraId="65FBB8A7">
      <w:pPr>
        <w:pStyle w:val="12"/>
        <w:tabs>
          <w:tab w:val="left" w:pos="7032"/>
        </w:tabs>
        <w:kinsoku w:val="0"/>
        <w:overflowPunct w:val="0"/>
        <w:spacing w:before="36"/>
        <w:ind w:left="2200" w:right="113"/>
        <w:rPr>
          <w:spacing w:val="-1"/>
          <w:highlight w:val="none"/>
        </w:rPr>
      </w:pPr>
      <w:r>
        <w:rPr>
          <w:spacing w:val="-2"/>
          <w:highlight w:val="none"/>
        </w:rPr>
        <w:t>评标委员会</w:t>
      </w:r>
      <w:r>
        <w:rPr>
          <w:rFonts w:hint="eastAsia"/>
          <w:spacing w:val="-2"/>
          <w:highlight w:val="none"/>
        </w:rPr>
        <w:t>签字</w:t>
      </w:r>
      <w:r>
        <w:rPr>
          <w:spacing w:val="-2"/>
          <w:highlight w:val="none"/>
        </w:rPr>
        <w:t>：</w:t>
      </w:r>
      <w:r>
        <w:rPr>
          <w:rFonts w:hint="eastAsia" w:ascii="Times New Roman" w:hAnsi="Times New Roman" w:eastAsia="Times New Roman"/>
          <w:spacing w:val="-2"/>
          <w:highlight w:val="none"/>
          <w:u w:val="single"/>
        </w:rPr>
        <w:tab/>
      </w:r>
    </w:p>
    <w:p w14:paraId="6C01BEDF">
      <w:pPr>
        <w:pStyle w:val="12"/>
        <w:kinsoku w:val="0"/>
        <w:overflowPunct w:val="0"/>
        <w:ind w:left="0"/>
        <w:rPr>
          <w:sz w:val="20"/>
          <w:highlight w:val="none"/>
        </w:rPr>
      </w:pPr>
    </w:p>
    <w:p w14:paraId="355536A6">
      <w:pPr>
        <w:pStyle w:val="12"/>
        <w:kinsoku w:val="0"/>
        <w:overflowPunct w:val="0"/>
        <w:spacing w:before="7"/>
        <w:ind w:left="0"/>
        <w:rPr>
          <w:sz w:val="23"/>
          <w:highlight w:val="none"/>
        </w:rPr>
      </w:pPr>
    </w:p>
    <w:p w14:paraId="32B9BD8B">
      <w:pPr>
        <w:pStyle w:val="12"/>
        <w:tabs>
          <w:tab w:val="left" w:pos="5803"/>
          <w:tab w:val="left" w:pos="6746"/>
          <w:tab w:val="left" w:pos="7692"/>
        </w:tabs>
        <w:kinsoku w:val="0"/>
        <w:overflowPunct w:val="0"/>
        <w:spacing w:before="36"/>
        <w:ind w:left="4961" w:right="113"/>
        <w:rPr>
          <w:highlight w:val="none"/>
        </w:rPr>
      </w:pPr>
      <w:r>
        <w:rPr>
          <w:rFonts w:hint="eastAsia" w:ascii="Times New Roman" w:hAnsi="Times New Roman" w:eastAsia="Times New Roman"/>
          <w:highlight w:val="none"/>
          <w:u w:val="single"/>
        </w:rPr>
        <w:t xml:space="preserve"> </w:t>
      </w:r>
      <w:r>
        <w:rPr>
          <w:rFonts w:hint="eastAsia" w:ascii="Times New Roman" w:hAnsi="Times New Roman" w:eastAsia="Times New Roman"/>
          <w:highlight w:val="none"/>
          <w:u w:val="single"/>
        </w:rPr>
        <w:tab/>
      </w:r>
      <w:r>
        <w:rPr>
          <w:spacing w:val="-3"/>
          <w:highlight w:val="none"/>
        </w:rPr>
        <w:t>年</w:t>
      </w:r>
      <w:r>
        <w:rPr>
          <w:rFonts w:hint="eastAsia" w:ascii="Times New Roman" w:hAnsi="Times New Roman" w:eastAsia="Times New Roman"/>
          <w:spacing w:val="-3"/>
          <w:highlight w:val="none"/>
          <w:u w:val="single"/>
        </w:rPr>
        <w:tab/>
      </w:r>
      <w:r>
        <w:rPr>
          <w:highlight w:val="none"/>
        </w:rPr>
        <w:t>月</w:t>
      </w:r>
      <w:r>
        <w:rPr>
          <w:rFonts w:hint="eastAsia" w:ascii="Times New Roman" w:hAnsi="Times New Roman" w:eastAsia="Times New Roman"/>
          <w:highlight w:val="none"/>
          <w:u w:val="single"/>
        </w:rPr>
        <w:tab/>
      </w:r>
      <w:r>
        <w:rPr>
          <w:highlight w:val="none"/>
        </w:rPr>
        <w:t>日</w:t>
      </w:r>
    </w:p>
    <w:p w14:paraId="77EAB6F4">
      <w:pPr>
        <w:pStyle w:val="12"/>
        <w:tabs>
          <w:tab w:val="left" w:pos="5803"/>
          <w:tab w:val="left" w:pos="6746"/>
          <w:tab w:val="left" w:pos="7692"/>
        </w:tabs>
        <w:kinsoku w:val="0"/>
        <w:overflowPunct w:val="0"/>
        <w:spacing w:before="36"/>
        <w:ind w:left="4961" w:right="113"/>
        <w:rPr>
          <w:highlight w:val="none"/>
        </w:rPr>
        <w:sectPr>
          <w:pgSz w:w="11905" w:h="16838"/>
          <w:pgMar w:top="1417" w:right="1417" w:bottom="1417" w:left="1417" w:header="992" w:footer="992" w:gutter="0"/>
          <w:cols w:space="720" w:num="1"/>
        </w:sectPr>
      </w:pPr>
    </w:p>
    <w:p w14:paraId="69049118">
      <w:pPr>
        <w:pStyle w:val="7"/>
        <w:rPr>
          <w:highlight w:val="none"/>
        </w:rPr>
      </w:pPr>
      <w:bookmarkStart w:id="161" w:name="bookmark78"/>
      <w:bookmarkEnd w:id="161"/>
      <w:r>
        <w:rPr>
          <w:highlight w:val="none"/>
        </w:rPr>
        <w:t>附件二：问题的澄清</w:t>
      </w:r>
    </w:p>
    <w:p w14:paraId="45124CDC">
      <w:pPr>
        <w:pStyle w:val="12"/>
        <w:kinsoku w:val="0"/>
        <w:overflowPunct w:val="0"/>
        <w:ind w:left="0"/>
        <w:rPr>
          <w:sz w:val="20"/>
          <w:highlight w:val="none"/>
        </w:rPr>
      </w:pPr>
    </w:p>
    <w:p w14:paraId="4904A379">
      <w:pPr>
        <w:pStyle w:val="12"/>
        <w:kinsoku w:val="0"/>
        <w:overflowPunct w:val="0"/>
        <w:ind w:left="0"/>
        <w:rPr>
          <w:sz w:val="20"/>
          <w:highlight w:val="none"/>
        </w:rPr>
      </w:pPr>
    </w:p>
    <w:p w14:paraId="2E8321BB">
      <w:pPr>
        <w:pStyle w:val="12"/>
        <w:kinsoku w:val="0"/>
        <w:overflowPunct w:val="0"/>
        <w:ind w:left="0"/>
        <w:rPr>
          <w:sz w:val="20"/>
          <w:highlight w:val="none"/>
        </w:rPr>
      </w:pPr>
    </w:p>
    <w:p w14:paraId="0BC37FAD">
      <w:pPr>
        <w:pStyle w:val="12"/>
        <w:kinsoku w:val="0"/>
        <w:overflowPunct w:val="0"/>
        <w:spacing w:before="168"/>
        <w:ind w:left="0" w:right="16"/>
        <w:jc w:val="center"/>
        <w:rPr>
          <w:sz w:val="28"/>
          <w:highlight w:val="none"/>
        </w:rPr>
      </w:pPr>
      <w:r>
        <w:rPr>
          <w:sz w:val="28"/>
          <w:highlight w:val="none"/>
        </w:rPr>
        <w:t>问题的澄清</w:t>
      </w:r>
    </w:p>
    <w:p w14:paraId="49EA60A5">
      <w:pPr>
        <w:pStyle w:val="12"/>
        <w:tabs>
          <w:tab w:val="left" w:pos="5947"/>
        </w:tabs>
        <w:kinsoku w:val="0"/>
        <w:overflowPunct w:val="0"/>
        <w:spacing w:before="113"/>
        <w:ind w:left="3566" w:right="113"/>
        <w:rPr>
          <w:highlight w:val="none"/>
        </w:rPr>
      </w:pPr>
      <w:r>
        <w:rPr>
          <w:spacing w:val="-1"/>
          <w:highlight w:val="none"/>
        </w:rPr>
        <w:t>（编号：</w:t>
      </w:r>
      <w:r>
        <w:rPr>
          <w:rFonts w:hint="eastAsia" w:ascii="Times New Roman" w:hAnsi="Times New Roman" w:eastAsia="Times New Roman"/>
          <w:spacing w:val="-1"/>
          <w:highlight w:val="none"/>
          <w:u w:val="single"/>
        </w:rPr>
        <w:tab/>
      </w:r>
      <w:r>
        <w:rPr>
          <w:highlight w:val="none"/>
        </w:rPr>
        <w:t>）</w:t>
      </w:r>
    </w:p>
    <w:p w14:paraId="577CA48D">
      <w:pPr>
        <w:pStyle w:val="12"/>
        <w:kinsoku w:val="0"/>
        <w:overflowPunct w:val="0"/>
        <w:ind w:left="0"/>
        <w:rPr>
          <w:sz w:val="20"/>
          <w:highlight w:val="none"/>
        </w:rPr>
      </w:pPr>
    </w:p>
    <w:p w14:paraId="122B0658">
      <w:pPr>
        <w:pStyle w:val="12"/>
        <w:kinsoku w:val="0"/>
        <w:overflowPunct w:val="0"/>
        <w:spacing w:before="1"/>
        <w:ind w:left="0"/>
        <w:rPr>
          <w:sz w:val="20"/>
          <w:highlight w:val="none"/>
        </w:rPr>
      </w:pPr>
    </w:p>
    <w:p w14:paraId="55168774">
      <w:pPr>
        <w:pStyle w:val="12"/>
        <w:kinsoku w:val="0"/>
        <w:overflowPunct w:val="0"/>
        <w:spacing w:before="36"/>
        <w:ind w:left="100" w:right="113"/>
        <w:rPr>
          <w:highlight w:val="none"/>
        </w:rPr>
      </w:pPr>
      <w:r>
        <w:rPr>
          <w:highlight w:val="none"/>
        </w:rPr>
        <w:t>评标委员会：</w:t>
      </w:r>
    </w:p>
    <w:p w14:paraId="1784860E">
      <w:pPr>
        <w:pStyle w:val="12"/>
        <w:kinsoku w:val="0"/>
        <w:overflowPunct w:val="0"/>
        <w:ind w:left="0"/>
        <w:rPr>
          <w:sz w:val="20"/>
          <w:highlight w:val="none"/>
        </w:rPr>
      </w:pPr>
    </w:p>
    <w:p w14:paraId="5B5248B1">
      <w:pPr>
        <w:pStyle w:val="12"/>
        <w:kinsoku w:val="0"/>
        <w:overflowPunct w:val="0"/>
        <w:spacing w:before="2"/>
        <w:ind w:left="0"/>
        <w:rPr>
          <w:sz w:val="26"/>
          <w:highlight w:val="none"/>
        </w:rPr>
      </w:pPr>
    </w:p>
    <w:p w14:paraId="5CCAC2CB">
      <w:pPr>
        <w:pStyle w:val="12"/>
        <w:tabs>
          <w:tab w:val="left" w:pos="3460"/>
        </w:tabs>
        <w:kinsoku w:val="0"/>
        <w:overflowPunct w:val="0"/>
        <w:ind w:left="522" w:right="113"/>
        <w:rPr>
          <w:spacing w:val="-2"/>
          <w:highlight w:val="none"/>
        </w:rPr>
      </w:pPr>
      <w:r>
        <w:rPr>
          <w:spacing w:val="-2"/>
          <w:highlight w:val="none"/>
        </w:rPr>
        <w:t>问题澄清通知（编号：</w:t>
      </w:r>
      <w:r>
        <w:rPr>
          <w:rFonts w:hint="eastAsia" w:ascii="Times New Roman" w:hAnsi="Times New Roman" w:eastAsia="Times New Roman"/>
          <w:spacing w:val="-2"/>
          <w:highlight w:val="none"/>
          <w:u w:val="single"/>
        </w:rPr>
        <w:tab/>
      </w:r>
      <w:r>
        <w:rPr>
          <w:spacing w:val="-2"/>
          <w:highlight w:val="none"/>
        </w:rPr>
        <w:t>）已收悉，现澄清、说明或补正如下：</w:t>
      </w:r>
    </w:p>
    <w:p w14:paraId="1510E3BB">
      <w:pPr>
        <w:pStyle w:val="12"/>
        <w:kinsoku w:val="0"/>
        <w:overflowPunct w:val="0"/>
        <w:spacing w:before="11"/>
        <w:ind w:left="0"/>
        <w:rPr>
          <w:sz w:val="10"/>
          <w:highlight w:val="none"/>
        </w:rPr>
      </w:pPr>
    </w:p>
    <w:p w14:paraId="59CBE653">
      <w:pPr>
        <w:pStyle w:val="12"/>
        <w:kinsoku w:val="0"/>
        <w:overflowPunct w:val="0"/>
        <w:spacing w:before="74"/>
        <w:ind w:left="0" w:right="7025"/>
        <w:jc w:val="center"/>
        <w:rPr>
          <w:rFonts w:ascii="Times New Roman" w:hAnsi="Times New Roman" w:eastAsia="Times New Roman"/>
          <w:highlight w:val="none"/>
        </w:rPr>
      </w:pPr>
      <w:r>
        <w:rPr>
          <w:rFonts w:hint="eastAsia" w:ascii="Times New Roman" w:hAnsi="Times New Roman" w:eastAsia="Times New Roman"/>
          <w:highlight w:val="none"/>
        </w:rPr>
        <w:t>1.</w:t>
      </w:r>
    </w:p>
    <w:p w14:paraId="02A5DDF3">
      <w:pPr>
        <w:pStyle w:val="12"/>
        <w:kinsoku w:val="0"/>
        <w:overflowPunct w:val="0"/>
        <w:spacing w:before="2"/>
        <w:ind w:left="0"/>
        <w:rPr>
          <w:rFonts w:ascii="Times New Roman" w:hAnsi="Times New Roman" w:eastAsia="Times New Roman"/>
          <w:sz w:val="17"/>
          <w:highlight w:val="none"/>
        </w:rPr>
      </w:pPr>
    </w:p>
    <w:p w14:paraId="2C4E235C">
      <w:pPr>
        <w:pStyle w:val="12"/>
        <w:kinsoku w:val="0"/>
        <w:overflowPunct w:val="0"/>
        <w:ind w:left="0" w:right="7025"/>
        <w:jc w:val="center"/>
        <w:rPr>
          <w:rFonts w:ascii="Times New Roman" w:hAnsi="Times New Roman" w:eastAsia="Times New Roman"/>
          <w:highlight w:val="none"/>
        </w:rPr>
      </w:pPr>
      <w:r>
        <w:rPr>
          <w:rFonts w:hint="eastAsia" w:ascii="Times New Roman" w:hAnsi="Times New Roman" w:eastAsia="Times New Roman"/>
          <w:highlight w:val="none"/>
        </w:rPr>
        <w:t>2.</w:t>
      </w:r>
    </w:p>
    <w:p w14:paraId="14123292">
      <w:pPr>
        <w:pStyle w:val="12"/>
        <w:kinsoku w:val="0"/>
        <w:overflowPunct w:val="0"/>
        <w:spacing w:before="2"/>
        <w:ind w:left="0"/>
        <w:rPr>
          <w:rFonts w:ascii="Times New Roman" w:hAnsi="Times New Roman" w:eastAsia="Times New Roman"/>
          <w:sz w:val="17"/>
          <w:highlight w:val="none"/>
        </w:rPr>
      </w:pPr>
    </w:p>
    <w:p w14:paraId="40409EB0">
      <w:pPr>
        <w:pStyle w:val="12"/>
        <w:kinsoku w:val="0"/>
        <w:overflowPunct w:val="0"/>
        <w:ind w:left="0" w:right="7130"/>
        <w:jc w:val="center"/>
        <w:rPr>
          <w:rFonts w:ascii="Times New Roman" w:hAnsi="Times New Roman" w:eastAsia="Times New Roman"/>
          <w:highlight w:val="none"/>
        </w:rPr>
      </w:pPr>
      <w:r>
        <w:rPr>
          <w:rFonts w:hint="eastAsia" w:ascii="Times New Roman" w:hAnsi="Times New Roman" w:eastAsia="Times New Roman"/>
          <w:highlight w:val="none"/>
        </w:rPr>
        <w:t>.....</w:t>
      </w:r>
    </w:p>
    <w:p w14:paraId="7E6CBB59">
      <w:pPr>
        <w:pStyle w:val="12"/>
        <w:kinsoku w:val="0"/>
        <w:overflowPunct w:val="0"/>
        <w:ind w:left="0"/>
        <w:rPr>
          <w:rFonts w:ascii="Times New Roman" w:hAnsi="Times New Roman" w:eastAsia="Times New Roman"/>
          <w:sz w:val="20"/>
          <w:highlight w:val="none"/>
        </w:rPr>
      </w:pPr>
    </w:p>
    <w:p w14:paraId="33FE41CF">
      <w:pPr>
        <w:pStyle w:val="12"/>
        <w:kinsoku w:val="0"/>
        <w:overflowPunct w:val="0"/>
        <w:ind w:left="0"/>
        <w:rPr>
          <w:rFonts w:ascii="Times New Roman" w:hAnsi="Times New Roman" w:eastAsia="Times New Roman"/>
          <w:sz w:val="20"/>
          <w:highlight w:val="none"/>
        </w:rPr>
      </w:pPr>
    </w:p>
    <w:p w14:paraId="1C58B16C">
      <w:pPr>
        <w:pStyle w:val="12"/>
        <w:kinsoku w:val="0"/>
        <w:overflowPunct w:val="0"/>
        <w:ind w:left="0"/>
        <w:rPr>
          <w:rFonts w:ascii="Times New Roman" w:hAnsi="Times New Roman" w:eastAsia="Times New Roman"/>
          <w:sz w:val="20"/>
          <w:highlight w:val="none"/>
        </w:rPr>
      </w:pPr>
    </w:p>
    <w:p w14:paraId="5049A0AD">
      <w:pPr>
        <w:pStyle w:val="12"/>
        <w:kinsoku w:val="0"/>
        <w:overflowPunct w:val="0"/>
        <w:ind w:left="0"/>
        <w:rPr>
          <w:rFonts w:ascii="Times New Roman" w:hAnsi="Times New Roman" w:eastAsia="Times New Roman"/>
          <w:sz w:val="20"/>
          <w:highlight w:val="none"/>
        </w:rPr>
      </w:pPr>
    </w:p>
    <w:p w14:paraId="77A41053">
      <w:pPr>
        <w:pStyle w:val="12"/>
        <w:kinsoku w:val="0"/>
        <w:overflowPunct w:val="0"/>
        <w:ind w:left="0"/>
        <w:rPr>
          <w:rFonts w:ascii="Times New Roman" w:hAnsi="Times New Roman" w:eastAsia="Times New Roman"/>
          <w:sz w:val="20"/>
          <w:highlight w:val="none"/>
        </w:rPr>
      </w:pPr>
    </w:p>
    <w:p w14:paraId="0D08013B">
      <w:pPr>
        <w:pStyle w:val="12"/>
        <w:kinsoku w:val="0"/>
        <w:overflowPunct w:val="0"/>
        <w:spacing w:before="11"/>
        <w:ind w:left="0"/>
        <w:rPr>
          <w:rFonts w:ascii="Times New Roman" w:hAnsi="Times New Roman" w:eastAsia="Times New Roman"/>
          <w:sz w:val="27"/>
          <w:highlight w:val="none"/>
        </w:rPr>
      </w:pPr>
    </w:p>
    <w:p w14:paraId="72DB7467">
      <w:pPr>
        <w:pStyle w:val="12"/>
        <w:kinsoku w:val="0"/>
        <w:overflowPunct w:val="0"/>
        <w:spacing w:line="384" w:lineRule="auto"/>
        <w:ind w:left="100" w:right="113" w:firstLine="419"/>
        <w:rPr>
          <w:highlight w:val="none"/>
        </w:rPr>
      </w:pPr>
      <w:r>
        <w:rPr>
          <w:spacing w:val="-1"/>
          <w:highlight w:val="none"/>
        </w:rPr>
        <w:t>上述问题澄清、说明或补正，不改变我方投标文件的实质性内容，构成我方投标文件的组</w:t>
      </w:r>
      <w:r>
        <w:rPr>
          <w:highlight w:val="none"/>
        </w:rPr>
        <w:t xml:space="preserve"> 成部分。</w:t>
      </w:r>
    </w:p>
    <w:p w14:paraId="66031B07">
      <w:pPr>
        <w:pStyle w:val="12"/>
        <w:kinsoku w:val="0"/>
        <w:overflowPunct w:val="0"/>
        <w:ind w:left="0"/>
        <w:rPr>
          <w:sz w:val="20"/>
          <w:highlight w:val="none"/>
        </w:rPr>
      </w:pPr>
    </w:p>
    <w:p w14:paraId="37F3DD1B">
      <w:pPr>
        <w:pStyle w:val="12"/>
        <w:kinsoku w:val="0"/>
        <w:overflowPunct w:val="0"/>
        <w:ind w:left="0"/>
        <w:rPr>
          <w:sz w:val="20"/>
          <w:highlight w:val="none"/>
        </w:rPr>
      </w:pPr>
    </w:p>
    <w:p w14:paraId="0CD6B816">
      <w:pPr>
        <w:pStyle w:val="12"/>
        <w:kinsoku w:val="0"/>
        <w:overflowPunct w:val="0"/>
        <w:spacing w:before="6"/>
        <w:ind w:left="0"/>
        <w:rPr>
          <w:sz w:val="19"/>
          <w:highlight w:val="none"/>
        </w:rPr>
      </w:pPr>
    </w:p>
    <w:p w14:paraId="56064208">
      <w:pPr>
        <w:pStyle w:val="12"/>
        <w:tabs>
          <w:tab w:val="left" w:pos="7382"/>
        </w:tabs>
        <w:kinsoku w:val="0"/>
        <w:overflowPunct w:val="0"/>
        <w:ind w:left="3043" w:right="113"/>
        <w:rPr>
          <w:spacing w:val="-1"/>
          <w:highlight w:val="none"/>
        </w:rPr>
      </w:pPr>
      <w:r>
        <w:rPr>
          <w:spacing w:val="-1"/>
          <w:highlight w:val="none"/>
        </w:rPr>
        <w:t>投标人：</w:t>
      </w:r>
      <w:r>
        <w:rPr>
          <w:rFonts w:hint="eastAsia" w:ascii="Times New Roman" w:hAnsi="Times New Roman" w:eastAsia="Times New Roman"/>
          <w:spacing w:val="-1"/>
          <w:highlight w:val="none"/>
          <w:u w:val="single"/>
        </w:rPr>
        <w:tab/>
      </w:r>
      <w:r>
        <w:rPr>
          <w:spacing w:val="-1"/>
          <w:highlight w:val="none"/>
        </w:rPr>
        <w:t>（盖单位章）</w:t>
      </w:r>
    </w:p>
    <w:p w14:paraId="36C0D30B">
      <w:pPr>
        <w:pStyle w:val="12"/>
        <w:kinsoku w:val="0"/>
        <w:overflowPunct w:val="0"/>
        <w:spacing w:before="11"/>
        <w:ind w:left="0"/>
        <w:rPr>
          <w:sz w:val="17"/>
          <w:highlight w:val="none"/>
        </w:rPr>
      </w:pPr>
    </w:p>
    <w:p w14:paraId="22EA06AC">
      <w:pPr>
        <w:pStyle w:val="12"/>
        <w:tabs>
          <w:tab w:val="left" w:pos="6612"/>
        </w:tabs>
        <w:kinsoku w:val="0"/>
        <w:overflowPunct w:val="0"/>
        <w:spacing w:before="36"/>
        <w:ind w:left="3041" w:right="113"/>
        <w:rPr>
          <w:spacing w:val="-2"/>
          <w:highlight w:val="none"/>
        </w:rPr>
      </w:pPr>
      <w:r>
        <w:rPr>
          <w:spacing w:val="-2"/>
          <w:highlight w:val="none"/>
        </w:rPr>
        <w:t>法定代表人或其委托代理人：</w:t>
      </w:r>
      <w:r>
        <w:rPr>
          <w:rFonts w:hint="eastAsia" w:ascii="Times New Roman" w:hAnsi="Times New Roman" w:eastAsia="Times New Roman"/>
          <w:spacing w:val="-2"/>
          <w:highlight w:val="none"/>
          <w:u w:val="single"/>
        </w:rPr>
        <w:tab/>
      </w:r>
      <w:r>
        <w:rPr>
          <w:spacing w:val="-2"/>
          <w:highlight w:val="none"/>
        </w:rPr>
        <w:t>（签字）</w:t>
      </w:r>
    </w:p>
    <w:p w14:paraId="7704D1BA">
      <w:pPr>
        <w:pStyle w:val="12"/>
        <w:kinsoku w:val="0"/>
        <w:overflowPunct w:val="0"/>
        <w:ind w:left="0"/>
        <w:rPr>
          <w:sz w:val="20"/>
          <w:highlight w:val="none"/>
        </w:rPr>
      </w:pPr>
    </w:p>
    <w:p w14:paraId="33614C54">
      <w:pPr>
        <w:pStyle w:val="12"/>
        <w:kinsoku w:val="0"/>
        <w:overflowPunct w:val="0"/>
        <w:ind w:left="0"/>
        <w:rPr>
          <w:sz w:val="20"/>
          <w:highlight w:val="none"/>
        </w:rPr>
      </w:pPr>
    </w:p>
    <w:p w14:paraId="78F77857">
      <w:pPr>
        <w:pStyle w:val="12"/>
        <w:kinsoku w:val="0"/>
        <w:overflowPunct w:val="0"/>
        <w:spacing w:before="4"/>
        <w:ind w:left="0"/>
        <w:rPr>
          <w:sz w:val="22"/>
          <w:highlight w:val="none"/>
        </w:rPr>
      </w:pPr>
    </w:p>
    <w:p w14:paraId="199412CB">
      <w:pPr>
        <w:pStyle w:val="12"/>
        <w:tabs>
          <w:tab w:val="left" w:pos="6434"/>
          <w:tab w:val="left" w:pos="7483"/>
          <w:tab w:val="left" w:pos="8533"/>
        </w:tabs>
        <w:kinsoku w:val="0"/>
        <w:overflowPunct w:val="0"/>
        <w:spacing w:before="36"/>
        <w:ind w:left="5595"/>
        <w:rPr>
          <w:highlight w:val="none"/>
        </w:rPr>
        <w:sectPr>
          <w:pgSz w:w="11905" w:h="16838"/>
          <w:pgMar w:top="1417" w:right="1417" w:bottom="1417" w:left="1417" w:header="992" w:footer="992" w:gutter="0"/>
          <w:cols w:space="720" w:num="1"/>
        </w:sectPr>
      </w:pPr>
      <w:r>
        <w:rPr>
          <w:rFonts w:hint="eastAsia" w:ascii="Times New Roman" w:hAnsi="Times New Roman" w:eastAsia="Times New Roman"/>
          <w:highlight w:val="none"/>
          <w:u w:val="single"/>
        </w:rPr>
        <w:t xml:space="preserve"> </w:t>
      </w:r>
      <w:r>
        <w:rPr>
          <w:rFonts w:hint="eastAsia" w:ascii="Times New Roman" w:hAnsi="Times New Roman" w:eastAsia="Times New Roman"/>
          <w:highlight w:val="none"/>
          <w:u w:val="single"/>
        </w:rPr>
        <w:tab/>
      </w:r>
      <w:r>
        <w:rPr>
          <w:spacing w:val="-3"/>
          <w:highlight w:val="none"/>
        </w:rPr>
        <w:t>年</w:t>
      </w:r>
      <w:r>
        <w:rPr>
          <w:rFonts w:hint="eastAsia" w:ascii="Times New Roman" w:hAnsi="Times New Roman" w:eastAsia="Times New Roman"/>
          <w:spacing w:val="-3"/>
          <w:highlight w:val="none"/>
          <w:u w:val="single"/>
        </w:rPr>
        <w:tab/>
      </w:r>
      <w:r>
        <w:rPr>
          <w:highlight w:val="none"/>
        </w:rPr>
        <w:t>月</w:t>
      </w:r>
      <w:r>
        <w:rPr>
          <w:rFonts w:hint="eastAsia" w:ascii="Times New Roman" w:hAnsi="Times New Roman" w:eastAsia="Times New Roman"/>
          <w:highlight w:val="none"/>
          <w:u w:val="single"/>
        </w:rPr>
        <w:tab/>
      </w:r>
      <w:r>
        <w:rPr>
          <w:highlight w:val="none"/>
        </w:rPr>
        <w:t>日</w:t>
      </w:r>
    </w:p>
    <w:p w14:paraId="176208BD">
      <w:pPr>
        <w:pStyle w:val="5"/>
        <w:rPr>
          <w:b w:val="0"/>
          <w:sz w:val="57"/>
          <w:highlight w:val="none"/>
        </w:rPr>
      </w:pPr>
      <w:bookmarkStart w:id="162" w:name="bookmark79"/>
      <w:bookmarkEnd w:id="162"/>
      <w:bookmarkStart w:id="163" w:name="bookmark82"/>
      <w:bookmarkEnd w:id="163"/>
      <w:bookmarkStart w:id="164" w:name="_Toc29250"/>
      <w:r>
        <w:rPr>
          <w:rFonts w:cs="宋体"/>
          <w:sz w:val="44"/>
          <w:highlight w:val="none"/>
        </w:rPr>
        <w:t>第三章 评标办法（综合评估法）</w:t>
      </w:r>
      <w:bookmarkEnd w:id="164"/>
    </w:p>
    <w:p w14:paraId="662ABF7F">
      <w:pPr>
        <w:pStyle w:val="6"/>
        <w:kinsoku w:val="0"/>
        <w:overflowPunct w:val="0"/>
        <w:spacing w:before="120" w:after="120"/>
        <w:ind w:left="120"/>
        <w:jc w:val="center"/>
        <w:rPr>
          <w:sz w:val="32"/>
          <w:highlight w:val="none"/>
        </w:rPr>
      </w:pPr>
      <w:bookmarkStart w:id="165" w:name="bookmark83"/>
      <w:bookmarkEnd w:id="165"/>
      <w:bookmarkStart w:id="166" w:name="_Toc17036"/>
      <w:r>
        <w:rPr>
          <w:sz w:val="32"/>
          <w:highlight w:val="none"/>
        </w:rPr>
        <w:t>评标办法前附表</w:t>
      </w:r>
      <w:bookmarkEnd w:id="166"/>
    </w:p>
    <w:tbl>
      <w:tblPr>
        <w:tblStyle w:val="2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68"/>
        <w:gridCol w:w="1132"/>
        <w:gridCol w:w="2013"/>
        <w:gridCol w:w="5011"/>
      </w:tblGrid>
      <w:tr w14:paraId="43D9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B09D7C0">
            <w:pPr>
              <w:pStyle w:val="34"/>
              <w:kinsoku w:val="0"/>
              <w:overflowPunct w:val="0"/>
              <w:spacing w:before="41"/>
              <w:jc w:val="center"/>
              <w:rPr>
                <w:rFonts w:ascii="宋体" w:hAnsi="宋体" w:cs="宋体"/>
                <w:sz w:val="21"/>
                <w:szCs w:val="21"/>
                <w:highlight w:val="none"/>
              </w:rPr>
            </w:pPr>
            <w:r>
              <w:rPr>
                <w:rFonts w:ascii="宋体" w:hAnsi="宋体" w:cs="宋体"/>
                <w:b/>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6A9F4306">
            <w:pPr>
              <w:pStyle w:val="34"/>
              <w:kinsoku w:val="0"/>
              <w:overflowPunct w:val="0"/>
              <w:spacing w:before="41"/>
              <w:jc w:val="center"/>
              <w:rPr>
                <w:rFonts w:ascii="宋体" w:hAnsi="宋体" w:cs="宋体"/>
                <w:sz w:val="21"/>
                <w:szCs w:val="21"/>
                <w:highlight w:val="none"/>
              </w:rPr>
            </w:pPr>
            <w:r>
              <w:rPr>
                <w:rFonts w:ascii="宋体" w:hAnsi="宋体" w:cs="宋体"/>
                <w:b/>
                <w:sz w:val="21"/>
                <w:szCs w:val="21"/>
                <w:highlight w:val="none"/>
              </w:rPr>
              <w:t>评审因素</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52859A20">
            <w:pPr>
              <w:pStyle w:val="34"/>
              <w:kinsoku w:val="0"/>
              <w:overflowPunct w:val="0"/>
              <w:spacing w:before="41"/>
              <w:jc w:val="center"/>
              <w:rPr>
                <w:rFonts w:ascii="宋体" w:hAnsi="宋体" w:cs="宋体"/>
                <w:sz w:val="21"/>
                <w:szCs w:val="21"/>
                <w:highlight w:val="none"/>
              </w:rPr>
            </w:pPr>
            <w:r>
              <w:rPr>
                <w:rFonts w:ascii="宋体" w:hAnsi="宋体" w:cs="宋体"/>
                <w:b/>
                <w:sz w:val="21"/>
                <w:szCs w:val="21"/>
                <w:highlight w:val="none"/>
              </w:rPr>
              <w:t>评审标准</w:t>
            </w:r>
          </w:p>
        </w:tc>
      </w:tr>
      <w:tr w14:paraId="5E01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63" w:type="dxa"/>
            <w:tcBorders>
              <w:top w:val="single" w:color="auto" w:sz="4" w:space="0"/>
              <w:left w:val="single" w:color="auto" w:sz="4" w:space="0"/>
              <w:bottom w:val="single" w:color="auto" w:sz="4" w:space="0"/>
              <w:right w:val="single" w:color="auto" w:sz="4" w:space="0"/>
              <w:tl2br w:val="nil"/>
              <w:tr2bl w:val="nil"/>
            </w:tcBorders>
            <w:vAlign w:val="center"/>
          </w:tcPr>
          <w:p w14:paraId="63D6A6F6">
            <w:pPr>
              <w:pStyle w:val="34"/>
              <w:kinsoku w:val="0"/>
              <w:overflowPunct w:val="0"/>
              <w:jc w:val="both"/>
              <w:rPr>
                <w:rFonts w:ascii="宋体" w:hAnsi="宋体" w:cs="宋体"/>
                <w:sz w:val="21"/>
                <w:szCs w:val="21"/>
                <w:highlight w:val="none"/>
              </w:rPr>
            </w:pPr>
            <w:r>
              <w:rPr>
                <w:rFonts w:ascii="宋体" w:hAnsi="宋体" w:cs="宋体"/>
                <w:sz w:val="21"/>
                <w:szCs w:val="21"/>
                <w:highlight w:val="none"/>
              </w:rPr>
              <w:t>1</w:t>
            </w:r>
          </w:p>
        </w:tc>
        <w:tc>
          <w:tcPr>
            <w:tcW w:w="130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89627E3">
            <w:pPr>
              <w:pStyle w:val="34"/>
              <w:kinsoku w:val="0"/>
              <w:overflowPunct w:val="0"/>
              <w:spacing w:before="141"/>
              <w:jc w:val="both"/>
              <w:rPr>
                <w:rFonts w:ascii="宋体" w:hAnsi="宋体" w:cs="宋体"/>
                <w:sz w:val="21"/>
                <w:szCs w:val="21"/>
                <w:highlight w:val="none"/>
              </w:rPr>
            </w:pPr>
            <w:r>
              <w:rPr>
                <w:rFonts w:ascii="宋体" w:hAnsi="宋体" w:cs="宋体"/>
                <w:sz w:val="21"/>
                <w:szCs w:val="21"/>
                <w:highlight w:val="none"/>
              </w:rPr>
              <w:t>评标方法</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423F259F">
            <w:pPr>
              <w:pStyle w:val="34"/>
              <w:kinsoku w:val="0"/>
              <w:overflowPunct w:val="0"/>
              <w:spacing w:before="141"/>
              <w:jc w:val="center"/>
              <w:rPr>
                <w:rFonts w:ascii="宋体" w:hAnsi="宋体" w:cs="宋体"/>
                <w:sz w:val="21"/>
                <w:szCs w:val="21"/>
                <w:highlight w:val="none"/>
              </w:rPr>
            </w:pPr>
            <w:r>
              <w:rPr>
                <w:rFonts w:ascii="宋体" w:hAnsi="宋体" w:cs="宋体"/>
                <w:sz w:val="21"/>
                <w:szCs w:val="21"/>
                <w:highlight w:val="none"/>
              </w:rPr>
              <w:t>中标候选人排序方法</w:t>
            </w:r>
          </w:p>
        </w:tc>
        <w:tc>
          <w:tcPr>
            <w:tcW w:w="5011" w:type="dxa"/>
            <w:tcBorders>
              <w:top w:val="single" w:color="auto" w:sz="4" w:space="0"/>
              <w:left w:val="single" w:color="auto" w:sz="4" w:space="0"/>
              <w:bottom w:val="single" w:color="auto" w:sz="4" w:space="0"/>
              <w:right w:val="single" w:color="auto" w:sz="4" w:space="0"/>
              <w:tl2br w:val="nil"/>
              <w:tr2bl w:val="nil"/>
            </w:tcBorders>
            <w:vAlign w:val="top"/>
          </w:tcPr>
          <w:p w14:paraId="58E3E2CE">
            <w:pPr>
              <w:kinsoku w:val="0"/>
              <w:overflowPunct w:val="0"/>
              <w:spacing w:before="141"/>
              <w:jc w:val="both"/>
              <w:rPr>
                <w:rFonts w:ascii="宋体" w:hAnsi="宋体" w:cs="宋体"/>
                <w:sz w:val="21"/>
                <w:szCs w:val="21"/>
                <w:highlight w:val="none"/>
              </w:rPr>
            </w:pPr>
            <w:r>
              <w:rPr>
                <w:rFonts w:ascii="宋体"/>
                <w:sz w:val="21"/>
                <w:highlight w:val="none"/>
                <w:u w:val="none"/>
              </w:rPr>
              <w:t>中标候选人顺序确定方法如下：</w:t>
            </w:r>
            <w:r>
              <w:rPr>
                <w:rFonts w:hint="eastAsia" w:ascii="宋体"/>
                <w:sz w:val="21"/>
                <w:highlight w:val="none"/>
                <w:u w:val="none"/>
              </w:rPr>
              <w:t>本次评标采用综合评估法。评标委员会对满足招标文件实质性要求的投标文件，按照本章第</w:t>
            </w:r>
            <w:r>
              <w:rPr>
                <w:rFonts w:ascii="宋体"/>
                <w:sz w:val="21"/>
                <w:highlight w:val="none"/>
                <w:u w:val="none"/>
              </w:rPr>
              <w:t>2.2</w:t>
            </w:r>
            <w:r>
              <w:rPr>
                <w:rFonts w:hint="eastAsia" w:ascii="宋体"/>
                <w:sz w:val="21"/>
                <w:highlight w:val="none"/>
                <w:u w:val="none"/>
              </w:rPr>
              <w:t>款规定的评分标准进行打分，并按总得分由高到低顺序推荐中标候选人，但投标报价低于其成本的除外。总得分相等时，以投标报价低的优先；投标报价也相等的，以监理大纲得分高的优先；如果监理大纲得分也相等的情况下，由评标委员会采用记名投票方式（不得弃权），以得票多的优先确定中标候选人的排序。</w:t>
            </w:r>
          </w:p>
        </w:tc>
      </w:tr>
      <w:tr w14:paraId="5E44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AFABD5B">
            <w:pPr>
              <w:pStyle w:val="34"/>
              <w:kinsoku w:val="0"/>
              <w:overflowPunct w:val="0"/>
              <w:jc w:val="both"/>
              <w:rPr>
                <w:rFonts w:ascii="宋体" w:hAnsi="宋体" w:cs="宋体"/>
                <w:sz w:val="21"/>
                <w:szCs w:val="21"/>
                <w:highlight w:val="none"/>
              </w:rPr>
            </w:pPr>
            <w:r>
              <w:rPr>
                <w:rFonts w:ascii="宋体" w:hAnsi="宋体" w:cs="宋体"/>
                <w:sz w:val="21"/>
                <w:szCs w:val="21"/>
                <w:highlight w:val="none"/>
              </w:rPr>
              <w:t>2.1.1</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52F16B1A">
            <w:pPr>
              <w:pStyle w:val="34"/>
              <w:kinsoku w:val="0"/>
              <w:overflowPunct w:val="0"/>
              <w:spacing w:line="384" w:lineRule="auto"/>
              <w:ind w:right="132"/>
              <w:jc w:val="both"/>
              <w:rPr>
                <w:rFonts w:ascii="宋体" w:hAnsi="宋体" w:cs="宋体"/>
                <w:sz w:val="21"/>
                <w:szCs w:val="21"/>
                <w:highlight w:val="none"/>
              </w:rPr>
            </w:pPr>
            <w:r>
              <w:rPr>
                <w:rFonts w:ascii="宋体" w:hAnsi="宋体" w:cs="宋体"/>
                <w:sz w:val="21"/>
                <w:szCs w:val="21"/>
                <w:highlight w:val="none"/>
              </w:rPr>
              <w:t>资格评审标准</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68465FFF">
            <w:pPr>
              <w:pStyle w:val="34"/>
              <w:kinsoku w:val="0"/>
              <w:overflowPunct w:val="0"/>
              <w:jc w:val="center"/>
              <w:rPr>
                <w:rFonts w:ascii="宋体" w:hAnsi="宋体" w:cs="宋体"/>
                <w:sz w:val="21"/>
                <w:szCs w:val="21"/>
                <w:highlight w:val="none"/>
              </w:rPr>
            </w:pPr>
            <w:r>
              <w:rPr>
                <w:rFonts w:ascii="宋体" w:hAnsi="宋体" w:cs="宋体"/>
                <w:sz w:val="21"/>
                <w:szCs w:val="21"/>
                <w:highlight w:val="none"/>
              </w:rPr>
              <w:t>营业执照</w:t>
            </w:r>
          </w:p>
        </w:tc>
        <w:tc>
          <w:tcPr>
            <w:tcW w:w="5011" w:type="dxa"/>
            <w:tcBorders>
              <w:top w:val="single" w:color="auto" w:sz="4" w:space="0"/>
              <w:left w:val="single" w:color="auto" w:sz="4" w:space="0"/>
              <w:bottom w:val="single" w:color="auto" w:sz="4" w:space="0"/>
              <w:right w:val="single" w:color="auto" w:sz="4" w:space="0"/>
              <w:tl2br w:val="nil"/>
              <w:tr2bl w:val="nil"/>
            </w:tcBorders>
          </w:tcPr>
          <w:p w14:paraId="66706A99">
            <w:pPr>
              <w:pStyle w:val="34"/>
              <w:kinsoku w:val="0"/>
              <w:overflowPunct w:val="0"/>
              <w:spacing w:before="107"/>
              <w:jc w:val="both"/>
              <w:rPr>
                <w:rFonts w:ascii="宋体" w:hAnsi="宋体" w:cs="宋体"/>
                <w:sz w:val="21"/>
                <w:szCs w:val="21"/>
                <w:highlight w:val="none"/>
              </w:rPr>
            </w:pPr>
            <w:r>
              <w:rPr>
                <w:rFonts w:ascii="宋体" w:hAnsi="宋体" w:cs="宋体"/>
                <w:sz w:val="21"/>
                <w:szCs w:val="21"/>
                <w:highlight w:val="none"/>
              </w:rPr>
              <w:t>符合第二章“投标人须知”第 3.5.1项规定，具备有效的营业执照</w:t>
            </w:r>
          </w:p>
        </w:tc>
      </w:tr>
      <w:tr w14:paraId="4F9C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454957B">
            <w:pPr>
              <w:pStyle w:val="34"/>
              <w:kinsoku w:val="0"/>
              <w:overflowPunct w:val="0"/>
              <w:jc w:val="both"/>
              <w:rPr>
                <w:rFonts w:ascii="宋体" w:hAnsi="宋体" w:cs="宋体"/>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A173CBB">
            <w:pPr>
              <w:pStyle w:val="34"/>
              <w:kinsoku w:val="0"/>
              <w:overflowPunct w:val="0"/>
              <w:spacing w:line="384" w:lineRule="auto"/>
              <w:ind w:right="132"/>
              <w:jc w:val="both"/>
              <w:rPr>
                <w:rFonts w:ascii="宋体" w:hAnsi="宋体" w:cs="宋体"/>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6DCF0F85">
            <w:pPr>
              <w:pStyle w:val="34"/>
              <w:kinsoku w:val="0"/>
              <w:overflowPunct w:val="0"/>
              <w:jc w:val="center"/>
              <w:rPr>
                <w:rFonts w:ascii="宋体" w:hAnsi="宋体" w:cs="宋体"/>
                <w:sz w:val="21"/>
                <w:szCs w:val="21"/>
                <w:highlight w:val="none"/>
              </w:rPr>
            </w:pPr>
            <w:r>
              <w:rPr>
                <w:rFonts w:ascii="宋体" w:hAnsi="宋体" w:cs="宋体"/>
                <w:sz w:val="21"/>
                <w:szCs w:val="21"/>
                <w:highlight w:val="none"/>
              </w:rPr>
              <w:t>资质要求</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2C46BAA8">
            <w:pPr>
              <w:pStyle w:val="34"/>
              <w:kinsoku w:val="0"/>
              <w:overflowPunct w:val="0"/>
              <w:spacing w:before="107"/>
              <w:jc w:val="both"/>
              <w:rPr>
                <w:rFonts w:ascii="宋体" w:hAnsi="宋体" w:cs="宋体"/>
                <w:sz w:val="21"/>
                <w:szCs w:val="21"/>
                <w:highlight w:val="none"/>
              </w:rPr>
            </w:pPr>
            <w:r>
              <w:rPr>
                <w:rFonts w:ascii="宋体" w:hAnsi="宋体" w:cs="宋体"/>
                <w:sz w:val="21"/>
                <w:szCs w:val="21"/>
                <w:highlight w:val="none"/>
              </w:rPr>
              <w:t>符合第二章“投标人须知”第 1.4.1项规定</w:t>
            </w:r>
          </w:p>
        </w:tc>
      </w:tr>
      <w:tr w14:paraId="4679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5840487">
            <w:pPr>
              <w:pStyle w:val="34"/>
              <w:kinsoku w:val="0"/>
              <w:overflowPunct w:val="0"/>
              <w:jc w:val="both"/>
              <w:rPr>
                <w:rFonts w:ascii="宋体" w:hAnsi="宋体" w:cs="宋体"/>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5DCA0A6">
            <w:pPr>
              <w:pStyle w:val="34"/>
              <w:kinsoku w:val="0"/>
              <w:overflowPunct w:val="0"/>
              <w:spacing w:line="384" w:lineRule="auto"/>
              <w:ind w:right="132"/>
              <w:jc w:val="both"/>
              <w:rPr>
                <w:rFonts w:ascii="宋体" w:hAnsi="宋体" w:cs="宋体"/>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4AEABCE0">
            <w:pPr>
              <w:pStyle w:val="34"/>
              <w:kinsoku w:val="0"/>
              <w:overflowPunct w:val="0"/>
              <w:jc w:val="center"/>
              <w:rPr>
                <w:rFonts w:ascii="宋体" w:hAnsi="宋体" w:cs="宋体"/>
                <w:sz w:val="21"/>
                <w:szCs w:val="21"/>
                <w:highlight w:val="none"/>
              </w:rPr>
            </w:pPr>
            <w:r>
              <w:rPr>
                <w:rFonts w:ascii="宋体" w:hAnsi="宋体" w:cs="宋体"/>
                <w:sz w:val="21"/>
                <w:szCs w:val="21"/>
                <w:highlight w:val="none"/>
              </w:rPr>
              <w:t>总监理工程师</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3DAB28B3">
            <w:pPr>
              <w:pStyle w:val="34"/>
              <w:kinsoku w:val="0"/>
              <w:overflowPunct w:val="0"/>
              <w:spacing w:before="107"/>
              <w:jc w:val="both"/>
              <w:rPr>
                <w:rFonts w:ascii="宋体" w:hAnsi="宋体" w:cs="宋体"/>
                <w:sz w:val="21"/>
                <w:szCs w:val="21"/>
                <w:highlight w:val="none"/>
              </w:rPr>
            </w:pPr>
            <w:r>
              <w:rPr>
                <w:rFonts w:ascii="宋体" w:hAnsi="宋体" w:cs="宋体"/>
                <w:sz w:val="21"/>
                <w:szCs w:val="21"/>
                <w:highlight w:val="none"/>
              </w:rPr>
              <w:t>符合第二章“投标人须知”第 1.4.1项规定</w:t>
            </w:r>
          </w:p>
        </w:tc>
      </w:tr>
      <w:tr w14:paraId="60F9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AC0EF9A">
            <w:pPr>
              <w:pStyle w:val="34"/>
              <w:kinsoku w:val="0"/>
              <w:overflowPunct w:val="0"/>
              <w:jc w:val="both"/>
              <w:rPr>
                <w:rFonts w:ascii="宋体" w:hAnsi="宋体" w:cs="宋体"/>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7FCFD99">
            <w:pPr>
              <w:pStyle w:val="34"/>
              <w:kinsoku w:val="0"/>
              <w:overflowPunct w:val="0"/>
              <w:spacing w:line="384" w:lineRule="auto"/>
              <w:ind w:right="132"/>
              <w:jc w:val="both"/>
              <w:rPr>
                <w:rFonts w:ascii="宋体" w:hAnsi="宋体" w:cs="宋体"/>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0B8CA747">
            <w:pPr>
              <w:jc w:val="center"/>
              <w:rPr>
                <w:rFonts w:ascii="宋体" w:hAnsi="Calibri"/>
                <w:snapToGrid w:val="0"/>
                <w:kern w:val="2"/>
                <w:sz w:val="21"/>
                <w:szCs w:val="21"/>
                <w:highlight w:val="none"/>
              </w:rPr>
            </w:pPr>
            <w:r>
              <w:rPr>
                <w:rFonts w:ascii="宋体" w:hAnsi="宋体" w:cs="宋体"/>
                <w:spacing w:val="-2"/>
                <w:sz w:val="21"/>
                <w:szCs w:val="21"/>
                <w:highlight w:val="none"/>
              </w:rPr>
              <w:t>未被纳入失信联合惩戒名单且被限制参与相关项目投标的</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0AF86409">
            <w:pPr>
              <w:ind w:left="137" w:leftChars="57"/>
              <w:rPr>
                <w:rFonts w:ascii="宋体" w:hAnsi="Calibri"/>
                <w:snapToGrid w:val="0"/>
                <w:kern w:val="2"/>
                <w:sz w:val="21"/>
                <w:szCs w:val="21"/>
                <w:highlight w:val="none"/>
              </w:rPr>
            </w:pPr>
            <w:r>
              <w:rPr>
                <w:rFonts w:ascii="宋体" w:hAnsi="宋体" w:cs="宋体"/>
                <w:spacing w:val="-4"/>
                <w:sz w:val="21"/>
                <w:szCs w:val="21"/>
                <w:highlight w:val="none"/>
              </w:rPr>
              <w:t>失信联合惩戒名单以“信用广州”网站公布的“</w:t>
            </w:r>
            <w:r>
              <w:rPr>
                <w:rFonts w:hint="eastAsia" w:ascii="宋体" w:hAnsi="宋体" w:cs="宋体"/>
                <w:spacing w:val="-4"/>
                <w:sz w:val="21"/>
                <w:szCs w:val="21"/>
                <w:highlight w:val="none"/>
              </w:rPr>
              <w:t>黑名单</w:t>
            </w:r>
            <w:r>
              <w:rPr>
                <w:rFonts w:ascii="宋体" w:hAnsi="宋体" w:cs="宋体"/>
                <w:spacing w:val="-4"/>
                <w:sz w:val="21"/>
                <w:szCs w:val="21"/>
                <w:highlight w:val="none"/>
              </w:rPr>
              <w:t>”为准。（提供查询结果网页截图，并加盖公章。）</w:t>
            </w:r>
          </w:p>
        </w:tc>
      </w:tr>
      <w:tr w14:paraId="0D4F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AC8C59E">
            <w:pPr>
              <w:pStyle w:val="34"/>
              <w:kinsoku w:val="0"/>
              <w:overflowPunct w:val="0"/>
              <w:jc w:val="both"/>
              <w:rPr>
                <w:rFonts w:ascii="宋体" w:hAnsi="宋体" w:cs="宋体"/>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9E667D0">
            <w:pPr>
              <w:pStyle w:val="34"/>
              <w:kinsoku w:val="0"/>
              <w:overflowPunct w:val="0"/>
              <w:spacing w:line="384" w:lineRule="auto"/>
              <w:ind w:right="132"/>
              <w:jc w:val="both"/>
              <w:rPr>
                <w:rFonts w:ascii="宋体" w:hAnsi="宋体" w:cs="宋体"/>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7FAEB071">
            <w:pPr>
              <w:pStyle w:val="34"/>
              <w:kinsoku w:val="0"/>
              <w:overflowPunct w:val="0"/>
              <w:jc w:val="center"/>
              <w:rPr>
                <w:rFonts w:ascii="宋体" w:hAnsi="宋体" w:cs="宋体"/>
                <w:sz w:val="21"/>
                <w:szCs w:val="21"/>
                <w:highlight w:val="none"/>
              </w:rPr>
            </w:pPr>
            <w:r>
              <w:rPr>
                <w:rFonts w:ascii="宋体" w:hAnsi="宋体" w:cs="宋体"/>
                <w:sz w:val="21"/>
                <w:szCs w:val="21"/>
                <w:highlight w:val="none"/>
              </w:rPr>
              <w:t>投标人声明</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2E0C92AE">
            <w:pPr>
              <w:pStyle w:val="34"/>
              <w:kinsoku w:val="0"/>
              <w:overflowPunct w:val="0"/>
              <w:jc w:val="both"/>
              <w:rPr>
                <w:rFonts w:ascii="宋体" w:hAnsi="宋体" w:cs="宋体"/>
                <w:sz w:val="21"/>
                <w:szCs w:val="21"/>
                <w:highlight w:val="none"/>
              </w:rPr>
            </w:pPr>
            <w:r>
              <w:rPr>
                <w:rFonts w:ascii="宋体" w:hAnsi="宋体" w:cs="宋体"/>
                <w:sz w:val="21"/>
                <w:szCs w:val="21"/>
                <w:highlight w:val="none"/>
              </w:rPr>
              <w:t>投标人已按第六章“投标文件格式”规定的内容签署盖章《投标人声明》，且总监理工程师</w:t>
            </w:r>
            <w:r>
              <w:rPr>
                <w:rFonts w:hint="eastAsia" w:ascii="宋体" w:hAnsi="宋体" w:cs="宋体"/>
                <w:sz w:val="21"/>
                <w:szCs w:val="21"/>
                <w:highlight w:val="none"/>
              </w:rPr>
              <w:t>、技术负责人</w:t>
            </w:r>
            <w:r>
              <w:rPr>
                <w:rFonts w:ascii="宋体" w:hAnsi="宋体" w:cs="宋体"/>
                <w:sz w:val="21"/>
                <w:szCs w:val="21"/>
                <w:highlight w:val="none"/>
              </w:rPr>
              <w:t>签字确认</w:t>
            </w:r>
          </w:p>
        </w:tc>
      </w:tr>
      <w:tr w14:paraId="20F3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9A0A27A">
            <w:pPr>
              <w:pStyle w:val="34"/>
              <w:kinsoku w:val="0"/>
              <w:overflowPunct w:val="0"/>
              <w:jc w:val="both"/>
              <w:rPr>
                <w:rFonts w:ascii="宋体" w:hAnsi="宋体" w:cs="宋体"/>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A890A72">
            <w:pPr>
              <w:pStyle w:val="34"/>
              <w:kinsoku w:val="0"/>
              <w:overflowPunct w:val="0"/>
              <w:spacing w:line="384" w:lineRule="auto"/>
              <w:ind w:right="132"/>
              <w:jc w:val="both"/>
              <w:rPr>
                <w:rFonts w:ascii="宋体" w:hAnsi="宋体" w:cs="宋体"/>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1CDCE1EF">
            <w:pPr>
              <w:pStyle w:val="34"/>
              <w:kinsoku w:val="0"/>
              <w:overflowPunct w:val="0"/>
              <w:jc w:val="center"/>
              <w:rPr>
                <w:rFonts w:ascii="宋体" w:hAnsi="宋体" w:cs="宋体"/>
                <w:sz w:val="21"/>
                <w:szCs w:val="21"/>
                <w:highlight w:val="none"/>
              </w:rPr>
            </w:pPr>
            <w:r>
              <w:rPr>
                <w:rFonts w:ascii="宋体" w:hAnsi="宋体" w:cs="宋体"/>
                <w:sz w:val="21"/>
                <w:szCs w:val="21"/>
                <w:highlight w:val="none"/>
              </w:rPr>
              <w:t>不存在禁止投标的情形</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4091463F">
            <w:pPr>
              <w:pStyle w:val="34"/>
              <w:kinsoku w:val="0"/>
              <w:overflowPunct w:val="0"/>
              <w:jc w:val="both"/>
              <w:rPr>
                <w:rFonts w:ascii="宋体" w:hAnsi="宋体" w:cs="宋体"/>
                <w:sz w:val="21"/>
                <w:szCs w:val="21"/>
                <w:highlight w:val="none"/>
              </w:rPr>
            </w:pPr>
            <w:r>
              <w:rPr>
                <w:rFonts w:ascii="宋体" w:hAnsi="宋体" w:cs="宋体"/>
                <w:sz w:val="21"/>
                <w:szCs w:val="21"/>
                <w:highlight w:val="none"/>
              </w:rPr>
              <w:t>不存在第二章“投标人须知”第 1.4.3项规定的任何一种情形</w:t>
            </w:r>
          </w:p>
        </w:tc>
      </w:tr>
      <w:tr w14:paraId="5908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F28E088">
            <w:pPr>
              <w:pStyle w:val="34"/>
              <w:kinsoku w:val="0"/>
              <w:overflowPunct w:val="0"/>
              <w:jc w:val="both"/>
              <w:rPr>
                <w:rFonts w:ascii="宋体" w:hAnsi="宋体" w:cs="宋体"/>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4345040">
            <w:pPr>
              <w:pStyle w:val="34"/>
              <w:kinsoku w:val="0"/>
              <w:overflowPunct w:val="0"/>
              <w:spacing w:line="384" w:lineRule="auto"/>
              <w:ind w:right="132"/>
              <w:jc w:val="both"/>
              <w:rPr>
                <w:rFonts w:ascii="宋体" w:hAnsi="宋体" w:cs="宋体"/>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2400D956">
            <w:pPr>
              <w:pStyle w:val="34"/>
              <w:kinsoku w:val="0"/>
              <w:overflowPunct w:val="0"/>
              <w:jc w:val="center"/>
              <w:rPr>
                <w:rFonts w:ascii="宋体" w:hAnsi="宋体" w:cs="宋体"/>
                <w:sz w:val="21"/>
                <w:szCs w:val="21"/>
                <w:highlight w:val="none"/>
              </w:rPr>
            </w:pPr>
            <w:r>
              <w:rPr>
                <w:rFonts w:hint="eastAsia" w:ascii="宋体" w:hAnsi="宋体" w:cs="宋体"/>
                <w:sz w:val="21"/>
                <w:szCs w:val="21"/>
                <w:highlight w:val="none"/>
              </w:rPr>
              <w:t>其他要求</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3ED6A71C">
            <w:pPr>
              <w:pStyle w:val="34"/>
              <w:kinsoku w:val="0"/>
              <w:overflowPunct w:val="0"/>
              <w:jc w:val="both"/>
              <w:rPr>
                <w:rFonts w:ascii="宋体" w:hAnsi="宋体" w:cs="宋体"/>
                <w:sz w:val="21"/>
                <w:szCs w:val="21"/>
                <w:highlight w:val="none"/>
              </w:rPr>
            </w:pPr>
            <w:r>
              <w:rPr>
                <w:rFonts w:hint="eastAsia" w:ascii="宋体" w:hAnsi="宋体" w:cs="宋体"/>
                <w:sz w:val="21"/>
                <w:szCs w:val="21"/>
                <w:highlight w:val="none"/>
              </w:rPr>
              <w:t>1）投标人参加投标的意思表达清楚，投标人代表被授权有效。</w:t>
            </w:r>
          </w:p>
          <w:p w14:paraId="6D367F2D">
            <w:pPr>
              <w:pStyle w:val="34"/>
              <w:kinsoku w:val="0"/>
              <w:overflowPunct w:val="0"/>
              <w:jc w:val="both"/>
              <w:rPr>
                <w:rFonts w:ascii="宋体" w:hAnsi="宋体" w:cs="宋体"/>
                <w:sz w:val="21"/>
                <w:szCs w:val="21"/>
                <w:highlight w:val="none"/>
              </w:rPr>
            </w:pPr>
            <w:r>
              <w:rPr>
                <w:rFonts w:hint="eastAsia" w:ascii="宋体" w:hAnsi="宋体" w:cs="宋体"/>
                <w:sz w:val="21"/>
                <w:szCs w:val="21"/>
                <w:highlight w:val="none"/>
              </w:rPr>
              <w:t>2) 投标登记前，投标人须已在广州公共资源交易中心办理企业信息登记及拟担任本工程总监理工程师须是本单位在企业库中的在册人员。</w:t>
            </w:r>
          </w:p>
        </w:tc>
      </w:tr>
      <w:tr w14:paraId="23DD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F31AD79">
            <w:pPr>
              <w:pStyle w:val="34"/>
              <w:kinsoku w:val="0"/>
              <w:overflowPunct w:val="0"/>
              <w:jc w:val="both"/>
              <w:rPr>
                <w:rFonts w:ascii="宋体" w:hAnsi="宋体" w:cs="宋体"/>
                <w:sz w:val="21"/>
                <w:szCs w:val="21"/>
                <w:highlight w:val="none"/>
              </w:rPr>
            </w:pPr>
            <w:r>
              <w:rPr>
                <w:rFonts w:ascii="宋体" w:hAnsi="宋体" w:cs="宋体"/>
                <w:sz w:val="21"/>
                <w:szCs w:val="21"/>
                <w:highlight w:val="none"/>
              </w:rPr>
              <w:t>2.1.2</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28E309BC">
            <w:pPr>
              <w:pStyle w:val="34"/>
              <w:kinsoku w:val="0"/>
              <w:overflowPunct w:val="0"/>
              <w:spacing w:line="384" w:lineRule="auto"/>
              <w:ind w:right="132"/>
              <w:jc w:val="both"/>
              <w:rPr>
                <w:rFonts w:ascii="宋体" w:hAnsi="宋体" w:cs="宋体"/>
                <w:sz w:val="21"/>
                <w:szCs w:val="21"/>
                <w:highlight w:val="none"/>
              </w:rPr>
            </w:pPr>
            <w:r>
              <w:rPr>
                <w:rFonts w:ascii="宋体" w:hAnsi="宋体" w:cs="宋体"/>
                <w:sz w:val="21"/>
                <w:szCs w:val="21"/>
                <w:highlight w:val="none"/>
              </w:rPr>
              <w:t>形式评审标准</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2403F21A">
            <w:pPr>
              <w:pStyle w:val="34"/>
              <w:kinsoku w:val="0"/>
              <w:overflowPunct w:val="0"/>
              <w:spacing w:before="110"/>
              <w:jc w:val="center"/>
              <w:rPr>
                <w:rFonts w:ascii="宋体" w:hAnsi="宋体" w:cs="宋体"/>
                <w:sz w:val="21"/>
                <w:szCs w:val="21"/>
                <w:highlight w:val="none"/>
              </w:rPr>
            </w:pPr>
            <w:r>
              <w:rPr>
                <w:rFonts w:ascii="宋体" w:hAnsi="宋体" w:cs="宋体"/>
                <w:sz w:val="21"/>
                <w:szCs w:val="21"/>
                <w:highlight w:val="none"/>
              </w:rPr>
              <w:t>投标人名称</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4FBD5700">
            <w:pPr>
              <w:pStyle w:val="34"/>
              <w:kinsoku w:val="0"/>
              <w:overflowPunct w:val="0"/>
              <w:spacing w:before="110"/>
              <w:jc w:val="both"/>
              <w:rPr>
                <w:rFonts w:ascii="宋体" w:hAnsi="宋体" w:cs="宋体"/>
                <w:sz w:val="21"/>
                <w:szCs w:val="21"/>
                <w:highlight w:val="none"/>
              </w:rPr>
            </w:pPr>
            <w:r>
              <w:rPr>
                <w:rFonts w:ascii="宋体" w:hAnsi="宋体" w:cs="宋体"/>
                <w:sz w:val="21"/>
                <w:szCs w:val="21"/>
                <w:highlight w:val="none"/>
              </w:rPr>
              <w:t>与营业执照、资质证书一致</w:t>
            </w:r>
          </w:p>
        </w:tc>
      </w:tr>
      <w:tr w14:paraId="221B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continue"/>
            <w:tcBorders>
              <w:left w:val="single" w:color="auto" w:sz="4" w:space="0"/>
              <w:right w:val="single" w:color="auto" w:sz="4" w:space="0"/>
              <w:tl2br w:val="nil"/>
              <w:tr2bl w:val="nil"/>
            </w:tcBorders>
            <w:vAlign w:val="center"/>
          </w:tcPr>
          <w:p w14:paraId="36CFA659">
            <w:pPr>
              <w:pStyle w:val="34"/>
              <w:kinsoku w:val="0"/>
              <w:overflowPunct w:val="0"/>
              <w:jc w:val="both"/>
              <w:rPr>
                <w:rFonts w:ascii="宋体" w:hAnsi="宋体" w:cs="宋体"/>
                <w:sz w:val="21"/>
                <w:szCs w:val="21"/>
                <w:highlight w:val="none"/>
              </w:rPr>
            </w:pPr>
          </w:p>
        </w:tc>
        <w:tc>
          <w:tcPr>
            <w:tcW w:w="1300" w:type="dxa"/>
            <w:gridSpan w:val="2"/>
            <w:vMerge w:val="continue"/>
            <w:tcBorders>
              <w:left w:val="single" w:color="auto" w:sz="4" w:space="0"/>
              <w:right w:val="single" w:color="auto" w:sz="4" w:space="0"/>
              <w:tl2br w:val="nil"/>
              <w:tr2bl w:val="nil"/>
            </w:tcBorders>
            <w:vAlign w:val="center"/>
          </w:tcPr>
          <w:p w14:paraId="4FE1803F">
            <w:pPr>
              <w:pStyle w:val="34"/>
              <w:kinsoku w:val="0"/>
              <w:overflowPunct w:val="0"/>
              <w:spacing w:line="384" w:lineRule="auto"/>
              <w:ind w:right="132"/>
              <w:jc w:val="both"/>
              <w:rPr>
                <w:rFonts w:ascii="宋体" w:hAnsi="宋体" w:cs="宋体"/>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5DE75BEA">
            <w:pPr>
              <w:pStyle w:val="34"/>
              <w:kinsoku w:val="0"/>
              <w:overflowPunct w:val="0"/>
              <w:spacing w:before="110"/>
              <w:jc w:val="center"/>
              <w:rPr>
                <w:rFonts w:ascii="宋体" w:hAnsi="宋体" w:cs="宋体"/>
                <w:sz w:val="21"/>
                <w:szCs w:val="21"/>
                <w:highlight w:val="none"/>
              </w:rPr>
            </w:pPr>
            <w:r>
              <w:rPr>
                <w:rFonts w:ascii="宋体" w:hAnsi="宋体" w:cs="宋体"/>
                <w:sz w:val="21"/>
                <w:szCs w:val="21"/>
                <w:highlight w:val="none"/>
              </w:rPr>
              <w:t>投标人参加投标的意思表达清楚，投标人代表被授权有效</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5C78CE99">
            <w:pPr>
              <w:pStyle w:val="34"/>
              <w:kinsoku w:val="0"/>
              <w:overflowPunct w:val="0"/>
              <w:spacing w:before="110"/>
              <w:jc w:val="both"/>
              <w:rPr>
                <w:rFonts w:ascii="宋体" w:hAnsi="宋体" w:cs="宋体"/>
                <w:sz w:val="21"/>
                <w:szCs w:val="21"/>
                <w:highlight w:val="none"/>
              </w:rPr>
            </w:pPr>
            <w:r>
              <w:rPr>
                <w:rFonts w:ascii="宋体" w:hAnsi="宋体" w:cs="宋体"/>
                <w:sz w:val="21"/>
                <w:szCs w:val="21"/>
                <w:highlight w:val="none"/>
              </w:rPr>
              <w:t>投标人声明、廉洁承诺书、法定代表人证明书；委托投标的还应提供法人授权委托证明书</w:t>
            </w:r>
          </w:p>
        </w:tc>
      </w:tr>
      <w:tr w14:paraId="3E3F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ABAF633">
            <w:pPr>
              <w:pStyle w:val="6"/>
              <w:kinsoku w:val="0"/>
              <w:overflowPunct w:val="0"/>
              <w:spacing w:before="120" w:after="120"/>
              <w:jc w:val="both"/>
              <w:rPr>
                <w:rFonts w:cs="宋体"/>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3BFBFC1">
            <w:pPr>
              <w:pStyle w:val="6"/>
              <w:kinsoku w:val="0"/>
              <w:overflowPunct w:val="0"/>
              <w:spacing w:before="120" w:after="120"/>
              <w:jc w:val="both"/>
              <w:rPr>
                <w:rFonts w:cs="宋体"/>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27CEF581">
            <w:pPr>
              <w:pStyle w:val="34"/>
              <w:kinsoku w:val="0"/>
              <w:overflowPunct w:val="0"/>
              <w:ind w:right="180"/>
              <w:jc w:val="center"/>
              <w:rPr>
                <w:rFonts w:ascii="宋体" w:hAnsi="宋体" w:cs="宋体"/>
                <w:sz w:val="21"/>
                <w:szCs w:val="21"/>
                <w:highlight w:val="none"/>
              </w:rPr>
            </w:pPr>
            <w:r>
              <w:rPr>
                <w:rFonts w:ascii="宋体" w:hAnsi="宋体" w:cs="宋体"/>
                <w:spacing w:val="-2"/>
                <w:sz w:val="21"/>
                <w:szCs w:val="21"/>
                <w:highlight w:val="none"/>
              </w:rPr>
              <w:t>投标函及投标函附录签</w:t>
            </w:r>
            <w:r>
              <w:rPr>
                <w:rFonts w:ascii="宋体" w:hAnsi="宋体" w:cs="宋体"/>
                <w:spacing w:val="-84"/>
                <w:sz w:val="21"/>
                <w:szCs w:val="21"/>
                <w:highlight w:val="none"/>
              </w:rPr>
              <w:t xml:space="preserve"> </w:t>
            </w:r>
            <w:r>
              <w:rPr>
                <w:rFonts w:ascii="宋体" w:hAnsi="宋体" w:cs="宋体"/>
                <w:sz w:val="21"/>
                <w:szCs w:val="21"/>
                <w:highlight w:val="none"/>
              </w:rPr>
              <w:t>字盖章</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35977C0A">
            <w:pPr>
              <w:pStyle w:val="34"/>
              <w:kinsoku w:val="0"/>
              <w:overflowPunct w:val="0"/>
              <w:spacing w:before="107"/>
              <w:ind w:right="96"/>
              <w:jc w:val="both"/>
              <w:rPr>
                <w:rFonts w:ascii="宋体" w:hAnsi="宋体" w:cs="宋体"/>
                <w:sz w:val="21"/>
                <w:szCs w:val="21"/>
                <w:highlight w:val="none"/>
              </w:rPr>
            </w:pPr>
            <w:r>
              <w:rPr>
                <w:rFonts w:ascii="宋体" w:hAnsi="宋体" w:cs="宋体"/>
                <w:sz w:val="21"/>
                <w:szCs w:val="21"/>
                <w:highlight w:val="none"/>
              </w:rPr>
              <w:t>有法定代表人或其委托代理人签字或加盖单位章。由法定代表人签字的，应附法定代表人身份证明，由代理人签字的，应附授权委托书，身份证明或授权委托书应符合第六章“投标文件格式”的规定</w:t>
            </w:r>
          </w:p>
        </w:tc>
      </w:tr>
      <w:tr w14:paraId="38E2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36D83FA">
            <w:pPr>
              <w:pStyle w:val="6"/>
              <w:kinsoku w:val="0"/>
              <w:overflowPunct w:val="0"/>
              <w:spacing w:before="120" w:after="120"/>
              <w:jc w:val="both"/>
              <w:rPr>
                <w:rFonts w:cs="宋体"/>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D9293C1">
            <w:pPr>
              <w:pStyle w:val="6"/>
              <w:kinsoku w:val="0"/>
              <w:overflowPunct w:val="0"/>
              <w:spacing w:before="120" w:after="120"/>
              <w:jc w:val="both"/>
              <w:rPr>
                <w:rFonts w:cs="宋体"/>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1C7891B8">
            <w:pPr>
              <w:pStyle w:val="34"/>
              <w:kinsoku w:val="0"/>
              <w:overflowPunct w:val="0"/>
              <w:spacing w:before="107"/>
              <w:jc w:val="center"/>
              <w:rPr>
                <w:rFonts w:ascii="宋体" w:hAnsi="宋体" w:cs="宋体"/>
                <w:sz w:val="21"/>
                <w:szCs w:val="21"/>
                <w:highlight w:val="none"/>
              </w:rPr>
            </w:pPr>
            <w:r>
              <w:rPr>
                <w:rFonts w:ascii="宋体" w:hAnsi="宋体" w:cs="宋体"/>
                <w:sz w:val="21"/>
                <w:szCs w:val="21"/>
                <w:highlight w:val="none"/>
              </w:rPr>
              <w:t>投标文件格式</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7236A3DA">
            <w:pPr>
              <w:pStyle w:val="34"/>
              <w:kinsoku w:val="0"/>
              <w:overflowPunct w:val="0"/>
              <w:spacing w:before="107"/>
              <w:jc w:val="both"/>
              <w:rPr>
                <w:rFonts w:ascii="宋体" w:hAnsi="宋体" w:cs="宋体"/>
                <w:sz w:val="21"/>
                <w:szCs w:val="21"/>
                <w:highlight w:val="none"/>
              </w:rPr>
            </w:pPr>
            <w:r>
              <w:rPr>
                <w:rFonts w:ascii="宋体" w:hAnsi="宋体" w:cs="宋体"/>
                <w:sz w:val="21"/>
                <w:szCs w:val="21"/>
                <w:highlight w:val="none"/>
              </w:rPr>
              <w:t>符合第六章“投标文件格式”的规定</w:t>
            </w:r>
          </w:p>
        </w:tc>
      </w:tr>
      <w:tr w14:paraId="3808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A45C662">
            <w:pPr>
              <w:pStyle w:val="6"/>
              <w:kinsoku w:val="0"/>
              <w:overflowPunct w:val="0"/>
              <w:spacing w:before="120" w:after="120"/>
              <w:jc w:val="both"/>
              <w:rPr>
                <w:rFonts w:cs="宋体"/>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DF12064">
            <w:pPr>
              <w:pStyle w:val="6"/>
              <w:kinsoku w:val="0"/>
              <w:overflowPunct w:val="0"/>
              <w:spacing w:before="120" w:after="120"/>
              <w:jc w:val="both"/>
              <w:rPr>
                <w:rFonts w:cs="宋体"/>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0940CBA4">
            <w:pPr>
              <w:jc w:val="center"/>
              <w:rPr>
                <w:rFonts w:ascii="宋体" w:hAnsi="宋体" w:cs="宋体"/>
                <w:sz w:val="21"/>
                <w:szCs w:val="21"/>
                <w:highlight w:val="none"/>
              </w:rPr>
            </w:pPr>
            <w:r>
              <w:rPr>
                <w:rFonts w:ascii="宋体"/>
                <w:sz w:val="21"/>
                <w:highlight w:val="none"/>
              </w:rPr>
              <w:t>投标人机器码</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63B8BE77">
            <w:pPr>
              <w:ind w:left="91" w:leftChars="38"/>
              <w:jc w:val="both"/>
              <w:rPr>
                <w:rFonts w:ascii="宋体" w:hAnsi="宋体" w:cs="宋体"/>
                <w:sz w:val="21"/>
                <w:szCs w:val="21"/>
                <w:highlight w:val="none"/>
              </w:rPr>
            </w:pPr>
            <w:r>
              <w:rPr>
                <w:rFonts w:ascii="宋体"/>
                <w:sz w:val="21"/>
                <w:highlight w:val="none"/>
              </w:rPr>
              <w:t>投标人与本项目其他投标人加密打包投标文件电脑机器特征码不一致的(以</w:t>
            </w:r>
            <w:r>
              <w:rPr>
                <w:rFonts w:hint="eastAsia" w:ascii="宋体"/>
                <w:sz w:val="21"/>
                <w:highlight w:val="none"/>
              </w:rPr>
              <w:t>广州交易集团有限公司（广州公共资源交易中心）</w:t>
            </w:r>
            <w:r>
              <w:rPr>
                <w:rFonts w:ascii="宋体"/>
                <w:sz w:val="21"/>
                <w:highlight w:val="none"/>
              </w:rPr>
              <w:t>交易平台</w:t>
            </w:r>
            <w:r>
              <w:rPr>
                <w:rFonts w:hint="eastAsia" w:ascii="宋体"/>
                <w:sz w:val="21"/>
                <w:highlight w:val="none"/>
              </w:rPr>
              <w:t>开标</w:t>
            </w:r>
            <w:r>
              <w:rPr>
                <w:rFonts w:ascii="宋体"/>
                <w:sz w:val="21"/>
                <w:highlight w:val="none"/>
              </w:rPr>
              <w:t>系统的检索信息为准)</w:t>
            </w:r>
          </w:p>
        </w:tc>
      </w:tr>
      <w:tr w14:paraId="494B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C0598E8">
            <w:pPr>
              <w:pStyle w:val="34"/>
              <w:kinsoku w:val="0"/>
              <w:overflowPunct w:val="0"/>
              <w:jc w:val="both"/>
              <w:rPr>
                <w:rFonts w:ascii="宋体" w:hAnsi="宋体" w:cs="宋体"/>
                <w:sz w:val="21"/>
                <w:szCs w:val="21"/>
                <w:highlight w:val="none"/>
              </w:rPr>
            </w:pPr>
            <w:r>
              <w:rPr>
                <w:rFonts w:ascii="宋体" w:hAnsi="宋体" w:cs="宋体"/>
                <w:sz w:val="21"/>
                <w:szCs w:val="21"/>
                <w:highlight w:val="none"/>
              </w:rPr>
              <w:t>2.1.3</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0BAF6E67">
            <w:pPr>
              <w:pStyle w:val="34"/>
              <w:kinsoku w:val="0"/>
              <w:overflowPunct w:val="0"/>
              <w:jc w:val="both"/>
              <w:rPr>
                <w:rFonts w:ascii="宋体" w:hAnsi="宋体" w:cs="宋体"/>
                <w:sz w:val="21"/>
                <w:szCs w:val="21"/>
                <w:highlight w:val="none"/>
              </w:rPr>
            </w:pPr>
            <w:r>
              <w:rPr>
                <w:rFonts w:ascii="宋体" w:hAnsi="宋体" w:cs="宋体"/>
                <w:sz w:val="21"/>
                <w:szCs w:val="21"/>
                <w:highlight w:val="none"/>
              </w:rPr>
              <w:t>响应性评审标准</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2340A634">
            <w:pPr>
              <w:pStyle w:val="34"/>
              <w:kinsoku w:val="0"/>
              <w:overflowPunct w:val="0"/>
              <w:jc w:val="center"/>
              <w:rPr>
                <w:rFonts w:ascii="宋体" w:hAnsi="宋体" w:cs="宋体"/>
                <w:sz w:val="21"/>
                <w:szCs w:val="21"/>
                <w:highlight w:val="none"/>
              </w:rPr>
            </w:pPr>
            <w:r>
              <w:rPr>
                <w:rFonts w:ascii="宋体" w:hAnsi="宋体" w:cs="宋体"/>
                <w:sz w:val="21"/>
                <w:szCs w:val="21"/>
                <w:highlight w:val="none"/>
              </w:rPr>
              <w:t>投标报价</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33AA81B3">
            <w:pPr>
              <w:pStyle w:val="34"/>
              <w:kinsoku w:val="0"/>
              <w:overflowPunct w:val="0"/>
              <w:jc w:val="both"/>
              <w:rPr>
                <w:rFonts w:ascii="宋体" w:hAnsi="宋体" w:cs="宋体"/>
                <w:sz w:val="21"/>
                <w:szCs w:val="21"/>
                <w:highlight w:val="none"/>
              </w:rPr>
            </w:pPr>
            <w:r>
              <w:rPr>
                <w:rFonts w:ascii="宋体" w:hAnsi="宋体" w:cs="宋体"/>
                <w:sz w:val="21"/>
                <w:szCs w:val="21"/>
                <w:highlight w:val="none"/>
              </w:rPr>
              <w:t>符合第二章“投标人须知”第3.2款规定</w:t>
            </w:r>
          </w:p>
        </w:tc>
      </w:tr>
      <w:tr w14:paraId="7429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tcPr>
          <w:p w14:paraId="634812F4">
            <w:pPr>
              <w:pStyle w:val="6"/>
              <w:kinsoku w:val="0"/>
              <w:overflowPunct w:val="0"/>
              <w:spacing w:before="120" w:after="120"/>
              <w:rPr>
                <w:rFonts w:cs="宋体"/>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tcPr>
          <w:p w14:paraId="793A14FD">
            <w:pPr>
              <w:pStyle w:val="6"/>
              <w:kinsoku w:val="0"/>
              <w:overflowPunct w:val="0"/>
              <w:spacing w:before="120" w:after="120"/>
              <w:rPr>
                <w:rFonts w:cs="宋体"/>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71C99417">
            <w:pPr>
              <w:pStyle w:val="34"/>
              <w:kinsoku w:val="0"/>
              <w:overflowPunct w:val="0"/>
              <w:jc w:val="center"/>
              <w:rPr>
                <w:rFonts w:ascii="宋体" w:hAnsi="宋体" w:cs="宋体"/>
                <w:sz w:val="21"/>
                <w:szCs w:val="21"/>
                <w:highlight w:val="none"/>
              </w:rPr>
            </w:pPr>
            <w:r>
              <w:rPr>
                <w:rFonts w:ascii="宋体" w:hAnsi="宋体" w:cs="宋体"/>
                <w:sz w:val="21"/>
                <w:szCs w:val="21"/>
                <w:highlight w:val="none"/>
              </w:rPr>
              <w:t>投标内容</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0B074ADA">
            <w:pPr>
              <w:pStyle w:val="34"/>
              <w:kinsoku w:val="0"/>
              <w:overflowPunct w:val="0"/>
              <w:jc w:val="both"/>
              <w:rPr>
                <w:rFonts w:ascii="宋体" w:hAnsi="宋体" w:cs="宋体"/>
                <w:sz w:val="21"/>
                <w:szCs w:val="21"/>
                <w:highlight w:val="none"/>
              </w:rPr>
            </w:pPr>
            <w:r>
              <w:rPr>
                <w:rFonts w:ascii="宋体" w:hAnsi="宋体" w:cs="宋体"/>
                <w:sz w:val="21"/>
                <w:szCs w:val="21"/>
                <w:highlight w:val="none"/>
              </w:rPr>
              <w:t>符合第二章“投标人须知”第1.3.1项规定</w:t>
            </w:r>
          </w:p>
        </w:tc>
      </w:tr>
      <w:tr w14:paraId="7F7E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tcPr>
          <w:p w14:paraId="5F4222D4">
            <w:pPr>
              <w:pStyle w:val="6"/>
              <w:kinsoku w:val="0"/>
              <w:overflowPunct w:val="0"/>
              <w:spacing w:before="120" w:after="120"/>
              <w:rPr>
                <w:rFonts w:cs="宋体"/>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tcPr>
          <w:p w14:paraId="60E5E02A">
            <w:pPr>
              <w:pStyle w:val="6"/>
              <w:kinsoku w:val="0"/>
              <w:overflowPunct w:val="0"/>
              <w:spacing w:before="120" w:after="120"/>
              <w:rPr>
                <w:rFonts w:cs="宋体"/>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70A07713">
            <w:pPr>
              <w:pStyle w:val="34"/>
              <w:kinsoku w:val="0"/>
              <w:overflowPunct w:val="0"/>
              <w:jc w:val="center"/>
              <w:rPr>
                <w:rFonts w:ascii="宋体" w:hAnsi="宋体" w:cs="宋体"/>
                <w:sz w:val="21"/>
                <w:szCs w:val="21"/>
                <w:highlight w:val="none"/>
              </w:rPr>
            </w:pPr>
            <w:r>
              <w:rPr>
                <w:rFonts w:ascii="宋体" w:hAnsi="宋体" w:cs="宋体"/>
                <w:sz w:val="21"/>
                <w:szCs w:val="21"/>
                <w:highlight w:val="none"/>
              </w:rPr>
              <w:t>监理服务期限</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3CB2239D">
            <w:pPr>
              <w:pStyle w:val="34"/>
              <w:kinsoku w:val="0"/>
              <w:overflowPunct w:val="0"/>
              <w:jc w:val="both"/>
              <w:rPr>
                <w:rFonts w:ascii="宋体" w:hAnsi="宋体" w:cs="宋体"/>
                <w:sz w:val="21"/>
                <w:szCs w:val="21"/>
                <w:highlight w:val="none"/>
              </w:rPr>
            </w:pPr>
            <w:r>
              <w:rPr>
                <w:rFonts w:ascii="宋体" w:hAnsi="宋体" w:cs="宋体"/>
                <w:sz w:val="21"/>
                <w:szCs w:val="21"/>
                <w:highlight w:val="none"/>
              </w:rPr>
              <w:t>符合第二章“投标人须知”第1.3.2项规定</w:t>
            </w:r>
          </w:p>
        </w:tc>
      </w:tr>
      <w:tr w14:paraId="2534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tcPr>
          <w:p w14:paraId="4FE9CA67">
            <w:pPr>
              <w:pStyle w:val="6"/>
              <w:kinsoku w:val="0"/>
              <w:overflowPunct w:val="0"/>
              <w:spacing w:before="120" w:after="120"/>
              <w:rPr>
                <w:rFonts w:cs="宋体"/>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tcPr>
          <w:p w14:paraId="15CF99BB">
            <w:pPr>
              <w:pStyle w:val="6"/>
              <w:kinsoku w:val="0"/>
              <w:overflowPunct w:val="0"/>
              <w:spacing w:before="120" w:after="120"/>
              <w:rPr>
                <w:rFonts w:cs="宋体"/>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2D482674">
            <w:pPr>
              <w:pStyle w:val="34"/>
              <w:kinsoku w:val="0"/>
              <w:overflowPunct w:val="0"/>
              <w:jc w:val="center"/>
              <w:rPr>
                <w:rFonts w:ascii="宋体" w:hAnsi="宋体" w:cs="宋体"/>
                <w:sz w:val="21"/>
                <w:szCs w:val="21"/>
                <w:highlight w:val="none"/>
              </w:rPr>
            </w:pPr>
            <w:r>
              <w:rPr>
                <w:rFonts w:ascii="宋体" w:hAnsi="宋体" w:cs="宋体"/>
                <w:sz w:val="21"/>
                <w:szCs w:val="21"/>
                <w:highlight w:val="none"/>
              </w:rPr>
              <w:t>质量标准</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5DF432F7">
            <w:pPr>
              <w:pStyle w:val="34"/>
              <w:kinsoku w:val="0"/>
              <w:overflowPunct w:val="0"/>
              <w:jc w:val="both"/>
              <w:rPr>
                <w:rFonts w:ascii="宋体" w:hAnsi="宋体" w:cs="宋体"/>
                <w:sz w:val="21"/>
                <w:szCs w:val="21"/>
                <w:highlight w:val="none"/>
              </w:rPr>
            </w:pPr>
            <w:r>
              <w:rPr>
                <w:rFonts w:ascii="宋体" w:hAnsi="宋体" w:cs="宋体"/>
                <w:sz w:val="21"/>
                <w:szCs w:val="21"/>
                <w:highlight w:val="none"/>
              </w:rPr>
              <w:t>符合第二章“投标人须知”第1.3.3项规定</w:t>
            </w:r>
          </w:p>
        </w:tc>
      </w:tr>
      <w:tr w14:paraId="12AE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tcPr>
          <w:p w14:paraId="293FEE53">
            <w:pPr>
              <w:pStyle w:val="6"/>
              <w:kinsoku w:val="0"/>
              <w:overflowPunct w:val="0"/>
              <w:spacing w:before="120" w:after="120"/>
              <w:rPr>
                <w:rFonts w:cs="宋体"/>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tcPr>
          <w:p w14:paraId="7643AB6D">
            <w:pPr>
              <w:pStyle w:val="6"/>
              <w:kinsoku w:val="0"/>
              <w:overflowPunct w:val="0"/>
              <w:spacing w:before="120" w:after="120"/>
              <w:rPr>
                <w:rFonts w:cs="宋体"/>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0FCD7EF2">
            <w:pPr>
              <w:pStyle w:val="34"/>
              <w:kinsoku w:val="0"/>
              <w:overflowPunct w:val="0"/>
              <w:jc w:val="center"/>
              <w:rPr>
                <w:rFonts w:ascii="宋体" w:hAnsi="宋体" w:cs="宋体"/>
                <w:sz w:val="21"/>
                <w:szCs w:val="21"/>
                <w:highlight w:val="none"/>
              </w:rPr>
            </w:pPr>
            <w:r>
              <w:rPr>
                <w:rFonts w:ascii="宋体" w:hAnsi="宋体" w:cs="宋体"/>
                <w:sz w:val="21"/>
                <w:szCs w:val="21"/>
                <w:highlight w:val="none"/>
              </w:rPr>
              <w:t>投标有效期</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48621F0D">
            <w:pPr>
              <w:pStyle w:val="34"/>
              <w:kinsoku w:val="0"/>
              <w:overflowPunct w:val="0"/>
              <w:jc w:val="both"/>
              <w:rPr>
                <w:rFonts w:ascii="宋体" w:hAnsi="宋体" w:cs="宋体"/>
                <w:sz w:val="21"/>
                <w:szCs w:val="21"/>
                <w:highlight w:val="none"/>
              </w:rPr>
            </w:pPr>
            <w:r>
              <w:rPr>
                <w:rFonts w:ascii="宋体" w:hAnsi="宋体" w:cs="宋体"/>
                <w:sz w:val="21"/>
                <w:szCs w:val="21"/>
                <w:highlight w:val="none"/>
              </w:rPr>
              <w:t>符合第二章“投标人须知”第3.3.1项规定</w:t>
            </w:r>
          </w:p>
        </w:tc>
      </w:tr>
      <w:tr w14:paraId="754A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tcPr>
          <w:p w14:paraId="4F1D7F2F">
            <w:pPr>
              <w:pStyle w:val="6"/>
              <w:kinsoku w:val="0"/>
              <w:overflowPunct w:val="0"/>
              <w:spacing w:before="120" w:after="120"/>
              <w:rPr>
                <w:rFonts w:cs="宋体"/>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tcPr>
          <w:p w14:paraId="7AC0CAAF">
            <w:pPr>
              <w:pStyle w:val="6"/>
              <w:kinsoku w:val="0"/>
              <w:overflowPunct w:val="0"/>
              <w:spacing w:before="120" w:after="120"/>
              <w:rPr>
                <w:rFonts w:cs="宋体"/>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304228B2">
            <w:pPr>
              <w:pStyle w:val="34"/>
              <w:kinsoku w:val="0"/>
              <w:overflowPunct w:val="0"/>
              <w:jc w:val="center"/>
              <w:rPr>
                <w:rFonts w:ascii="宋体" w:hAnsi="宋体" w:cs="宋体"/>
                <w:sz w:val="21"/>
                <w:szCs w:val="21"/>
                <w:highlight w:val="none"/>
              </w:rPr>
            </w:pPr>
            <w:r>
              <w:rPr>
                <w:rFonts w:hint="eastAsia" w:ascii="宋体" w:hAnsi="宋体" w:cs="宋体"/>
                <w:sz w:val="21"/>
                <w:szCs w:val="21"/>
                <w:highlight w:val="none"/>
              </w:rPr>
              <w:t>串通投标情形</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61A506E6">
            <w:pPr>
              <w:pStyle w:val="34"/>
              <w:kinsoku w:val="0"/>
              <w:overflowPunct w:val="0"/>
              <w:jc w:val="both"/>
              <w:rPr>
                <w:rFonts w:ascii="宋体" w:hAnsi="宋体" w:cs="宋体"/>
                <w:sz w:val="21"/>
                <w:szCs w:val="21"/>
                <w:highlight w:val="none"/>
              </w:rPr>
            </w:pPr>
            <w:r>
              <w:rPr>
                <w:rFonts w:hint="eastAsia" w:ascii="宋体" w:hAnsi="宋体" w:cs="宋体"/>
                <w:sz w:val="21"/>
                <w:szCs w:val="21"/>
                <w:highlight w:val="none"/>
              </w:rPr>
              <w:t>不存在串通投标情形（串通投标情形以《中华人民共和国招标投标法实施条例》的规定为准）；</w:t>
            </w:r>
          </w:p>
        </w:tc>
      </w:tr>
      <w:tr w14:paraId="5CCA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C4E113A">
            <w:pPr>
              <w:pStyle w:val="34"/>
              <w:kinsoku w:val="0"/>
              <w:overflowPunct w:val="0"/>
              <w:spacing w:before="41"/>
              <w:jc w:val="center"/>
              <w:rPr>
                <w:rFonts w:ascii="宋体" w:hAnsi="宋体" w:cs="宋体"/>
                <w:b/>
                <w:sz w:val="21"/>
                <w:szCs w:val="21"/>
                <w:highlight w:val="none"/>
              </w:rPr>
            </w:pPr>
            <w:r>
              <w:rPr>
                <w:rFonts w:ascii="宋体" w:hAnsi="宋体" w:cs="宋体"/>
                <w:b/>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10DECD2D">
            <w:pPr>
              <w:pStyle w:val="34"/>
              <w:kinsoku w:val="0"/>
              <w:overflowPunct w:val="0"/>
              <w:spacing w:before="41"/>
              <w:jc w:val="center"/>
              <w:rPr>
                <w:rFonts w:ascii="宋体" w:hAnsi="宋体" w:cs="宋体"/>
                <w:b/>
                <w:sz w:val="21"/>
                <w:szCs w:val="21"/>
                <w:highlight w:val="none"/>
              </w:rPr>
            </w:pPr>
            <w:r>
              <w:rPr>
                <w:rFonts w:ascii="宋体" w:hAnsi="宋体" w:cs="宋体"/>
                <w:b/>
                <w:sz w:val="21"/>
                <w:szCs w:val="21"/>
                <w:highlight w:val="none"/>
              </w:rPr>
              <w:t>条款内容</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3863B14C">
            <w:pPr>
              <w:pStyle w:val="34"/>
              <w:kinsoku w:val="0"/>
              <w:overflowPunct w:val="0"/>
              <w:spacing w:before="41"/>
              <w:jc w:val="center"/>
              <w:rPr>
                <w:rFonts w:ascii="宋体" w:hAnsi="宋体" w:cs="宋体"/>
                <w:b/>
                <w:sz w:val="21"/>
                <w:szCs w:val="21"/>
                <w:highlight w:val="none"/>
              </w:rPr>
            </w:pPr>
            <w:r>
              <w:rPr>
                <w:rFonts w:ascii="宋体" w:hAnsi="宋体" w:cs="宋体"/>
                <w:b/>
                <w:sz w:val="21"/>
                <w:szCs w:val="21"/>
                <w:highlight w:val="none"/>
              </w:rPr>
              <w:t>编列内容</w:t>
            </w:r>
          </w:p>
        </w:tc>
      </w:tr>
      <w:tr w14:paraId="3AA5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F53D0A6">
            <w:pPr>
              <w:pStyle w:val="34"/>
              <w:kinsoku w:val="0"/>
              <w:overflowPunct w:val="0"/>
              <w:jc w:val="center"/>
              <w:rPr>
                <w:rFonts w:ascii="宋体" w:hAnsi="宋体" w:cs="宋体"/>
                <w:sz w:val="21"/>
                <w:szCs w:val="21"/>
                <w:highlight w:val="none"/>
              </w:rPr>
            </w:pPr>
            <w:r>
              <w:rPr>
                <w:rFonts w:hint="eastAsia" w:ascii="宋体" w:hAnsi="宋体" w:eastAsia="宋体" w:cs="宋体"/>
                <w:sz w:val="21"/>
                <w:szCs w:val="21"/>
                <w:highlight w:val="none"/>
              </w:rPr>
              <w:t>2.2.1</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698B2D80">
            <w:pPr>
              <w:pStyle w:val="34"/>
              <w:kinsoku w:val="0"/>
              <w:overflowPunct w:val="0"/>
              <w:jc w:val="center"/>
              <w:rPr>
                <w:rFonts w:ascii="宋体" w:hAnsi="宋体" w:cs="宋体"/>
                <w:sz w:val="21"/>
                <w:szCs w:val="21"/>
                <w:highlight w:val="none"/>
              </w:rPr>
            </w:pPr>
            <w:r>
              <w:rPr>
                <w:rFonts w:hint="eastAsia" w:ascii="宋体" w:hAnsi="宋体" w:eastAsia="宋体" w:cs="宋体"/>
                <w:sz w:val="21"/>
                <w:szCs w:val="21"/>
                <w:highlight w:val="none"/>
              </w:rPr>
              <w:t>分值构成(总分100分)</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2E928732">
            <w:pPr>
              <w:pStyle w:val="34"/>
              <w:kinsoku w:val="0"/>
              <w:overflowPunct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资信业绩部分：50分 </w:t>
            </w:r>
          </w:p>
          <w:p w14:paraId="1F07CF85">
            <w:pPr>
              <w:pStyle w:val="34"/>
              <w:kinsoku w:val="0"/>
              <w:overflowPunct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监理大纲部分：30分 </w:t>
            </w:r>
          </w:p>
          <w:p w14:paraId="4F0AECF2">
            <w:pPr>
              <w:pStyle w:val="34"/>
              <w:kinsoku w:val="0"/>
              <w:overflowPunct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投标报价：10分</w:t>
            </w:r>
          </w:p>
          <w:p w14:paraId="5FCC0328">
            <w:pPr>
              <w:pStyle w:val="34"/>
              <w:kinsoku w:val="0"/>
              <w:overflowPunct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诚信评价分：10分</w:t>
            </w:r>
          </w:p>
          <w:p w14:paraId="76E0542D">
            <w:pPr>
              <w:pStyle w:val="34"/>
              <w:kinsoku w:val="0"/>
              <w:overflowPunct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投标人综合诚信评价排名得分（权重10%）按广州市水务工程建设管理数字化监管平台 （http://112.94.68.142:8012/#/website）</w:t>
            </w:r>
          </w:p>
          <w:p w14:paraId="3B05422B">
            <w:pPr>
              <w:pStyle w:val="34"/>
              <w:kinsoku w:val="0"/>
              <w:overflowPunct w:val="0"/>
              <w:jc w:val="both"/>
              <w:rPr>
                <w:rFonts w:ascii="宋体" w:hAnsi="宋体" w:cs="宋体"/>
                <w:sz w:val="21"/>
                <w:szCs w:val="21"/>
                <w:highlight w:val="none"/>
              </w:rPr>
            </w:pPr>
            <w:r>
              <w:rPr>
                <w:rFonts w:hint="eastAsia" w:ascii="宋体" w:hAnsi="宋体" w:eastAsia="宋体" w:cs="宋体"/>
                <w:sz w:val="21"/>
                <w:szCs w:val="21"/>
                <w:highlight w:val="none"/>
              </w:rPr>
              <w:t>中的“诚信排名&gt;&gt;监理—水利”中“诚信综合评价”得分为准；未入库企业或在广州市水务工程建设管理数字化监管平台中尚无诚信排名的投标人，其诚信评价分按80分计算。诚信评价总分应当采用诚信评价信息系统在招标公告发布第1天所在季度的上一季度公布的分数。</w:t>
            </w:r>
          </w:p>
        </w:tc>
      </w:tr>
      <w:tr w14:paraId="67AB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31C8D50">
            <w:pPr>
              <w:pStyle w:val="34"/>
              <w:kinsoku w:val="0"/>
              <w:overflowPunct w:val="0"/>
              <w:jc w:val="center"/>
              <w:rPr>
                <w:rFonts w:ascii="宋体" w:hAnsi="宋体" w:cs="宋体"/>
                <w:sz w:val="21"/>
                <w:szCs w:val="21"/>
                <w:highlight w:val="none"/>
              </w:rPr>
            </w:pPr>
            <w:r>
              <w:rPr>
                <w:rFonts w:hint="eastAsia" w:ascii="宋体" w:hAnsi="宋体" w:eastAsia="宋体" w:cs="宋体"/>
                <w:sz w:val="21"/>
                <w:szCs w:val="21"/>
                <w:highlight w:val="none"/>
              </w:rPr>
              <w:t>2.2.2</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402710AC">
            <w:pPr>
              <w:pStyle w:val="34"/>
              <w:kinsoku w:val="0"/>
              <w:overflowPunct w:val="0"/>
              <w:jc w:val="center"/>
              <w:rPr>
                <w:rFonts w:ascii="宋体" w:hAnsi="宋体" w:cs="宋体"/>
                <w:sz w:val="21"/>
                <w:szCs w:val="21"/>
                <w:highlight w:val="none"/>
              </w:rPr>
            </w:pPr>
            <w:r>
              <w:rPr>
                <w:rFonts w:hint="eastAsia" w:ascii="宋体" w:hAnsi="宋体" w:eastAsia="宋体" w:cs="宋体"/>
                <w:sz w:val="21"/>
                <w:szCs w:val="21"/>
                <w:highlight w:val="none"/>
              </w:rPr>
              <w:t>评标基准价计算方法</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15DAA236">
            <w:pPr>
              <w:pStyle w:val="34"/>
              <w:kinsoku w:val="0"/>
              <w:overflowPunct w:val="0"/>
              <w:rPr>
                <w:rFonts w:ascii="宋体" w:hAnsi="宋体" w:cs="宋体"/>
                <w:sz w:val="21"/>
                <w:szCs w:val="21"/>
                <w:highlight w:val="none"/>
              </w:rPr>
            </w:pPr>
            <w:r>
              <w:rPr>
                <w:rFonts w:hint="eastAsia" w:ascii="宋体" w:hAnsi="宋体" w:eastAsia="宋体" w:cs="宋体"/>
                <w:spacing w:val="-1"/>
                <w:sz w:val="21"/>
                <w:szCs w:val="21"/>
                <w:highlight w:val="none"/>
              </w:rPr>
              <w:t>当通过形式评审、资格评审、响应性评审的有效投标人且经算术校核的报价位于[最高投标限价×80%，最高投标限价]区间的投标人的报价大于5个，去一个最高价和一个最低价后，剩余报价的算术平均值为评标基准价。若位于[最高投标限价×80%，招标控制价]区间的投标人的报价少于或等于5个，直接取区间中的投标价的算术平均值为评标基准价。</w:t>
            </w:r>
          </w:p>
        </w:tc>
      </w:tr>
      <w:tr w14:paraId="6D3B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7403415">
            <w:pPr>
              <w:pStyle w:val="34"/>
              <w:kinsoku w:val="0"/>
              <w:overflowPunct w:val="0"/>
              <w:jc w:val="center"/>
              <w:rPr>
                <w:rFonts w:ascii="宋体" w:hAnsi="宋体" w:cs="宋体"/>
                <w:sz w:val="21"/>
                <w:szCs w:val="21"/>
                <w:highlight w:val="none"/>
              </w:rPr>
            </w:pPr>
            <w:r>
              <w:rPr>
                <w:rFonts w:ascii="宋体" w:hAnsi="宋体" w:cs="宋体"/>
                <w:sz w:val="21"/>
                <w:szCs w:val="21"/>
                <w:highlight w:val="none"/>
              </w:rPr>
              <w:t>2.2.3</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5C2F207E">
            <w:pPr>
              <w:pStyle w:val="34"/>
              <w:kinsoku w:val="0"/>
              <w:overflowPunct w:val="0"/>
              <w:jc w:val="center"/>
              <w:rPr>
                <w:rFonts w:ascii="宋体" w:hAnsi="宋体" w:cs="宋体"/>
                <w:sz w:val="21"/>
                <w:szCs w:val="21"/>
                <w:highlight w:val="none"/>
              </w:rPr>
            </w:pPr>
            <w:r>
              <w:rPr>
                <w:rFonts w:hint="eastAsia" w:ascii="宋体" w:hAnsi="宋体" w:eastAsia="宋体" w:cs="宋体"/>
                <w:sz w:val="21"/>
                <w:szCs w:val="21"/>
                <w:highlight w:val="none"/>
              </w:rPr>
              <w:t>投标报价的偏差率计算公式</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4474D6B9">
            <w:pPr>
              <w:pStyle w:val="34"/>
              <w:kinsoku w:val="0"/>
              <w:overflowPunct w:val="0"/>
              <w:rPr>
                <w:rFonts w:ascii="宋体" w:hAnsi="宋体" w:cs="宋体"/>
                <w:sz w:val="21"/>
                <w:szCs w:val="21"/>
                <w:highlight w:val="none"/>
              </w:rPr>
            </w:pPr>
            <w:r>
              <w:rPr>
                <w:rFonts w:hint="eastAsia" w:ascii="宋体" w:hAnsi="宋体" w:eastAsia="宋体" w:cs="宋体"/>
                <w:sz w:val="21"/>
                <w:szCs w:val="21"/>
                <w:highlight w:val="none"/>
              </w:rPr>
              <w:t>偏差率=100%×|（投标人报价-评标基准价）|/评标基准价（偏差率出现小数点时，保留小数点后2位，第三位小数四舍五入。报价偏差率不足1%的，按直线内插法计算投标报价得分）</w:t>
            </w:r>
          </w:p>
        </w:tc>
      </w:tr>
      <w:tr w14:paraId="1245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4" w:hRule="atLeast"/>
        </w:trPr>
        <w:tc>
          <w:tcPr>
            <w:tcW w:w="1131"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5AAB36B4">
            <w:pPr>
              <w:pStyle w:val="34"/>
              <w:kinsoku w:val="0"/>
              <w:overflowPunct w:val="0"/>
              <w:jc w:val="center"/>
              <w:rPr>
                <w:rFonts w:ascii="宋体" w:hAnsi="宋体" w:cs="宋体"/>
                <w:sz w:val="21"/>
                <w:szCs w:val="21"/>
                <w:highlight w:val="none"/>
              </w:rPr>
            </w:pPr>
          </w:p>
          <w:p w14:paraId="32597AF0">
            <w:pPr>
              <w:pStyle w:val="34"/>
              <w:kinsoku w:val="0"/>
              <w:overflowPunct w:val="0"/>
              <w:jc w:val="center"/>
              <w:rPr>
                <w:rFonts w:ascii="宋体" w:hAnsi="宋体" w:cs="宋体"/>
                <w:sz w:val="21"/>
                <w:szCs w:val="21"/>
                <w:highlight w:val="none"/>
              </w:rPr>
            </w:pPr>
            <w:r>
              <w:rPr>
                <w:rFonts w:ascii="宋体" w:hAnsi="宋体" w:cs="宋体"/>
                <w:sz w:val="21"/>
                <w:szCs w:val="21"/>
                <w:highlight w:val="none"/>
              </w:rPr>
              <w:t>2.2.4</w:t>
            </w:r>
          </w:p>
          <w:p w14:paraId="666EDE1C">
            <w:pPr>
              <w:pStyle w:val="34"/>
              <w:kinsoku w:val="0"/>
              <w:overflowPunct w:val="0"/>
              <w:jc w:val="center"/>
              <w:rPr>
                <w:rFonts w:ascii="宋体" w:hAnsi="宋体" w:cs="宋体"/>
                <w:sz w:val="21"/>
                <w:szCs w:val="21"/>
                <w:highlight w:val="none"/>
              </w:rPr>
            </w:pPr>
            <w:r>
              <w:rPr>
                <w:rFonts w:ascii="宋体" w:hAnsi="宋体" w:cs="宋体"/>
                <w:sz w:val="21"/>
                <w:szCs w:val="21"/>
                <w:highlight w:val="none"/>
              </w:rPr>
              <w:t>（1）</w:t>
            </w:r>
          </w:p>
        </w:tc>
        <w:tc>
          <w:tcPr>
            <w:tcW w:w="113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BF5DC56">
            <w:pPr>
              <w:pStyle w:val="34"/>
              <w:kinsoku w:val="0"/>
              <w:overflowPunct w:val="0"/>
              <w:jc w:val="center"/>
              <w:rPr>
                <w:rFonts w:ascii="宋体" w:hAnsi="宋体" w:cs="宋体"/>
                <w:sz w:val="21"/>
                <w:szCs w:val="21"/>
                <w:highlight w:val="none"/>
              </w:rPr>
            </w:pPr>
          </w:p>
          <w:p w14:paraId="74734787">
            <w:pPr>
              <w:pStyle w:val="34"/>
              <w:kinsoku w:val="0"/>
              <w:overflowPunct w:val="0"/>
              <w:jc w:val="center"/>
              <w:rPr>
                <w:rFonts w:ascii="宋体" w:hAnsi="宋体" w:cs="宋体"/>
                <w:sz w:val="21"/>
                <w:szCs w:val="21"/>
                <w:highlight w:val="none"/>
              </w:rPr>
            </w:pPr>
            <w:r>
              <w:rPr>
                <w:rFonts w:ascii="宋体" w:hAnsi="宋体" w:cs="宋体"/>
                <w:sz w:val="21"/>
                <w:szCs w:val="21"/>
                <w:highlight w:val="none"/>
              </w:rPr>
              <w:t>资信业绩评分标准</w:t>
            </w:r>
            <w:r>
              <w:rPr>
                <w:rFonts w:ascii="宋体" w:hAnsi="宋体" w:cs="宋体"/>
                <w:spacing w:val="-2"/>
                <w:sz w:val="21"/>
                <w:szCs w:val="21"/>
                <w:highlight w:val="none"/>
              </w:rPr>
              <w:t>（</w:t>
            </w:r>
            <w:r>
              <w:rPr>
                <w:rFonts w:hint="eastAsia" w:ascii="宋体" w:hAnsi="宋体" w:cs="宋体"/>
                <w:spacing w:val="-2"/>
                <w:sz w:val="21"/>
                <w:szCs w:val="21"/>
                <w:highlight w:val="none"/>
              </w:rPr>
              <w:t>50分</w:t>
            </w:r>
            <w:r>
              <w:rPr>
                <w:rFonts w:ascii="宋体" w:hAnsi="宋体" w:cs="宋体"/>
                <w:spacing w:val="-2"/>
                <w:sz w:val="21"/>
                <w:szCs w:val="21"/>
                <w:highlight w:val="none"/>
              </w:rPr>
              <w:t>）</w:t>
            </w:r>
          </w:p>
        </w:tc>
        <w:tc>
          <w:tcPr>
            <w:tcW w:w="2013" w:type="dxa"/>
            <w:tcBorders>
              <w:top w:val="single" w:color="auto" w:sz="4" w:space="0"/>
              <w:left w:val="single" w:color="auto" w:sz="4" w:space="0"/>
              <w:right w:val="single" w:color="auto" w:sz="4" w:space="0"/>
              <w:tl2br w:val="nil"/>
              <w:tr2bl w:val="nil"/>
            </w:tcBorders>
            <w:vAlign w:val="center"/>
          </w:tcPr>
          <w:p w14:paraId="654F50EE">
            <w:pPr>
              <w:tabs>
                <w:tab w:val="center" w:pos="737"/>
              </w:tabs>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类似项目业绩</w:t>
            </w:r>
          </w:p>
          <w:p w14:paraId="16A986DE">
            <w:pPr>
              <w:pStyle w:val="34"/>
              <w:kinsoku w:val="0"/>
              <w:overflowPunct w:val="0"/>
              <w:jc w:val="center"/>
              <w:rPr>
                <w:rFonts w:ascii="宋体" w:hAnsi="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tc>
        <w:tc>
          <w:tcPr>
            <w:tcW w:w="5011" w:type="dxa"/>
            <w:tcBorders>
              <w:top w:val="single" w:color="auto" w:sz="4" w:space="0"/>
              <w:left w:val="single" w:color="auto" w:sz="4" w:space="0"/>
              <w:right w:val="single" w:color="auto" w:sz="4" w:space="0"/>
              <w:tl2br w:val="nil"/>
              <w:tr2bl w:val="nil"/>
            </w:tcBorders>
            <w:vAlign w:val="center"/>
          </w:tcPr>
          <w:p w14:paraId="58D81FC7">
            <w:pPr>
              <w:pStyle w:val="34"/>
              <w:kinsoku w:val="0"/>
              <w:overflowPunct w:val="0"/>
              <w:spacing w:line="360" w:lineRule="auto"/>
              <w:rPr>
                <w:rFonts w:hint="eastAsia" w:ascii="宋体" w:hAnsi="宋体" w:cs="宋体"/>
                <w:sz w:val="21"/>
                <w:szCs w:val="21"/>
                <w:highlight w:val="none"/>
              </w:rPr>
            </w:pPr>
            <w:r>
              <w:rPr>
                <w:rFonts w:hint="eastAsia" w:ascii="宋体" w:hAnsi="宋体" w:cs="宋体"/>
                <w:sz w:val="21"/>
                <w:szCs w:val="21"/>
                <w:highlight w:val="none"/>
              </w:rPr>
              <w:t>投标人202</w:t>
            </w:r>
            <w:r>
              <w:rPr>
                <w:rFonts w:hint="default" w:ascii="宋体" w:hAnsi="宋体" w:cs="宋体"/>
                <w:sz w:val="21"/>
                <w:szCs w:val="21"/>
                <w:highlight w:val="none"/>
                <w:lang w:val="en-US" w:eastAsia="zh-CN"/>
              </w:rPr>
              <w:t>0</w:t>
            </w:r>
            <w:r>
              <w:rPr>
                <w:rFonts w:hint="eastAsia" w:ascii="宋体" w:hAnsi="宋体" w:cs="宋体"/>
                <w:sz w:val="21"/>
                <w:szCs w:val="21"/>
                <w:highlight w:val="none"/>
              </w:rPr>
              <w:t>年1月1日至今，</w:t>
            </w:r>
            <w:r>
              <w:rPr>
                <w:rFonts w:hint="eastAsia" w:ascii="宋体" w:hAnsi="宋体" w:cs="宋体"/>
                <w:sz w:val="21"/>
                <w:szCs w:val="21"/>
                <w:highlight w:val="none"/>
                <w:lang w:val="en-US" w:eastAsia="zh-CN"/>
              </w:rPr>
              <w:t>承接</w:t>
            </w:r>
            <w:r>
              <w:rPr>
                <w:rFonts w:hint="eastAsia" w:ascii="宋体" w:hAnsi="宋体" w:cs="宋体"/>
                <w:sz w:val="21"/>
                <w:szCs w:val="21"/>
                <w:highlight w:val="none"/>
              </w:rPr>
              <w:t>过工程</w:t>
            </w:r>
            <w:r>
              <w:rPr>
                <w:rFonts w:hint="eastAsia" w:ascii="宋体" w:hAnsi="宋体" w:cs="宋体"/>
                <w:sz w:val="21"/>
                <w:szCs w:val="21"/>
                <w:highlight w:val="none"/>
                <w:lang w:val="en-US" w:eastAsia="zh-CN"/>
              </w:rPr>
              <w:t>建安费投资10</w:t>
            </w:r>
            <w:r>
              <w:rPr>
                <w:rFonts w:hint="eastAsia" w:ascii="宋体" w:hAnsi="宋体" w:cs="宋体"/>
                <w:sz w:val="21"/>
                <w:szCs w:val="21"/>
                <w:highlight w:val="none"/>
              </w:rPr>
              <w:t>000万元或以上</w:t>
            </w:r>
            <w:r>
              <w:rPr>
                <w:rFonts w:hint="eastAsia" w:ascii="宋体" w:hAnsi="宋体" w:cs="宋体"/>
                <w:sz w:val="21"/>
                <w:szCs w:val="21"/>
                <w:highlight w:val="none"/>
                <w:lang w:val="en-US" w:eastAsia="zh-CN"/>
              </w:rPr>
              <w:t>的</w:t>
            </w:r>
            <w:r>
              <w:rPr>
                <w:rFonts w:hint="eastAsia" w:ascii="宋体" w:hAnsi="宋体" w:cs="宋体"/>
                <w:sz w:val="21"/>
                <w:szCs w:val="21"/>
                <w:highlight w:val="none"/>
              </w:rPr>
              <w:t>类似</w:t>
            </w:r>
            <w:r>
              <w:rPr>
                <w:rFonts w:hint="eastAsia" w:ascii="宋体" w:hAnsi="宋体" w:cs="宋体"/>
                <w:sz w:val="21"/>
                <w:szCs w:val="21"/>
                <w:highlight w:val="none"/>
                <w:lang w:val="en-US" w:eastAsia="zh-CN"/>
              </w:rPr>
              <w:t>水利</w:t>
            </w:r>
            <w:r>
              <w:rPr>
                <w:rFonts w:hint="eastAsia" w:ascii="宋体" w:hAnsi="宋体" w:cs="宋体"/>
                <w:sz w:val="21"/>
                <w:szCs w:val="21"/>
                <w:highlight w:val="none"/>
              </w:rPr>
              <w:t>工程监理项目，每项得</w:t>
            </w:r>
            <w:r>
              <w:rPr>
                <w:rFonts w:hint="eastAsia" w:ascii="宋体" w:hAnsi="宋体" w:cs="宋体"/>
                <w:sz w:val="21"/>
                <w:szCs w:val="21"/>
                <w:highlight w:val="none"/>
                <w:lang w:val="en-US" w:eastAsia="zh-CN"/>
              </w:rPr>
              <w:t>4</w:t>
            </w:r>
            <w:r>
              <w:rPr>
                <w:rFonts w:hint="eastAsia" w:ascii="宋体" w:hAnsi="宋体" w:cs="宋体"/>
                <w:sz w:val="21"/>
                <w:szCs w:val="21"/>
                <w:highlight w:val="none"/>
              </w:rPr>
              <w:t>分，最高得</w:t>
            </w:r>
            <w:r>
              <w:rPr>
                <w:rFonts w:hint="eastAsia" w:ascii="宋体" w:hAnsi="宋体" w:cs="宋体"/>
                <w:sz w:val="21"/>
                <w:szCs w:val="21"/>
                <w:highlight w:val="none"/>
                <w:lang w:val="en-US" w:eastAsia="zh-CN"/>
              </w:rPr>
              <w:t>8</w:t>
            </w:r>
            <w:r>
              <w:rPr>
                <w:rFonts w:hint="eastAsia" w:ascii="宋体" w:hAnsi="宋体" w:cs="宋体"/>
                <w:sz w:val="21"/>
                <w:szCs w:val="21"/>
                <w:highlight w:val="none"/>
              </w:rPr>
              <w:t>分。</w:t>
            </w:r>
          </w:p>
          <w:p w14:paraId="709C3D52">
            <w:pPr>
              <w:pStyle w:val="34"/>
              <w:kinsoku w:val="0"/>
              <w:overflowPunct w:val="0"/>
              <w:spacing w:line="360" w:lineRule="auto"/>
              <w:rPr>
                <w:rFonts w:ascii="宋体" w:hAnsi="宋体" w:cs="宋体"/>
                <w:sz w:val="21"/>
                <w:szCs w:val="21"/>
                <w:highlight w:val="none"/>
              </w:rPr>
            </w:pPr>
            <w:r>
              <w:rPr>
                <w:rFonts w:hint="eastAsia" w:ascii="宋体" w:hAnsi="宋体" w:cs="宋体"/>
                <w:sz w:val="21"/>
                <w:szCs w:val="21"/>
                <w:highlight w:val="none"/>
              </w:rPr>
              <w:t>注：</w:t>
            </w:r>
            <w:r>
              <w:rPr>
                <w:rFonts w:hint="eastAsia" w:ascii="宋体" w:hAnsi="宋体" w:cs="宋体"/>
                <w:sz w:val="21"/>
                <w:szCs w:val="21"/>
                <w:highlight w:val="none"/>
                <w:lang w:val="en-US" w:eastAsia="zh-CN"/>
              </w:rPr>
              <w:t>类似工程是指招标公告第3.3点所述资质方能承接的工程，</w:t>
            </w:r>
            <w:r>
              <w:rPr>
                <w:rFonts w:hint="eastAsia" w:ascii="宋体" w:hAnsi="宋体" w:cs="宋体"/>
                <w:sz w:val="21"/>
                <w:szCs w:val="21"/>
                <w:highlight w:val="none"/>
              </w:rPr>
              <w:t>须同时提供</w:t>
            </w:r>
            <w:r>
              <w:rPr>
                <w:rFonts w:hint="eastAsia" w:ascii="宋体" w:hAnsi="宋体" w:cs="宋体"/>
                <w:sz w:val="21"/>
                <w:szCs w:val="21"/>
                <w:highlight w:val="none"/>
                <w:lang w:val="en-US" w:eastAsia="zh-CN"/>
              </w:rPr>
              <w:t>①</w:t>
            </w:r>
            <w:r>
              <w:rPr>
                <w:rFonts w:hint="eastAsia" w:ascii="宋体" w:hAnsi="宋体" w:cs="宋体"/>
                <w:sz w:val="21"/>
                <w:szCs w:val="21"/>
                <w:highlight w:val="none"/>
              </w:rPr>
              <w:t>提供中标通知书（或免招标的相关证明）</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②</w:t>
            </w:r>
            <w:r>
              <w:rPr>
                <w:rFonts w:hint="eastAsia" w:ascii="宋体" w:hAnsi="宋体" w:cs="宋体"/>
                <w:sz w:val="21"/>
                <w:szCs w:val="21"/>
                <w:highlight w:val="none"/>
              </w:rPr>
              <w:t>监理合同关键页，时间和工程规模以上述材料载明为准，若上述材料未体现工程规模，还应提供</w:t>
            </w:r>
            <w:r>
              <w:rPr>
                <w:rFonts w:hint="eastAsia" w:ascii="宋体" w:hAnsi="宋体" w:cs="宋体"/>
                <w:sz w:val="21"/>
                <w:szCs w:val="21"/>
                <w:highlight w:val="none"/>
                <w:lang w:val="en-US" w:eastAsia="zh-CN"/>
              </w:rPr>
              <w:t>相关证明文件</w:t>
            </w:r>
            <w:r>
              <w:rPr>
                <w:rFonts w:hint="eastAsia" w:ascii="宋体" w:hAnsi="宋体" w:cs="宋体"/>
                <w:sz w:val="21"/>
                <w:szCs w:val="21"/>
                <w:highlight w:val="none"/>
              </w:rPr>
              <w:t>，否则不得分。</w:t>
            </w:r>
          </w:p>
        </w:tc>
      </w:tr>
      <w:tr w14:paraId="2834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7C02395">
            <w:pPr>
              <w:pStyle w:val="34"/>
              <w:kinsoku w:val="0"/>
              <w:overflowPunct w:val="0"/>
              <w:jc w:val="center"/>
              <w:rPr>
                <w:rFonts w:ascii="宋体" w:hAnsi="宋体" w:cs="宋体"/>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01CE485">
            <w:pPr>
              <w:pStyle w:val="34"/>
              <w:kinsoku w:val="0"/>
              <w:overflowPunct w:val="0"/>
              <w:jc w:val="center"/>
              <w:rPr>
                <w:rFonts w:ascii="宋体" w:hAnsi="宋体" w:cs="宋体"/>
                <w:sz w:val="21"/>
                <w:szCs w:val="21"/>
                <w:highlight w:val="none"/>
              </w:rPr>
            </w:pPr>
          </w:p>
        </w:tc>
        <w:tc>
          <w:tcPr>
            <w:tcW w:w="2013" w:type="dxa"/>
            <w:tcBorders>
              <w:top w:val="single" w:color="auto" w:sz="4" w:space="0"/>
              <w:left w:val="single" w:color="auto" w:sz="4" w:space="0"/>
              <w:right w:val="single" w:color="auto" w:sz="4" w:space="0"/>
              <w:tl2br w:val="nil"/>
              <w:tr2bl w:val="nil"/>
            </w:tcBorders>
            <w:vAlign w:val="center"/>
          </w:tcPr>
          <w:p w14:paraId="79AB8122">
            <w:pPr>
              <w:tabs>
                <w:tab w:val="center" w:pos="737"/>
              </w:tabs>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监理获奖业绩</w:t>
            </w:r>
          </w:p>
          <w:p w14:paraId="3A2BC603">
            <w:pPr>
              <w:tabs>
                <w:tab w:val="center" w:pos="737"/>
              </w:tabs>
              <w:spacing w:line="360" w:lineRule="auto"/>
              <w:jc w:val="center"/>
              <w:rPr>
                <w:rFonts w:ascii="宋体" w:hAnsi="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tc>
        <w:tc>
          <w:tcPr>
            <w:tcW w:w="5011" w:type="dxa"/>
            <w:tcBorders>
              <w:top w:val="single" w:color="auto" w:sz="4" w:space="0"/>
              <w:left w:val="single" w:color="auto" w:sz="4" w:space="0"/>
              <w:right w:val="single" w:color="auto" w:sz="4" w:space="0"/>
              <w:tl2br w:val="nil"/>
              <w:tr2bl w:val="nil"/>
            </w:tcBorders>
            <w:vAlign w:val="center"/>
          </w:tcPr>
          <w:p w14:paraId="1923FD4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投标人202</w:t>
            </w:r>
            <w:r>
              <w:rPr>
                <w:rFonts w:hint="default" w:ascii="宋体" w:hAnsi="宋体" w:cs="宋体"/>
                <w:sz w:val="21"/>
                <w:szCs w:val="21"/>
                <w:highlight w:val="none"/>
                <w:lang w:val="en-US" w:eastAsia="zh-CN"/>
              </w:rPr>
              <w:t>0</w:t>
            </w:r>
            <w:r>
              <w:rPr>
                <w:rFonts w:hint="eastAsia" w:ascii="宋体" w:hAnsi="宋体" w:eastAsia="宋体" w:cs="宋体"/>
                <w:sz w:val="21"/>
                <w:szCs w:val="21"/>
                <w:highlight w:val="none"/>
              </w:rPr>
              <w:t>年1月1日至今，监理的水利工程项目获得荣誉：</w:t>
            </w:r>
          </w:p>
          <w:p w14:paraId="274A470F">
            <w:pPr>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获得国家级奖项的，每项得</w:t>
            </w:r>
            <w:r>
              <w:rPr>
                <w:rFonts w:hint="eastAsia" w:ascii="宋体" w:hAnsi="宋体" w:cs="宋体"/>
                <w:sz w:val="21"/>
                <w:szCs w:val="21"/>
                <w:highlight w:val="none"/>
                <w:lang w:val="en-US" w:eastAsia="zh-CN"/>
              </w:rPr>
              <w:t xml:space="preserve"> 1 </w:t>
            </w:r>
            <w:r>
              <w:rPr>
                <w:rFonts w:hint="eastAsia" w:ascii="宋体" w:hAnsi="宋体" w:eastAsia="宋体" w:cs="宋体"/>
                <w:sz w:val="21"/>
                <w:szCs w:val="21"/>
                <w:highlight w:val="none"/>
              </w:rPr>
              <w:t>分；</w:t>
            </w:r>
          </w:p>
          <w:p w14:paraId="547F9F2C">
            <w:pPr>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获得省级奖项的，每项得</w:t>
            </w:r>
            <w:r>
              <w:rPr>
                <w:rFonts w:hint="eastAsia" w:ascii="宋体" w:hAnsi="宋体" w:cs="宋体"/>
                <w:sz w:val="21"/>
                <w:szCs w:val="21"/>
                <w:highlight w:val="none"/>
                <w:lang w:val="en-US" w:eastAsia="zh-CN"/>
              </w:rPr>
              <w:t xml:space="preserve"> 0.5 </w:t>
            </w:r>
            <w:r>
              <w:rPr>
                <w:rFonts w:hint="eastAsia" w:ascii="宋体" w:hAnsi="宋体" w:eastAsia="宋体" w:cs="宋体"/>
                <w:sz w:val="21"/>
                <w:szCs w:val="21"/>
                <w:highlight w:val="none"/>
              </w:rPr>
              <w:t>分；</w:t>
            </w:r>
          </w:p>
          <w:p w14:paraId="3E2C2F40">
            <w:pPr>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获得市级奖项的，每项得</w:t>
            </w:r>
            <w:r>
              <w:rPr>
                <w:rFonts w:hint="eastAsia" w:ascii="宋体" w:hAnsi="宋体" w:cs="宋体"/>
                <w:sz w:val="21"/>
                <w:szCs w:val="21"/>
                <w:highlight w:val="none"/>
                <w:lang w:val="en-US" w:eastAsia="zh-CN"/>
              </w:rPr>
              <w:t xml:space="preserve"> 0.25 </w:t>
            </w:r>
            <w:r>
              <w:rPr>
                <w:rFonts w:hint="eastAsia" w:ascii="宋体" w:hAnsi="宋体" w:eastAsia="宋体" w:cs="宋体"/>
                <w:sz w:val="21"/>
                <w:szCs w:val="21"/>
                <w:highlight w:val="none"/>
              </w:rPr>
              <w:t>分。</w:t>
            </w:r>
          </w:p>
          <w:p w14:paraId="1DA733A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本项最高得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14:paraId="468B41C6">
            <w:pPr>
              <w:pStyle w:val="34"/>
              <w:kinsoku w:val="0"/>
              <w:overflowPunct w:val="0"/>
              <w:spacing w:line="360" w:lineRule="auto"/>
              <w:rPr>
                <w:rFonts w:ascii="宋体" w:hAnsi="宋体" w:cs="宋体"/>
                <w:sz w:val="21"/>
                <w:szCs w:val="21"/>
                <w:highlight w:val="none"/>
              </w:rPr>
            </w:pPr>
            <w:r>
              <w:rPr>
                <w:rFonts w:hint="eastAsia" w:ascii="宋体" w:hAnsi="宋体" w:eastAsia="宋体" w:cs="宋体"/>
                <w:sz w:val="21"/>
                <w:szCs w:val="21"/>
                <w:highlight w:val="none"/>
              </w:rPr>
              <w:t>注：提供获奖证书复印件作为评审依据，否则不得分。如颁奖单位为协会的须提供该协会在“中国社会组织政务服务平台”登记的网页查询截图。时间以证书颁发时间为准。同一项目获多个奖项按最高获奖等级计算一次，不累计、不重复计分。</w:t>
            </w:r>
          </w:p>
        </w:tc>
      </w:tr>
      <w:tr w14:paraId="0AFC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CE27D6B">
            <w:pPr>
              <w:pStyle w:val="34"/>
              <w:kinsoku w:val="0"/>
              <w:overflowPunct w:val="0"/>
              <w:jc w:val="center"/>
              <w:rPr>
                <w:rFonts w:ascii="宋体" w:hAnsi="宋体" w:cs="宋体"/>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07768A5">
            <w:pPr>
              <w:pStyle w:val="34"/>
              <w:kinsoku w:val="0"/>
              <w:overflowPunct w:val="0"/>
              <w:jc w:val="center"/>
              <w:rPr>
                <w:rFonts w:ascii="宋体" w:hAnsi="宋体" w:cs="宋体"/>
                <w:sz w:val="21"/>
                <w:szCs w:val="21"/>
                <w:highlight w:val="none"/>
              </w:rPr>
            </w:pPr>
          </w:p>
        </w:tc>
        <w:tc>
          <w:tcPr>
            <w:tcW w:w="2013" w:type="dxa"/>
            <w:tcBorders>
              <w:top w:val="single" w:color="auto" w:sz="4" w:space="0"/>
              <w:left w:val="single" w:color="auto" w:sz="4" w:space="0"/>
              <w:right w:val="single" w:color="auto" w:sz="4" w:space="0"/>
              <w:tl2br w:val="nil"/>
              <w:tr2bl w:val="nil"/>
            </w:tcBorders>
            <w:vAlign w:val="center"/>
          </w:tcPr>
          <w:p w14:paraId="585B06D6">
            <w:pPr>
              <w:tabs>
                <w:tab w:val="center" w:pos="737"/>
              </w:tabs>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总监理工程师资历</w:t>
            </w:r>
          </w:p>
          <w:p w14:paraId="5052A271">
            <w:pPr>
              <w:tabs>
                <w:tab w:val="center" w:pos="737"/>
              </w:tabs>
              <w:spacing w:line="360" w:lineRule="auto"/>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6分</w:t>
            </w:r>
            <w:r>
              <w:rPr>
                <w:rFonts w:hint="eastAsia" w:ascii="宋体" w:hAnsi="宋体" w:cs="宋体"/>
                <w:sz w:val="21"/>
                <w:szCs w:val="21"/>
                <w:highlight w:val="none"/>
                <w:lang w:eastAsia="zh-CN"/>
              </w:rPr>
              <w:t>）</w:t>
            </w:r>
          </w:p>
        </w:tc>
        <w:tc>
          <w:tcPr>
            <w:tcW w:w="5011" w:type="dxa"/>
            <w:tcBorders>
              <w:top w:val="single" w:color="auto" w:sz="4" w:space="0"/>
              <w:left w:val="single" w:color="auto" w:sz="4" w:space="0"/>
              <w:right w:val="single" w:color="auto" w:sz="4" w:space="0"/>
              <w:tl2br w:val="nil"/>
              <w:tr2bl w:val="nil"/>
            </w:tcBorders>
            <w:vAlign w:val="center"/>
          </w:tcPr>
          <w:p w14:paraId="5B11D20B">
            <w:pPr>
              <w:pStyle w:val="34"/>
              <w:kinsoku w:val="0"/>
              <w:overflowPunct w:val="0"/>
              <w:spacing w:line="360"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1、总监理工程师自202</w:t>
            </w:r>
            <w:r>
              <w:rPr>
                <w:rFonts w:hint="default" w:ascii="宋体" w:hAnsi="宋体" w:cs="宋体"/>
                <w:sz w:val="21"/>
                <w:szCs w:val="21"/>
                <w:highlight w:val="none"/>
                <w:lang w:val="en-US" w:eastAsia="zh-CN"/>
              </w:rPr>
              <w:t>0</w:t>
            </w:r>
            <w:r>
              <w:rPr>
                <w:rFonts w:hint="eastAsia" w:ascii="宋体" w:hAnsi="宋体" w:cs="宋体"/>
                <w:sz w:val="21"/>
                <w:szCs w:val="21"/>
                <w:highlight w:val="none"/>
                <w:lang w:val="en-US" w:eastAsia="zh-CN"/>
              </w:rPr>
              <w:t>年1月1日至投标截止日止，以总监理工程师身份监理过大型水利水电工程监理项目的得3分；其他不得分。</w:t>
            </w:r>
          </w:p>
          <w:p w14:paraId="185369CF">
            <w:pPr>
              <w:pStyle w:val="34"/>
              <w:kinsoku w:val="0"/>
              <w:overflowPunct w:val="0"/>
              <w:spacing w:line="360" w:lineRule="auto"/>
              <w:rPr>
                <w:rFonts w:hint="eastAsia"/>
                <w:highlight w:val="none"/>
                <w:lang w:val="en-US" w:eastAsia="zh-CN"/>
              </w:rPr>
            </w:pPr>
            <w:r>
              <w:rPr>
                <w:rFonts w:hint="eastAsia" w:ascii="宋体" w:hAnsi="宋体" w:cs="宋体"/>
                <w:sz w:val="21"/>
                <w:szCs w:val="21"/>
                <w:highlight w:val="none"/>
                <w:lang w:val="en-US" w:eastAsia="zh-CN"/>
              </w:rPr>
              <w:t>注：需提供①中标通知书，②监理合同，③工程验收鉴定书（或合同工程完工验收鉴定书或工程竣工验收证明）（须由验收委员会成员签字确认）。工程规模以上述材料载明为准，若上述材料未体现工程规模，还应提供业主证明或相关批复文件，否则不得分；业绩时间以工程验收鉴定书（或合同工程完工验收鉴定书或工程竣工验收证明）为准。</w:t>
            </w:r>
          </w:p>
          <w:p w14:paraId="10EB53BF">
            <w:pPr>
              <w:pStyle w:val="34"/>
              <w:kinsoku w:val="0"/>
              <w:overflowPunct w:val="0"/>
              <w:spacing w:line="360"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2、总监理工程师自2020年1月1日至投标截止日止，以总监理工程师身份监理过的水利水电工程项目，获得省、自治区、直辖市级及以上质量类奖项的，每项得3分，最多得3分。</w:t>
            </w:r>
          </w:p>
          <w:p w14:paraId="01EEF03C">
            <w:pPr>
              <w:pStyle w:val="34"/>
              <w:kinsoku w:val="0"/>
              <w:overflowPunct w:val="0"/>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注：需提供①获奖证书及获奖查询网页截图，②中标通知书，③监理合同，④工程验收鉴定书（或合同工程完工验收鉴定书或工程竣工验收证明）。时间以获奖证书颁发时间为准。</w:t>
            </w:r>
            <w:r>
              <w:rPr>
                <w:rFonts w:hint="eastAsia" w:ascii="宋体" w:hAnsi="宋体" w:eastAsia="宋体" w:cs="宋体"/>
                <w:sz w:val="21"/>
                <w:szCs w:val="21"/>
                <w:highlight w:val="none"/>
              </w:rPr>
              <w:t>如颁奖单位为协会的须提供该协会在“中国社会组织政务服务平台”登记的网页查询截图。</w:t>
            </w:r>
          </w:p>
          <w:p w14:paraId="7D866D2F">
            <w:pPr>
              <w:pStyle w:val="34"/>
              <w:kinsoku w:val="0"/>
              <w:overflowPunct w:val="0"/>
              <w:spacing w:line="360" w:lineRule="auto"/>
              <w:rPr>
                <w:rFonts w:hint="eastAsia" w:ascii="宋体" w:hAnsi="宋体" w:eastAsia="宋体" w:cs="宋体"/>
                <w:sz w:val="21"/>
                <w:szCs w:val="21"/>
                <w:highlight w:val="none"/>
              </w:rPr>
            </w:pPr>
            <w:r>
              <w:rPr>
                <w:rFonts w:hint="eastAsia" w:ascii="宋体" w:hAnsi="宋体" w:cs="宋体"/>
                <w:b w:val="0"/>
                <w:sz w:val="21"/>
                <w:szCs w:val="21"/>
                <w:highlight w:val="none"/>
              </w:rPr>
              <w:drawing>
                <wp:anchor distT="0" distB="0" distL="114300" distR="114300" simplePos="0" relativeHeight="251672576" behindDoc="0" locked="0" layoutInCell="1" allowOverlap="1">
                  <wp:simplePos x="0" y="0"/>
                  <wp:positionH relativeFrom="column">
                    <wp:posOffset>861695</wp:posOffset>
                  </wp:positionH>
                  <wp:positionV relativeFrom="paragraph">
                    <wp:posOffset>-4451350</wp:posOffset>
                  </wp:positionV>
                  <wp:extent cx="571500" cy="525780"/>
                  <wp:effectExtent l="0" t="0" r="0" b="6985"/>
                  <wp:wrapNone/>
                  <wp:docPr id="15" name="图片 3" descr="法人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法人章"/>
                          <pic:cNvPicPr>
                            <a:picLocks noChangeAspect="1"/>
                          </pic:cNvPicPr>
                        </pic:nvPicPr>
                        <pic:blipFill>
                          <a:blip r:embed="rId24">
                            <a:clrChange>
                              <a:clrFrom>
                                <a:srgbClr val="FDFDFD"/>
                              </a:clrFrom>
                              <a:clrTo>
                                <a:srgbClr val="FDFDFD">
                                  <a:alpha val="0"/>
                                </a:srgbClr>
                              </a:clrTo>
                            </a:clrChange>
                          </a:blip>
                          <a:stretch>
                            <a:fillRect/>
                          </a:stretch>
                        </pic:blipFill>
                        <pic:spPr>
                          <a:xfrm>
                            <a:off x="0" y="0"/>
                            <a:ext cx="571500" cy="525780"/>
                          </a:xfrm>
                          <a:prstGeom prst="rect">
                            <a:avLst/>
                          </a:prstGeom>
                          <a:noFill/>
                          <a:ln>
                            <a:noFill/>
                          </a:ln>
                        </pic:spPr>
                      </pic:pic>
                    </a:graphicData>
                  </a:graphic>
                </wp:anchor>
              </w:drawing>
            </w:r>
            <w:r>
              <w:rPr>
                <w:rFonts w:hint="eastAsia" w:ascii="宋体" w:hAnsi="宋体" w:cs="宋体"/>
                <w:b w:val="0"/>
                <w:sz w:val="21"/>
                <w:szCs w:val="21"/>
                <w:highlight w:val="none"/>
                <w:lang w:val="en-US" w:eastAsia="zh-CN"/>
              </w:rPr>
              <w:t>本</w:t>
            </w:r>
            <w:r>
              <w:rPr>
                <w:rFonts w:hint="eastAsia" w:ascii="宋体" w:hAnsi="宋体" w:cs="宋体"/>
                <w:sz w:val="21"/>
                <w:szCs w:val="21"/>
                <w:highlight w:val="none"/>
                <w:lang w:val="en-US" w:eastAsia="zh-CN"/>
              </w:rPr>
              <w:t>项最高得6分。</w:t>
            </w:r>
          </w:p>
        </w:tc>
      </w:tr>
      <w:tr w14:paraId="34C4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14:paraId="1AE2B2D6">
            <w:pPr>
              <w:pStyle w:val="34"/>
              <w:kinsoku w:val="0"/>
              <w:overflowPunct w:val="0"/>
              <w:jc w:val="center"/>
              <w:rPr>
                <w:rFonts w:ascii="宋体" w:hAnsi="宋体" w:cs="宋体"/>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top"/>
          </w:tcPr>
          <w:p w14:paraId="52A22B93">
            <w:pPr>
              <w:pStyle w:val="34"/>
              <w:kinsoku w:val="0"/>
              <w:overflowPunct w:val="0"/>
              <w:jc w:val="center"/>
              <w:rPr>
                <w:rFonts w:ascii="宋体" w:hAnsi="宋体" w:cs="宋体"/>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280462EA">
            <w:pPr>
              <w:tabs>
                <w:tab w:val="center" w:pos="737"/>
              </w:tabs>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监理人员的配备</w:t>
            </w:r>
          </w:p>
          <w:p w14:paraId="55617037">
            <w:pPr>
              <w:tabs>
                <w:tab w:val="center" w:pos="737"/>
              </w:tabs>
              <w:spacing w:line="360" w:lineRule="auto"/>
              <w:jc w:val="center"/>
              <w:rPr>
                <w:rFonts w:ascii="宋体" w:hAnsi="宋体" w:cs="宋体"/>
                <w:sz w:val="21"/>
                <w:szCs w:val="21"/>
                <w:highlight w:val="none"/>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63A527A3">
            <w:pPr>
              <w:pStyle w:val="34"/>
              <w:kinsoku w:val="0"/>
              <w:overflowPunct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满足本项目专业监理人员（除总监外）要求：</w:t>
            </w:r>
          </w:p>
          <w:p w14:paraId="709B9AD1">
            <w:pPr>
              <w:pStyle w:val="34"/>
              <w:kinsoku w:val="0"/>
              <w:overflowPunct w:val="0"/>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水工工程师1人（</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分）：具有中华人民共和国监理工程师注册证书（专业：水利工程施工监理）的得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分；具有水利类专业高级工程师（或以上）职称证书得1分；</w:t>
            </w:r>
          </w:p>
          <w:p w14:paraId="462D2842">
            <w:pPr>
              <w:pStyle w:val="34"/>
              <w:kinsoku w:val="0"/>
              <w:overflowPunct w:val="0"/>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水保工程师1人（</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分）：具有中华人民共和国监理工程师注册证书（专业：水土保持工程施工监理）的得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分；具有水利类专业高级工程师（或以上）职称证书的得1分；</w:t>
            </w:r>
          </w:p>
          <w:p w14:paraId="7F4D2C73">
            <w:pPr>
              <w:pStyle w:val="34"/>
              <w:kinsoku w:val="0"/>
              <w:overflowPunct w:val="0"/>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环保工程师1人</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4分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：具有中华人民共和国监理工程师注册证书（专业：水利工程建设环境保护监理）得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分；具有</w:t>
            </w:r>
            <w:r>
              <w:rPr>
                <w:rFonts w:hint="eastAsia" w:ascii="宋体" w:hAnsi="宋体" w:cs="宋体"/>
                <w:sz w:val="21"/>
                <w:szCs w:val="21"/>
                <w:highlight w:val="none"/>
                <w:lang w:val="en-US" w:eastAsia="zh-CN"/>
              </w:rPr>
              <w:t>工程</w:t>
            </w:r>
            <w:r>
              <w:rPr>
                <w:rFonts w:hint="eastAsia" w:ascii="宋体" w:hAnsi="宋体" w:eastAsia="宋体" w:cs="宋体"/>
                <w:sz w:val="21"/>
                <w:szCs w:val="21"/>
                <w:highlight w:val="none"/>
              </w:rPr>
              <w:t>类专业高级工程师（或以上）职称证书的得1分；</w:t>
            </w:r>
          </w:p>
          <w:p w14:paraId="3CA09B7D">
            <w:pPr>
              <w:pStyle w:val="34"/>
              <w:kinsoku w:val="0"/>
              <w:overflowPunct w:val="0"/>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金属结构设备制造监理工程师1人（</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分）：具中华人民共和国监理工程师注册证书（专业：机电及金属结构设备制造）的得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分；具有</w:t>
            </w:r>
            <w:r>
              <w:rPr>
                <w:rFonts w:hint="eastAsia" w:ascii="宋体" w:hAnsi="宋体" w:cs="宋体"/>
                <w:sz w:val="21"/>
                <w:szCs w:val="21"/>
                <w:highlight w:val="none"/>
                <w:lang w:val="en-US" w:eastAsia="zh-CN"/>
              </w:rPr>
              <w:t>工程</w:t>
            </w:r>
            <w:r>
              <w:rPr>
                <w:rFonts w:hint="eastAsia" w:ascii="宋体" w:hAnsi="宋体" w:eastAsia="宋体" w:cs="宋体"/>
                <w:sz w:val="21"/>
                <w:szCs w:val="21"/>
                <w:highlight w:val="none"/>
              </w:rPr>
              <w:t>类专业高级工程师（或以上）职称证书的得1分；</w:t>
            </w:r>
          </w:p>
          <w:p w14:paraId="0869936F">
            <w:pPr>
              <w:pStyle w:val="34"/>
              <w:kinsoku w:val="0"/>
              <w:overflowPunct w:val="0"/>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造价工程师1人（</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分）：具有一级注册造价工程师证书（专业：水利工程及土建）的得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分；具有</w:t>
            </w:r>
            <w:r>
              <w:rPr>
                <w:rFonts w:hint="eastAsia" w:ascii="宋体" w:hAnsi="宋体" w:cs="宋体"/>
                <w:sz w:val="21"/>
                <w:szCs w:val="21"/>
                <w:highlight w:val="none"/>
                <w:lang w:val="en-US" w:eastAsia="zh-CN"/>
              </w:rPr>
              <w:t>工程</w:t>
            </w:r>
            <w:r>
              <w:rPr>
                <w:rFonts w:hint="eastAsia" w:ascii="宋体" w:hAnsi="宋体" w:eastAsia="宋体" w:cs="宋体"/>
                <w:sz w:val="21"/>
                <w:szCs w:val="21"/>
                <w:highlight w:val="none"/>
              </w:rPr>
              <w:t>类专业高级工程师（或以上）职称证书的得1分；</w:t>
            </w:r>
          </w:p>
          <w:p w14:paraId="70D28569">
            <w:pPr>
              <w:pStyle w:val="34"/>
              <w:kinsoku w:val="0"/>
              <w:overflowPunct w:val="0"/>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地质工程师1人（</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分）：具有注册土木工程师(岩土)证书得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分；具有</w:t>
            </w:r>
            <w:r>
              <w:rPr>
                <w:rFonts w:hint="eastAsia" w:ascii="宋体" w:hAnsi="宋体" w:cs="宋体"/>
                <w:sz w:val="21"/>
                <w:szCs w:val="21"/>
                <w:highlight w:val="none"/>
                <w:lang w:val="en-US" w:eastAsia="zh-CN"/>
              </w:rPr>
              <w:t>工程</w:t>
            </w:r>
            <w:r>
              <w:rPr>
                <w:rFonts w:hint="eastAsia" w:ascii="宋体" w:hAnsi="宋体" w:eastAsia="宋体" w:cs="宋体"/>
                <w:sz w:val="21"/>
                <w:szCs w:val="21"/>
                <w:highlight w:val="none"/>
              </w:rPr>
              <w:t>类专业高级工程师（或以上）职称证书的得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p>
          <w:p w14:paraId="48720CF4">
            <w:pPr>
              <w:pStyle w:val="34"/>
              <w:kinsoku w:val="0"/>
              <w:overflowPunct w:val="0"/>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安全工程师1人（</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分）：具有注册安全工程师证书的得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分；具有</w:t>
            </w:r>
            <w:r>
              <w:rPr>
                <w:rFonts w:hint="eastAsia" w:ascii="宋体" w:hAnsi="宋体" w:cs="宋体"/>
                <w:sz w:val="21"/>
                <w:szCs w:val="21"/>
                <w:highlight w:val="none"/>
                <w:lang w:val="en-US" w:eastAsia="zh-CN"/>
              </w:rPr>
              <w:t>工程类</w:t>
            </w:r>
            <w:r>
              <w:rPr>
                <w:rFonts w:hint="eastAsia" w:ascii="宋体" w:hAnsi="宋体" w:eastAsia="宋体" w:cs="宋体"/>
                <w:sz w:val="21"/>
                <w:szCs w:val="21"/>
                <w:highlight w:val="none"/>
              </w:rPr>
              <w:t>专业高级工程师（或以上）职称证书的得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p>
          <w:p w14:paraId="56F60E42">
            <w:pPr>
              <w:pStyle w:val="34"/>
              <w:kinsoku w:val="0"/>
              <w:overflowPunct w:val="0"/>
              <w:spacing w:line="360" w:lineRule="auto"/>
              <w:rPr>
                <w:rFonts w:ascii="宋体" w:hAnsi="宋体" w:cs="宋体"/>
                <w:sz w:val="21"/>
                <w:szCs w:val="21"/>
                <w:highlight w:val="none"/>
              </w:rPr>
            </w:pPr>
            <w:r>
              <w:rPr>
                <w:rFonts w:hint="eastAsia" w:ascii="宋体" w:hAnsi="宋体" w:eastAsia="宋体" w:cs="宋体"/>
                <w:sz w:val="21"/>
                <w:szCs w:val="21"/>
                <w:highlight w:val="none"/>
              </w:rPr>
              <w:t>注：以上人员全部满足得2</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分。以上岗位不得兼任，一人一岗。</w:t>
            </w:r>
            <w:r>
              <w:rPr>
                <w:rFonts w:hint="eastAsia" w:ascii="宋体" w:hAnsi="宋体" w:cs="宋体"/>
                <w:sz w:val="21"/>
                <w:szCs w:val="21"/>
                <w:highlight w:val="none"/>
              </w:rPr>
              <w:t>按照《造价工程师职业资格制度规定》的规定，根据原人事部、原建设部发布的《造价工程师执业资格制度暂行规定》（人发〔1996〕77号）取得的造价工程师执业资格，并经注册且在有效期内的，等同于一级注册造价工程师。</w:t>
            </w:r>
            <w:r>
              <w:rPr>
                <w:rFonts w:hint="eastAsia" w:ascii="宋体" w:hAnsi="宋体" w:eastAsia="宋体" w:cs="宋体"/>
                <w:sz w:val="21"/>
                <w:szCs w:val="21"/>
                <w:highlight w:val="none"/>
              </w:rPr>
              <w:t>附人员相关证书复印件和具有离投标截止时间最近的至少1个月</w:t>
            </w:r>
            <w:r>
              <w:rPr>
                <w:rFonts w:hint="eastAsia" w:ascii="宋体" w:hAnsi="宋体" w:eastAsia="宋体" w:cs="宋体"/>
                <w:color w:val="000000" w:themeColor="text1"/>
                <w:sz w:val="21"/>
                <w:szCs w:val="21"/>
                <w:highlight w:val="none"/>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sz w:val="21"/>
                <w:szCs w:val="21"/>
                <w:highlight w:val="none"/>
              </w:rPr>
              <w:t>在本单位缴纳的社保证明文件（已退休人员提供退休证），不提供不得分。</w:t>
            </w:r>
          </w:p>
        </w:tc>
      </w:tr>
      <w:tr w14:paraId="5BE4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31"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6AE06655">
            <w:pPr>
              <w:pStyle w:val="34"/>
              <w:kinsoku w:val="0"/>
              <w:overflowPunct w:val="0"/>
              <w:jc w:val="center"/>
              <w:rPr>
                <w:rFonts w:ascii="宋体" w:hAnsi="宋体" w:cs="宋体"/>
                <w:sz w:val="21"/>
                <w:szCs w:val="21"/>
                <w:highlight w:val="none"/>
              </w:rPr>
            </w:pPr>
            <w:r>
              <w:rPr>
                <w:rFonts w:ascii="宋体" w:hAnsi="宋体" w:cs="宋体"/>
                <w:sz w:val="21"/>
                <w:szCs w:val="21"/>
                <w:highlight w:val="none"/>
              </w:rPr>
              <w:t>2.2.4</w:t>
            </w:r>
          </w:p>
          <w:p w14:paraId="16170631">
            <w:pPr>
              <w:pStyle w:val="34"/>
              <w:kinsoku w:val="0"/>
              <w:overflowPunct w:val="0"/>
              <w:jc w:val="center"/>
              <w:rPr>
                <w:rFonts w:ascii="宋体" w:hAnsi="宋体" w:cs="宋体"/>
                <w:b/>
                <w:sz w:val="21"/>
                <w:szCs w:val="21"/>
                <w:highlight w:val="none"/>
              </w:rPr>
            </w:pPr>
            <w:r>
              <w:rPr>
                <w:rFonts w:ascii="宋体" w:hAnsi="宋体" w:cs="宋体"/>
                <w:sz w:val="21"/>
                <w:szCs w:val="21"/>
                <w:highlight w:val="none"/>
              </w:rPr>
              <w:t>（</w:t>
            </w:r>
            <w:r>
              <w:rPr>
                <w:rFonts w:hint="eastAsia" w:ascii="宋体" w:hAnsi="宋体" w:cs="宋体"/>
                <w:sz w:val="21"/>
                <w:szCs w:val="21"/>
                <w:highlight w:val="none"/>
              </w:rPr>
              <w:t>2</w:t>
            </w:r>
            <w:r>
              <w:rPr>
                <w:rFonts w:ascii="宋体" w:hAnsi="宋体" w:cs="宋体"/>
                <w:sz w:val="21"/>
                <w:szCs w:val="21"/>
                <w:highlight w:val="none"/>
              </w:rPr>
              <w:t>）</w:t>
            </w:r>
          </w:p>
        </w:tc>
        <w:tc>
          <w:tcPr>
            <w:tcW w:w="113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C50BBD4">
            <w:pPr>
              <w:pStyle w:val="34"/>
              <w:kinsoku w:val="0"/>
              <w:overflowPunct w:val="0"/>
              <w:jc w:val="center"/>
              <w:rPr>
                <w:rFonts w:ascii="宋体" w:hAnsi="宋体" w:cs="宋体"/>
                <w:sz w:val="21"/>
                <w:szCs w:val="21"/>
                <w:highlight w:val="none"/>
              </w:rPr>
            </w:pPr>
            <w:r>
              <w:rPr>
                <w:rFonts w:ascii="宋体" w:hAnsi="宋体" w:cs="宋体"/>
                <w:sz w:val="21"/>
                <w:szCs w:val="21"/>
                <w:highlight w:val="none"/>
              </w:rPr>
              <w:t>监理大纲评分标准</w:t>
            </w:r>
            <w:r>
              <w:rPr>
                <w:rFonts w:hint="eastAsia" w:ascii="宋体" w:hAnsi="宋体" w:cs="宋体"/>
                <w:sz w:val="21"/>
                <w:szCs w:val="21"/>
                <w:highlight w:val="none"/>
              </w:rPr>
              <w:t>（30分）</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66C56382">
            <w:pPr>
              <w:tabs>
                <w:tab w:val="center" w:pos="737"/>
              </w:tabs>
              <w:spacing w:line="360" w:lineRule="auto"/>
              <w:jc w:val="center"/>
              <w:rPr>
                <w:rFonts w:ascii="宋体" w:hAnsi="宋体" w:cs="宋体"/>
                <w:sz w:val="21"/>
                <w:szCs w:val="21"/>
                <w:highlight w:val="none"/>
              </w:rPr>
            </w:pPr>
            <w:r>
              <w:rPr>
                <w:rFonts w:hint="eastAsia" w:ascii="宋体" w:hAnsi="宋体" w:eastAsia="宋体" w:cs="宋体"/>
                <w:sz w:val="21"/>
                <w:szCs w:val="21"/>
                <w:highlight w:val="none"/>
              </w:rPr>
              <w:t>监理范围、监理内容（1分）</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28B9DB84">
            <w:pPr>
              <w:tabs>
                <w:tab w:val="center" w:pos="737"/>
              </w:tabs>
              <w:spacing w:line="360" w:lineRule="auto"/>
              <w:rPr>
                <w:rFonts w:ascii="宋体" w:hAnsi="宋体" w:cs="宋体"/>
                <w:sz w:val="21"/>
                <w:szCs w:val="21"/>
                <w:highlight w:val="none"/>
              </w:rPr>
            </w:pPr>
            <w:r>
              <w:rPr>
                <w:rFonts w:hint="eastAsia" w:ascii="宋体" w:hAnsi="宋体" w:eastAsia="宋体" w:cs="宋体"/>
                <w:sz w:val="21"/>
                <w:szCs w:val="21"/>
                <w:highlight w:val="none"/>
              </w:rPr>
              <w:t>对监理工作范围内容明确，描述清晰。优得1分；良得0.7分；一般得0.3分；差得0分。</w:t>
            </w:r>
          </w:p>
        </w:tc>
      </w:tr>
      <w:tr w14:paraId="1EA9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BEB6EF9">
            <w:pPr>
              <w:pStyle w:val="34"/>
              <w:kinsoku w:val="0"/>
              <w:overflowPunct w:val="0"/>
              <w:spacing w:before="41"/>
              <w:jc w:val="center"/>
              <w:rPr>
                <w:rFonts w:ascii="宋体" w:hAnsi="宋体" w:cs="宋体"/>
                <w:b/>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3D09258">
            <w:pPr>
              <w:pStyle w:val="34"/>
              <w:kinsoku w:val="0"/>
              <w:overflowPunct w:val="0"/>
              <w:spacing w:before="41"/>
              <w:jc w:val="center"/>
              <w:rPr>
                <w:rFonts w:ascii="宋体" w:hAnsi="宋体" w:cs="宋体"/>
                <w:b/>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74148159">
            <w:pPr>
              <w:tabs>
                <w:tab w:val="center" w:pos="737"/>
              </w:tabs>
              <w:spacing w:line="360" w:lineRule="auto"/>
              <w:jc w:val="center"/>
              <w:rPr>
                <w:rFonts w:ascii="宋体" w:hAnsi="宋体" w:cs="宋体"/>
                <w:sz w:val="21"/>
                <w:szCs w:val="21"/>
                <w:highlight w:val="none"/>
              </w:rPr>
            </w:pPr>
            <w:r>
              <w:rPr>
                <w:rFonts w:hint="eastAsia" w:ascii="宋体" w:hAnsi="宋体" w:eastAsia="宋体" w:cs="宋体"/>
                <w:sz w:val="21"/>
                <w:szCs w:val="21"/>
                <w:highlight w:val="none"/>
              </w:rPr>
              <w:t>监理依据、监理工作目标(1分)</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7D9A113E">
            <w:pPr>
              <w:tabs>
                <w:tab w:val="center" w:pos="737"/>
              </w:tabs>
              <w:spacing w:line="360" w:lineRule="auto"/>
              <w:rPr>
                <w:rFonts w:ascii="宋体" w:hAnsi="宋体" w:cs="宋体"/>
                <w:sz w:val="21"/>
                <w:szCs w:val="21"/>
                <w:highlight w:val="none"/>
              </w:rPr>
            </w:pPr>
            <w:r>
              <w:rPr>
                <w:rFonts w:hint="eastAsia" w:ascii="宋体" w:hAnsi="宋体" w:eastAsia="宋体" w:cs="宋体"/>
                <w:sz w:val="21"/>
                <w:szCs w:val="21"/>
                <w:highlight w:val="none"/>
              </w:rPr>
              <w:t>要求依据充分，目标明确。优得1分；良得0.7分；一般得0.3分；差得0分。</w:t>
            </w:r>
          </w:p>
        </w:tc>
      </w:tr>
      <w:tr w14:paraId="6205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6640B7F">
            <w:pPr>
              <w:pStyle w:val="34"/>
              <w:kinsoku w:val="0"/>
              <w:overflowPunct w:val="0"/>
              <w:spacing w:before="41"/>
              <w:jc w:val="center"/>
              <w:rPr>
                <w:rFonts w:ascii="宋体" w:hAnsi="宋体" w:cs="宋体"/>
                <w:b/>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29FC683">
            <w:pPr>
              <w:pStyle w:val="34"/>
              <w:kinsoku w:val="0"/>
              <w:overflowPunct w:val="0"/>
              <w:spacing w:before="41"/>
              <w:jc w:val="center"/>
              <w:rPr>
                <w:rFonts w:ascii="宋体" w:hAnsi="宋体" w:cs="宋体"/>
                <w:b/>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4F718089">
            <w:pPr>
              <w:tabs>
                <w:tab w:val="center" w:pos="737"/>
              </w:tabs>
              <w:spacing w:line="360" w:lineRule="auto"/>
              <w:jc w:val="center"/>
              <w:rPr>
                <w:rFonts w:ascii="宋体" w:hAnsi="宋体" w:cs="宋体"/>
                <w:sz w:val="21"/>
                <w:szCs w:val="21"/>
                <w:highlight w:val="none"/>
              </w:rPr>
            </w:pPr>
            <w:r>
              <w:rPr>
                <w:rFonts w:hint="eastAsia" w:ascii="宋体" w:hAnsi="宋体" w:eastAsia="宋体" w:cs="宋体"/>
                <w:sz w:val="21"/>
                <w:szCs w:val="21"/>
                <w:highlight w:val="none"/>
              </w:rPr>
              <w:t>监理机构（框图）设置和岗位职责(1分)</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6F58CC18">
            <w:pPr>
              <w:tabs>
                <w:tab w:val="center" w:pos="737"/>
              </w:tabs>
              <w:spacing w:line="360" w:lineRule="auto"/>
              <w:rPr>
                <w:rFonts w:ascii="宋体" w:hAnsi="宋体" w:cs="宋体"/>
                <w:sz w:val="21"/>
                <w:szCs w:val="21"/>
                <w:highlight w:val="none"/>
              </w:rPr>
            </w:pPr>
            <w:r>
              <w:rPr>
                <w:rFonts w:hint="eastAsia" w:ascii="宋体" w:hAnsi="宋体" w:eastAsia="宋体" w:cs="宋体"/>
                <w:sz w:val="21"/>
                <w:szCs w:val="21"/>
                <w:highlight w:val="none"/>
              </w:rPr>
              <w:t>机构设置合理，岗位职责分工明确合理。优得1分；良得0.7分；一般得0.3分；差得0分。</w:t>
            </w:r>
          </w:p>
        </w:tc>
      </w:tr>
      <w:tr w14:paraId="3BAC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AA9143F">
            <w:pPr>
              <w:pStyle w:val="34"/>
              <w:kinsoku w:val="0"/>
              <w:overflowPunct w:val="0"/>
              <w:spacing w:before="41"/>
              <w:jc w:val="center"/>
              <w:rPr>
                <w:rFonts w:ascii="宋体" w:hAnsi="宋体" w:cs="宋体"/>
                <w:b/>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31AD7EA">
            <w:pPr>
              <w:pStyle w:val="34"/>
              <w:kinsoku w:val="0"/>
              <w:overflowPunct w:val="0"/>
              <w:spacing w:before="41"/>
              <w:jc w:val="center"/>
              <w:rPr>
                <w:rFonts w:ascii="宋体" w:hAnsi="宋体" w:cs="宋体"/>
                <w:b/>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665A1902">
            <w:pPr>
              <w:tabs>
                <w:tab w:val="center" w:pos="737"/>
              </w:tabs>
              <w:spacing w:line="360" w:lineRule="auto"/>
              <w:jc w:val="center"/>
              <w:rPr>
                <w:rFonts w:ascii="宋体" w:hAnsi="宋体" w:cs="宋体"/>
                <w:sz w:val="21"/>
                <w:szCs w:val="21"/>
                <w:highlight w:val="none"/>
              </w:rPr>
            </w:pPr>
            <w:r>
              <w:rPr>
                <w:rFonts w:hint="eastAsia" w:ascii="宋体" w:hAnsi="宋体" w:eastAsia="宋体" w:cs="宋体"/>
                <w:sz w:val="21"/>
                <w:szCs w:val="21"/>
                <w:highlight w:val="none"/>
              </w:rPr>
              <w:t>监理工作程序、方法和制度（2分）</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79B890AB">
            <w:pPr>
              <w:pStyle w:val="34"/>
              <w:tabs>
                <w:tab w:val="center" w:pos="737"/>
              </w:tabs>
              <w:kinsoku w:val="0"/>
              <w:overflowPunct w:val="0"/>
              <w:spacing w:line="360" w:lineRule="auto"/>
              <w:rPr>
                <w:rFonts w:ascii="宋体" w:hAnsi="宋体" w:cs="宋体"/>
                <w:sz w:val="21"/>
                <w:szCs w:val="21"/>
                <w:highlight w:val="none"/>
              </w:rPr>
            </w:pPr>
            <w:r>
              <w:rPr>
                <w:rFonts w:hint="eastAsia" w:ascii="宋体" w:hAnsi="宋体" w:eastAsia="宋体" w:cs="宋体"/>
                <w:sz w:val="21"/>
                <w:szCs w:val="21"/>
                <w:highlight w:val="none"/>
              </w:rPr>
              <w:t>有清晰的工作流程图、工作准则、方法合理、制度健全。优得2分；良得1.5分；一般得1分；差得0分。</w:t>
            </w:r>
          </w:p>
        </w:tc>
      </w:tr>
      <w:tr w14:paraId="33A6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FBB7D19">
            <w:pPr>
              <w:pStyle w:val="34"/>
              <w:kinsoku w:val="0"/>
              <w:overflowPunct w:val="0"/>
              <w:spacing w:before="41"/>
              <w:jc w:val="center"/>
              <w:rPr>
                <w:rFonts w:ascii="宋体" w:hAnsi="宋体" w:cs="宋体"/>
                <w:b/>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9C529E4">
            <w:pPr>
              <w:pStyle w:val="34"/>
              <w:kinsoku w:val="0"/>
              <w:overflowPunct w:val="0"/>
              <w:spacing w:before="41"/>
              <w:jc w:val="center"/>
              <w:rPr>
                <w:rFonts w:ascii="宋体" w:hAnsi="宋体" w:cs="宋体"/>
                <w:b/>
                <w:sz w:val="21"/>
                <w:szCs w:val="21"/>
                <w:highlight w:val="none"/>
              </w:rPr>
            </w:pPr>
          </w:p>
        </w:tc>
        <w:tc>
          <w:tcPr>
            <w:tcW w:w="2013" w:type="dxa"/>
            <w:vMerge w:val="restart"/>
            <w:tcBorders>
              <w:top w:val="single" w:color="auto" w:sz="4" w:space="0"/>
              <w:left w:val="single" w:color="auto" w:sz="4" w:space="0"/>
              <w:right w:val="single" w:color="auto" w:sz="4" w:space="0"/>
              <w:tl2br w:val="nil"/>
              <w:tr2bl w:val="nil"/>
            </w:tcBorders>
            <w:vAlign w:val="center"/>
          </w:tcPr>
          <w:p w14:paraId="4B41F313">
            <w:pPr>
              <w:tabs>
                <w:tab w:val="center" w:pos="737"/>
              </w:tabs>
              <w:spacing w:line="360" w:lineRule="auto"/>
              <w:jc w:val="center"/>
              <w:rPr>
                <w:rFonts w:ascii="宋体" w:hAnsi="宋体" w:cs="宋体"/>
                <w:sz w:val="21"/>
                <w:szCs w:val="21"/>
                <w:highlight w:val="none"/>
              </w:rPr>
            </w:pPr>
            <w:r>
              <w:rPr>
                <w:rFonts w:hint="eastAsia" w:ascii="宋体" w:hAnsi="宋体" w:eastAsia="宋体" w:cs="宋体"/>
                <w:sz w:val="21"/>
                <w:szCs w:val="21"/>
                <w:highlight w:val="none"/>
              </w:rPr>
              <w:t>质量、进度、投资、安全、环保监理措施（16分）</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7F86476C">
            <w:pPr>
              <w:tabs>
                <w:tab w:val="center" w:pos="737"/>
              </w:tabs>
              <w:spacing w:line="360" w:lineRule="auto"/>
              <w:rPr>
                <w:rFonts w:ascii="宋体" w:hAnsi="宋体" w:cs="宋体"/>
                <w:sz w:val="21"/>
                <w:szCs w:val="21"/>
                <w:highlight w:val="none"/>
              </w:rPr>
            </w:pPr>
            <w:r>
              <w:rPr>
                <w:rFonts w:hint="eastAsia" w:ascii="宋体" w:hAnsi="宋体" w:eastAsia="宋体" w:cs="宋体"/>
                <w:sz w:val="21"/>
                <w:szCs w:val="21"/>
                <w:highlight w:val="none"/>
              </w:rPr>
              <w:t>质量监理措施（4分）：要求目标明确、方法合理可行、措施具体、针对性强。优得4分；良得3分；一般得2分；差得0分。</w:t>
            </w:r>
          </w:p>
        </w:tc>
      </w:tr>
      <w:tr w14:paraId="3399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EA8B809">
            <w:pPr>
              <w:pStyle w:val="34"/>
              <w:kinsoku w:val="0"/>
              <w:overflowPunct w:val="0"/>
              <w:spacing w:before="41"/>
              <w:jc w:val="center"/>
              <w:rPr>
                <w:rFonts w:ascii="宋体" w:hAnsi="宋体" w:cs="宋体"/>
                <w:b/>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A50B410">
            <w:pPr>
              <w:pStyle w:val="34"/>
              <w:kinsoku w:val="0"/>
              <w:overflowPunct w:val="0"/>
              <w:spacing w:before="41"/>
              <w:jc w:val="center"/>
              <w:rPr>
                <w:rFonts w:ascii="宋体" w:hAnsi="宋体" w:cs="宋体"/>
                <w:b/>
                <w:sz w:val="21"/>
                <w:szCs w:val="21"/>
                <w:highlight w:val="none"/>
              </w:rPr>
            </w:pPr>
          </w:p>
        </w:tc>
        <w:tc>
          <w:tcPr>
            <w:tcW w:w="2013" w:type="dxa"/>
            <w:vMerge w:val="continue"/>
            <w:tcBorders>
              <w:left w:val="single" w:color="auto" w:sz="4" w:space="0"/>
              <w:right w:val="single" w:color="auto" w:sz="4" w:space="0"/>
              <w:tl2br w:val="nil"/>
              <w:tr2bl w:val="nil"/>
            </w:tcBorders>
            <w:vAlign w:val="center"/>
          </w:tcPr>
          <w:p w14:paraId="00DC7350">
            <w:pPr>
              <w:tabs>
                <w:tab w:val="center" w:pos="737"/>
              </w:tabs>
              <w:spacing w:line="360" w:lineRule="auto"/>
              <w:jc w:val="center"/>
              <w:rPr>
                <w:rFonts w:ascii="宋体" w:hAnsi="宋体" w:cs="宋体"/>
                <w:sz w:val="21"/>
                <w:szCs w:val="21"/>
                <w:highlight w:val="none"/>
              </w:rPr>
            </w:pP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6766D48A">
            <w:pPr>
              <w:tabs>
                <w:tab w:val="center" w:pos="737"/>
              </w:tabs>
              <w:spacing w:line="360" w:lineRule="auto"/>
              <w:rPr>
                <w:rFonts w:ascii="宋体" w:hAnsi="宋体" w:cs="宋体"/>
                <w:sz w:val="21"/>
                <w:szCs w:val="21"/>
                <w:highlight w:val="none"/>
              </w:rPr>
            </w:pPr>
            <w:r>
              <w:rPr>
                <w:rFonts w:hint="eastAsia" w:ascii="宋体" w:hAnsi="宋体" w:eastAsia="宋体" w:cs="宋体"/>
                <w:sz w:val="21"/>
                <w:szCs w:val="21"/>
                <w:highlight w:val="none"/>
              </w:rPr>
              <w:t>进度监理措施（3分）：要求目标明确、方法合理可行、措施具体、针对性强。优得3分；良得2分；一般得1分；差得0分。</w:t>
            </w:r>
          </w:p>
        </w:tc>
      </w:tr>
      <w:tr w14:paraId="63E8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9B590FF">
            <w:pPr>
              <w:pStyle w:val="34"/>
              <w:kinsoku w:val="0"/>
              <w:overflowPunct w:val="0"/>
              <w:spacing w:before="41"/>
              <w:jc w:val="center"/>
              <w:rPr>
                <w:rFonts w:ascii="宋体" w:hAnsi="宋体" w:cs="宋体"/>
                <w:b/>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D75B784">
            <w:pPr>
              <w:pStyle w:val="34"/>
              <w:kinsoku w:val="0"/>
              <w:overflowPunct w:val="0"/>
              <w:spacing w:before="41"/>
              <w:jc w:val="center"/>
              <w:rPr>
                <w:rFonts w:ascii="宋体" w:hAnsi="宋体" w:cs="宋体"/>
                <w:b/>
                <w:sz w:val="21"/>
                <w:szCs w:val="21"/>
                <w:highlight w:val="none"/>
              </w:rPr>
            </w:pPr>
          </w:p>
        </w:tc>
        <w:tc>
          <w:tcPr>
            <w:tcW w:w="2013" w:type="dxa"/>
            <w:vMerge w:val="continue"/>
            <w:tcBorders>
              <w:left w:val="single" w:color="auto" w:sz="4" w:space="0"/>
              <w:right w:val="single" w:color="auto" w:sz="4" w:space="0"/>
              <w:tl2br w:val="nil"/>
              <w:tr2bl w:val="nil"/>
            </w:tcBorders>
            <w:vAlign w:val="center"/>
          </w:tcPr>
          <w:p w14:paraId="22F59088">
            <w:pPr>
              <w:tabs>
                <w:tab w:val="center" w:pos="737"/>
              </w:tabs>
              <w:spacing w:line="360" w:lineRule="auto"/>
              <w:jc w:val="center"/>
              <w:rPr>
                <w:rFonts w:ascii="宋体" w:hAnsi="宋体" w:cs="宋体"/>
                <w:sz w:val="21"/>
                <w:szCs w:val="21"/>
                <w:highlight w:val="none"/>
              </w:rPr>
            </w:pP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14C99F4B">
            <w:pPr>
              <w:tabs>
                <w:tab w:val="center" w:pos="737"/>
              </w:tabs>
              <w:spacing w:line="360" w:lineRule="auto"/>
              <w:rPr>
                <w:rFonts w:ascii="宋体" w:hAnsi="宋体" w:cs="宋体"/>
                <w:sz w:val="21"/>
                <w:szCs w:val="21"/>
                <w:highlight w:val="none"/>
              </w:rPr>
            </w:pPr>
            <w:r>
              <w:rPr>
                <w:rFonts w:hint="eastAsia" w:ascii="宋体" w:hAnsi="宋体" w:eastAsia="宋体" w:cs="宋体"/>
                <w:sz w:val="21"/>
                <w:szCs w:val="21"/>
                <w:highlight w:val="none"/>
              </w:rPr>
              <w:t>投资监理措施（3分）：要求目标明确、方法合理可行、措施具体、针对性强。优得3分；良得2分；一般得1分；差得0分。</w:t>
            </w:r>
          </w:p>
        </w:tc>
      </w:tr>
      <w:tr w14:paraId="3939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524C5F3">
            <w:pPr>
              <w:pStyle w:val="34"/>
              <w:kinsoku w:val="0"/>
              <w:overflowPunct w:val="0"/>
              <w:spacing w:before="41"/>
              <w:jc w:val="center"/>
              <w:rPr>
                <w:rFonts w:ascii="宋体" w:hAnsi="宋体" w:cs="宋体"/>
                <w:b/>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52BB7B4">
            <w:pPr>
              <w:pStyle w:val="34"/>
              <w:kinsoku w:val="0"/>
              <w:overflowPunct w:val="0"/>
              <w:spacing w:before="41"/>
              <w:jc w:val="center"/>
              <w:rPr>
                <w:rFonts w:ascii="宋体" w:hAnsi="宋体" w:cs="宋体"/>
                <w:b/>
                <w:sz w:val="21"/>
                <w:szCs w:val="21"/>
                <w:highlight w:val="none"/>
              </w:rPr>
            </w:pPr>
          </w:p>
        </w:tc>
        <w:tc>
          <w:tcPr>
            <w:tcW w:w="2013" w:type="dxa"/>
            <w:vMerge w:val="continue"/>
            <w:tcBorders>
              <w:left w:val="single" w:color="auto" w:sz="4" w:space="0"/>
              <w:right w:val="single" w:color="auto" w:sz="4" w:space="0"/>
              <w:tl2br w:val="nil"/>
              <w:tr2bl w:val="nil"/>
            </w:tcBorders>
            <w:vAlign w:val="center"/>
          </w:tcPr>
          <w:p w14:paraId="7D05EF55">
            <w:pPr>
              <w:tabs>
                <w:tab w:val="center" w:pos="737"/>
              </w:tabs>
              <w:spacing w:line="360" w:lineRule="auto"/>
              <w:jc w:val="center"/>
              <w:rPr>
                <w:rFonts w:ascii="宋体" w:hAnsi="宋体" w:cs="宋体"/>
                <w:sz w:val="21"/>
                <w:szCs w:val="21"/>
                <w:highlight w:val="none"/>
              </w:rPr>
            </w:pP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12FAE54D">
            <w:pPr>
              <w:tabs>
                <w:tab w:val="center" w:pos="737"/>
              </w:tabs>
              <w:spacing w:line="360" w:lineRule="auto"/>
              <w:rPr>
                <w:rFonts w:ascii="宋体" w:hAnsi="宋体" w:cs="宋体"/>
                <w:sz w:val="21"/>
                <w:szCs w:val="21"/>
                <w:highlight w:val="none"/>
              </w:rPr>
            </w:pPr>
            <w:r>
              <w:rPr>
                <w:rFonts w:hint="eastAsia" w:ascii="宋体" w:hAnsi="宋体" w:eastAsia="宋体" w:cs="宋体"/>
                <w:sz w:val="21"/>
                <w:szCs w:val="21"/>
                <w:highlight w:val="none"/>
              </w:rPr>
              <w:t>安全监理措施（3分）：要求目标明确、方法合理可行、措施具体、针对性强。优得3分；良得2分；一般得1分；差得0分。</w:t>
            </w:r>
          </w:p>
        </w:tc>
      </w:tr>
      <w:tr w14:paraId="2411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4CC5044">
            <w:pPr>
              <w:pStyle w:val="34"/>
              <w:kinsoku w:val="0"/>
              <w:overflowPunct w:val="0"/>
              <w:spacing w:before="41"/>
              <w:jc w:val="center"/>
              <w:rPr>
                <w:rFonts w:ascii="宋体" w:hAnsi="宋体" w:cs="宋体"/>
                <w:b/>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447A684">
            <w:pPr>
              <w:pStyle w:val="34"/>
              <w:kinsoku w:val="0"/>
              <w:overflowPunct w:val="0"/>
              <w:spacing w:before="41"/>
              <w:jc w:val="center"/>
              <w:rPr>
                <w:rFonts w:ascii="宋体" w:hAnsi="宋体" w:cs="宋体"/>
                <w:b/>
                <w:sz w:val="21"/>
                <w:szCs w:val="21"/>
                <w:highlight w:val="none"/>
              </w:rPr>
            </w:pPr>
          </w:p>
        </w:tc>
        <w:tc>
          <w:tcPr>
            <w:tcW w:w="2013" w:type="dxa"/>
            <w:vMerge w:val="continue"/>
            <w:tcBorders>
              <w:left w:val="single" w:color="auto" w:sz="4" w:space="0"/>
              <w:bottom w:val="single" w:color="auto" w:sz="4" w:space="0"/>
              <w:right w:val="single" w:color="auto" w:sz="4" w:space="0"/>
              <w:tl2br w:val="nil"/>
              <w:tr2bl w:val="nil"/>
            </w:tcBorders>
            <w:vAlign w:val="center"/>
          </w:tcPr>
          <w:p w14:paraId="75892CA4">
            <w:pPr>
              <w:tabs>
                <w:tab w:val="center" w:pos="737"/>
              </w:tabs>
              <w:spacing w:line="360" w:lineRule="auto"/>
              <w:jc w:val="center"/>
              <w:rPr>
                <w:rFonts w:ascii="宋体" w:hAnsi="宋体" w:cs="宋体"/>
                <w:sz w:val="21"/>
                <w:szCs w:val="21"/>
                <w:highlight w:val="none"/>
              </w:rPr>
            </w:pP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7C01EDE1">
            <w:pPr>
              <w:tabs>
                <w:tab w:val="center" w:pos="737"/>
              </w:tabs>
              <w:spacing w:line="360" w:lineRule="auto"/>
              <w:rPr>
                <w:rFonts w:ascii="宋体" w:hAnsi="宋体" w:cs="宋体"/>
                <w:sz w:val="21"/>
                <w:szCs w:val="21"/>
                <w:highlight w:val="none"/>
              </w:rPr>
            </w:pPr>
            <w:r>
              <w:rPr>
                <w:rFonts w:hint="eastAsia" w:ascii="宋体" w:hAnsi="宋体" w:eastAsia="宋体" w:cs="宋体"/>
                <w:sz w:val="21"/>
                <w:szCs w:val="21"/>
                <w:highlight w:val="none"/>
              </w:rPr>
              <w:t>环保监理措施（3分）：要求针对性强、措施具体、可操作。优得3分；良得2分；一般得1分；差得0分。</w:t>
            </w:r>
          </w:p>
        </w:tc>
      </w:tr>
      <w:tr w14:paraId="401F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77D20DA">
            <w:pPr>
              <w:pStyle w:val="34"/>
              <w:kinsoku w:val="0"/>
              <w:overflowPunct w:val="0"/>
              <w:spacing w:before="41"/>
              <w:jc w:val="center"/>
              <w:rPr>
                <w:rFonts w:ascii="宋体" w:hAnsi="宋体" w:cs="宋体"/>
                <w:b/>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2DC691A">
            <w:pPr>
              <w:pStyle w:val="34"/>
              <w:kinsoku w:val="0"/>
              <w:overflowPunct w:val="0"/>
              <w:spacing w:before="41"/>
              <w:jc w:val="center"/>
              <w:rPr>
                <w:rFonts w:ascii="宋体" w:hAnsi="宋体" w:cs="宋体"/>
                <w:b/>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1F300BD5">
            <w:pPr>
              <w:tabs>
                <w:tab w:val="center" w:pos="737"/>
              </w:tabs>
              <w:spacing w:line="360" w:lineRule="auto"/>
              <w:jc w:val="center"/>
              <w:rPr>
                <w:rFonts w:ascii="宋体" w:hAnsi="宋体" w:cs="宋体"/>
                <w:sz w:val="21"/>
                <w:szCs w:val="21"/>
                <w:highlight w:val="none"/>
              </w:rPr>
            </w:pPr>
            <w:r>
              <w:rPr>
                <w:rFonts w:hint="eastAsia" w:ascii="宋体" w:hAnsi="宋体" w:eastAsia="宋体" w:cs="宋体"/>
                <w:sz w:val="21"/>
                <w:szCs w:val="21"/>
                <w:highlight w:val="none"/>
              </w:rPr>
              <w:t>合同、信息管理方案（2分）</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1D87E30A">
            <w:pPr>
              <w:tabs>
                <w:tab w:val="center" w:pos="737"/>
              </w:tabs>
              <w:spacing w:line="360" w:lineRule="auto"/>
              <w:rPr>
                <w:rFonts w:ascii="宋体" w:hAnsi="宋体" w:cs="宋体"/>
                <w:sz w:val="21"/>
                <w:szCs w:val="21"/>
                <w:highlight w:val="none"/>
              </w:rPr>
            </w:pPr>
            <w:r>
              <w:rPr>
                <w:rFonts w:hint="eastAsia" w:ascii="宋体" w:hAnsi="宋体" w:eastAsia="宋体" w:cs="宋体"/>
                <w:sz w:val="21"/>
                <w:szCs w:val="21"/>
                <w:highlight w:val="none"/>
              </w:rPr>
              <w:t>合同管理、信息管理方法、针对性强、措施具体。优得2分；良得1.5分；一般得1分；差得0分。</w:t>
            </w:r>
          </w:p>
        </w:tc>
      </w:tr>
      <w:tr w14:paraId="30D5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A2CB840">
            <w:pPr>
              <w:pStyle w:val="34"/>
              <w:kinsoku w:val="0"/>
              <w:overflowPunct w:val="0"/>
              <w:spacing w:before="41"/>
              <w:jc w:val="center"/>
              <w:rPr>
                <w:rFonts w:ascii="宋体" w:hAnsi="宋体" w:cs="宋体"/>
                <w:b/>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5CABC28">
            <w:pPr>
              <w:pStyle w:val="34"/>
              <w:kinsoku w:val="0"/>
              <w:overflowPunct w:val="0"/>
              <w:spacing w:before="41"/>
              <w:jc w:val="center"/>
              <w:rPr>
                <w:rFonts w:ascii="宋体" w:hAnsi="宋体" w:cs="宋体"/>
                <w:b/>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077B70F1">
            <w:pPr>
              <w:tabs>
                <w:tab w:val="center" w:pos="737"/>
              </w:tabs>
              <w:spacing w:line="360" w:lineRule="auto"/>
              <w:jc w:val="center"/>
              <w:rPr>
                <w:rFonts w:ascii="宋体" w:hAnsi="宋体" w:cs="宋体"/>
                <w:sz w:val="21"/>
                <w:szCs w:val="21"/>
                <w:highlight w:val="none"/>
              </w:rPr>
            </w:pPr>
            <w:r>
              <w:rPr>
                <w:rFonts w:hint="eastAsia" w:ascii="宋体" w:hAnsi="宋体" w:eastAsia="宋体" w:cs="宋体"/>
                <w:sz w:val="21"/>
                <w:szCs w:val="21"/>
                <w:highlight w:val="none"/>
              </w:rPr>
              <w:t>监理组织协调内容及措施（2分）</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3BA7905F">
            <w:pPr>
              <w:tabs>
                <w:tab w:val="center" w:pos="737"/>
              </w:tabs>
              <w:spacing w:line="360" w:lineRule="auto"/>
              <w:rPr>
                <w:rFonts w:ascii="宋体" w:hAnsi="宋体" w:cs="宋体"/>
                <w:sz w:val="21"/>
                <w:szCs w:val="21"/>
                <w:highlight w:val="none"/>
              </w:rPr>
            </w:pPr>
            <w:r>
              <w:rPr>
                <w:rFonts w:hint="eastAsia" w:ascii="宋体" w:hAnsi="宋体" w:eastAsia="宋体" w:cs="宋体"/>
                <w:sz w:val="21"/>
                <w:szCs w:val="21"/>
                <w:highlight w:val="none"/>
              </w:rPr>
              <w:t>协调方法清晰合理，有具体措施。优得2分；良得1.5分；一般得1分；差得0分。</w:t>
            </w:r>
          </w:p>
        </w:tc>
      </w:tr>
      <w:tr w14:paraId="308B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96A5D27">
            <w:pPr>
              <w:pStyle w:val="34"/>
              <w:kinsoku w:val="0"/>
              <w:overflowPunct w:val="0"/>
              <w:spacing w:before="41"/>
              <w:jc w:val="center"/>
              <w:rPr>
                <w:rFonts w:ascii="宋体" w:hAnsi="宋体" w:cs="宋体"/>
                <w:b/>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A27B3C4">
            <w:pPr>
              <w:pStyle w:val="34"/>
              <w:kinsoku w:val="0"/>
              <w:overflowPunct w:val="0"/>
              <w:spacing w:before="41"/>
              <w:jc w:val="center"/>
              <w:rPr>
                <w:rFonts w:ascii="宋体" w:hAnsi="宋体" w:cs="宋体"/>
                <w:b/>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409DE740">
            <w:pPr>
              <w:tabs>
                <w:tab w:val="center" w:pos="737"/>
              </w:tabs>
              <w:spacing w:line="360" w:lineRule="auto"/>
              <w:jc w:val="center"/>
              <w:rPr>
                <w:rFonts w:ascii="宋体" w:hAnsi="宋体" w:cs="宋体"/>
                <w:sz w:val="21"/>
                <w:szCs w:val="21"/>
                <w:highlight w:val="none"/>
              </w:rPr>
            </w:pPr>
            <w:r>
              <w:rPr>
                <w:rFonts w:hint="eastAsia" w:ascii="宋体" w:hAnsi="宋体" w:eastAsia="宋体" w:cs="宋体"/>
                <w:sz w:val="21"/>
                <w:szCs w:val="21"/>
                <w:highlight w:val="none"/>
              </w:rPr>
              <w:t>监理工作重点、难点分析（2分）</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4CCBFC3F">
            <w:pPr>
              <w:tabs>
                <w:tab w:val="center" w:pos="737"/>
              </w:tabs>
              <w:spacing w:line="360" w:lineRule="auto"/>
              <w:rPr>
                <w:rFonts w:ascii="宋体" w:hAnsi="宋体" w:cs="宋体"/>
                <w:sz w:val="21"/>
                <w:szCs w:val="21"/>
                <w:highlight w:val="none"/>
              </w:rPr>
            </w:pPr>
            <w:r>
              <w:rPr>
                <w:rFonts w:hint="eastAsia" w:ascii="宋体" w:hAnsi="宋体" w:eastAsia="宋体" w:cs="宋体"/>
                <w:sz w:val="21"/>
                <w:szCs w:val="21"/>
                <w:highlight w:val="none"/>
              </w:rPr>
              <w:t>要求针对性强、措施具体、可操作。优得2分；良得1.5分；一般得1分；差得0分。</w:t>
            </w:r>
          </w:p>
        </w:tc>
      </w:tr>
      <w:tr w14:paraId="7A7C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B49513F">
            <w:pPr>
              <w:pStyle w:val="34"/>
              <w:kinsoku w:val="0"/>
              <w:overflowPunct w:val="0"/>
              <w:spacing w:before="41"/>
              <w:jc w:val="center"/>
              <w:rPr>
                <w:rFonts w:ascii="宋体" w:hAnsi="宋体" w:cs="宋体"/>
                <w:b/>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81C468E">
            <w:pPr>
              <w:pStyle w:val="34"/>
              <w:kinsoku w:val="0"/>
              <w:overflowPunct w:val="0"/>
              <w:spacing w:before="41"/>
              <w:jc w:val="center"/>
              <w:rPr>
                <w:rFonts w:ascii="宋体" w:hAnsi="宋体" w:cs="宋体"/>
                <w:b/>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360C7CDA">
            <w:pPr>
              <w:tabs>
                <w:tab w:val="center" w:pos="737"/>
              </w:tabs>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会议制度</w:t>
            </w:r>
          </w:p>
          <w:p w14:paraId="491F5D7B">
            <w:pPr>
              <w:pStyle w:val="34"/>
              <w:tabs>
                <w:tab w:val="center" w:pos="737"/>
              </w:tabs>
              <w:kinsoku w:val="0"/>
              <w:overflowPunct w:val="0"/>
              <w:spacing w:line="360" w:lineRule="auto"/>
              <w:jc w:val="center"/>
              <w:rPr>
                <w:rFonts w:ascii="宋体" w:hAnsi="宋体" w:cs="宋体"/>
                <w:sz w:val="21"/>
                <w:szCs w:val="21"/>
                <w:highlight w:val="none"/>
              </w:rPr>
            </w:pPr>
            <w:r>
              <w:rPr>
                <w:rFonts w:hint="eastAsia" w:ascii="宋体" w:hAnsi="宋体" w:eastAsia="宋体" w:cs="宋体"/>
                <w:sz w:val="21"/>
                <w:szCs w:val="21"/>
                <w:highlight w:val="none"/>
              </w:rPr>
              <w:t>（1分）</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5DF74E76">
            <w:pPr>
              <w:pStyle w:val="34"/>
              <w:tabs>
                <w:tab w:val="center" w:pos="737"/>
              </w:tabs>
              <w:kinsoku w:val="0"/>
              <w:overflowPunct w:val="0"/>
              <w:spacing w:line="360" w:lineRule="auto"/>
              <w:rPr>
                <w:rFonts w:ascii="宋体" w:hAnsi="宋体" w:cs="宋体"/>
                <w:sz w:val="21"/>
                <w:szCs w:val="21"/>
                <w:highlight w:val="none"/>
              </w:rPr>
            </w:pPr>
            <w:r>
              <w:rPr>
                <w:rFonts w:hint="eastAsia" w:ascii="宋体" w:hAnsi="宋体" w:eastAsia="宋体" w:cs="宋体"/>
                <w:sz w:val="21"/>
                <w:szCs w:val="21"/>
                <w:highlight w:val="none"/>
              </w:rPr>
              <w:t>建立完善的工地会议制度。优得1分；良得0.7分；一般得0.3分；差得0分。</w:t>
            </w:r>
          </w:p>
        </w:tc>
      </w:tr>
      <w:tr w14:paraId="11DC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C64A047">
            <w:pPr>
              <w:pStyle w:val="34"/>
              <w:kinsoku w:val="0"/>
              <w:overflowPunct w:val="0"/>
              <w:spacing w:before="41"/>
              <w:jc w:val="center"/>
              <w:rPr>
                <w:rFonts w:ascii="宋体" w:hAnsi="宋体" w:cs="宋体"/>
                <w:b/>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111E566">
            <w:pPr>
              <w:pStyle w:val="34"/>
              <w:kinsoku w:val="0"/>
              <w:overflowPunct w:val="0"/>
              <w:spacing w:before="41"/>
              <w:jc w:val="center"/>
              <w:rPr>
                <w:rFonts w:ascii="宋体" w:hAnsi="宋体" w:cs="宋体"/>
                <w:b/>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72F1A9BB">
            <w:pPr>
              <w:tabs>
                <w:tab w:val="center" w:pos="737"/>
              </w:tabs>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合理化建议</w:t>
            </w:r>
          </w:p>
          <w:p w14:paraId="1E65FBBC">
            <w:pPr>
              <w:pStyle w:val="34"/>
              <w:tabs>
                <w:tab w:val="center" w:pos="737"/>
              </w:tabs>
              <w:kinsoku w:val="0"/>
              <w:overflowPunct w:val="0"/>
              <w:spacing w:line="360" w:lineRule="auto"/>
              <w:jc w:val="center"/>
              <w:rPr>
                <w:rFonts w:ascii="宋体" w:hAnsi="宋体" w:cs="宋体"/>
                <w:sz w:val="21"/>
                <w:szCs w:val="21"/>
                <w:highlight w:val="none"/>
              </w:rPr>
            </w:pPr>
            <w:r>
              <w:rPr>
                <w:rFonts w:hint="eastAsia" w:ascii="宋体" w:hAnsi="宋体" w:eastAsia="宋体" w:cs="宋体"/>
                <w:sz w:val="21"/>
                <w:szCs w:val="21"/>
                <w:highlight w:val="none"/>
              </w:rPr>
              <w:t>（2分）</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7A981F71">
            <w:pPr>
              <w:pStyle w:val="34"/>
              <w:tabs>
                <w:tab w:val="center" w:pos="737"/>
              </w:tabs>
              <w:kinsoku w:val="0"/>
              <w:overflowPunct w:val="0"/>
              <w:spacing w:line="360" w:lineRule="auto"/>
              <w:rPr>
                <w:rFonts w:ascii="宋体" w:hAnsi="宋体" w:cs="宋体"/>
                <w:sz w:val="21"/>
                <w:szCs w:val="21"/>
                <w:highlight w:val="none"/>
              </w:rPr>
            </w:pPr>
            <w:r>
              <w:rPr>
                <w:rFonts w:hint="eastAsia" w:ascii="宋体" w:hAnsi="宋体" w:eastAsia="宋体" w:cs="宋体"/>
                <w:sz w:val="21"/>
                <w:szCs w:val="21"/>
                <w:highlight w:val="none"/>
              </w:rPr>
              <w:t>具有科学、合理、可行及具体措施的建议。优得2分；良得1.5分；一般得1分；差得0分。</w:t>
            </w:r>
          </w:p>
        </w:tc>
      </w:tr>
      <w:tr w14:paraId="0317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13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9627E17">
            <w:pPr>
              <w:pStyle w:val="34"/>
              <w:kinsoku w:val="0"/>
              <w:overflowPunct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2.2.4</w:t>
            </w:r>
          </w:p>
          <w:p w14:paraId="745EA7D2">
            <w:pPr>
              <w:pStyle w:val="34"/>
              <w:kinsoku w:val="0"/>
              <w:overflowPunct w:val="0"/>
              <w:jc w:val="center"/>
              <w:rPr>
                <w:rFonts w:ascii="宋体" w:hAnsi="宋体" w:cs="宋体"/>
                <w:sz w:val="21"/>
                <w:szCs w:val="21"/>
                <w:highlight w:val="none"/>
              </w:rPr>
            </w:pPr>
            <w:r>
              <w:rPr>
                <w:rFonts w:hint="eastAsia" w:ascii="宋体" w:hAnsi="宋体" w:eastAsia="宋体" w:cs="宋体"/>
                <w:sz w:val="21"/>
                <w:szCs w:val="21"/>
                <w:highlight w:val="none"/>
              </w:rPr>
              <w:t>（3）</w:t>
            </w:r>
          </w:p>
        </w:tc>
        <w:tc>
          <w:tcPr>
            <w:tcW w:w="1132" w:type="dxa"/>
            <w:tcBorders>
              <w:top w:val="single" w:color="auto" w:sz="4" w:space="0"/>
              <w:left w:val="single" w:color="auto" w:sz="4" w:space="0"/>
              <w:bottom w:val="single" w:color="auto" w:sz="4" w:space="0"/>
              <w:right w:val="single" w:color="auto" w:sz="4" w:space="0"/>
              <w:tl2br w:val="nil"/>
              <w:tr2bl w:val="nil"/>
            </w:tcBorders>
            <w:vAlign w:val="center"/>
          </w:tcPr>
          <w:p w14:paraId="47C72E1F">
            <w:pPr>
              <w:pStyle w:val="34"/>
              <w:kinsoku w:val="0"/>
              <w:overflowPunct w:val="0"/>
              <w:jc w:val="center"/>
              <w:rPr>
                <w:rFonts w:ascii="宋体" w:hAnsi="宋体" w:cs="宋体"/>
                <w:sz w:val="21"/>
                <w:szCs w:val="21"/>
                <w:highlight w:val="none"/>
              </w:rPr>
            </w:pPr>
            <w:r>
              <w:rPr>
                <w:rFonts w:hint="eastAsia" w:ascii="宋体" w:hAnsi="宋体" w:eastAsia="宋体" w:cs="宋体"/>
                <w:sz w:val="21"/>
                <w:szCs w:val="21"/>
                <w:highlight w:val="none"/>
              </w:rPr>
              <w:t>投标报价评分标准</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3602CF32">
            <w:pPr>
              <w:pStyle w:val="34"/>
              <w:kinsoku w:val="0"/>
              <w:overflowPunct w:val="0"/>
              <w:jc w:val="center"/>
              <w:rPr>
                <w:rFonts w:ascii="宋体" w:hAnsi="宋体" w:cs="宋体"/>
                <w:sz w:val="21"/>
                <w:szCs w:val="21"/>
                <w:highlight w:val="none"/>
              </w:rPr>
            </w:pPr>
            <w:r>
              <w:rPr>
                <w:rFonts w:hint="eastAsia" w:ascii="宋体" w:hAnsi="宋体" w:eastAsia="宋体" w:cs="宋体"/>
                <w:sz w:val="21"/>
                <w:szCs w:val="21"/>
                <w:highlight w:val="none"/>
              </w:rPr>
              <w:t>投标报价评审（10分）</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1D56210A">
            <w:pPr>
              <w:pStyle w:val="34"/>
              <w:kinsoku w:val="0"/>
              <w:overflowPunct w:val="0"/>
              <w:jc w:val="both"/>
              <w:rPr>
                <w:rFonts w:ascii="宋体" w:hAnsi="宋体" w:cs="宋体"/>
                <w:sz w:val="21"/>
                <w:szCs w:val="21"/>
                <w:highlight w:val="none"/>
              </w:rPr>
            </w:pPr>
            <w:r>
              <w:rPr>
                <w:rFonts w:hint="eastAsia" w:ascii="宋体" w:hAnsi="宋体" w:eastAsia="宋体" w:cs="宋体"/>
                <w:sz w:val="21"/>
                <w:szCs w:val="21"/>
                <w:highlight w:val="none"/>
              </w:rPr>
              <w:t>以评标基准价作为计算各有效投标价得分的基础，当有效投标报价等于评标基准价时得10分；投标有效报价与评标基准价之差，每上偏1%扣0.3分，下偏1%扣0.2分。（得分扣至0分止）</w:t>
            </w:r>
          </w:p>
        </w:tc>
      </w:tr>
      <w:tr w14:paraId="23F0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13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0DB1FE1">
            <w:pPr>
              <w:pStyle w:val="34"/>
              <w:kinsoku w:val="0"/>
              <w:overflowPunct w:val="0"/>
              <w:ind w:firstLine="6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2.2.4</w:t>
            </w:r>
          </w:p>
          <w:p w14:paraId="17A3EEA6">
            <w:pPr>
              <w:pStyle w:val="34"/>
              <w:kinsoku w:val="0"/>
              <w:overflowPunct w:val="0"/>
              <w:jc w:val="center"/>
              <w:rPr>
                <w:rFonts w:ascii="宋体" w:hAnsi="宋体" w:cs="宋体"/>
                <w:sz w:val="21"/>
                <w:szCs w:val="21"/>
                <w:highlight w:val="none"/>
              </w:rPr>
            </w:pPr>
            <w:r>
              <w:rPr>
                <w:rFonts w:hint="eastAsia" w:ascii="宋体" w:hAnsi="宋体" w:eastAsia="宋体" w:cs="宋体"/>
                <w:sz w:val="21"/>
                <w:szCs w:val="21"/>
                <w:highlight w:val="none"/>
              </w:rPr>
              <w:t>（4）</w:t>
            </w:r>
          </w:p>
        </w:tc>
        <w:tc>
          <w:tcPr>
            <w:tcW w:w="1132" w:type="dxa"/>
            <w:tcBorders>
              <w:top w:val="single" w:color="auto" w:sz="4" w:space="0"/>
              <w:left w:val="single" w:color="auto" w:sz="4" w:space="0"/>
              <w:bottom w:val="single" w:color="auto" w:sz="4" w:space="0"/>
              <w:right w:val="single" w:color="auto" w:sz="4" w:space="0"/>
              <w:tl2br w:val="nil"/>
              <w:tr2bl w:val="nil"/>
            </w:tcBorders>
            <w:vAlign w:val="center"/>
          </w:tcPr>
          <w:p w14:paraId="07684FFB">
            <w:pPr>
              <w:spacing w:line="260" w:lineRule="exact"/>
              <w:ind w:left="360" w:hanging="36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其他因素</w:t>
            </w:r>
          </w:p>
          <w:p w14:paraId="3A718032">
            <w:pPr>
              <w:spacing w:line="260" w:lineRule="exact"/>
              <w:jc w:val="center"/>
              <w:rPr>
                <w:rFonts w:ascii="宋体" w:hAnsi="宋体" w:cs="宋体"/>
                <w:sz w:val="21"/>
                <w:szCs w:val="21"/>
                <w:highlight w:val="none"/>
              </w:rPr>
            </w:pPr>
            <w:r>
              <w:rPr>
                <w:rFonts w:hint="eastAsia" w:ascii="宋体" w:hAnsi="宋体" w:eastAsia="宋体" w:cs="宋体"/>
                <w:sz w:val="21"/>
                <w:szCs w:val="21"/>
                <w:highlight w:val="none"/>
              </w:rPr>
              <w:t>评分标准</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51074E8D">
            <w:pPr>
              <w:pStyle w:val="34"/>
              <w:kinsoku w:val="0"/>
              <w:overflowPunct w:val="0"/>
              <w:jc w:val="center"/>
              <w:rPr>
                <w:rFonts w:ascii="宋体" w:hAnsi="宋体" w:cs="宋体"/>
                <w:sz w:val="21"/>
                <w:szCs w:val="21"/>
                <w:highlight w:val="none"/>
              </w:rPr>
            </w:pPr>
            <w:r>
              <w:rPr>
                <w:rFonts w:hint="eastAsia" w:ascii="宋体" w:hAnsi="宋体" w:eastAsia="宋体" w:cs="宋体"/>
                <w:sz w:val="21"/>
                <w:szCs w:val="21"/>
                <w:highlight w:val="none"/>
              </w:rPr>
              <w:t>诚信综合评价得分（10分）</w:t>
            </w:r>
          </w:p>
        </w:tc>
        <w:tc>
          <w:tcPr>
            <w:tcW w:w="5011" w:type="dxa"/>
            <w:tcBorders>
              <w:top w:val="single" w:color="auto" w:sz="4" w:space="0"/>
              <w:left w:val="single" w:color="auto" w:sz="4" w:space="0"/>
              <w:bottom w:val="single" w:color="auto" w:sz="4" w:space="0"/>
              <w:right w:val="single" w:color="auto" w:sz="4" w:space="0"/>
              <w:tl2br w:val="nil"/>
              <w:tr2bl w:val="nil"/>
            </w:tcBorders>
            <w:vAlign w:val="top"/>
          </w:tcPr>
          <w:p w14:paraId="1D98B3AC">
            <w:pPr>
              <w:pStyle w:val="34"/>
              <w:kinsoku w:val="0"/>
              <w:overflowPunct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诚信评价得分占投标人评标得分权重的10%。</w:t>
            </w:r>
          </w:p>
          <w:p w14:paraId="0466E895">
            <w:pPr>
              <w:pStyle w:val="34"/>
              <w:kinsoku w:val="0"/>
              <w:overflowPunct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取广州市水务工程建设管理数字化监管平台 （http://112.94.68.142:8012/#/website）公布的本项目招标公告发布第1天所在季度的上一季度“监理-水利”诚信综合评价分；未入库企业或在广州市水务工程建设管理数字化监管平台中尚无诚信排名（“监理-水利”诚信综合评价分）的投标人（简称“未入库企业”），诚信评价总分取基准分，即“未入库企业”的诚信评价总分=100（市场行为评价分）×20%+75（质量安全管理评价得分）×50%+75（履约评价得分）×30%=80分。</w:t>
            </w:r>
          </w:p>
          <w:p w14:paraId="6663796D">
            <w:pPr>
              <w:pStyle w:val="34"/>
              <w:kinsoku w:val="0"/>
              <w:overflowPunct w:val="0"/>
              <w:jc w:val="both"/>
              <w:rPr>
                <w:rFonts w:ascii="宋体" w:hAnsi="宋体" w:cs="宋体"/>
                <w:sz w:val="21"/>
                <w:szCs w:val="21"/>
                <w:highlight w:val="none"/>
              </w:rPr>
            </w:pPr>
            <w:r>
              <w:rPr>
                <w:rFonts w:hint="eastAsia" w:ascii="宋体" w:hAnsi="宋体" w:eastAsia="宋体" w:cs="宋体"/>
                <w:sz w:val="21"/>
                <w:szCs w:val="21"/>
                <w:highlight w:val="none"/>
              </w:rPr>
              <w:t>投标人诚信评价得分=诚信综合评价排名得分*诚信评价得分权重（10%）；诚信综合评价排名得分满分10分。</w:t>
            </w:r>
          </w:p>
        </w:tc>
      </w:tr>
      <w:tr w14:paraId="560A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113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07A388D">
            <w:pPr>
              <w:pStyle w:val="34"/>
              <w:kinsoku w:val="0"/>
              <w:overflowPunct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2.2.4</w:t>
            </w:r>
          </w:p>
          <w:p w14:paraId="7A9B4D54">
            <w:pPr>
              <w:pStyle w:val="34"/>
              <w:kinsoku w:val="0"/>
              <w:overflowPunct w:val="0"/>
              <w:jc w:val="center"/>
              <w:rPr>
                <w:rFonts w:ascii="宋体" w:hAnsi="宋体" w:cs="宋体"/>
                <w:sz w:val="21"/>
                <w:szCs w:val="21"/>
                <w:highlight w:val="none"/>
              </w:rPr>
            </w:pPr>
            <w:r>
              <w:rPr>
                <w:rFonts w:hint="eastAsia" w:ascii="宋体" w:hAnsi="宋体" w:eastAsia="宋体" w:cs="宋体"/>
                <w:sz w:val="21"/>
                <w:szCs w:val="21"/>
                <w:highlight w:val="none"/>
              </w:rPr>
              <w:t>说明</w:t>
            </w:r>
          </w:p>
        </w:tc>
        <w:tc>
          <w:tcPr>
            <w:tcW w:w="815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248D611">
            <w:pPr>
              <w:pStyle w:val="34"/>
              <w:kinsoku w:val="0"/>
              <w:overflowPunct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（1）投标人的综合得分为将各评委的评分去掉一个最高分和去掉一个最低分后取算术平均分（分数出现小数点时，保留小数点后二位，第三位小数四舍五入）。</w:t>
            </w:r>
          </w:p>
          <w:p w14:paraId="505311AF">
            <w:pPr>
              <w:pStyle w:val="34"/>
              <w:kinsoku w:val="0"/>
              <w:overflowPunct w:val="0"/>
              <w:jc w:val="both"/>
              <w:rPr>
                <w:rFonts w:ascii="宋体" w:hAnsi="宋体" w:cs="宋体"/>
                <w:sz w:val="21"/>
                <w:szCs w:val="21"/>
                <w:highlight w:val="none"/>
              </w:rPr>
            </w:pPr>
            <w:r>
              <w:rPr>
                <w:rFonts w:hint="eastAsia" w:ascii="宋体" w:hAnsi="宋体" w:eastAsia="宋体" w:cs="宋体"/>
                <w:sz w:val="21"/>
                <w:szCs w:val="21"/>
                <w:highlight w:val="none"/>
              </w:rPr>
              <w:t>（2）投标单位必须确保投标文件中证明资料的真实性，否则将上报上级主管部门记入不良行为档案和在广州公共资源交易中心通报。</w:t>
            </w:r>
          </w:p>
        </w:tc>
      </w:tr>
    </w:tbl>
    <w:p w14:paraId="446D7525">
      <w:pPr>
        <w:pStyle w:val="6"/>
        <w:kinsoku w:val="0"/>
        <w:overflowPunct w:val="0"/>
        <w:spacing w:before="120" w:after="120"/>
        <w:ind w:left="120"/>
        <w:rPr>
          <w:sz w:val="32"/>
          <w:highlight w:val="none"/>
        </w:rPr>
        <w:sectPr>
          <w:headerReference r:id="rId6" w:type="default"/>
          <w:footerReference r:id="rId7" w:type="default"/>
          <w:pgSz w:w="11905" w:h="16838"/>
          <w:pgMar w:top="1417" w:right="1417" w:bottom="1417" w:left="1417" w:header="992" w:footer="992" w:gutter="0"/>
          <w:cols w:space="720" w:num="1"/>
        </w:sectPr>
      </w:pPr>
    </w:p>
    <w:p w14:paraId="35A1AE7B">
      <w:pPr>
        <w:pStyle w:val="31"/>
        <w:ind w:firstLine="0" w:firstLineChars="0"/>
        <w:rPr>
          <w:rFonts w:hint="default"/>
          <w:highlight w:val="none"/>
        </w:rPr>
      </w:pPr>
      <w:bookmarkStart w:id="167" w:name="bookmark84"/>
      <w:bookmarkEnd w:id="167"/>
    </w:p>
    <w:p w14:paraId="03472A15">
      <w:pPr>
        <w:spacing w:line="360" w:lineRule="auto"/>
        <w:ind w:firstLine="560" w:firstLineChars="200"/>
        <w:jc w:val="center"/>
        <w:rPr>
          <w:rFonts w:ascii="黑体" w:hAnsi="黑体" w:eastAsia="黑体"/>
          <w:sz w:val="28"/>
          <w:szCs w:val="27"/>
          <w:highlight w:val="none"/>
        </w:rPr>
      </w:pPr>
      <w:r>
        <w:rPr>
          <w:rFonts w:hint="eastAsia" w:ascii="黑体" w:hAnsi="黑体" w:eastAsia="黑体"/>
          <w:sz w:val="28"/>
          <w:szCs w:val="27"/>
          <w:highlight w:val="none"/>
        </w:rPr>
        <w:t>评标办法修改表</w:t>
      </w:r>
    </w:p>
    <w:p w14:paraId="178615CA">
      <w:pPr>
        <w:pStyle w:val="22"/>
        <w:spacing w:line="360" w:lineRule="auto"/>
        <w:rPr>
          <w:rFonts w:hint="default" w:ascii="宋体" w:hAnsi="宋体" w:eastAsia="宋体"/>
          <w:sz w:val="24"/>
          <w:highlight w:val="none"/>
        </w:rPr>
      </w:pPr>
      <w:r>
        <w:rPr>
          <w:rFonts w:ascii="宋体" w:hAnsi="宋体" w:eastAsia="宋体"/>
          <w:sz w:val="24"/>
          <w:highlight w:val="none"/>
        </w:rPr>
        <w:t>声明：本评标办法使用</w:t>
      </w:r>
      <w:r>
        <w:rPr>
          <w:rFonts w:ascii="仿宋_GB2312" w:hAnsi="宋体" w:eastAsia="仿宋_GB2312"/>
          <w:sz w:val="24"/>
          <w:highlight w:val="none"/>
        </w:rPr>
        <w:t>SWZB2024-06</w:t>
      </w:r>
      <w:r>
        <w:rPr>
          <w:rFonts w:ascii="宋体" w:hAnsi="宋体" w:eastAsia="宋体"/>
          <w:sz w:val="24"/>
          <w:highlight w:val="none"/>
        </w:rPr>
        <w:t>招标文件范本的评标办法条款，与该条款不同之处，均在本表中列明，并以现文为准，原文不再有效。</w:t>
      </w:r>
    </w:p>
    <w:p w14:paraId="30E756CC">
      <w:pPr>
        <w:pBdr>
          <w:bottom w:val="single" w:color="auto" w:sz="6" w:space="1"/>
        </w:pBdr>
        <w:spacing w:line="480" w:lineRule="auto"/>
        <w:ind w:firstLine="537" w:firstLineChars="224"/>
        <w:rPr>
          <w:rFonts w:ascii="宋体" w:hAnsi="宋体"/>
          <w:szCs w:val="21"/>
          <w:highlight w:val="none"/>
        </w:rPr>
      </w:pPr>
      <w:bookmarkStart w:id="168" w:name="_Toc359263257"/>
      <w:bookmarkEnd w:id="168"/>
      <w:bookmarkStart w:id="169" w:name="_Toc262229169"/>
      <w:bookmarkEnd w:id="169"/>
      <w:bookmarkStart w:id="170" w:name="_Toc155150493"/>
      <w:bookmarkEnd w:id="170"/>
    </w:p>
    <w:p w14:paraId="7BA3B324">
      <w:pPr>
        <w:spacing w:line="480" w:lineRule="auto"/>
        <w:ind w:firstLine="480" w:firstLineChars="200"/>
        <w:rPr>
          <w:rFonts w:ascii="宋体" w:hAnsi="宋体"/>
          <w:szCs w:val="21"/>
          <w:highlight w:val="none"/>
        </w:rPr>
      </w:pPr>
      <w:r>
        <w:rPr>
          <w:rFonts w:hint="eastAsia" w:ascii="宋体" w:hAnsi="宋体"/>
          <w:szCs w:val="21"/>
          <w:highlight w:val="none"/>
        </w:rPr>
        <w:t>条款号：3.2.1-（2）             修改类型：修改</w:t>
      </w:r>
    </w:p>
    <w:p w14:paraId="1374012B">
      <w:pPr>
        <w:spacing w:line="480" w:lineRule="auto"/>
        <w:ind w:firstLine="537" w:firstLineChars="224"/>
        <w:rPr>
          <w:rFonts w:ascii="宋体" w:hAnsi="宋体"/>
          <w:szCs w:val="21"/>
          <w:highlight w:val="none"/>
        </w:rPr>
      </w:pPr>
      <w:r>
        <w:rPr>
          <w:rFonts w:hint="eastAsia" w:ascii="宋体" w:hAnsi="宋体"/>
          <w:szCs w:val="21"/>
          <w:highlight w:val="none"/>
        </w:rPr>
        <w:t>原文：（2）按本章第2.2.4（2）目规定的评审因素和分值对监理大纲部分计算出得分B，①监理大纲部分评审得分B为从各评标专家打分中去掉一个最高分和去掉一个最低分后的剩余评标专家打分的算术平均值或②监理大纲部分评审得分B为各评标专家打分的算术平均值（二选一，招标人自行选择）；</w:t>
      </w:r>
    </w:p>
    <w:p w14:paraId="74F57744">
      <w:pPr>
        <w:spacing w:line="480" w:lineRule="auto"/>
        <w:ind w:firstLine="537" w:firstLineChars="224"/>
        <w:rPr>
          <w:rFonts w:ascii="宋体" w:hAnsi="宋体"/>
          <w:szCs w:val="21"/>
          <w:highlight w:val="none"/>
        </w:rPr>
      </w:pPr>
      <w:r>
        <w:rPr>
          <w:rFonts w:hint="eastAsia" w:ascii="宋体" w:hAnsi="宋体"/>
          <w:szCs w:val="21"/>
          <w:highlight w:val="none"/>
        </w:rPr>
        <w:t>现文：（2）按本章第2.2.4（2）目规定的评审因素和分值对监理大纲部分计算出得分B，</w:t>
      </w:r>
      <w:r>
        <w:rPr>
          <w:rFonts w:hint="eastAsia" w:ascii="宋体" w:hAnsi="宋体"/>
          <w:szCs w:val="21"/>
          <w:highlight w:val="none"/>
          <w:u w:val="single"/>
        </w:rPr>
        <w:t>监理大纲部分评审得分</w:t>
      </w:r>
      <w:r>
        <w:rPr>
          <w:rFonts w:ascii="宋体" w:hAnsi="宋体"/>
          <w:szCs w:val="21"/>
          <w:highlight w:val="none"/>
          <w:u w:val="single"/>
        </w:rPr>
        <w:t>B为从各评标专家打分中去掉一个最高分和去掉一个最低分后的剩余评标专家打分的算术平均值，评分分数出现小数点时，保留小数点后二位，第三位小数四舍五入；</w:t>
      </w:r>
    </w:p>
    <w:p w14:paraId="6D3E32D6">
      <w:pPr>
        <w:pBdr>
          <w:bottom w:val="single" w:color="auto" w:sz="6" w:space="1"/>
        </w:pBdr>
        <w:spacing w:line="480" w:lineRule="auto"/>
        <w:ind w:firstLine="537" w:firstLineChars="224"/>
        <w:rPr>
          <w:rFonts w:ascii="宋体" w:hAnsi="宋体"/>
          <w:szCs w:val="21"/>
          <w:highlight w:val="none"/>
        </w:rPr>
      </w:pPr>
    </w:p>
    <w:p w14:paraId="57EDF02C">
      <w:pPr>
        <w:spacing w:line="360" w:lineRule="auto"/>
        <w:ind w:firstLine="480" w:firstLineChars="200"/>
        <w:rPr>
          <w:rFonts w:ascii="宋体" w:hAnsi="宋体"/>
          <w:szCs w:val="21"/>
          <w:highlight w:val="none"/>
        </w:rPr>
      </w:pPr>
      <w:r>
        <w:rPr>
          <w:rFonts w:hint="eastAsia" w:ascii="宋体" w:hAnsi="宋体"/>
          <w:szCs w:val="21"/>
          <w:highlight w:val="none"/>
        </w:rPr>
        <w:t>注：以上修改，仅限于本范本中有可供选择条</w:t>
      </w:r>
    </w:p>
    <w:p w14:paraId="6B02261C">
      <w:pPr>
        <w:pStyle w:val="31"/>
        <w:ind w:firstLine="0" w:firstLineChars="0"/>
        <w:rPr>
          <w:rFonts w:hint="default" w:eastAsiaTheme="minorEastAsia"/>
          <w:highlight w:val="none"/>
        </w:rPr>
        <w:sectPr>
          <w:pgSz w:w="11906" w:h="16838"/>
          <w:pgMar w:top="1417" w:right="1417" w:bottom="1417" w:left="1417" w:header="0" w:footer="940" w:gutter="0"/>
          <w:cols w:space="720" w:num="1"/>
        </w:sectPr>
      </w:pPr>
    </w:p>
    <w:p w14:paraId="61AB13EC">
      <w:pPr>
        <w:pStyle w:val="6"/>
        <w:spacing w:before="120" w:after="120"/>
        <w:rPr>
          <w:rFonts w:ascii="Microsoft JhengHei" w:hAnsi="Microsoft JhengHei" w:eastAsia="Microsoft JhengHei"/>
          <w:b w:val="0"/>
          <w:sz w:val="30"/>
          <w:highlight w:val="none"/>
        </w:rPr>
      </w:pPr>
      <w:bookmarkStart w:id="171" w:name="_Toc19273"/>
      <w:r>
        <w:rPr>
          <w:rFonts w:cs="宋体"/>
          <w:highlight w:val="none"/>
        </w:rPr>
        <w:t>1.评标方法</w:t>
      </w:r>
      <w:bookmarkEnd w:id="171"/>
    </w:p>
    <w:p w14:paraId="4FCAFE5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6EB60C42">
      <w:pPr>
        <w:pStyle w:val="6"/>
        <w:spacing w:before="120" w:after="120"/>
        <w:rPr>
          <w:rFonts w:ascii="Microsoft JhengHei" w:hAnsi="Microsoft JhengHei" w:eastAsia="Microsoft JhengHei"/>
          <w:b w:val="0"/>
          <w:sz w:val="30"/>
          <w:highlight w:val="none"/>
        </w:rPr>
      </w:pPr>
      <w:bookmarkStart w:id="172" w:name="bookmark85"/>
      <w:bookmarkEnd w:id="172"/>
      <w:bookmarkStart w:id="173" w:name="_Toc12017"/>
      <w:r>
        <w:rPr>
          <w:rFonts w:cs="宋体"/>
          <w:highlight w:val="none"/>
        </w:rPr>
        <w:t>2.评审标准</w:t>
      </w:r>
      <w:bookmarkEnd w:id="173"/>
    </w:p>
    <w:p w14:paraId="50DAFE79">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7"/>
          <w:highlight w:val="none"/>
        </w:rPr>
      </w:pPr>
      <w:bookmarkStart w:id="174" w:name="bookmark86"/>
      <w:bookmarkEnd w:id="174"/>
      <w:bookmarkStart w:id="175" w:name="_Toc2636"/>
      <w:r>
        <w:rPr>
          <w:rFonts w:cs="宋体"/>
          <w:sz w:val="24"/>
          <w:highlight w:val="none"/>
        </w:rPr>
        <w:t>2.1 初步评审标准</w:t>
      </w:r>
      <w:bookmarkEnd w:id="175"/>
    </w:p>
    <w:p w14:paraId="4C8BD21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2.1.1 资格评审标准：见评标办法前附表。</w:t>
      </w:r>
    </w:p>
    <w:p w14:paraId="1FA2AB9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2.1.2 形式评审标准：见评标办法前附表。</w:t>
      </w:r>
    </w:p>
    <w:p w14:paraId="4E2E61D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2.1.3 响应性评审标准：见评标办法前附表。</w:t>
      </w:r>
    </w:p>
    <w:p w14:paraId="6C99770A">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7"/>
          <w:highlight w:val="none"/>
        </w:rPr>
      </w:pPr>
      <w:bookmarkStart w:id="176" w:name="bookmark87"/>
      <w:bookmarkEnd w:id="176"/>
      <w:bookmarkStart w:id="177" w:name="_Toc9590"/>
      <w:r>
        <w:rPr>
          <w:rFonts w:cs="宋体"/>
          <w:sz w:val="24"/>
          <w:highlight w:val="none"/>
        </w:rPr>
        <w:t>2.2 分值构成与评分标准</w:t>
      </w:r>
      <w:bookmarkEnd w:id="177"/>
    </w:p>
    <w:p w14:paraId="6217CE7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2.2.1  分值构成</w:t>
      </w:r>
    </w:p>
    <w:p w14:paraId="5EABB93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（1）资信业绩部分：见评标办法前附表；</w:t>
      </w:r>
    </w:p>
    <w:p w14:paraId="0FAC864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（2）监理大纲部分：见评标办法前附表；</w:t>
      </w:r>
    </w:p>
    <w:p w14:paraId="580D62B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（3）投标报价：见评标办法前附表；</w:t>
      </w:r>
    </w:p>
    <w:p w14:paraId="0D0936E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（4）诚信得分：见评标办法前附表。</w:t>
      </w:r>
    </w:p>
    <w:p w14:paraId="2649E5C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2.2.2 评标基准价计算评标基准价计算方法：见评标办法前附表。</w:t>
      </w:r>
    </w:p>
    <w:p w14:paraId="36B2366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2.2.3 投标报价的偏差率计算</w:t>
      </w:r>
    </w:p>
    <w:p w14:paraId="32C86A6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投标报价的偏差率计算公式：见评标办法前附表。</w:t>
      </w:r>
    </w:p>
    <w:p w14:paraId="320566E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2.2.4  评分标准</w:t>
      </w:r>
    </w:p>
    <w:p w14:paraId="5BE23BF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（1）资信业绩评分标准：见评标办法前附表；</w:t>
      </w:r>
    </w:p>
    <w:p w14:paraId="7BC815D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（2）监理大纲评分标准：见评标办法前附表；</w:t>
      </w:r>
    </w:p>
    <w:p w14:paraId="01FCB8D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（3）投标报价评分标准：见评标办法前附表；</w:t>
      </w:r>
    </w:p>
    <w:p w14:paraId="46817B7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（4）诚信得分评分标准：见评标办法前附表。</w:t>
      </w:r>
    </w:p>
    <w:p w14:paraId="7859A70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szCs w:val="21"/>
          <w:highlight w:val="none"/>
        </w:rPr>
      </w:pPr>
      <w:r>
        <w:rPr>
          <w:szCs w:val="21"/>
          <w:highlight w:val="none"/>
        </w:rPr>
        <w:t>注：投标人的诚信评价总分取自本项目招标公告发布第1天所在季度的上一季度的诚信综合评价分。</w:t>
      </w:r>
    </w:p>
    <w:p w14:paraId="4BDF1CBE">
      <w:pPr>
        <w:pStyle w:val="6"/>
        <w:spacing w:before="120" w:after="120"/>
        <w:rPr>
          <w:rFonts w:cs="宋体"/>
          <w:highlight w:val="none"/>
        </w:rPr>
      </w:pPr>
      <w:bookmarkStart w:id="178" w:name="bookmark88"/>
      <w:bookmarkEnd w:id="178"/>
      <w:bookmarkStart w:id="179" w:name="_Toc19388"/>
      <w:r>
        <w:rPr>
          <w:rFonts w:cs="宋体"/>
          <w:highlight w:val="none"/>
        </w:rPr>
        <w:t>3.评标程序</w:t>
      </w:r>
      <w:bookmarkEnd w:id="179"/>
    </w:p>
    <w:p w14:paraId="64587B8D">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sz w:val="27"/>
          <w:highlight w:val="none"/>
        </w:rPr>
      </w:pPr>
      <w:bookmarkStart w:id="180" w:name="bookmark89"/>
      <w:bookmarkEnd w:id="180"/>
      <w:bookmarkStart w:id="181" w:name="_Toc13130"/>
      <w:r>
        <w:rPr>
          <w:rFonts w:cs="宋体"/>
          <w:sz w:val="24"/>
          <w:highlight w:val="none"/>
        </w:rPr>
        <w:t>3.1  初步评审</w:t>
      </w:r>
      <w:bookmarkEnd w:id="181"/>
    </w:p>
    <w:p w14:paraId="185D1F0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1A0A071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3.1.2 投标人有以下情形之一的，评标委员会应当否决其投标：</w:t>
      </w:r>
    </w:p>
    <w:p w14:paraId="231877B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（1）投标文件没有对招标文件的实质性要求和条件作出响应，或者对招标文件的偏差超出招标文件规定的偏差范围或最高项数；</w:t>
      </w:r>
    </w:p>
    <w:p w14:paraId="02219C8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（2）有串通投标、弄虚作假、行贿等违法行为。</w:t>
      </w:r>
    </w:p>
    <w:p w14:paraId="0329A7B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（3）两个（含两个）以上</w:t>
      </w:r>
      <w:r>
        <w:rPr>
          <w:rFonts w:hint="eastAsia" w:eastAsia="Times New Roman"/>
          <w:sz w:val="24"/>
          <w:highlight w:val="none"/>
        </w:rPr>
        <w:t>投标人加密打包投标文件</w:t>
      </w:r>
      <w:r>
        <w:rPr>
          <w:sz w:val="24"/>
          <w:highlight w:val="none"/>
        </w:rPr>
        <w:t>工程量清单编制</w:t>
      </w:r>
      <w:r>
        <w:rPr>
          <w:rFonts w:hint="eastAsia" w:eastAsia="Times New Roman"/>
          <w:sz w:val="24"/>
          <w:highlight w:val="none"/>
        </w:rPr>
        <w:t>机器</w:t>
      </w:r>
      <w:r>
        <w:rPr>
          <w:sz w:val="24"/>
          <w:highlight w:val="none"/>
        </w:rPr>
        <w:t>硬件信息</w:t>
      </w:r>
      <w:r>
        <w:rPr>
          <w:rFonts w:hint="eastAsia" w:eastAsia="Times New Roman"/>
          <w:sz w:val="24"/>
          <w:highlight w:val="none"/>
        </w:rPr>
        <w:t>一致的</w:t>
      </w:r>
      <w:r>
        <w:rPr>
          <w:sz w:val="24"/>
          <w:highlight w:val="none"/>
        </w:rPr>
        <w:t>。</w:t>
      </w:r>
    </w:p>
    <w:p w14:paraId="5C42BB1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3.1.3 投标报价有算术错误及其他错误的，评标委员会按以下原则要求投标人对投标报价进行修正，并要求投标人书面澄清确认。投标人拒不澄清确认的，评标委员会应当否决其投标：</w:t>
      </w:r>
    </w:p>
    <w:p w14:paraId="6CA4113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（1）投标文件中的大写金额与小写金额不一致的，以大写金额为准；</w:t>
      </w:r>
    </w:p>
    <w:p w14:paraId="02F3395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（2）总价金额与单价金额不一致的，以单价金额为准，但单价金额小数点有明显错误的除外。</w:t>
      </w:r>
    </w:p>
    <w:p w14:paraId="47AA636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outlineLvl w:val="2"/>
        <w:rPr>
          <w:sz w:val="24"/>
          <w:highlight w:val="none"/>
        </w:rPr>
      </w:pPr>
      <w:bookmarkStart w:id="182" w:name="bookmark90"/>
      <w:bookmarkEnd w:id="182"/>
      <w:bookmarkStart w:id="183" w:name="_Toc26732"/>
      <w:r>
        <w:rPr>
          <w:sz w:val="24"/>
          <w:highlight w:val="none"/>
        </w:rPr>
        <w:t>3.2  详细评审</w:t>
      </w:r>
      <w:bookmarkEnd w:id="183"/>
    </w:p>
    <w:p w14:paraId="1DB7791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3.2.1 评标委员会按本章第 2.2 款规定的量化因素和分值进行打分，并计算出综合评估得分。</w:t>
      </w:r>
    </w:p>
    <w:p w14:paraId="11BB6FE4">
      <w:pPr>
        <w:pStyle w:val="12"/>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sz w:val="24"/>
          <w:highlight w:val="none"/>
        </w:rPr>
      </w:pPr>
      <w:r>
        <w:rPr>
          <w:sz w:val="24"/>
          <w:highlight w:val="none"/>
        </w:rPr>
        <w:t>（1）按本章第2.2.4（1）目规定的评审因素和分值对资信业绩部分计算出得分A，</w:t>
      </w:r>
      <w:r>
        <w:rPr>
          <w:sz w:val="24"/>
          <w:highlight w:val="none"/>
          <w:u w:val="single"/>
        </w:rPr>
        <w:t>资信业绩部分评审得分A为各评标专家打分的算术平均值</w:t>
      </w:r>
      <w:r>
        <w:rPr>
          <w:sz w:val="24"/>
          <w:highlight w:val="none"/>
        </w:rPr>
        <w:t>；</w:t>
      </w:r>
    </w:p>
    <w:p w14:paraId="4B3C3022">
      <w:pPr>
        <w:pStyle w:val="12"/>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sz w:val="24"/>
          <w:highlight w:val="none"/>
        </w:rPr>
      </w:pPr>
      <w:r>
        <w:rPr>
          <w:sz w:val="24"/>
          <w:highlight w:val="none"/>
        </w:rPr>
        <w:t>（2）按本章第2.2.4（2）目规定的评审因素和分值对监理大纲部分计算出得分B，</w:t>
      </w:r>
      <w:r>
        <w:rPr>
          <w:sz w:val="24"/>
          <w:highlight w:val="none"/>
          <w:u w:val="single"/>
        </w:rPr>
        <w:fldChar w:fldCharType="begin"/>
      </w:r>
      <w:r>
        <w:rPr>
          <w:sz w:val="24"/>
          <w:highlight w:val="none"/>
          <w:u w:val="single"/>
        </w:rPr>
        <w:instrText xml:space="preserve"> = 1 \* GB3 \* MERGEFORMAT </w:instrText>
      </w:r>
      <w:r>
        <w:rPr>
          <w:sz w:val="24"/>
          <w:highlight w:val="none"/>
          <w:u w:val="single"/>
        </w:rPr>
        <w:fldChar w:fldCharType="separate"/>
      </w:r>
      <w:r>
        <w:rPr>
          <w:highlight w:val="none"/>
          <w:u w:val="single"/>
        </w:rPr>
        <w:t>①</w:t>
      </w:r>
      <w:r>
        <w:rPr>
          <w:highlight w:val="none"/>
          <w:u w:val="single"/>
        </w:rPr>
        <w:fldChar w:fldCharType="end"/>
      </w:r>
      <w:r>
        <w:rPr>
          <w:sz w:val="24"/>
          <w:highlight w:val="none"/>
          <w:u w:val="single"/>
        </w:rPr>
        <w:t>监理大纲部分评审得分</w:t>
      </w:r>
      <w:r>
        <w:rPr>
          <w:sz w:val="24"/>
          <w:highlight w:val="none"/>
        </w:rPr>
        <w:t>B</w:t>
      </w:r>
      <w:r>
        <w:rPr>
          <w:sz w:val="24"/>
          <w:highlight w:val="none"/>
          <w:u w:val="single"/>
        </w:rPr>
        <w:t>为从各评标专家打分中去掉一个最高分和去掉一个最低分后的剩余评标专家打分的算术平均值</w:t>
      </w:r>
      <w:r>
        <w:rPr>
          <w:rFonts w:hint="eastAsia"/>
          <w:sz w:val="24"/>
          <w:highlight w:val="none"/>
          <w:u w:val="single"/>
        </w:rPr>
        <w:t>评分分数出现小数点时，保留小数点后二位，第三位小数四舍五入</w:t>
      </w:r>
      <w:r>
        <w:rPr>
          <w:sz w:val="24"/>
          <w:highlight w:val="none"/>
        </w:rPr>
        <w:t>；</w:t>
      </w:r>
    </w:p>
    <w:p w14:paraId="13D0BC0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（3）按本章第2.2.4（3）目规定的评审因素和分值对投标报价计算出得分C；</w:t>
      </w:r>
    </w:p>
    <w:p w14:paraId="7CCC214E">
      <w:pPr>
        <w:pStyle w:val="12"/>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sz w:val="24"/>
          <w:highlight w:val="none"/>
        </w:rPr>
      </w:pPr>
      <w:r>
        <w:rPr>
          <w:sz w:val="24"/>
          <w:highlight w:val="none"/>
        </w:rPr>
        <w:t>（4）按本章第2.2.4（4）目规定的评审因素和分值对诚信评价计算出得分D。</w:t>
      </w:r>
    </w:p>
    <w:p w14:paraId="443BF64B">
      <w:pPr>
        <w:pStyle w:val="12"/>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sz w:val="24"/>
          <w:highlight w:val="none"/>
        </w:rPr>
      </w:pPr>
      <w:r>
        <w:rPr>
          <w:sz w:val="24"/>
          <w:highlight w:val="none"/>
        </w:rPr>
        <w:t>3.2.2 评分分值计算保留小数点后两位，小数点后第三位“四舍五入”。</w:t>
      </w:r>
    </w:p>
    <w:p w14:paraId="2065A0D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3.2.3 投标人得分=A+B+C+D。</w:t>
      </w:r>
    </w:p>
    <w:p w14:paraId="0523D8F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sz w:val="24"/>
          <w:highlight w:val="none"/>
        </w:rPr>
      </w:pPr>
      <w:r>
        <w:rPr>
          <w:sz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5118F6AE">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cs="宋体"/>
          <w:sz w:val="24"/>
          <w:highlight w:val="none"/>
        </w:rPr>
      </w:pPr>
      <w:bookmarkStart w:id="184" w:name="bookmark91"/>
      <w:bookmarkEnd w:id="184"/>
      <w:bookmarkStart w:id="185" w:name="_Toc21720"/>
      <w:r>
        <w:rPr>
          <w:rFonts w:cs="宋体"/>
          <w:sz w:val="24"/>
          <w:highlight w:val="none"/>
        </w:rPr>
        <w:t>3.3  投标文件的澄清</w:t>
      </w:r>
      <w:bookmarkEnd w:id="185"/>
    </w:p>
    <w:p w14:paraId="3DFA80D9">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cs="宋体"/>
          <w:sz w:val="24"/>
          <w:highlight w:val="none"/>
        </w:rPr>
      </w:pPr>
      <w:r>
        <w:rPr>
          <w:rFonts w:cs="宋体"/>
          <w:sz w:val="24"/>
          <w:highlight w:val="none"/>
        </w:rPr>
        <w:t>3.3.1 在评标过程中，</w:t>
      </w:r>
      <w:r>
        <w:rPr>
          <w:rFonts w:hint="eastAsia"/>
          <w:sz w:val="24"/>
          <w:highlight w:val="none"/>
        </w:rPr>
        <w:t>经评标委员会中两人以上（含两人）以书面形式提出动议，评标委员会</w:t>
      </w:r>
      <w:r>
        <w:rPr>
          <w:rFonts w:cs="宋体"/>
          <w:sz w:val="24"/>
          <w:highlight w:val="none"/>
        </w:rPr>
        <w:t>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14:paraId="6EEF4B53">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cs="宋体"/>
          <w:sz w:val="24"/>
          <w:highlight w:val="none"/>
        </w:rPr>
      </w:pPr>
      <w:r>
        <w:rPr>
          <w:rFonts w:cs="宋体"/>
          <w:sz w:val="24"/>
          <w:highlight w:val="none"/>
        </w:rPr>
        <w:t>3.3.2 澄清、说明或补正不得超出投标文件的范围且不得改变投标文件的实质性内容，并构成投标文件的组成部分。</w:t>
      </w:r>
    </w:p>
    <w:p w14:paraId="7B7AB94A">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cs="宋体"/>
          <w:sz w:val="24"/>
          <w:highlight w:val="none"/>
        </w:rPr>
      </w:pPr>
      <w:r>
        <w:rPr>
          <w:rFonts w:cs="宋体"/>
          <w:sz w:val="24"/>
          <w:highlight w:val="none"/>
        </w:rPr>
        <w:t>3.3.3 评标委员会对投标人提交的澄清、说明或补正有疑问的，可以要求投标人进一步澄清、 说明或补正，直至满足评标委员会的要求。</w:t>
      </w:r>
    </w:p>
    <w:p w14:paraId="75B627DB">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outlineLvl w:val="2"/>
        <w:rPr>
          <w:rFonts w:cs="宋体"/>
          <w:sz w:val="24"/>
          <w:highlight w:val="none"/>
        </w:rPr>
      </w:pPr>
      <w:bookmarkStart w:id="186" w:name="bookmark92"/>
      <w:bookmarkEnd w:id="186"/>
      <w:bookmarkStart w:id="187" w:name="_Toc16013"/>
      <w:r>
        <w:rPr>
          <w:rFonts w:cs="宋体"/>
          <w:sz w:val="24"/>
          <w:highlight w:val="none"/>
        </w:rPr>
        <w:t>3.4  评标结果</w:t>
      </w:r>
      <w:bookmarkEnd w:id="187"/>
    </w:p>
    <w:p w14:paraId="5AFC37D1">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cs="宋体"/>
          <w:sz w:val="24"/>
          <w:highlight w:val="none"/>
        </w:rPr>
      </w:pPr>
      <w:r>
        <w:rPr>
          <w:rFonts w:cs="宋体"/>
          <w:sz w:val="24"/>
          <w:highlight w:val="none"/>
        </w:rPr>
        <w:t>3.4.1 除第二章“投标人须知”前附表授权直接确定中标人外，评标委员会按照得分由高到低 的顺序推荐中标候选人，并标明排序。</w:t>
      </w:r>
    </w:p>
    <w:p w14:paraId="0B154A5A">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cs="宋体"/>
          <w:sz w:val="24"/>
          <w:highlight w:val="none"/>
        </w:rPr>
      </w:pPr>
      <w:r>
        <w:rPr>
          <w:rFonts w:cs="宋体"/>
          <w:sz w:val="24"/>
          <w:highlight w:val="none"/>
        </w:rPr>
        <w:t>3.4.2 评标委员会完成评标后，应当向招标人提交书面评标报告和中标候选人名单。</w:t>
      </w:r>
    </w:p>
    <w:p w14:paraId="776F1DDD">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cs="宋体"/>
          <w:sz w:val="24"/>
          <w:highlight w:val="none"/>
        </w:rPr>
        <w:sectPr>
          <w:headerReference r:id="rId8" w:type="default"/>
          <w:pgSz w:w="11905" w:h="16838"/>
          <w:pgMar w:top="1417" w:right="1417" w:bottom="1417" w:left="1417" w:header="992" w:footer="992" w:gutter="0"/>
          <w:cols w:space="720" w:num="1"/>
        </w:sectPr>
      </w:pPr>
    </w:p>
    <w:p w14:paraId="5EA12616">
      <w:pPr>
        <w:pStyle w:val="5"/>
        <w:rPr>
          <w:rFonts w:cs="宋体"/>
          <w:sz w:val="44"/>
          <w:highlight w:val="none"/>
        </w:rPr>
      </w:pPr>
      <w:bookmarkStart w:id="188" w:name="bookmark93"/>
      <w:bookmarkEnd w:id="188"/>
      <w:bookmarkStart w:id="189" w:name="_Toc15665"/>
      <w:r>
        <w:rPr>
          <w:rFonts w:cs="宋体"/>
          <w:sz w:val="44"/>
          <w:highlight w:val="none"/>
        </w:rPr>
        <w:t>第四章 合同条款及格式</w:t>
      </w:r>
      <w:bookmarkEnd w:id="189"/>
    </w:p>
    <w:p w14:paraId="3C8B097D">
      <w:pPr>
        <w:pStyle w:val="12"/>
        <w:kinsoku w:val="0"/>
        <w:overflowPunct w:val="0"/>
        <w:ind w:left="0"/>
        <w:rPr>
          <w:rFonts w:ascii="Microsoft JhengHei" w:hAnsi="Microsoft JhengHei" w:eastAsia="Microsoft JhengHei"/>
          <w:b/>
          <w:sz w:val="20"/>
          <w:highlight w:val="none"/>
        </w:rPr>
      </w:pPr>
    </w:p>
    <w:p w14:paraId="1B6BB1DC">
      <w:pPr>
        <w:snapToGrid w:val="0"/>
        <w:spacing w:line="300" w:lineRule="auto"/>
        <w:jc w:val="center"/>
        <w:rPr>
          <w:rFonts w:ascii="Calibri" w:hAnsi="宋体"/>
          <w:b/>
          <w:bCs/>
          <w:sz w:val="28"/>
          <w:szCs w:val="28"/>
          <w:highlight w:val="none"/>
        </w:rPr>
      </w:pPr>
    </w:p>
    <w:p w14:paraId="3F430ADF">
      <w:pPr>
        <w:snapToGrid w:val="0"/>
        <w:spacing w:line="300" w:lineRule="auto"/>
        <w:jc w:val="center"/>
        <w:rPr>
          <w:rFonts w:ascii="Calibri" w:hAnsi="Calibri"/>
          <w:b/>
          <w:bCs/>
          <w:sz w:val="28"/>
          <w:szCs w:val="28"/>
          <w:highlight w:val="none"/>
        </w:rPr>
      </w:pPr>
      <w:r>
        <w:rPr>
          <w:rFonts w:ascii="Calibri" w:hAnsi="宋体"/>
          <w:b/>
          <w:bCs/>
          <w:sz w:val="28"/>
          <w:szCs w:val="28"/>
          <w:highlight w:val="none"/>
        </w:rPr>
        <w:t>水利工程建设监理合同书</w:t>
      </w:r>
      <w:r>
        <w:rPr>
          <w:rFonts w:ascii="Calibri" w:hAnsi="Calibri"/>
          <w:b/>
          <w:bCs/>
          <w:sz w:val="28"/>
          <w:szCs w:val="28"/>
          <w:highlight w:val="none"/>
        </w:rPr>
        <w:t>(</w:t>
      </w:r>
      <w:r>
        <w:rPr>
          <w:rFonts w:ascii="Calibri" w:hAnsi="宋体"/>
          <w:b/>
          <w:bCs/>
          <w:sz w:val="28"/>
          <w:szCs w:val="28"/>
          <w:highlight w:val="none"/>
        </w:rPr>
        <w:t>格式</w:t>
      </w:r>
      <w:r>
        <w:rPr>
          <w:rFonts w:ascii="Calibri" w:hAnsi="Calibri"/>
          <w:b/>
          <w:bCs/>
          <w:sz w:val="28"/>
          <w:szCs w:val="28"/>
          <w:highlight w:val="none"/>
        </w:rPr>
        <w:t>)</w:t>
      </w:r>
    </w:p>
    <w:p w14:paraId="2076606A">
      <w:pPr>
        <w:snapToGrid w:val="0"/>
        <w:spacing w:before="100" w:beforeAutospacing="1" w:after="100" w:afterAutospacing="1" w:line="360" w:lineRule="auto"/>
        <w:jc w:val="both"/>
        <w:rPr>
          <w:rFonts w:ascii="Calibri" w:hAnsi="Calibri"/>
          <w:szCs w:val="22"/>
          <w:highlight w:val="none"/>
        </w:rPr>
      </w:pPr>
      <w:r>
        <w:rPr>
          <w:rFonts w:ascii="Calibri" w:hAnsi="宋体"/>
          <w:szCs w:val="22"/>
          <w:highlight w:val="none"/>
        </w:rPr>
        <w:t>发包人：</w:t>
      </w:r>
      <w:r>
        <w:rPr>
          <w:rFonts w:asciiTheme="minorEastAsia" w:hAnsiTheme="minorEastAsia" w:eastAsiaTheme="minorEastAsia"/>
          <w:szCs w:val="22"/>
          <w:highlight w:val="none"/>
          <w:u w:val="single"/>
        </w:rPr>
        <w:t xml:space="preserve">                                           </w:t>
      </w:r>
    </w:p>
    <w:p w14:paraId="2C803DE3">
      <w:pPr>
        <w:snapToGrid w:val="0"/>
        <w:spacing w:before="100" w:beforeAutospacing="1" w:after="100" w:afterAutospacing="1" w:line="360" w:lineRule="auto"/>
        <w:jc w:val="both"/>
        <w:rPr>
          <w:rFonts w:ascii="Calibri" w:hAnsi="Calibri"/>
          <w:szCs w:val="22"/>
          <w:highlight w:val="none"/>
        </w:rPr>
      </w:pPr>
      <w:r>
        <w:rPr>
          <w:rFonts w:ascii="Calibri" w:hAnsi="宋体"/>
          <w:szCs w:val="22"/>
          <w:highlight w:val="none"/>
        </w:rPr>
        <w:t>监理人</w:t>
      </w:r>
      <w:r>
        <w:rPr>
          <w:rFonts w:asciiTheme="minorEastAsia" w:hAnsiTheme="minorEastAsia" w:eastAsiaTheme="minorEastAsia"/>
          <w:szCs w:val="22"/>
          <w:highlight w:val="none"/>
          <w:u w:val="single"/>
        </w:rPr>
        <w:t xml:space="preserve">：                                           </w:t>
      </w:r>
    </w:p>
    <w:p w14:paraId="0CF33D79">
      <w:pPr>
        <w:snapToGrid w:val="0"/>
        <w:spacing w:before="100" w:beforeAutospacing="1" w:after="100" w:afterAutospacing="1" w:line="360" w:lineRule="auto"/>
        <w:jc w:val="both"/>
        <w:rPr>
          <w:rFonts w:ascii="Calibri" w:hAnsi="Calibri"/>
          <w:szCs w:val="22"/>
          <w:highlight w:val="none"/>
          <w:u w:val="single"/>
        </w:rPr>
      </w:pPr>
      <w:r>
        <w:rPr>
          <w:rFonts w:hint="eastAsia" w:ascii="Calibri" w:hAnsi="宋体"/>
          <w:szCs w:val="22"/>
          <w:highlight w:val="none"/>
        </w:rPr>
        <w:t>签订</w:t>
      </w:r>
      <w:r>
        <w:rPr>
          <w:rFonts w:ascii="Calibri" w:hAnsi="宋体"/>
          <w:szCs w:val="22"/>
          <w:highlight w:val="none"/>
        </w:rPr>
        <w:t>地点：</w:t>
      </w:r>
      <w:r>
        <w:rPr>
          <w:rFonts w:asciiTheme="minorEastAsia" w:hAnsiTheme="minorEastAsia" w:eastAsiaTheme="minorEastAsia"/>
          <w:szCs w:val="22"/>
          <w:highlight w:val="none"/>
          <w:u w:val="single"/>
        </w:rPr>
        <w:t xml:space="preserve">                                         </w:t>
      </w:r>
    </w:p>
    <w:p w14:paraId="24342B41">
      <w:pPr>
        <w:snapToGrid w:val="0"/>
        <w:spacing w:line="360" w:lineRule="auto"/>
        <w:jc w:val="both"/>
        <w:rPr>
          <w:rFonts w:ascii="Calibri" w:hAnsi="Calibri"/>
          <w:szCs w:val="22"/>
          <w:highlight w:val="none"/>
        </w:rPr>
      </w:pPr>
      <w:r>
        <w:rPr>
          <w:rFonts w:hint="eastAsia" w:ascii="Calibri" w:hAnsi="宋体"/>
          <w:szCs w:val="22"/>
          <w:highlight w:val="none"/>
        </w:rPr>
        <w:t>签订</w:t>
      </w:r>
      <w:r>
        <w:rPr>
          <w:rFonts w:ascii="Calibri" w:hAnsi="宋体"/>
          <w:szCs w:val="22"/>
          <w:highlight w:val="none"/>
        </w:rPr>
        <w:t>时间：</w:t>
      </w:r>
      <w:r>
        <w:rPr>
          <w:rFonts w:asciiTheme="minorEastAsia" w:hAnsiTheme="minorEastAsia" w:eastAsiaTheme="minorEastAsia"/>
          <w:szCs w:val="22"/>
          <w:highlight w:val="none"/>
          <w:u w:val="single"/>
        </w:rPr>
        <w:t xml:space="preserve">        </w:t>
      </w:r>
      <w:r>
        <w:rPr>
          <w:rFonts w:ascii="Calibri" w:hAnsi="宋体"/>
          <w:szCs w:val="22"/>
          <w:highlight w:val="none"/>
        </w:rPr>
        <w:t>年</w:t>
      </w:r>
      <w:r>
        <w:rPr>
          <w:rFonts w:asciiTheme="minorEastAsia" w:hAnsiTheme="minorEastAsia" w:eastAsiaTheme="minorEastAsia"/>
          <w:szCs w:val="22"/>
          <w:highlight w:val="none"/>
          <w:u w:val="single"/>
        </w:rPr>
        <w:t xml:space="preserve">    </w:t>
      </w:r>
      <w:r>
        <w:rPr>
          <w:rFonts w:ascii="Calibri" w:hAnsi="宋体"/>
          <w:szCs w:val="22"/>
          <w:highlight w:val="none"/>
        </w:rPr>
        <w:t>月</w:t>
      </w:r>
      <w:r>
        <w:rPr>
          <w:rFonts w:asciiTheme="minorEastAsia" w:hAnsiTheme="minorEastAsia" w:eastAsiaTheme="minorEastAsia"/>
          <w:szCs w:val="22"/>
          <w:highlight w:val="none"/>
          <w:u w:val="single"/>
        </w:rPr>
        <w:t xml:space="preserve">    </w:t>
      </w:r>
      <w:r>
        <w:rPr>
          <w:rFonts w:ascii="Calibri" w:hAnsi="宋体"/>
          <w:szCs w:val="22"/>
          <w:highlight w:val="none"/>
        </w:rPr>
        <w:t>日</w:t>
      </w:r>
    </w:p>
    <w:p w14:paraId="6E33DD80">
      <w:pPr>
        <w:snapToGrid w:val="0"/>
        <w:spacing w:line="360" w:lineRule="auto"/>
        <w:ind w:firstLine="480" w:firstLineChars="200"/>
        <w:jc w:val="both"/>
        <w:rPr>
          <w:rFonts w:ascii="Calibri" w:hAnsi="宋体"/>
          <w:szCs w:val="22"/>
          <w:highlight w:val="none"/>
        </w:rPr>
      </w:pPr>
    </w:p>
    <w:p w14:paraId="332E917D">
      <w:pPr>
        <w:snapToGrid w:val="0"/>
        <w:spacing w:line="360" w:lineRule="auto"/>
        <w:ind w:firstLine="480" w:firstLineChars="200"/>
        <w:jc w:val="both"/>
        <w:rPr>
          <w:rFonts w:ascii="Calibri" w:hAnsi="Calibri"/>
          <w:szCs w:val="22"/>
          <w:highlight w:val="none"/>
        </w:rPr>
      </w:pPr>
      <w:r>
        <w:rPr>
          <w:rFonts w:ascii="Calibri" w:hAnsi="宋体"/>
          <w:szCs w:val="22"/>
          <w:highlight w:val="none"/>
        </w:rPr>
        <w:t>依据《中华人民共和国</w:t>
      </w:r>
      <w:r>
        <w:rPr>
          <w:rFonts w:hint="eastAsia" w:ascii="Calibri" w:hAnsi="宋体"/>
          <w:szCs w:val="22"/>
          <w:highlight w:val="none"/>
        </w:rPr>
        <w:t>民</w:t>
      </w:r>
      <w:r>
        <w:rPr>
          <w:rFonts w:ascii="Calibri" w:hAnsi="宋体"/>
          <w:szCs w:val="22"/>
          <w:highlight w:val="none"/>
        </w:rPr>
        <w:t>法</w:t>
      </w:r>
      <w:r>
        <w:rPr>
          <w:rFonts w:hint="eastAsia" w:ascii="Calibri" w:hAnsi="宋体"/>
          <w:szCs w:val="22"/>
          <w:highlight w:val="none"/>
        </w:rPr>
        <w:t>典</w:t>
      </w:r>
      <w:r>
        <w:rPr>
          <w:rFonts w:ascii="Calibri" w:hAnsi="宋体"/>
          <w:szCs w:val="22"/>
          <w:highlight w:val="none"/>
        </w:rPr>
        <w:t>》</w:t>
      </w:r>
      <w:r>
        <w:rPr>
          <w:rFonts w:ascii="Calibri" w:hAnsi="Calibri"/>
          <w:szCs w:val="22"/>
          <w:highlight w:val="none"/>
          <w:u w:val="single"/>
        </w:rPr>
        <w:t xml:space="preserve"> (</w:t>
      </w:r>
      <w:r>
        <w:rPr>
          <w:rFonts w:ascii="Calibri" w:hAnsi="宋体"/>
          <w:szCs w:val="22"/>
          <w:highlight w:val="none"/>
          <w:u w:val="single"/>
        </w:rPr>
        <w:t>以下简称发包人</w:t>
      </w:r>
      <w:r>
        <w:rPr>
          <w:rFonts w:ascii="Calibri" w:hAnsi="Calibri"/>
          <w:szCs w:val="22"/>
          <w:highlight w:val="none"/>
          <w:u w:val="single"/>
        </w:rPr>
        <w:t>)</w:t>
      </w:r>
      <w:r>
        <w:rPr>
          <w:rFonts w:ascii="Calibri" w:hAnsi="Calibri"/>
          <w:szCs w:val="22"/>
          <w:highlight w:val="none"/>
        </w:rPr>
        <w:t xml:space="preserve"> </w:t>
      </w:r>
      <w:r>
        <w:rPr>
          <w:rFonts w:ascii="Calibri" w:hAnsi="宋体"/>
          <w:szCs w:val="22"/>
          <w:highlight w:val="none"/>
        </w:rPr>
        <w:t>与</w:t>
      </w:r>
      <w:r>
        <w:rPr>
          <w:rFonts w:ascii="Calibri" w:hAnsi="Calibri"/>
          <w:szCs w:val="22"/>
          <w:highlight w:val="none"/>
          <w:u w:val="single"/>
        </w:rPr>
        <w:t>(</w:t>
      </w:r>
      <w:r>
        <w:rPr>
          <w:rFonts w:ascii="Calibri" w:hAnsi="宋体"/>
          <w:szCs w:val="22"/>
          <w:highlight w:val="none"/>
          <w:u w:val="single"/>
        </w:rPr>
        <w:t>以下简称监理人</w:t>
      </w:r>
      <w:r>
        <w:rPr>
          <w:rFonts w:ascii="Calibri" w:hAnsi="Calibri"/>
          <w:szCs w:val="22"/>
          <w:highlight w:val="none"/>
          <w:u w:val="single"/>
        </w:rPr>
        <w:t>)</w:t>
      </w:r>
      <w:r>
        <w:rPr>
          <w:rFonts w:ascii="Calibri" w:hAnsi="宋体"/>
          <w:szCs w:val="22"/>
          <w:highlight w:val="none"/>
        </w:rPr>
        <w:t>，就本项工程建设有关事项，经双方协商一致，订立本合同。</w:t>
      </w:r>
    </w:p>
    <w:p w14:paraId="6564DB39">
      <w:pPr>
        <w:snapToGrid w:val="0"/>
        <w:spacing w:line="360" w:lineRule="auto"/>
        <w:ind w:firstLine="480" w:firstLineChars="200"/>
        <w:jc w:val="both"/>
        <w:rPr>
          <w:rFonts w:ascii="Calibri" w:hAnsi="Calibri"/>
          <w:szCs w:val="22"/>
          <w:highlight w:val="none"/>
        </w:rPr>
      </w:pPr>
      <w:r>
        <w:rPr>
          <w:rFonts w:ascii="Calibri" w:hAnsi="宋体"/>
          <w:szCs w:val="22"/>
          <w:highlight w:val="none"/>
        </w:rPr>
        <w:t>一、发包人委托监理人按本建设监理合同要求进行项目的建设监理。</w:t>
      </w:r>
    </w:p>
    <w:p w14:paraId="79AF1020">
      <w:pPr>
        <w:snapToGrid w:val="0"/>
        <w:spacing w:line="360" w:lineRule="auto"/>
        <w:ind w:firstLine="480" w:firstLineChars="200"/>
        <w:jc w:val="both"/>
        <w:rPr>
          <w:rFonts w:ascii="Calibri" w:hAnsi="Calibri"/>
          <w:szCs w:val="22"/>
          <w:highlight w:val="none"/>
        </w:rPr>
      </w:pPr>
      <w:r>
        <w:rPr>
          <w:rFonts w:hint="eastAsia" w:ascii="Calibri" w:hAnsi="Calibri"/>
          <w:szCs w:val="22"/>
          <w:highlight w:val="none"/>
        </w:rPr>
        <w:t>（一）</w:t>
      </w:r>
      <w:r>
        <w:rPr>
          <w:rFonts w:ascii="Calibri" w:hAnsi="宋体"/>
          <w:szCs w:val="22"/>
          <w:highlight w:val="none"/>
        </w:rPr>
        <w:t>工程概况：</w:t>
      </w:r>
    </w:p>
    <w:p w14:paraId="51164C09">
      <w:pPr>
        <w:snapToGrid w:val="0"/>
        <w:spacing w:line="360" w:lineRule="auto"/>
        <w:ind w:firstLine="480" w:firstLineChars="200"/>
        <w:jc w:val="both"/>
        <w:rPr>
          <w:rFonts w:ascii="Calibri" w:hAnsi="Calibri"/>
          <w:szCs w:val="22"/>
          <w:highlight w:val="none"/>
          <w:u w:val="single"/>
        </w:rPr>
      </w:pPr>
      <w:r>
        <w:rPr>
          <w:rFonts w:ascii="Calibri" w:hAnsi="Calibri"/>
          <w:szCs w:val="22"/>
          <w:highlight w:val="none"/>
        </w:rPr>
        <w:t>1.</w:t>
      </w:r>
      <w:r>
        <w:rPr>
          <w:rFonts w:ascii="Calibri" w:hAnsi="宋体"/>
          <w:szCs w:val="22"/>
          <w:highlight w:val="none"/>
        </w:rPr>
        <w:t>工程名称：</w:t>
      </w:r>
      <w:r>
        <w:rPr>
          <w:rFonts w:asciiTheme="minorEastAsia" w:hAnsiTheme="minorEastAsia" w:eastAsiaTheme="minorEastAsia"/>
          <w:szCs w:val="22"/>
          <w:highlight w:val="none"/>
          <w:u w:val="single"/>
        </w:rPr>
        <w:t xml:space="preserve">                    </w:t>
      </w:r>
    </w:p>
    <w:p w14:paraId="171BF0A3">
      <w:pPr>
        <w:snapToGrid w:val="0"/>
        <w:spacing w:line="360" w:lineRule="auto"/>
        <w:ind w:firstLine="480" w:firstLineChars="200"/>
        <w:jc w:val="both"/>
        <w:rPr>
          <w:rFonts w:ascii="Calibri" w:hAnsi="Calibri"/>
          <w:szCs w:val="22"/>
          <w:highlight w:val="none"/>
          <w:u w:val="single"/>
        </w:rPr>
      </w:pPr>
      <w:r>
        <w:rPr>
          <w:rFonts w:ascii="Calibri" w:hAnsi="Calibri"/>
          <w:szCs w:val="22"/>
          <w:highlight w:val="none"/>
        </w:rPr>
        <w:t>2.</w:t>
      </w:r>
      <w:r>
        <w:rPr>
          <w:rFonts w:ascii="Calibri" w:hAnsi="宋体"/>
          <w:szCs w:val="22"/>
          <w:highlight w:val="none"/>
        </w:rPr>
        <w:t>工程地点</w:t>
      </w:r>
      <w:r>
        <w:rPr>
          <w:rFonts w:asciiTheme="minorEastAsia" w:hAnsiTheme="minorEastAsia" w:eastAsiaTheme="minorEastAsia"/>
          <w:szCs w:val="22"/>
          <w:highlight w:val="none"/>
          <w:u w:val="single"/>
        </w:rPr>
        <w:t xml:space="preserve">：                    </w:t>
      </w:r>
    </w:p>
    <w:p w14:paraId="22F510AA">
      <w:pPr>
        <w:snapToGrid w:val="0"/>
        <w:spacing w:line="360" w:lineRule="auto"/>
        <w:ind w:firstLine="480" w:firstLineChars="200"/>
        <w:jc w:val="both"/>
        <w:rPr>
          <w:rFonts w:ascii="Calibri" w:hAnsi="Calibri"/>
          <w:szCs w:val="22"/>
          <w:highlight w:val="none"/>
          <w:u w:val="single"/>
        </w:rPr>
      </w:pPr>
      <w:r>
        <w:rPr>
          <w:rFonts w:ascii="Calibri" w:hAnsi="Calibri"/>
          <w:szCs w:val="22"/>
          <w:highlight w:val="none"/>
        </w:rPr>
        <w:t>3.</w:t>
      </w:r>
      <w:r>
        <w:rPr>
          <w:rFonts w:ascii="Calibri" w:hAnsi="宋体"/>
          <w:szCs w:val="22"/>
          <w:highlight w:val="none"/>
        </w:rPr>
        <w:t>工程规模及特性：</w:t>
      </w:r>
      <w:r>
        <w:rPr>
          <w:rFonts w:asciiTheme="minorEastAsia" w:hAnsiTheme="minorEastAsia" w:eastAsiaTheme="minorEastAsia"/>
          <w:szCs w:val="22"/>
          <w:highlight w:val="none"/>
          <w:u w:val="single"/>
        </w:rPr>
        <w:t xml:space="preserve">              </w:t>
      </w:r>
    </w:p>
    <w:p w14:paraId="5ED8FD0C">
      <w:pPr>
        <w:snapToGrid w:val="0"/>
        <w:spacing w:line="360" w:lineRule="auto"/>
        <w:ind w:firstLine="480" w:firstLineChars="200"/>
        <w:jc w:val="both"/>
        <w:rPr>
          <w:rFonts w:ascii="Calibri" w:hAnsi="Calibri"/>
          <w:szCs w:val="22"/>
          <w:highlight w:val="none"/>
          <w:u w:val="single"/>
        </w:rPr>
      </w:pPr>
      <w:r>
        <w:rPr>
          <w:rFonts w:ascii="Calibri" w:hAnsi="Calibri"/>
          <w:szCs w:val="22"/>
          <w:highlight w:val="none"/>
        </w:rPr>
        <w:t>4.</w:t>
      </w:r>
      <w:r>
        <w:rPr>
          <w:rFonts w:ascii="Calibri" w:hAnsi="宋体"/>
          <w:szCs w:val="22"/>
          <w:highlight w:val="none"/>
        </w:rPr>
        <w:t>工程总投资：</w:t>
      </w:r>
      <w:r>
        <w:rPr>
          <w:rFonts w:ascii="Calibri" w:hAnsi="Calibri"/>
          <w:szCs w:val="22"/>
          <w:highlight w:val="none"/>
        </w:rPr>
        <w:t xml:space="preserve"> </w:t>
      </w:r>
      <w:r>
        <w:rPr>
          <w:rFonts w:ascii="Calibri" w:hAnsi="宋体"/>
          <w:szCs w:val="22"/>
          <w:highlight w:val="none"/>
        </w:rPr>
        <w:t>静态：</w:t>
      </w:r>
      <w:r>
        <w:rPr>
          <w:rFonts w:asciiTheme="minorEastAsia" w:hAnsiTheme="minorEastAsia" w:eastAsiaTheme="minorEastAsia"/>
          <w:szCs w:val="22"/>
          <w:highlight w:val="none"/>
          <w:u w:val="single"/>
        </w:rPr>
        <w:t xml:space="preserve">           </w:t>
      </w:r>
    </w:p>
    <w:p w14:paraId="66125D03">
      <w:pPr>
        <w:snapToGrid w:val="0"/>
        <w:spacing w:line="360" w:lineRule="auto"/>
        <w:ind w:firstLine="480" w:firstLineChars="200"/>
        <w:jc w:val="both"/>
        <w:rPr>
          <w:rFonts w:ascii="Calibri" w:hAnsi="Calibri"/>
          <w:szCs w:val="22"/>
          <w:highlight w:val="none"/>
          <w:u w:val="single"/>
        </w:rPr>
      </w:pPr>
      <w:r>
        <w:rPr>
          <w:rFonts w:ascii="Calibri" w:hAnsi="Calibri"/>
          <w:szCs w:val="22"/>
          <w:highlight w:val="none"/>
        </w:rPr>
        <w:t>5.</w:t>
      </w:r>
      <w:r>
        <w:rPr>
          <w:rFonts w:ascii="Calibri" w:hAnsi="宋体"/>
          <w:szCs w:val="22"/>
          <w:highlight w:val="none"/>
        </w:rPr>
        <w:t>工程总工期：</w:t>
      </w:r>
      <w:r>
        <w:rPr>
          <w:rFonts w:asciiTheme="minorEastAsia" w:hAnsiTheme="minorEastAsia" w:eastAsiaTheme="minorEastAsia"/>
          <w:szCs w:val="22"/>
          <w:highlight w:val="none"/>
          <w:u w:val="single"/>
        </w:rPr>
        <w:t xml:space="preserve">                  </w:t>
      </w:r>
    </w:p>
    <w:p w14:paraId="3EBCC02C">
      <w:pPr>
        <w:snapToGrid w:val="0"/>
        <w:spacing w:line="360" w:lineRule="auto"/>
        <w:ind w:firstLine="480" w:firstLineChars="200"/>
        <w:jc w:val="both"/>
        <w:rPr>
          <w:rFonts w:ascii="Calibri" w:hAnsi="Calibri"/>
          <w:szCs w:val="22"/>
          <w:highlight w:val="none"/>
        </w:rPr>
      </w:pPr>
      <w:r>
        <w:rPr>
          <w:rFonts w:hint="eastAsia" w:ascii="Calibri" w:hAnsi="Calibri"/>
          <w:szCs w:val="22"/>
          <w:highlight w:val="none"/>
        </w:rPr>
        <w:t>（二）</w:t>
      </w:r>
      <w:r>
        <w:rPr>
          <w:rFonts w:ascii="Calibri" w:hAnsi="宋体"/>
          <w:szCs w:val="22"/>
          <w:highlight w:val="none"/>
        </w:rPr>
        <w:t>监理范围：按照专用合同条款中约定的范围承担监理业务。</w:t>
      </w:r>
    </w:p>
    <w:p w14:paraId="6FF4F193">
      <w:pPr>
        <w:snapToGrid w:val="0"/>
        <w:spacing w:line="360" w:lineRule="auto"/>
        <w:ind w:firstLine="480" w:firstLineChars="200"/>
        <w:jc w:val="both"/>
        <w:rPr>
          <w:rFonts w:ascii="Calibri" w:hAnsi="Calibri"/>
          <w:szCs w:val="22"/>
          <w:highlight w:val="none"/>
        </w:rPr>
      </w:pPr>
      <w:r>
        <w:rPr>
          <w:rFonts w:hint="eastAsia" w:ascii="Calibri" w:hAnsi="Calibri"/>
          <w:szCs w:val="22"/>
          <w:highlight w:val="none"/>
        </w:rPr>
        <w:t>（三）</w:t>
      </w:r>
      <w:r>
        <w:rPr>
          <w:rFonts w:ascii="Calibri" w:hAnsi="宋体"/>
          <w:szCs w:val="22"/>
          <w:highlight w:val="none"/>
        </w:rPr>
        <w:t>监理内容：按照专用合同条款中约定的内容承担监理业务。</w:t>
      </w:r>
    </w:p>
    <w:p w14:paraId="5E2AD777">
      <w:pPr>
        <w:snapToGrid w:val="0"/>
        <w:spacing w:line="360" w:lineRule="auto"/>
        <w:ind w:firstLine="480" w:firstLineChars="200"/>
        <w:jc w:val="both"/>
        <w:rPr>
          <w:rFonts w:ascii="Calibri" w:hAnsi="Calibri"/>
          <w:szCs w:val="22"/>
          <w:highlight w:val="none"/>
        </w:rPr>
      </w:pPr>
      <w:r>
        <w:rPr>
          <w:rFonts w:hint="eastAsia" w:ascii="Calibri" w:hAnsi="Calibri"/>
          <w:szCs w:val="22"/>
          <w:highlight w:val="none"/>
        </w:rPr>
        <w:t>（四）</w:t>
      </w:r>
      <w:r>
        <w:rPr>
          <w:rFonts w:ascii="Calibri" w:hAnsi="宋体"/>
          <w:szCs w:val="22"/>
          <w:highlight w:val="none"/>
        </w:rPr>
        <w:t>工程建设监理的期限自</w:t>
      </w:r>
      <w:r>
        <w:rPr>
          <w:rFonts w:hint="eastAsia" w:ascii="Calibri" w:hAnsi="宋体"/>
          <w:szCs w:val="22"/>
          <w:highlight w:val="none"/>
        </w:rPr>
        <w:t>合同签订</w:t>
      </w:r>
      <w:r>
        <w:rPr>
          <w:rFonts w:ascii="Calibri" w:hAnsi="宋体"/>
          <w:szCs w:val="22"/>
          <w:highlight w:val="none"/>
        </w:rPr>
        <w:t>之日起至竣工验收之日止。</w:t>
      </w:r>
    </w:p>
    <w:p w14:paraId="14FB4980">
      <w:pPr>
        <w:snapToGrid w:val="0"/>
        <w:spacing w:line="360" w:lineRule="auto"/>
        <w:ind w:firstLine="480" w:firstLineChars="200"/>
        <w:jc w:val="both"/>
        <w:rPr>
          <w:rFonts w:ascii="Calibri" w:hAnsi="Calibri"/>
          <w:szCs w:val="22"/>
          <w:highlight w:val="none"/>
        </w:rPr>
      </w:pPr>
      <w:r>
        <w:rPr>
          <w:rFonts w:hint="eastAsia" w:ascii="Calibri" w:hAnsi="Calibri"/>
          <w:szCs w:val="22"/>
          <w:highlight w:val="none"/>
        </w:rPr>
        <w:t>（五）</w:t>
      </w:r>
      <w:r>
        <w:rPr>
          <w:rFonts w:ascii="Calibri" w:hAnsi="宋体"/>
          <w:szCs w:val="22"/>
          <w:highlight w:val="none"/>
        </w:rPr>
        <w:t>建设监理报酬为</w:t>
      </w:r>
      <w:r>
        <w:rPr>
          <w:rFonts w:asciiTheme="minorEastAsia" w:hAnsiTheme="minorEastAsia" w:eastAsiaTheme="minorEastAsia"/>
          <w:szCs w:val="22"/>
          <w:highlight w:val="none"/>
          <w:u w:val="single"/>
        </w:rPr>
        <w:t xml:space="preserve">       </w:t>
      </w:r>
      <w:r>
        <w:rPr>
          <w:rFonts w:ascii="Calibri" w:hAnsi="宋体"/>
          <w:szCs w:val="22"/>
          <w:highlight w:val="none"/>
        </w:rPr>
        <w:t>元，由发包人按本专用合同条款约定的方式、时间向监理人结算支付。</w:t>
      </w:r>
    </w:p>
    <w:p w14:paraId="6ECC9C6F">
      <w:pPr>
        <w:snapToGrid w:val="0"/>
        <w:spacing w:line="360" w:lineRule="auto"/>
        <w:ind w:firstLine="480" w:firstLineChars="200"/>
        <w:jc w:val="both"/>
        <w:rPr>
          <w:rFonts w:ascii="Calibri" w:hAnsi="Calibri"/>
          <w:szCs w:val="22"/>
          <w:highlight w:val="none"/>
        </w:rPr>
      </w:pPr>
      <w:r>
        <w:rPr>
          <w:rFonts w:ascii="Calibri" w:hAnsi="Calibri"/>
          <w:szCs w:val="22"/>
          <w:highlight w:val="none"/>
        </w:rPr>
        <w:t>（六）因工程建设计划调整、较大的工程设计变更、不良地质条件等非监理人原因致使本合同约定的服务范围、内容和服务形式发生较大变化时，委托人有权对监理服务范围、内容和服务形式、监理服务期限进行调整，监理人不得拒绝，监理服务酬金按照实际完成的监理工作的正常服务费用计取。</w:t>
      </w:r>
    </w:p>
    <w:p w14:paraId="58AFBE06">
      <w:pPr>
        <w:snapToGrid w:val="0"/>
        <w:spacing w:line="360" w:lineRule="auto"/>
        <w:ind w:firstLine="480" w:firstLineChars="200"/>
        <w:jc w:val="both"/>
        <w:rPr>
          <w:rFonts w:ascii="Calibri" w:hAnsi="Calibri"/>
          <w:szCs w:val="22"/>
          <w:highlight w:val="none"/>
        </w:rPr>
      </w:pPr>
      <w:r>
        <w:rPr>
          <w:rFonts w:hAnsi="宋体"/>
          <w:kern w:val="2"/>
          <w:highlight w:val="none"/>
        </w:rPr>
        <w:t>（七）监理人投入本合同工作的监理组织机构概况</w:t>
      </w:r>
    </w:p>
    <w:p w14:paraId="7DC60F35">
      <w:pPr>
        <w:autoSpaceDE/>
        <w:autoSpaceDN/>
        <w:snapToGrid w:val="0"/>
        <w:spacing w:line="360" w:lineRule="auto"/>
        <w:ind w:firstLine="480" w:firstLineChars="200"/>
        <w:jc w:val="both"/>
        <w:rPr>
          <w:rFonts w:hAnsi="Calibri"/>
          <w:kern w:val="2"/>
          <w:highlight w:val="none"/>
          <w:u w:val="single"/>
        </w:rPr>
      </w:pPr>
      <w:r>
        <w:rPr>
          <w:rFonts w:hAnsi="宋体"/>
          <w:kern w:val="2"/>
          <w:highlight w:val="none"/>
        </w:rPr>
        <w:t>现场机构名称：</w:t>
      </w:r>
      <w:r>
        <w:rPr>
          <w:rFonts w:asciiTheme="minorEastAsia" w:hAnsiTheme="minorEastAsia" w:eastAsiaTheme="minorEastAsia"/>
          <w:szCs w:val="22"/>
          <w:highlight w:val="none"/>
          <w:u w:val="single"/>
        </w:rPr>
        <w:t xml:space="preserve">                        </w:t>
      </w:r>
    </w:p>
    <w:p w14:paraId="1A02F920">
      <w:pPr>
        <w:autoSpaceDE/>
        <w:autoSpaceDN/>
        <w:snapToGrid w:val="0"/>
        <w:spacing w:line="360" w:lineRule="auto"/>
        <w:ind w:firstLine="480" w:firstLineChars="200"/>
        <w:jc w:val="both"/>
        <w:rPr>
          <w:rFonts w:hAnsi="Calibri"/>
          <w:kern w:val="2"/>
          <w:highlight w:val="none"/>
        </w:rPr>
      </w:pPr>
      <w:r>
        <w:rPr>
          <w:rFonts w:hAnsi="宋体"/>
          <w:kern w:val="2"/>
          <w:highlight w:val="none"/>
        </w:rPr>
        <w:t>总监理工程师：</w:t>
      </w:r>
      <w:r>
        <w:rPr>
          <w:rFonts w:asciiTheme="minorEastAsia" w:hAnsiTheme="minorEastAsia" w:eastAsiaTheme="minorEastAsia"/>
          <w:szCs w:val="22"/>
          <w:highlight w:val="none"/>
          <w:u w:val="single"/>
        </w:rPr>
        <w:t xml:space="preserve">                        </w:t>
      </w:r>
      <w:r>
        <w:rPr>
          <w:rFonts w:hAnsi="宋体"/>
          <w:kern w:val="2"/>
          <w:highlight w:val="none"/>
        </w:rPr>
        <w:t>（附资历表）</w:t>
      </w:r>
      <w:r>
        <w:rPr>
          <w:rFonts w:hAnsi="Calibri"/>
          <w:kern w:val="2"/>
          <w:highlight w:val="none"/>
        </w:rPr>
        <w:t xml:space="preserve"> </w:t>
      </w:r>
    </w:p>
    <w:p w14:paraId="6D57AA51">
      <w:pPr>
        <w:autoSpaceDE/>
        <w:autoSpaceDN/>
        <w:snapToGrid w:val="0"/>
        <w:spacing w:line="360" w:lineRule="auto"/>
        <w:ind w:firstLine="480" w:firstLineChars="200"/>
        <w:jc w:val="both"/>
        <w:rPr>
          <w:rFonts w:hAnsi="Calibri"/>
          <w:kern w:val="2"/>
          <w:highlight w:val="none"/>
        </w:rPr>
      </w:pPr>
      <w:r>
        <w:rPr>
          <w:rFonts w:hAnsi="宋体"/>
          <w:kern w:val="2"/>
          <w:highlight w:val="none"/>
        </w:rPr>
        <w:t>现场专业监理工程师：</w:t>
      </w:r>
      <w:r>
        <w:rPr>
          <w:rFonts w:asciiTheme="minorEastAsia" w:hAnsiTheme="minorEastAsia" w:eastAsiaTheme="minorEastAsia"/>
          <w:szCs w:val="22"/>
          <w:highlight w:val="none"/>
          <w:u w:val="single"/>
        </w:rPr>
        <w:t xml:space="preserve">                  </w:t>
      </w:r>
      <w:r>
        <w:rPr>
          <w:rFonts w:hAnsi="宋体"/>
          <w:kern w:val="2"/>
          <w:highlight w:val="none"/>
        </w:rPr>
        <w:t>（附资历表）</w:t>
      </w:r>
    </w:p>
    <w:p w14:paraId="0F2C73EB">
      <w:pPr>
        <w:autoSpaceDE/>
        <w:autoSpaceDN/>
        <w:snapToGrid w:val="0"/>
        <w:spacing w:line="360" w:lineRule="auto"/>
        <w:ind w:firstLine="480" w:firstLineChars="200"/>
        <w:jc w:val="both"/>
        <w:rPr>
          <w:rFonts w:hAnsi="Calibri"/>
          <w:kern w:val="2"/>
          <w:highlight w:val="none"/>
        </w:rPr>
      </w:pPr>
      <w:r>
        <w:rPr>
          <w:rFonts w:hAnsi="宋体"/>
          <w:kern w:val="2"/>
          <w:highlight w:val="none"/>
        </w:rPr>
        <w:t>现场监理员人数：</w:t>
      </w:r>
      <w:r>
        <w:rPr>
          <w:rFonts w:asciiTheme="minorEastAsia" w:hAnsiTheme="minorEastAsia" w:eastAsiaTheme="minorEastAsia"/>
          <w:szCs w:val="22"/>
          <w:highlight w:val="none"/>
          <w:u w:val="single"/>
        </w:rPr>
        <w:t xml:space="preserve">                      </w:t>
      </w:r>
      <w:r>
        <w:rPr>
          <w:rFonts w:hAnsi="宋体"/>
          <w:kern w:val="2"/>
          <w:highlight w:val="none"/>
        </w:rPr>
        <w:t>（附监理员情况表）</w:t>
      </w:r>
    </w:p>
    <w:p w14:paraId="2F3E1A48">
      <w:pPr>
        <w:snapToGrid w:val="0"/>
        <w:spacing w:line="360" w:lineRule="auto"/>
        <w:ind w:firstLine="480" w:firstLineChars="200"/>
        <w:jc w:val="both"/>
        <w:rPr>
          <w:rFonts w:ascii="Calibri" w:hAnsi="Calibri"/>
          <w:highlight w:val="none"/>
        </w:rPr>
      </w:pPr>
      <w:r>
        <w:rPr>
          <w:rFonts w:ascii="Calibri" w:hAnsi="宋体"/>
          <w:highlight w:val="none"/>
        </w:rPr>
        <w:t>监理人必须按照投标文件的承诺组建现场监理机构，进驻现场开展监理工作，并配备相应的办公和生活设施；否则，将承担相应的违约责任。</w:t>
      </w:r>
    </w:p>
    <w:p w14:paraId="4CBD8CE5">
      <w:pPr>
        <w:autoSpaceDE/>
        <w:autoSpaceDN/>
        <w:snapToGrid w:val="0"/>
        <w:spacing w:line="360" w:lineRule="auto"/>
        <w:ind w:firstLine="480" w:firstLineChars="200"/>
        <w:jc w:val="both"/>
        <w:rPr>
          <w:rFonts w:ascii="Calibri" w:hAnsi="宋体"/>
          <w:highlight w:val="none"/>
        </w:rPr>
      </w:pPr>
      <w:r>
        <w:rPr>
          <w:rFonts w:hint="eastAsia" w:ascii="Calibri" w:hAnsi="宋体"/>
          <w:highlight w:val="none"/>
        </w:rPr>
        <w:t>监理人向发包人承诺：监理人在工程监理工作中如违反了相关法律、法规、规章、规程等监理制度的，或者本项目被区级以上行政管理部门书面通报三次或以上的，或者所承接的增城区不同水务项目一年内被区级以上行政管理部门书面通报三次或以上的监理人无条件接受发包人上报行业行政管理部门停止监理人叁年内在广州市增城区各级财政投资的所有建设项目承接新的监理业务（含投标活动），并向社会予以公开。如属恶意煽动并造成社会不良影响的，发包人将提请司法部门追究其法律责任。</w:t>
      </w:r>
    </w:p>
    <w:p w14:paraId="44A3CB76">
      <w:pPr>
        <w:autoSpaceDE/>
        <w:autoSpaceDN/>
        <w:snapToGrid w:val="0"/>
        <w:spacing w:line="360" w:lineRule="auto"/>
        <w:ind w:firstLine="480" w:firstLineChars="200"/>
        <w:jc w:val="both"/>
        <w:rPr>
          <w:rFonts w:hAnsi="Calibri"/>
          <w:kern w:val="2"/>
          <w:highlight w:val="none"/>
        </w:rPr>
      </w:pPr>
      <w:r>
        <w:rPr>
          <w:rFonts w:hAnsi="宋体"/>
          <w:kern w:val="2"/>
          <w:highlight w:val="none"/>
        </w:rPr>
        <w:t>二、建设监理合同的组成文件及解释顺序</w:t>
      </w:r>
    </w:p>
    <w:p w14:paraId="1EE33233">
      <w:pPr>
        <w:autoSpaceDE/>
        <w:autoSpaceDN/>
        <w:snapToGrid w:val="0"/>
        <w:spacing w:line="360" w:lineRule="auto"/>
        <w:ind w:firstLine="480" w:firstLineChars="200"/>
        <w:jc w:val="both"/>
        <w:rPr>
          <w:rFonts w:hAnsi="Calibri"/>
          <w:kern w:val="2"/>
          <w:highlight w:val="none"/>
        </w:rPr>
      </w:pPr>
      <w:r>
        <w:rPr>
          <w:rFonts w:hint="eastAsia" w:hAnsi="Calibri"/>
          <w:kern w:val="2"/>
          <w:highlight w:val="none"/>
        </w:rPr>
        <w:t>（一）</w:t>
      </w:r>
      <w:r>
        <w:rPr>
          <w:rFonts w:hAnsi="宋体"/>
          <w:kern w:val="2"/>
          <w:highlight w:val="none"/>
        </w:rPr>
        <w:t>监理合同书</w:t>
      </w:r>
    </w:p>
    <w:p w14:paraId="372281D8">
      <w:pPr>
        <w:autoSpaceDE/>
        <w:autoSpaceDN/>
        <w:snapToGrid w:val="0"/>
        <w:spacing w:line="360" w:lineRule="auto"/>
        <w:ind w:firstLine="480" w:firstLineChars="200"/>
        <w:jc w:val="both"/>
        <w:rPr>
          <w:rFonts w:hAnsi="Calibri"/>
          <w:kern w:val="2"/>
          <w:highlight w:val="none"/>
        </w:rPr>
      </w:pPr>
      <w:r>
        <w:rPr>
          <w:rFonts w:hint="eastAsia" w:hAnsi="Calibri"/>
          <w:kern w:val="2"/>
          <w:highlight w:val="none"/>
        </w:rPr>
        <w:t>（二）</w:t>
      </w:r>
      <w:r>
        <w:rPr>
          <w:rFonts w:hAnsi="宋体"/>
          <w:kern w:val="2"/>
          <w:highlight w:val="none"/>
        </w:rPr>
        <w:t>监理中标通知书</w:t>
      </w:r>
    </w:p>
    <w:p w14:paraId="5145A4BB">
      <w:pPr>
        <w:autoSpaceDE/>
        <w:autoSpaceDN/>
        <w:snapToGrid w:val="0"/>
        <w:spacing w:line="360" w:lineRule="auto"/>
        <w:ind w:firstLine="480" w:firstLineChars="200"/>
        <w:jc w:val="both"/>
        <w:rPr>
          <w:rFonts w:hAnsi="Calibri"/>
          <w:kern w:val="2"/>
          <w:highlight w:val="none"/>
        </w:rPr>
      </w:pPr>
      <w:r>
        <w:rPr>
          <w:rFonts w:hint="eastAsia" w:hAnsi="Calibri"/>
          <w:kern w:val="2"/>
          <w:highlight w:val="none"/>
        </w:rPr>
        <w:t>（三）</w:t>
      </w:r>
      <w:r>
        <w:rPr>
          <w:rFonts w:hAnsi="宋体"/>
          <w:kern w:val="2"/>
          <w:highlight w:val="none"/>
        </w:rPr>
        <w:t>监理实施过程中双方共同签署的补充文件</w:t>
      </w:r>
    </w:p>
    <w:p w14:paraId="00927D02">
      <w:pPr>
        <w:autoSpaceDE/>
        <w:autoSpaceDN/>
        <w:snapToGrid w:val="0"/>
        <w:spacing w:line="360" w:lineRule="auto"/>
        <w:ind w:firstLine="480" w:firstLineChars="200"/>
        <w:jc w:val="both"/>
        <w:rPr>
          <w:rFonts w:hAnsi="Calibri"/>
          <w:kern w:val="2"/>
          <w:highlight w:val="none"/>
        </w:rPr>
      </w:pPr>
      <w:r>
        <w:rPr>
          <w:rFonts w:hint="eastAsia" w:hAnsi="Calibri"/>
          <w:kern w:val="2"/>
          <w:highlight w:val="none"/>
        </w:rPr>
        <w:t>（四）</w:t>
      </w:r>
      <w:r>
        <w:rPr>
          <w:rFonts w:hAnsi="宋体"/>
          <w:kern w:val="2"/>
          <w:highlight w:val="none"/>
        </w:rPr>
        <w:t>专用合同条款</w:t>
      </w:r>
    </w:p>
    <w:p w14:paraId="7C596A33">
      <w:pPr>
        <w:autoSpaceDE/>
        <w:autoSpaceDN/>
        <w:snapToGrid w:val="0"/>
        <w:spacing w:line="360" w:lineRule="auto"/>
        <w:ind w:firstLine="480" w:firstLineChars="200"/>
        <w:jc w:val="both"/>
        <w:rPr>
          <w:rFonts w:hAnsi="Calibri"/>
          <w:kern w:val="2"/>
          <w:highlight w:val="none"/>
        </w:rPr>
      </w:pPr>
      <w:r>
        <w:rPr>
          <w:rFonts w:hint="eastAsia" w:hAnsi="Calibri"/>
          <w:kern w:val="2"/>
          <w:highlight w:val="none"/>
        </w:rPr>
        <w:t>（五）</w:t>
      </w:r>
      <w:r>
        <w:rPr>
          <w:rFonts w:hAnsi="宋体"/>
          <w:kern w:val="2"/>
          <w:highlight w:val="none"/>
        </w:rPr>
        <w:t>通用合同条款</w:t>
      </w:r>
    </w:p>
    <w:p w14:paraId="23BBCA89">
      <w:pPr>
        <w:autoSpaceDE/>
        <w:autoSpaceDN/>
        <w:snapToGrid w:val="0"/>
        <w:spacing w:line="360" w:lineRule="auto"/>
        <w:ind w:firstLine="480" w:firstLineChars="200"/>
        <w:jc w:val="both"/>
        <w:rPr>
          <w:rFonts w:hAnsi="Calibri"/>
          <w:kern w:val="2"/>
          <w:highlight w:val="none"/>
        </w:rPr>
      </w:pPr>
      <w:r>
        <w:rPr>
          <w:rFonts w:hint="eastAsia" w:hAnsi="Calibri"/>
          <w:kern w:val="2"/>
          <w:highlight w:val="none"/>
        </w:rPr>
        <w:t>（六）</w:t>
      </w:r>
      <w:r>
        <w:rPr>
          <w:rFonts w:hAnsi="宋体"/>
          <w:kern w:val="2"/>
          <w:highlight w:val="none"/>
        </w:rPr>
        <w:t>合同附件</w:t>
      </w:r>
    </w:p>
    <w:p w14:paraId="7C338384">
      <w:pPr>
        <w:autoSpaceDE/>
        <w:autoSpaceDN/>
        <w:snapToGrid w:val="0"/>
        <w:spacing w:line="360" w:lineRule="auto"/>
        <w:ind w:firstLine="480" w:firstLineChars="200"/>
        <w:jc w:val="both"/>
        <w:rPr>
          <w:rFonts w:hAnsi="Calibri"/>
          <w:kern w:val="2"/>
          <w:highlight w:val="none"/>
        </w:rPr>
      </w:pPr>
      <w:r>
        <w:rPr>
          <w:rFonts w:hint="eastAsia" w:hAnsi="Calibri"/>
          <w:kern w:val="2"/>
          <w:highlight w:val="none"/>
        </w:rPr>
        <w:t>（七）</w:t>
      </w:r>
      <w:r>
        <w:rPr>
          <w:rFonts w:hAnsi="宋体"/>
          <w:kern w:val="2"/>
          <w:highlight w:val="none"/>
        </w:rPr>
        <w:t>监理招标书</w:t>
      </w:r>
    </w:p>
    <w:p w14:paraId="62B1FE65">
      <w:pPr>
        <w:autoSpaceDE/>
        <w:autoSpaceDN/>
        <w:snapToGrid w:val="0"/>
        <w:spacing w:line="360" w:lineRule="auto"/>
        <w:ind w:firstLine="480" w:firstLineChars="200"/>
        <w:jc w:val="both"/>
        <w:rPr>
          <w:rFonts w:hAnsi="Calibri"/>
          <w:kern w:val="2"/>
          <w:highlight w:val="none"/>
        </w:rPr>
      </w:pPr>
      <w:r>
        <w:rPr>
          <w:rFonts w:hint="eastAsia" w:hAnsi="Calibri"/>
          <w:kern w:val="2"/>
          <w:highlight w:val="none"/>
        </w:rPr>
        <w:t>（八）</w:t>
      </w:r>
      <w:r>
        <w:rPr>
          <w:rFonts w:hAnsi="宋体"/>
          <w:kern w:val="2"/>
          <w:highlight w:val="none"/>
        </w:rPr>
        <w:t>监理投标文件</w:t>
      </w:r>
    </w:p>
    <w:p w14:paraId="27F67579">
      <w:pPr>
        <w:autoSpaceDE/>
        <w:autoSpaceDN/>
        <w:snapToGrid w:val="0"/>
        <w:spacing w:line="360" w:lineRule="auto"/>
        <w:ind w:firstLine="480" w:firstLineChars="200"/>
        <w:jc w:val="both"/>
        <w:rPr>
          <w:rFonts w:hAnsi="Calibri"/>
          <w:kern w:val="2"/>
          <w:highlight w:val="none"/>
        </w:rPr>
      </w:pPr>
      <w:r>
        <w:rPr>
          <w:rFonts w:hint="eastAsia" w:hAnsi="Calibri"/>
          <w:kern w:val="2"/>
          <w:highlight w:val="none"/>
        </w:rPr>
        <w:t>（九）</w:t>
      </w:r>
      <w:r>
        <w:rPr>
          <w:rFonts w:hAnsi="宋体"/>
          <w:kern w:val="2"/>
          <w:highlight w:val="none"/>
        </w:rPr>
        <w:t>工程监理廉政责任书</w:t>
      </w:r>
    </w:p>
    <w:p w14:paraId="7965E593">
      <w:pPr>
        <w:autoSpaceDE/>
        <w:autoSpaceDN/>
        <w:snapToGrid w:val="0"/>
        <w:spacing w:line="360" w:lineRule="auto"/>
        <w:ind w:firstLine="480" w:firstLineChars="200"/>
        <w:jc w:val="both"/>
        <w:rPr>
          <w:rFonts w:hAnsi="Calibri"/>
          <w:kern w:val="2"/>
          <w:highlight w:val="none"/>
        </w:rPr>
      </w:pPr>
      <w:r>
        <w:rPr>
          <w:rFonts w:hAnsi="宋体"/>
          <w:kern w:val="2"/>
          <w:highlight w:val="none"/>
        </w:rPr>
        <w:t>上列合同文件为一整体，代替了本合同书签署前双方签署的所有的协议、会谈记录以及有关相互承诺的一切文件。</w:t>
      </w:r>
    </w:p>
    <w:p w14:paraId="69AA7E45">
      <w:pPr>
        <w:snapToGrid w:val="0"/>
        <w:spacing w:line="360" w:lineRule="auto"/>
        <w:ind w:firstLine="480" w:firstLineChars="200"/>
        <w:jc w:val="both"/>
        <w:rPr>
          <w:rFonts w:ascii="Calibri" w:hAnsi="Calibri"/>
          <w:szCs w:val="22"/>
          <w:highlight w:val="none"/>
        </w:rPr>
      </w:pPr>
      <w:r>
        <w:rPr>
          <w:rFonts w:ascii="Calibri" w:hAnsi="Calibri"/>
          <w:szCs w:val="22"/>
          <w:highlight w:val="none"/>
        </w:rPr>
        <w:t xml:space="preserve"> </w:t>
      </w:r>
      <w:r>
        <w:rPr>
          <w:rFonts w:ascii="Calibri" w:hAnsi="宋体"/>
          <w:szCs w:val="22"/>
          <w:highlight w:val="none"/>
        </w:rPr>
        <w:t>三、</w:t>
      </w:r>
      <w:r>
        <w:rPr>
          <w:rFonts w:ascii="Calibri" w:hAnsi="Calibri"/>
          <w:szCs w:val="22"/>
          <w:highlight w:val="none"/>
        </w:rPr>
        <w:t xml:space="preserve"> </w:t>
      </w:r>
      <w:r>
        <w:rPr>
          <w:rFonts w:ascii="Calibri" w:hAnsi="宋体"/>
          <w:szCs w:val="22"/>
          <w:highlight w:val="none"/>
        </w:rPr>
        <w:t>本合同书经双方法定代表人或其委托代理人签字</w:t>
      </w:r>
      <w:r>
        <w:rPr>
          <w:rFonts w:ascii="Calibri" w:hAnsi="Calibri"/>
          <w:szCs w:val="22"/>
          <w:highlight w:val="none"/>
        </w:rPr>
        <w:t>(</w:t>
      </w:r>
      <w:r>
        <w:rPr>
          <w:rFonts w:ascii="Calibri" w:hAnsi="宋体"/>
          <w:szCs w:val="22"/>
          <w:highlight w:val="none"/>
        </w:rPr>
        <w:t>盖章</w:t>
      </w:r>
      <w:r>
        <w:rPr>
          <w:rFonts w:ascii="Calibri" w:hAnsi="Calibri"/>
          <w:szCs w:val="22"/>
          <w:highlight w:val="none"/>
        </w:rPr>
        <w:t>)</w:t>
      </w:r>
      <w:r>
        <w:rPr>
          <w:rFonts w:ascii="Calibri" w:hAnsi="宋体"/>
          <w:szCs w:val="22"/>
          <w:highlight w:val="none"/>
        </w:rPr>
        <w:t>并加盖本单位公章后生效。</w:t>
      </w:r>
    </w:p>
    <w:p w14:paraId="4FFEFFFD">
      <w:pPr>
        <w:snapToGrid w:val="0"/>
        <w:spacing w:line="360" w:lineRule="auto"/>
        <w:ind w:firstLine="480" w:firstLineChars="200"/>
        <w:jc w:val="both"/>
        <w:rPr>
          <w:rFonts w:ascii="Calibri" w:hAnsi="Calibri"/>
          <w:szCs w:val="22"/>
          <w:highlight w:val="none"/>
        </w:rPr>
      </w:pPr>
      <w:r>
        <w:rPr>
          <w:rFonts w:ascii="Calibri" w:hAnsi="Calibri"/>
          <w:szCs w:val="22"/>
          <w:highlight w:val="none"/>
        </w:rPr>
        <w:t xml:space="preserve"> </w:t>
      </w:r>
      <w:r>
        <w:rPr>
          <w:rFonts w:ascii="Calibri" w:hAnsi="宋体"/>
          <w:szCs w:val="22"/>
          <w:highlight w:val="none"/>
        </w:rPr>
        <w:t>四、本合同书正本一式两份，具有同等法律效力，双方各执一份；副本六份，双方各执三份。</w:t>
      </w:r>
    </w:p>
    <w:p w14:paraId="32D8DC7C">
      <w:pPr>
        <w:snapToGrid w:val="0"/>
        <w:spacing w:line="360" w:lineRule="auto"/>
        <w:ind w:firstLine="340"/>
        <w:jc w:val="both"/>
        <w:rPr>
          <w:rFonts w:asciiTheme="minorEastAsia" w:hAnsiTheme="minorEastAsia" w:eastAsiaTheme="minorEastAsia"/>
          <w:szCs w:val="22"/>
          <w:highlight w:val="none"/>
        </w:rPr>
      </w:pPr>
      <w:r>
        <w:rPr>
          <w:rFonts w:asciiTheme="minorEastAsia" w:hAnsiTheme="minorEastAsia" w:eastAsiaTheme="minorEastAsia"/>
          <w:szCs w:val="22"/>
          <w:highlight w:val="none"/>
        </w:rPr>
        <w:t xml:space="preserve">   </w:t>
      </w:r>
      <w:r>
        <w:rPr>
          <w:rFonts w:ascii="Calibri" w:hAnsi="宋体"/>
          <w:szCs w:val="22"/>
          <w:highlight w:val="none"/>
        </w:rPr>
        <w:t>发</w:t>
      </w:r>
      <w:r>
        <w:rPr>
          <w:rFonts w:asciiTheme="minorEastAsia" w:hAnsiTheme="minorEastAsia" w:eastAsiaTheme="minorEastAsia"/>
          <w:szCs w:val="22"/>
          <w:highlight w:val="none"/>
        </w:rPr>
        <w:t xml:space="preserve">  </w:t>
      </w:r>
      <w:r>
        <w:rPr>
          <w:rFonts w:ascii="Calibri" w:hAnsi="宋体"/>
          <w:szCs w:val="22"/>
          <w:highlight w:val="none"/>
        </w:rPr>
        <w:t>包</w:t>
      </w:r>
      <w:r>
        <w:rPr>
          <w:rFonts w:asciiTheme="minorEastAsia" w:hAnsiTheme="minorEastAsia" w:eastAsiaTheme="minorEastAsia"/>
          <w:szCs w:val="22"/>
          <w:highlight w:val="none"/>
        </w:rPr>
        <w:t xml:space="preserve">  </w:t>
      </w:r>
      <w:r>
        <w:rPr>
          <w:rFonts w:ascii="Calibri" w:hAnsi="宋体"/>
          <w:szCs w:val="22"/>
          <w:highlight w:val="none"/>
        </w:rPr>
        <w:t>人：</w:t>
      </w:r>
      <w:r>
        <w:rPr>
          <w:rFonts w:hint="eastAsia" w:asciiTheme="minorEastAsia" w:hAnsiTheme="minorEastAsia" w:eastAsiaTheme="minorEastAsia"/>
          <w:szCs w:val="22"/>
          <w:highlight w:val="none"/>
        </w:rPr>
        <w:t>(盖章)</w:t>
      </w:r>
      <w:r>
        <w:rPr>
          <w:rFonts w:asciiTheme="minorEastAsia" w:hAnsiTheme="minorEastAsia" w:eastAsiaTheme="minorEastAsia"/>
          <w:szCs w:val="22"/>
          <w:highlight w:val="none"/>
        </w:rPr>
        <w:t xml:space="preserve">                   </w:t>
      </w:r>
      <w:r>
        <w:rPr>
          <w:rFonts w:hint="eastAsia" w:asciiTheme="minorEastAsia" w:hAnsiTheme="minorEastAsia" w:eastAsiaTheme="minorEastAsia"/>
          <w:szCs w:val="22"/>
          <w:highlight w:val="none"/>
        </w:rPr>
        <w:t>监</w:t>
      </w:r>
      <w:r>
        <w:rPr>
          <w:rFonts w:asciiTheme="minorEastAsia" w:hAnsiTheme="minorEastAsia" w:eastAsiaTheme="minorEastAsia"/>
          <w:szCs w:val="22"/>
          <w:highlight w:val="none"/>
        </w:rPr>
        <w:t xml:space="preserve">  </w:t>
      </w:r>
      <w:r>
        <w:rPr>
          <w:rFonts w:hint="eastAsia" w:asciiTheme="minorEastAsia" w:hAnsiTheme="minorEastAsia" w:eastAsiaTheme="minorEastAsia"/>
          <w:szCs w:val="22"/>
          <w:highlight w:val="none"/>
        </w:rPr>
        <w:t>理</w:t>
      </w:r>
      <w:r>
        <w:rPr>
          <w:rFonts w:asciiTheme="minorEastAsia" w:hAnsiTheme="minorEastAsia" w:eastAsiaTheme="minorEastAsia"/>
          <w:szCs w:val="22"/>
          <w:highlight w:val="none"/>
        </w:rPr>
        <w:t xml:space="preserve">  </w:t>
      </w:r>
      <w:r>
        <w:rPr>
          <w:rFonts w:hint="eastAsia" w:asciiTheme="minorEastAsia" w:hAnsiTheme="minorEastAsia" w:eastAsiaTheme="minorEastAsia"/>
          <w:szCs w:val="22"/>
          <w:highlight w:val="none"/>
        </w:rPr>
        <w:t>人：(盖章)</w:t>
      </w:r>
    </w:p>
    <w:p w14:paraId="3782EC51">
      <w:pPr>
        <w:snapToGrid w:val="0"/>
        <w:spacing w:line="360" w:lineRule="auto"/>
        <w:ind w:firstLine="34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 xml:space="preserve">   法定代表人：(签名)                   法定代表人：(签名)</w:t>
      </w:r>
    </w:p>
    <w:p w14:paraId="777738DC">
      <w:pPr>
        <w:snapToGrid w:val="0"/>
        <w:spacing w:line="360" w:lineRule="auto"/>
        <w:ind w:firstLine="34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 xml:space="preserve">   委托代理人：(签名)                   委托代理人：(签名)</w:t>
      </w:r>
    </w:p>
    <w:p w14:paraId="62F06D52">
      <w:pPr>
        <w:snapToGrid w:val="0"/>
        <w:spacing w:line="360" w:lineRule="auto"/>
        <w:ind w:firstLine="340"/>
        <w:jc w:val="both"/>
        <w:rPr>
          <w:rFonts w:asciiTheme="minorEastAsia" w:hAnsiTheme="minorEastAsia" w:eastAsiaTheme="minorEastAsia"/>
          <w:szCs w:val="22"/>
          <w:highlight w:val="none"/>
        </w:rPr>
      </w:pPr>
      <w:r>
        <w:rPr>
          <w:rFonts w:asciiTheme="minorEastAsia" w:hAnsiTheme="minorEastAsia" w:eastAsiaTheme="minorEastAsia"/>
          <w:szCs w:val="22"/>
          <w:highlight w:val="none"/>
        </w:rPr>
        <w:t xml:space="preserve">   邮</w:t>
      </w:r>
      <w:r>
        <w:rPr>
          <w:rFonts w:hint="eastAsia" w:asciiTheme="minorEastAsia" w:hAnsiTheme="minorEastAsia" w:eastAsiaTheme="minorEastAsia"/>
          <w:szCs w:val="22"/>
          <w:highlight w:val="none"/>
        </w:rPr>
        <w:t xml:space="preserve">      编：                         </w:t>
      </w:r>
      <w:r>
        <w:rPr>
          <w:rFonts w:asciiTheme="minorEastAsia" w:hAnsiTheme="minorEastAsia" w:eastAsiaTheme="minorEastAsia"/>
          <w:szCs w:val="22"/>
          <w:highlight w:val="none"/>
        </w:rPr>
        <w:t>邮</w:t>
      </w:r>
      <w:r>
        <w:rPr>
          <w:rFonts w:hint="eastAsia" w:asciiTheme="minorEastAsia" w:hAnsiTheme="minorEastAsia" w:eastAsiaTheme="minorEastAsia"/>
          <w:szCs w:val="22"/>
          <w:highlight w:val="none"/>
        </w:rPr>
        <w:t xml:space="preserve">      编：</w:t>
      </w:r>
    </w:p>
    <w:p w14:paraId="64843065">
      <w:pPr>
        <w:snapToGrid w:val="0"/>
        <w:spacing w:line="360" w:lineRule="auto"/>
        <w:ind w:firstLine="34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 xml:space="preserve">   电      话：                         电      话：</w:t>
      </w:r>
    </w:p>
    <w:p w14:paraId="3C67D71B">
      <w:pPr>
        <w:snapToGrid w:val="0"/>
        <w:spacing w:line="360" w:lineRule="auto"/>
        <w:ind w:firstLine="34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 xml:space="preserve">   传      真：                         传      真：</w:t>
      </w:r>
    </w:p>
    <w:p w14:paraId="58DCFF70">
      <w:pPr>
        <w:snapToGrid w:val="0"/>
        <w:spacing w:line="360" w:lineRule="auto"/>
        <w:ind w:firstLine="34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 xml:space="preserve">                                        开 户 银行：</w:t>
      </w:r>
    </w:p>
    <w:p w14:paraId="66C74A09">
      <w:pPr>
        <w:snapToGrid w:val="0"/>
        <w:spacing w:line="360" w:lineRule="auto"/>
        <w:ind w:firstLine="340"/>
        <w:jc w:val="both"/>
        <w:rPr>
          <w:rFonts w:asciiTheme="minorEastAsia" w:hAnsiTheme="minorEastAsia" w:eastAsiaTheme="minorEastAsia"/>
          <w:szCs w:val="22"/>
          <w:highlight w:val="none"/>
        </w:rPr>
      </w:pPr>
      <w:r>
        <w:rPr>
          <w:rFonts w:asciiTheme="minorEastAsia" w:hAnsiTheme="minorEastAsia" w:eastAsiaTheme="minorEastAsia"/>
          <w:szCs w:val="22"/>
          <w:highlight w:val="none"/>
        </w:rPr>
        <w:t xml:space="preserve">                                        账</w:t>
      </w:r>
      <w:r>
        <w:rPr>
          <w:rFonts w:hint="eastAsia" w:asciiTheme="minorEastAsia" w:hAnsiTheme="minorEastAsia" w:eastAsiaTheme="minorEastAsia"/>
          <w:szCs w:val="22"/>
          <w:highlight w:val="none"/>
        </w:rPr>
        <w:t xml:space="preserve">      号：</w:t>
      </w:r>
    </w:p>
    <w:p w14:paraId="1A0B4738">
      <w:pPr>
        <w:snapToGrid w:val="0"/>
        <w:spacing w:line="360" w:lineRule="auto"/>
        <w:ind w:firstLine="340"/>
        <w:jc w:val="both"/>
        <w:rPr>
          <w:rFonts w:ascii="Calibri" w:hAnsi="Calibri"/>
          <w:szCs w:val="22"/>
          <w:highlight w:val="none"/>
        </w:rPr>
      </w:pPr>
    </w:p>
    <w:p w14:paraId="49AF4E9A">
      <w:pPr>
        <w:autoSpaceDE/>
        <w:autoSpaceDN/>
        <w:adjustRightInd/>
        <w:spacing w:line="300" w:lineRule="auto"/>
        <w:ind w:firstLine="482"/>
        <w:jc w:val="center"/>
        <w:rPr>
          <w:b/>
          <w:kern w:val="2"/>
          <w:sz w:val="32"/>
          <w:szCs w:val="32"/>
          <w:highlight w:val="none"/>
        </w:rPr>
      </w:pPr>
      <w:r>
        <w:rPr>
          <w:rFonts w:ascii="Tahoma" w:hAnsi="宋体"/>
          <w:szCs w:val="20"/>
          <w:highlight w:val="none"/>
          <w:lang w:val="zh-CN"/>
        </w:rPr>
        <w:br w:type="page"/>
      </w:r>
      <w:r>
        <w:rPr>
          <w:rFonts w:hAnsi="宋体"/>
          <w:b/>
          <w:kern w:val="2"/>
          <w:sz w:val="32"/>
          <w:szCs w:val="32"/>
          <w:highlight w:val="none"/>
        </w:rPr>
        <w:t>第一部分</w:t>
      </w:r>
      <w:r>
        <w:rPr>
          <w:b/>
          <w:kern w:val="2"/>
          <w:sz w:val="32"/>
          <w:szCs w:val="32"/>
          <w:highlight w:val="none"/>
        </w:rPr>
        <w:t xml:space="preserve">   </w:t>
      </w:r>
      <w:r>
        <w:rPr>
          <w:rFonts w:hAnsi="宋体"/>
          <w:b/>
          <w:kern w:val="2"/>
          <w:sz w:val="32"/>
          <w:szCs w:val="32"/>
          <w:highlight w:val="none"/>
        </w:rPr>
        <w:t>通用合同条款</w:t>
      </w:r>
    </w:p>
    <w:p w14:paraId="6569D0E7">
      <w:pPr>
        <w:autoSpaceDE/>
        <w:autoSpaceDN/>
        <w:adjustRightInd/>
        <w:spacing w:before="120" w:beforeLines="50" w:after="120" w:afterLines="50" w:line="300" w:lineRule="auto"/>
        <w:ind w:firstLine="420"/>
        <w:jc w:val="center"/>
        <w:rPr>
          <w:kern w:val="2"/>
          <w:sz w:val="28"/>
          <w:szCs w:val="28"/>
          <w:highlight w:val="none"/>
        </w:rPr>
      </w:pPr>
      <w:r>
        <w:rPr>
          <w:rFonts w:hAnsi="宋体"/>
          <w:kern w:val="2"/>
          <w:sz w:val="28"/>
          <w:szCs w:val="28"/>
          <w:highlight w:val="none"/>
        </w:rPr>
        <w:t>词语</w:t>
      </w:r>
      <w:r>
        <w:rPr>
          <w:rFonts w:hint="eastAsia" w:hAnsi="宋体"/>
          <w:kern w:val="2"/>
          <w:sz w:val="28"/>
          <w:szCs w:val="28"/>
          <w:highlight w:val="none"/>
        </w:rPr>
        <w:t>含义</w:t>
      </w:r>
      <w:r>
        <w:rPr>
          <w:rFonts w:hAnsi="宋体"/>
          <w:kern w:val="2"/>
          <w:sz w:val="28"/>
          <w:szCs w:val="28"/>
          <w:highlight w:val="none"/>
        </w:rPr>
        <w:t>及适用语言</w:t>
      </w:r>
    </w:p>
    <w:p w14:paraId="4BFD3D65">
      <w:pPr>
        <w:autoSpaceDE/>
        <w:autoSpaceDN/>
        <w:adjustRightInd/>
        <w:spacing w:line="300" w:lineRule="auto"/>
        <w:ind w:firstLine="361"/>
        <w:jc w:val="both"/>
        <w:rPr>
          <w:rFonts w:hAnsi="宋体"/>
          <w:b/>
          <w:kern w:val="2"/>
          <w:szCs w:val="20"/>
          <w:highlight w:val="none"/>
        </w:rPr>
      </w:pPr>
      <w:r>
        <w:rPr>
          <w:rFonts w:hAnsi="宋体"/>
          <w:b/>
          <w:kern w:val="2"/>
          <w:szCs w:val="20"/>
          <w:highlight w:val="none"/>
        </w:rPr>
        <w:t xml:space="preserve">第一条 </w:t>
      </w:r>
      <w:r>
        <w:rPr>
          <w:rFonts w:hAnsi="宋体"/>
          <w:kern w:val="2"/>
          <w:szCs w:val="20"/>
          <w:highlight w:val="none"/>
        </w:rPr>
        <w:t>下列名词和用语，除上下文另有约定外，具有本条所赋予的</w:t>
      </w:r>
      <w:r>
        <w:rPr>
          <w:rFonts w:hint="eastAsia" w:hAnsi="宋体"/>
          <w:kern w:val="2"/>
          <w:szCs w:val="20"/>
          <w:highlight w:val="none"/>
        </w:rPr>
        <w:t>含义</w:t>
      </w:r>
      <w:r>
        <w:rPr>
          <w:rFonts w:hAnsi="宋体"/>
          <w:kern w:val="2"/>
          <w:szCs w:val="20"/>
          <w:highlight w:val="none"/>
        </w:rPr>
        <w:t>：</w:t>
      </w:r>
    </w:p>
    <w:p w14:paraId="5AD48776">
      <w:pPr>
        <w:autoSpaceDE/>
        <w:autoSpaceDN/>
        <w:adjustRightInd/>
        <w:spacing w:line="300" w:lineRule="auto"/>
        <w:ind w:firstLine="480" w:firstLineChars="200"/>
        <w:jc w:val="both"/>
        <w:rPr>
          <w:kern w:val="2"/>
          <w:szCs w:val="20"/>
          <w:highlight w:val="none"/>
        </w:rPr>
      </w:pPr>
      <w:r>
        <w:rPr>
          <w:rFonts w:hAnsi="宋体"/>
          <w:kern w:val="2"/>
          <w:szCs w:val="20"/>
          <w:highlight w:val="none"/>
        </w:rPr>
        <w:t>一、</w:t>
      </w:r>
      <w:r>
        <w:rPr>
          <w:kern w:val="2"/>
          <w:szCs w:val="20"/>
          <w:highlight w:val="none"/>
        </w:rPr>
        <w:t>“</w:t>
      </w:r>
      <w:r>
        <w:rPr>
          <w:rFonts w:hAnsi="宋体"/>
          <w:kern w:val="2"/>
          <w:szCs w:val="20"/>
          <w:highlight w:val="none"/>
        </w:rPr>
        <w:t>委托人</w:t>
      </w:r>
      <w:r>
        <w:rPr>
          <w:kern w:val="2"/>
          <w:szCs w:val="20"/>
          <w:highlight w:val="none"/>
        </w:rPr>
        <w:t>”</w:t>
      </w:r>
      <w:r>
        <w:rPr>
          <w:rFonts w:hAnsi="宋体"/>
          <w:kern w:val="2"/>
          <w:szCs w:val="20"/>
          <w:highlight w:val="none"/>
        </w:rPr>
        <w:t>指承担工程建设项目直接建设管理责任，委托监理业务的法人或其合法继承人。</w:t>
      </w:r>
    </w:p>
    <w:p w14:paraId="21EE4BB8">
      <w:pPr>
        <w:autoSpaceDE/>
        <w:autoSpaceDN/>
        <w:adjustRightInd/>
        <w:spacing w:line="300" w:lineRule="auto"/>
        <w:ind w:firstLine="480" w:firstLineChars="200"/>
        <w:jc w:val="both"/>
        <w:rPr>
          <w:kern w:val="2"/>
          <w:szCs w:val="20"/>
          <w:highlight w:val="none"/>
        </w:rPr>
      </w:pPr>
      <w:r>
        <w:rPr>
          <w:rFonts w:hAnsi="宋体"/>
          <w:kern w:val="2"/>
          <w:szCs w:val="20"/>
          <w:highlight w:val="none"/>
        </w:rPr>
        <w:t>二、</w:t>
      </w:r>
      <w:r>
        <w:rPr>
          <w:kern w:val="2"/>
          <w:szCs w:val="20"/>
          <w:highlight w:val="none"/>
        </w:rPr>
        <w:t>“</w:t>
      </w:r>
      <w:r>
        <w:rPr>
          <w:rFonts w:hAnsi="宋体"/>
          <w:kern w:val="2"/>
          <w:szCs w:val="20"/>
          <w:highlight w:val="none"/>
        </w:rPr>
        <w:t>监理人</w:t>
      </w:r>
      <w:r>
        <w:rPr>
          <w:kern w:val="2"/>
          <w:szCs w:val="20"/>
          <w:highlight w:val="none"/>
        </w:rPr>
        <w:t>”</w:t>
      </w:r>
      <w:r>
        <w:rPr>
          <w:rFonts w:hAnsi="宋体"/>
          <w:kern w:val="2"/>
          <w:szCs w:val="20"/>
          <w:highlight w:val="none"/>
        </w:rPr>
        <w:t>指受委托人委托，提供监理服务的法人或其合法继承人。</w:t>
      </w:r>
    </w:p>
    <w:p w14:paraId="19B41EC4">
      <w:pPr>
        <w:autoSpaceDE/>
        <w:autoSpaceDN/>
        <w:adjustRightInd/>
        <w:spacing w:line="300" w:lineRule="auto"/>
        <w:ind w:firstLine="480" w:firstLineChars="200"/>
        <w:jc w:val="both"/>
        <w:rPr>
          <w:kern w:val="2"/>
          <w:szCs w:val="20"/>
          <w:highlight w:val="none"/>
        </w:rPr>
      </w:pPr>
      <w:r>
        <w:rPr>
          <w:rFonts w:hAnsi="宋体"/>
          <w:kern w:val="2"/>
          <w:szCs w:val="20"/>
          <w:highlight w:val="none"/>
        </w:rPr>
        <w:t>三、</w:t>
      </w:r>
      <w:r>
        <w:rPr>
          <w:kern w:val="2"/>
          <w:szCs w:val="20"/>
          <w:highlight w:val="none"/>
        </w:rPr>
        <w:t>“</w:t>
      </w:r>
      <w:r>
        <w:rPr>
          <w:rFonts w:hAnsi="宋体"/>
          <w:kern w:val="2"/>
          <w:szCs w:val="20"/>
          <w:highlight w:val="none"/>
        </w:rPr>
        <w:t>承包人</w:t>
      </w:r>
      <w:r>
        <w:rPr>
          <w:kern w:val="2"/>
          <w:szCs w:val="20"/>
          <w:highlight w:val="none"/>
        </w:rPr>
        <w:t>”</w:t>
      </w:r>
      <w:r>
        <w:rPr>
          <w:rFonts w:hAnsi="宋体"/>
          <w:kern w:val="2"/>
          <w:szCs w:val="20"/>
          <w:highlight w:val="none"/>
        </w:rPr>
        <w:t>指与委托人</w:t>
      </w:r>
      <w:r>
        <w:rPr>
          <w:kern w:val="2"/>
          <w:szCs w:val="20"/>
          <w:highlight w:val="none"/>
        </w:rPr>
        <w:t>(</w:t>
      </w:r>
      <w:r>
        <w:rPr>
          <w:rFonts w:hAnsi="宋体"/>
          <w:kern w:val="2"/>
          <w:szCs w:val="20"/>
          <w:highlight w:val="none"/>
        </w:rPr>
        <w:t>发包人</w:t>
      </w:r>
      <w:r>
        <w:rPr>
          <w:kern w:val="2"/>
          <w:szCs w:val="20"/>
          <w:highlight w:val="none"/>
        </w:rPr>
        <w:t>)</w:t>
      </w:r>
      <w:r>
        <w:rPr>
          <w:rFonts w:hAnsi="宋体"/>
          <w:kern w:val="2"/>
          <w:szCs w:val="20"/>
          <w:highlight w:val="none"/>
        </w:rPr>
        <w:t>签订了施工合同，承担工程施工的法人或其合法继承人。</w:t>
      </w:r>
    </w:p>
    <w:p w14:paraId="23C6661F">
      <w:pPr>
        <w:autoSpaceDE/>
        <w:autoSpaceDN/>
        <w:adjustRightInd/>
        <w:spacing w:line="300" w:lineRule="auto"/>
        <w:ind w:firstLine="480" w:firstLineChars="200"/>
        <w:jc w:val="both"/>
        <w:rPr>
          <w:kern w:val="2"/>
          <w:szCs w:val="20"/>
          <w:highlight w:val="none"/>
        </w:rPr>
      </w:pPr>
      <w:r>
        <w:rPr>
          <w:rFonts w:hAnsi="宋体"/>
          <w:kern w:val="2"/>
          <w:szCs w:val="20"/>
          <w:highlight w:val="none"/>
        </w:rPr>
        <w:t>四、</w:t>
      </w:r>
      <w:r>
        <w:rPr>
          <w:kern w:val="2"/>
          <w:szCs w:val="20"/>
          <w:highlight w:val="none"/>
        </w:rPr>
        <w:t>“</w:t>
      </w:r>
      <w:r>
        <w:rPr>
          <w:rFonts w:hAnsi="宋体"/>
          <w:kern w:val="2"/>
          <w:szCs w:val="20"/>
          <w:highlight w:val="none"/>
        </w:rPr>
        <w:t>监理机构</w:t>
      </w:r>
      <w:r>
        <w:rPr>
          <w:kern w:val="2"/>
          <w:szCs w:val="20"/>
          <w:highlight w:val="none"/>
        </w:rPr>
        <w:t>”</w:t>
      </w:r>
      <w:r>
        <w:rPr>
          <w:rFonts w:hAnsi="宋体"/>
          <w:kern w:val="2"/>
          <w:szCs w:val="20"/>
          <w:highlight w:val="none"/>
        </w:rPr>
        <w:t>指监理人派驻工程现场直接开展监理业务的组织，由总监理工程师、监理工程师和监理员以及其他人员组成。</w:t>
      </w:r>
    </w:p>
    <w:p w14:paraId="6883E197">
      <w:pPr>
        <w:autoSpaceDE/>
        <w:autoSpaceDN/>
        <w:adjustRightInd/>
        <w:spacing w:line="300" w:lineRule="auto"/>
        <w:ind w:firstLine="480" w:firstLineChars="200"/>
        <w:jc w:val="both"/>
        <w:rPr>
          <w:kern w:val="2"/>
          <w:szCs w:val="20"/>
          <w:highlight w:val="none"/>
        </w:rPr>
      </w:pPr>
      <w:r>
        <w:rPr>
          <w:rFonts w:hAnsi="宋体"/>
          <w:kern w:val="2"/>
          <w:szCs w:val="20"/>
          <w:highlight w:val="none"/>
        </w:rPr>
        <w:t>五、</w:t>
      </w:r>
      <w:r>
        <w:rPr>
          <w:kern w:val="2"/>
          <w:szCs w:val="20"/>
          <w:highlight w:val="none"/>
        </w:rPr>
        <w:t>“</w:t>
      </w:r>
      <w:r>
        <w:rPr>
          <w:rFonts w:hAnsi="宋体"/>
          <w:kern w:val="2"/>
          <w:szCs w:val="20"/>
          <w:highlight w:val="none"/>
        </w:rPr>
        <w:t>监理项目</w:t>
      </w:r>
      <w:r>
        <w:rPr>
          <w:kern w:val="2"/>
          <w:szCs w:val="20"/>
          <w:highlight w:val="none"/>
        </w:rPr>
        <w:t>”</w:t>
      </w:r>
      <w:r>
        <w:rPr>
          <w:rFonts w:hAnsi="宋体"/>
          <w:kern w:val="2"/>
          <w:szCs w:val="20"/>
          <w:highlight w:val="none"/>
        </w:rPr>
        <w:t>是指委托人委托监理人实施建设监理的工程建设项目。</w:t>
      </w:r>
    </w:p>
    <w:p w14:paraId="1F635E18">
      <w:pPr>
        <w:autoSpaceDE/>
        <w:autoSpaceDN/>
        <w:adjustRightInd/>
        <w:spacing w:line="300" w:lineRule="auto"/>
        <w:ind w:firstLine="480" w:firstLineChars="200"/>
        <w:jc w:val="both"/>
        <w:rPr>
          <w:kern w:val="2"/>
          <w:szCs w:val="20"/>
          <w:highlight w:val="none"/>
        </w:rPr>
      </w:pPr>
      <w:r>
        <w:rPr>
          <w:rFonts w:hAnsi="宋体"/>
          <w:kern w:val="2"/>
          <w:szCs w:val="20"/>
          <w:highlight w:val="none"/>
        </w:rPr>
        <w:t>六、</w:t>
      </w:r>
      <w:r>
        <w:rPr>
          <w:kern w:val="2"/>
          <w:szCs w:val="20"/>
          <w:highlight w:val="none"/>
        </w:rPr>
        <w:t>“</w:t>
      </w:r>
      <w:r>
        <w:rPr>
          <w:rFonts w:hAnsi="宋体"/>
          <w:kern w:val="2"/>
          <w:szCs w:val="20"/>
          <w:highlight w:val="none"/>
        </w:rPr>
        <w:t>服务</w:t>
      </w:r>
      <w:r>
        <w:rPr>
          <w:kern w:val="2"/>
          <w:szCs w:val="20"/>
          <w:highlight w:val="none"/>
        </w:rPr>
        <w:t>”</w:t>
      </w:r>
      <w:r>
        <w:rPr>
          <w:rFonts w:hAnsi="宋体"/>
          <w:kern w:val="2"/>
          <w:szCs w:val="20"/>
          <w:highlight w:val="none"/>
        </w:rPr>
        <w:t>是指监理人根据监理合同约定所承担的各项工作，包括正常服务和附加服务。</w:t>
      </w:r>
    </w:p>
    <w:p w14:paraId="08FD8068">
      <w:pPr>
        <w:autoSpaceDE/>
        <w:autoSpaceDN/>
        <w:adjustRightInd/>
        <w:spacing w:line="300" w:lineRule="auto"/>
        <w:ind w:firstLine="480" w:firstLineChars="200"/>
        <w:jc w:val="both"/>
        <w:rPr>
          <w:kern w:val="2"/>
          <w:szCs w:val="20"/>
          <w:highlight w:val="none"/>
        </w:rPr>
      </w:pPr>
      <w:r>
        <w:rPr>
          <w:rFonts w:hAnsi="宋体"/>
          <w:kern w:val="2"/>
          <w:szCs w:val="20"/>
          <w:highlight w:val="none"/>
        </w:rPr>
        <w:t>七、</w:t>
      </w:r>
      <w:r>
        <w:rPr>
          <w:kern w:val="2"/>
          <w:szCs w:val="20"/>
          <w:highlight w:val="none"/>
        </w:rPr>
        <w:t>“</w:t>
      </w:r>
      <w:r>
        <w:rPr>
          <w:rFonts w:hAnsi="宋体"/>
          <w:kern w:val="2"/>
          <w:szCs w:val="20"/>
          <w:highlight w:val="none"/>
        </w:rPr>
        <w:t>正常服务</w:t>
      </w:r>
      <w:r>
        <w:rPr>
          <w:kern w:val="2"/>
          <w:szCs w:val="20"/>
          <w:highlight w:val="none"/>
        </w:rPr>
        <w:t>”</w:t>
      </w:r>
      <w:r>
        <w:rPr>
          <w:rFonts w:hAnsi="宋体"/>
          <w:kern w:val="2"/>
          <w:szCs w:val="20"/>
          <w:highlight w:val="none"/>
        </w:rPr>
        <w:t>指监理人按照合同约定的监理范围、内容和期限所提供的服务。</w:t>
      </w:r>
    </w:p>
    <w:p w14:paraId="5EBBC757">
      <w:pPr>
        <w:autoSpaceDE/>
        <w:autoSpaceDN/>
        <w:adjustRightInd/>
        <w:spacing w:line="300" w:lineRule="auto"/>
        <w:ind w:firstLine="480" w:firstLineChars="200"/>
        <w:jc w:val="both"/>
        <w:rPr>
          <w:kern w:val="2"/>
          <w:szCs w:val="20"/>
          <w:highlight w:val="none"/>
        </w:rPr>
      </w:pPr>
      <w:r>
        <w:rPr>
          <w:rFonts w:hAnsi="宋体"/>
          <w:kern w:val="2"/>
          <w:szCs w:val="20"/>
          <w:highlight w:val="none"/>
        </w:rPr>
        <w:t>八、</w:t>
      </w:r>
      <w:r>
        <w:rPr>
          <w:kern w:val="2"/>
          <w:szCs w:val="20"/>
          <w:highlight w:val="none"/>
        </w:rPr>
        <w:t>“</w:t>
      </w:r>
      <w:r>
        <w:rPr>
          <w:rFonts w:hAnsi="宋体"/>
          <w:kern w:val="2"/>
          <w:szCs w:val="20"/>
          <w:highlight w:val="none"/>
        </w:rPr>
        <w:t>附加服务</w:t>
      </w:r>
      <w:r>
        <w:rPr>
          <w:kern w:val="2"/>
          <w:szCs w:val="20"/>
          <w:highlight w:val="none"/>
        </w:rPr>
        <w:t>”</w:t>
      </w:r>
      <w:r>
        <w:rPr>
          <w:rFonts w:hAnsi="宋体"/>
          <w:kern w:val="2"/>
          <w:szCs w:val="20"/>
          <w:highlight w:val="none"/>
        </w:rPr>
        <w:t>指监理人为委托人提供正常服务以外的服务。</w:t>
      </w:r>
    </w:p>
    <w:p w14:paraId="178FA13B">
      <w:pPr>
        <w:autoSpaceDE/>
        <w:autoSpaceDN/>
        <w:adjustRightInd/>
        <w:spacing w:line="300" w:lineRule="auto"/>
        <w:ind w:firstLine="480" w:firstLineChars="200"/>
        <w:jc w:val="both"/>
        <w:rPr>
          <w:kern w:val="2"/>
          <w:szCs w:val="20"/>
          <w:highlight w:val="none"/>
        </w:rPr>
      </w:pPr>
      <w:r>
        <w:rPr>
          <w:rFonts w:hAnsi="宋体"/>
          <w:kern w:val="2"/>
          <w:szCs w:val="20"/>
          <w:highlight w:val="none"/>
        </w:rPr>
        <w:t>九、</w:t>
      </w:r>
      <w:r>
        <w:rPr>
          <w:kern w:val="2"/>
          <w:szCs w:val="20"/>
          <w:highlight w:val="none"/>
        </w:rPr>
        <w:t>“</w:t>
      </w:r>
      <w:r>
        <w:rPr>
          <w:rFonts w:hAnsi="宋体"/>
          <w:kern w:val="2"/>
          <w:szCs w:val="20"/>
          <w:highlight w:val="none"/>
        </w:rPr>
        <w:t>服务酬金</w:t>
      </w:r>
      <w:r>
        <w:rPr>
          <w:kern w:val="2"/>
          <w:szCs w:val="20"/>
          <w:highlight w:val="none"/>
        </w:rPr>
        <w:t>”</w:t>
      </w:r>
      <w:r>
        <w:rPr>
          <w:rFonts w:hAnsi="宋体"/>
          <w:kern w:val="2"/>
          <w:szCs w:val="20"/>
          <w:highlight w:val="none"/>
        </w:rPr>
        <w:t>指本合同中监理人完成</w:t>
      </w:r>
      <w:r>
        <w:rPr>
          <w:kern w:val="2"/>
          <w:szCs w:val="20"/>
          <w:highlight w:val="none"/>
        </w:rPr>
        <w:t>“</w:t>
      </w:r>
      <w:r>
        <w:rPr>
          <w:rFonts w:hAnsi="宋体"/>
          <w:kern w:val="2"/>
          <w:szCs w:val="20"/>
          <w:highlight w:val="none"/>
        </w:rPr>
        <w:t>正常服务</w:t>
      </w:r>
      <w:r>
        <w:rPr>
          <w:kern w:val="2"/>
          <w:szCs w:val="20"/>
          <w:highlight w:val="none"/>
        </w:rPr>
        <w:t>”</w:t>
      </w:r>
      <w:r>
        <w:rPr>
          <w:rFonts w:hAnsi="宋体"/>
          <w:kern w:val="2"/>
          <w:szCs w:val="20"/>
          <w:highlight w:val="none"/>
        </w:rPr>
        <w:t>、</w:t>
      </w:r>
      <w:r>
        <w:rPr>
          <w:kern w:val="2"/>
          <w:szCs w:val="20"/>
          <w:highlight w:val="none"/>
        </w:rPr>
        <w:t>“</w:t>
      </w:r>
      <w:r>
        <w:rPr>
          <w:rFonts w:hAnsi="宋体"/>
          <w:kern w:val="2"/>
          <w:szCs w:val="20"/>
          <w:highlight w:val="none"/>
        </w:rPr>
        <w:t>附加服务</w:t>
      </w:r>
      <w:r>
        <w:rPr>
          <w:kern w:val="2"/>
          <w:szCs w:val="20"/>
          <w:highlight w:val="none"/>
        </w:rPr>
        <w:t>”</w:t>
      </w:r>
      <w:r>
        <w:rPr>
          <w:rFonts w:hAnsi="宋体"/>
          <w:kern w:val="2"/>
          <w:szCs w:val="20"/>
          <w:highlight w:val="none"/>
        </w:rPr>
        <w:t>应得到的正常服务酬金和附加服务酬金。</w:t>
      </w:r>
    </w:p>
    <w:p w14:paraId="30020129">
      <w:pPr>
        <w:autoSpaceDE/>
        <w:autoSpaceDN/>
        <w:adjustRightInd/>
        <w:spacing w:line="300" w:lineRule="auto"/>
        <w:ind w:firstLine="480" w:firstLineChars="200"/>
        <w:jc w:val="both"/>
        <w:rPr>
          <w:kern w:val="2"/>
          <w:szCs w:val="20"/>
          <w:highlight w:val="none"/>
        </w:rPr>
      </w:pPr>
      <w:r>
        <w:rPr>
          <w:rFonts w:hAnsi="宋体"/>
          <w:kern w:val="2"/>
          <w:szCs w:val="20"/>
          <w:highlight w:val="none"/>
        </w:rPr>
        <w:t>十、</w:t>
      </w:r>
      <w:r>
        <w:rPr>
          <w:kern w:val="2"/>
          <w:szCs w:val="20"/>
          <w:highlight w:val="none"/>
        </w:rPr>
        <w:t>“</w:t>
      </w:r>
      <w:r>
        <w:rPr>
          <w:rFonts w:hAnsi="宋体"/>
          <w:kern w:val="2"/>
          <w:szCs w:val="20"/>
          <w:highlight w:val="none"/>
        </w:rPr>
        <w:t>天</w:t>
      </w:r>
      <w:r>
        <w:rPr>
          <w:kern w:val="2"/>
          <w:szCs w:val="20"/>
          <w:highlight w:val="none"/>
        </w:rPr>
        <w:t>”</w:t>
      </w:r>
      <w:r>
        <w:rPr>
          <w:rFonts w:hAnsi="宋体"/>
          <w:kern w:val="2"/>
          <w:szCs w:val="20"/>
          <w:highlight w:val="none"/>
        </w:rPr>
        <w:t>指日历天。</w:t>
      </w:r>
    </w:p>
    <w:p w14:paraId="36AD361C">
      <w:pPr>
        <w:autoSpaceDE/>
        <w:autoSpaceDN/>
        <w:adjustRightInd/>
        <w:spacing w:line="300" w:lineRule="auto"/>
        <w:ind w:firstLine="480" w:firstLineChars="200"/>
        <w:jc w:val="both"/>
        <w:rPr>
          <w:kern w:val="2"/>
          <w:szCs w:val="20"/>
          <w:highlight w:val="none"/>
          <w:shd w:val="pct10" w:color="auto" w:fill="FFFFFF"/>
        </w:rPr>
      </w:pPr>
      <w:r>
        <w:rPr>
          <w:rFonts w:hAnsi="宋体"/>
          <w:kern w:val="2"/>
          <w:szCs w:val="20"/>
          <w:highlight w:val="none"/>
        </w:rPr>
        <w:t>十一、</w:t>
      </w:r>
      <w:r>
        <w:rPr>
          <w:kern w:val="2"/>
          <w:szCs w:val="20"/>
          <w:highlight w:val="none"/>
        </w:rPr>
        <w:t>“</w:t>
      </w:r>
      <w:r>
        <w:rPr>
          <w:rFonts w:hAnsi="宋体"/>
          <w:kern w:val="2"/>
          <w:szCs w:val="20"/>
          <w:highlight w:val="none"/>
        </w:rPr>
        <w:t>现场</w:t>
      </w:r>
      <w:r>
        <w:rPr>
          <w:kern w:val="2"/>
          <w:szCs w:val="20"/>
          <w:highlight w:val="none"/>
        </w:rPr>
        <w:t>”</w:t>
      </w:r>
      <w:r>
        <w:rPr>
          <w:rFonts w:hAnsi="宋体"/>
          <w:kern w:val="2"/>
          <w:szCs w:val="20"/>
          <w:highlight w:val="none"/>
        </w:rPr>
        <w:t>指监理项目实施的场所。</w:t>
      </w:r>
    </w:p>
    <w:p w14:paraId="51F3F642">
      <w:pPr>
        <w:autoSpaceDE/>
        <w:autoSpaceDN/>
        <w:adjustRightInd/>
        <w:spacing w:line="300" w:lineRule="auto"/>
        <w:ind w:firstLine="361"/>
        <w:jc w:val="both"/>
        <w:rPr>
          <w:kern w:val="2"/>
          <w:szCs w:val="20"/>
          <w:highlight w:val="none"/>
        </w:rPr>
      </w:pPr>
      <w:r>
        <w:rPr>
          <w:rFonts w:hAnsi="宋体"/>
          <w:b/>
          <w:kern w:val="2"/>
          <w:szCs w:val="20"/>
          <w:highlight w:val="none"/>
        </w:rPr>
        <w:t>第二条</w:t>
      </w:r>
      <w:r>
        <w:rPr>
          <w:b/>
          <w:kern w:val="2"/>
          <w:szCs w:val="20"/>
          <w:highlight w:val="none"/>
        </w:rPr>
        <w:t xml:space="preserve"> </w:t>
      </w:r>
      <w:r>
        <w:rPr>
          <w:rFonts w:hAnsi="宋体"/>
          <w:kern w:val="2"/>
          <w:szCs w:val="20"/>
          <w:highlight w:val="none"/>
        </w:rPr>
        <w:t>本合同适用的语言文字为汉语文字。</w:t>
      </w:r>
    </w:p>
    <w:p w14:paraId="314BEFF9">
      <w:pPr>
        <w:autoSpaceDE/>
        <w:autoSpaceDN/>
        <w:adjustRightInd/>
        <w:spacing w:before="120" w:beforeLines="50" w:after="120" w:afterLines="50" w:line="300" w:lineRule="auto"/>
        <w:ind w:firstLine="420"/>
        <w:jc w:val="center"/>
        <w:rPr>
          <w:kern w:val="2"/>
          <w:sz w:val="28"/>
          <w:szCs w:val="28"/>
          <w:highlight w:val="none"/>
        </w:rPr>
      </w:pPr>
      <w:r>
        <w:rPr>
          <w:rFonts w:hAnsi="宋体"/>
          <w:kern w:val="2"/>
          <w:sz w:val="28"/>
          <w:szCs w:val="28"/>
          <w:highlight w:val="none"/>
        </w:rPr>
        <w:t>监理依据</w:t>
      </w:r>
    </w:p>
    <w:p w14:paraId="0CB0D3CC">
      <w:pPr>
        <w:autoSpaceDE/>
        <w:autoSpaceDN/>
        <w:adjustRightInd/>
        <w:spacing w:line="300" w:lineRule="auto"/>
        <w:ind w:firstLine="361"/>
        <w:jc w:val="both"/>
        <w:rPr>
          <w:kern w:val="2"/>
          <w:szCs w:val="20"/>
          <w:highlight w:val="none"/>
        </w:rPr>
      </w:pPr>
      <w:r>
        <w:rPr>
          <w:rFonts w:hAnsi="宋体"/>
          <w:b/>
          <w:kern w:val="2"/>
          <w:szCs w:val="20"/>
          <w:highlight w:val="none"/>
        </w:rPr>
        <w:t>第三条</w:t>
      </w:r>
      <w:r>
        <w:rPr>
          <w:kern w:val="2"/>
          <w:szCs w:val="20"/>
          <w:highlight w:val="none"/>
        </w:rPr>
        <w:t xml:space="preserve"> </w:t>
      </w:r>
      <w:r>
        <w:rPr>
          <w:rFonts w:hAnsi="宋体"/>
          <w:kern w:val="2"/>
          <w:szCs w:val="20"/>
          <w:highlight w:val="none"/>
        </w:rPr>
        <w:t>监理的依据是有关工程建设的法律、法规、规章和规范性文件；工程建设强制性条文、有关技术标准；经批准的工程建设项目设计文件及其相关文件；监理合同、施工合同等合同文件。具体内容在专用合同条款中约定。</w:t>
      </w:r>
    </w:p>
    <w:p w14:paraId="26EB9284">
      <w:pPr>
        <w:autoSpaceDE/>
        <w:autoSpaceDN/>
        <w:adjustRightInd/>
        <w:spacing w:before="120" w:beforeLines="50" w:after="120" w:afterLines="50" w:line="300" w:lineRule="auto"/>
        <w:jc w:val="center"/>
        <w:rPr>
          <w:kern w:val="2"/>
          <w:szCs w:val="20"/>
          <w:highlight w:val="none"/>
        </w:rPr>
      </w:pPr>
      <w:r>
        <w:rPr>
          <w:rFonts w:hAnsi="宋体"/>
          <w:kern w:val="2"/>
          <w:sz w:val="28"/>
          <w:szCs w:val="28"/>
          <w:highlight w:val="none"/>
        </w:rPr>
        <w:t>通知和联系</w:t>
      </w:r>
    </w:p>
    <w:p w14:paraId="4EA461BF">
      <w:pPr>
        <w:autoSpaceDE/>
        <w:autoSpaceDN/>
        <w:adjustRightInd/>
        <w:spacing w:line="300" w:lineRule="auto"/>
        <w:ind w:firstLine="361"/>
        <w:jc w:val="both"/>
        <w:rPr>
          <w:kern w:val="2"/>
          <w:szCs w:val="20"/>
          <w:highlight w:val="none"/>
        </w:rPr>
      </w:pPr>
      <w:r>
        <w:rPr>
          <w:rFonts w:hAnsi="宋体"/>
          <w:b/>
          <w:kern w:val="2"/>
          <w:szCs w:val="20"/>
          <w:highlight w:val="none"/>
        </w:rPr>
        <w:t>第四条</w:t>
      </w:r>
      <w:r>
        <w:rPr>
          <w:b/>
          <w:kern w:val="2"/>
          <w:szCs w:val="20"/>
          <w:highlight w:val="none"/>
        </w:rPr>
        <w:t xml:space="preserve"> </w:t>
      </w:r>
      <w:r>
        <w:rPr>
          <w:rFonts w:hAnsi="宋体"/>
          <w:kern w:val="2"/>
          <w:szCs w:val="20"/>
          <w:highlight w:val="none"/>
        </w:rPr>
        <w:t>委托人应指定一名联系人，负责与监理机构联系。更换联系人时，应提前通知监理人。</w:t>
      </w:r>
    </w:p>
    <w:p w14:paraId="647F0580">
      <w:pPr>
        <w:autoSpaceDE/>
        <w:autoSpaceDN/>
        <w:adjustRightInd/>
        <w:spacing w:line="300" w:lineRule="auto"/>
        <w:ind w:firstLine="361"/>
        <w:jc w:val="both"/>
        <w:rPr>
          <w:kern w:val="2"/>
          <w:szCs w:val="20"/>
          <w:highlight w:val="none"/>
        </w:rPr>
      </w:pPr>
      <w:r>
        <w:rPr>
          <w:rFonts w:hAnsi="宋体"/>
          <w:b/>
          <w:kern w:val="2"/>
          <w:szCs w:val="20"/>
          <w:highlight w:val="none"/>
        </w:rPr>
        <w:t>第五条</w:t>
      </w:r>
      <w:r>
        <w:rPr>
          <w:kern w:val="2"/>
          <w:szCs w:val="20"/>
          <w:highlight w:val="none"/>
        </w:rPr>
        <w:t xml:space="preserve"> </w:t>
      </w:r>
      <w:r>
        <w:rPr>
          <w:rFonts w:hAnsi="宋体"/>
          <w:kern w:val="2"/>
          <w:szCs w:val="20"/>
          <w:highlight w:val="none"/>
        </w:rPr>
        <w:t>在监理合同实施过程中，双方的联系均应以书面函件为准。在不做出紧急处理即可能导致安全、质量事故的情况下，可先以口头形式通知，并在</w:t>
      </w:r>
      <w:r>
        <w:rPr>
          <w:kern w:val="2"/>
          <w:szCs w:val="20"/>
          <w:highlight w:val="none"/>
        </w:rPr>
        <w:t>48</w:t>
      </w:r>
      <w:r>
        <w:rPr>
          <w:rFonts w:hAnsi="宋体"/>
          <w:kern w:val="2"/>
          <w:szCs w:val="20"/>
          <w:highlight w:val="none"/>
        </w:rPr>
        <w:t>小时内补做书面通知。</w:t>
      </w:r>
    </w:p>
    <w:p w14:paraId="2E107150">
      <w:pPr>
        <w:autoSpaceDE/>
        <w:autoSpaceDN/>
        <w:adjustRightInd/>
        <w:spacing w:line="300" w:lineRule="auto"/>
        <w:ind w:firstLine="361"/>
        <w:jc w:val="both"/>
        <w:rPr>
          <w:kern w:val="2"/>
          <w:szCs w:val="20"/>
          <w:highlight w:val="none"/>
        </w:rPr>
      </w:pPr>
      <w:r>
        <w:rPr>
          <w:rFonts w:hAnsi="宋体"/>
          <w:b/>
          <w:kern w:val="2"/>
          <w:szCs w:val="20"/>
          <w:highlight w:val="none"/>
        </w:rPr>
        <w:t>第六条</w:t>
      </w:r>
      <w:r>
        <w:rPr>
          <w:kern w:val="2"/>
          <w:szCs w:val="20"/>
          <w:highlight w:val="none"/>
        </w:rPr>
        <w:t xml:space="preserve"> </w:t>
      </w:r>
      <w:r>
        <w:rPr>
          <w:rFonts w:hAnsi="宋体"/>
          <w:kern w:val="2"/>
          <w:szCs w:val="20"/>
          <w:highlight w:val="none"/>
        </w:rPr>
        <w:t>委托人对委托监理范围内工程项目实施的意见和决策，应通过监理机构下达，法律、法规另有规定的除外。</w:t>
      </w:r>
    </w:p>
    <w:p w14:paraId="19A5F22E">
      <w:pPr>
        <w:autoSpaceDE/>
        <w:autoSpaceDN/>
        <w:adjustRightInd/>
        <w:spacing w:before="120" w:beforeLines="50" w:after="120" w:afterLines="50" w:line="300" w:lineRule="auto"/>
        <w:ind w:firstLine="420"/>
        <w:jc w:val="center"/>
        <w:rPr>
          <w:kern w:val="2"/>
          <w:sz w:val="28"/>
          <w:szCs w:val="28"/>
          <w:highlight w:val="none"/>
        </w:rPr>
      </w:pPr>
      <w:r>
        <w:rPr>
          <w:rFonts w:hAnsi="宋体"/>
          <w:kern w:val="2"/>
          <w:sz w:val="28"/>
          <w:szCs w:val="28"/>
          <w:highlight w:val="none"/>
        </w:rPr>
        <w:t>委托人的权利</w:t>
      </w:r>
    </w:p>
    <w:p w14:paraId="1CE44873">
      <w:pPr>
        <w:autoSpaceDE/>
        <w:autoSpaceDN/>
        <w:adjustRightInd/>
        <w:spacing w:line="300" w:lineRule="auto"/>
        <w:ind w:firstLine="361"/>
        <w:jc w:val="both"/>
        <w:rPr>
          <w:kern w:val="2"/>
          <w:szCs w:val="20"/>
          <w:highlight w:val="none"/>
        </w:rPr>
      </w:pPr>
      <w:r>
        <w:rPr>
          <w:rFonts w:hAnsi="宋体"/>
          <w:b/>
          <w:kern w:val="2"/>
          <w:szCs w:val="20"/>
          <w:highlight w:val="none"/>
        </w:rPr>
        <w:t>第七条</w:t>
      </w:r>
      <w:r>
        <w:rPr>
          <w:kern w:val="2"/>
          <w:szCs w:val="20"/>
          <w:highlight w:val="none"/>
        </w:rPr>
        <w:t xml:space="preserve"> </w:t>
      </w:r>
      <w:r>
        <w:rPr>
          <w:rFonts w:hAnsi="宋体"/>
          <w:kern w:val="2"/>
          <w:szCs w:val="20"/>
          <w:highlight w:val="none"/>
        </w:rPr>
        <w:t>委托人享有如下权利：</w:t>
      </w:r>
    </w:p>
    <w:p w14:paraId="5219D7FF">
      <w:pPr>
        <w:autoSpaceDE/>
        <w:autoSpaceDN/>
        <w:adjustRightInd/>
        <w:spacing w:line="300" w:lineRule="auto"/>
        <w:ind w:firstLine="480" w:firstLineChars="200"/>
        <w:jc w:val="both"/>
        <w:rPr>
          <w:kern w:val="2"/>
          <w:szCs w:val="20"/>
          <w:highlight w:val="none"/>
        </w:rPr>
      </w:pPr>
      <w:r>
        <w:rPr>
          <w:rFonts w:hAnsi="宋体"/>
          <w:kern w:val="2"/>
          <w:szCs w:val="20"/>
          <w:highlight w:val="none"/>
        </w:rPr>
        <w:t>一、对监理工作进行监督、检查，并提出撤换不能胜任监理工作人员的建议或要求；</w:t>
      </w:r>
    </w:p>
    <w:p w14:paraId="71BE76AC">
      <w:pPr>
        <w:autoSpaceDE/>
        <w:autoSpaceDN/>
        <w:adjustRightInd/>
        <w:spacing w:line="300" w:lineRule="auto"/>
        <w:ind w:firstLine="482" w:firstLineChars="200"/>
        <w:jc w:val="both"/>
        <w:rPr>
          <w:kern w:val="2"/>
          <w:szCs w:val="20"/>
          <w:highlight w:val="none"/>
        </w:rPr>
      </w:pPr>
      <w:r>
        <w:rPr>
          <w:rFonts w:hAnsi="宋体"/>
          <w:b/>
          <w:kern w:val="2"/>
          <w:szCs w:val="20"/>
          <w:highlight w:val="none"/>
        </w:rPr>
        <w:t>二、</w:t>
      </w:r>
      <w:r>
        <w:rPr>
          <w:rFonts w:hAnsi="宋体"/>
          <w:kern w:val="2"/>
          <w:szCs w:val="20"/>
          <w:highlight w:val="none"/>
        </w:rPr>
        <w:t>对工程建设中质量、安全、投资、进度方面的重大问题的决策权；</w:t>
      </w:r>
    </w:p>
    <w:p w14:paraId="7E30EE2A">
      <w:pPr>
        <w:autoSpaceDE/>
        <w:autoSpaceDN/>
        <w:adjustRightInd/>
        <w:spacing w:line="300" w:lineRule="auto"/>
        <w:ind w:firstLine="482" w:firstLineChars="200"/>
        <w:jc w:val="both"/>
        <w:rPr>
          <w:kern w:val="2"/>
          <w:szCs w:val="20"/>
          <w:highlight w:val="none"/>
        </w:rPr>
      </w:pPr>
      <w:r>
        <w:rPr>
          <w:rFonts w:hAnsi="宋体"/>
          <w:b/>
          <w:kern w:val="2"/>
          <w:szCs w:val="20"/>
          <w:highlight w:val="none"/>
        </w:rPr>
        <w:t>三、</w:t>
      </w:r>
      <w:r>
        <w:rPr>
          <w:rFonts w:hAnsi="宋体"/>
          <w:kern w:val="2"/>
          <w:szCs w:val="20"/>
          <w:highlight w:val="none"/>
        </w:rPr>
        <w:t>核定监理人签发的工程计量、付款凭证；</w:t>
      </w:r>
    </w:p>
    <w:p w14:paraId="36F0C436">
      <w:pPr>
        <w:autoSpaceDE/>
        <w:autoSpaceDN/>
        <w:adjustRightInd/>
        <w:spacing w:line="300" w:lineRule="auto"/>
        <w:ind w:firstLine="480" w:firstLineChars="200"/>
        <w:jc w:val="both"/>
        <w:rPr>
          <w:b/>
          <w:kern w:val="2"/>
          <w:szCs w:val="20"/>
          <w:highlight w:val="none"/>
        </w:rPr>
      </w:pPr>
      <w:r>
        <w:rPr>
          <w:rFonts w:hAnsi="宋体"/>
          <w:kern w:val="2"/>
          <w:szCs w:val="20"/>
          <w:highlight w:val="none"/>
        </w:rPr>
        <w:t>四、要求监理人提交监理月报、监理专题报告、监理工作报告和监理工作总结报告；</w:t>
      </w:r>
    </w:p>
    <w:p w14:paraId="3A799A87">
      <w:pPr>
        <w:autoSpaceDE/>
        <w:autoSpaceDN/>
        <w:adjustRightInd/>
        <w:spacing w:line="300" w:lineRule="auto"/>
        <w:ind w:firstLine="480" w:firstLineChars="200"/>
        <w:jc w:val="both"/>
        <w:rPr>
          <w:b/>
          <w:kern w:val="2"/>
          <w:szCs w:val="20"/>
          <w:highlight w:val="none"/>
        </w:rPr>
      </w:pPr>
      <w:r>
        <w:rPr>
          <w:rFonts w:hAnsi="宋体"/>
          <w:kern w:val="2"/>
          <w:szCs w:val="20"/>
          <w:highlight w:val="none"/>
        </w:rPr>
        <w:t>五、当监理人发生本合同专用条款约定的违约情形时，有权解除本合同。</w:t>
      </w:r>
    </w:p>
    <w:p w14:paraId="6A8A2ADE">
      <w:pPr>
        <w:autoSpaceDE/>
        <w:autoSpaceDN/>
        <w:adjustRightInd/>
        <w:spacing w:line="300" w:lineRule="auto"/>
        <w:ind w:firstLine="420"/>
        <w:jc w:val="center"/>
        <w:rPr>
          <w:kern w:val="2"/>
          <w:szCs w:val="20"/>
          <w:highlight w:val="none"/>
        </w:rPr>
      </w:pPr>
      <w:r>
        <w:rPr>
          <w:rFonts w:hAnsi="宋体"/>
          <w:kern w:val="2"/>
          <w:sz w:val="28"/>
          <w:szCs w:val="28"/>
          <w:highlight w:val="none"/>
        </w:rPr>
        <w:t>监理人的权利</w:t>
      </w:r>
    </w:p>
    <w:p w14:paraId="79C64E34">
      <w:pPr>
        <w:autoSpaceDE/>
        <w:autoSpaceDN/>
        <w:adjustRightInd/>
        <w:spacing w:line="300" w:lineRule="auto"/>
        <w:ind w:firstLine="361"/>
        <w:jc w:val="both"/>
        <w:rPr>
          <w:kern w:val="2"/>
          <w:szCs w:val="20"/>
          <w:highlight w:val="none"/>
        </w:rPr>
      </w:pPr>
      <w:r>
        <w:rPr>
          <w:rFonts w:hAnsi="宋体"/>
          <w:b/>
          <w:kern w:val="2"/>
          <w:szCs w:val="20"/>
          <w:highlight w:val="none"/>
        </w:rPr>
        <w:t>第八条</w:t>
      </w:r>
      <w:r>
        <w:rPr>
          <w:b/>
          <w:kern w:val="2"/>
          <w:szCs w:val="20"/>
          <w:highlight w:val="none"/>
        </w:rPr>
        <w:t xml:space="preserve"> </w:t>
      </w:r>
      <w:r>
        <w:rPr>
          <w:rFonts w:hAnsi="宋体"/>
          <w:kern w:val="2"/>
          <w:szCs w:val="20"/>
          <w:highlight w:val="none"/>
        </w:rPr>
        <w:t>委托人赋予监理人如下权利：</w:t>
      </w:r>
    </w:p>
    <w:p w14:paraId="2A42AA22">
      <w:pPr>
        <w:autoSpaceDE/>
        <w:autoSpaceDN/>
        <w:adjustRightInd/>
        <w:spacing w:line="300" w:lineRule="auto"/>
        <w:ind w:firstLine="480" w:firstLineChars="200"/>
        <w:jc w:val="both"/>
        <w:rPr>
          <w:kern w:val="2"/>
          <w:szCs w:val="20"/>
          <w:highlight w:val="none"/>
        </w:rPr>
      </w:pPr>
      <w:r>
        <w:rPr>
          <w:rFonts w:hAnsi="宋体"/>
          <w:kern w:val="2"/>
          <w:szCs w:val="20"/>
          <w:highlight w:val="none"/>
        </w:rPr>
        <w:t>一、审查承包人拟选择的分包项目和分包人</w:t>
      </w:r>
      <w:r>
        <w:rPr>
          <w:rFonts w:hAnsi="宋体"/>
          <w:kern w:val="2"/>
          <w:szCs w:val="20"/>
          <w:highlight w:val="none"/>
          <w:shd w:val="clear" w:color="auto" w:fill="FFFFFF"/>
        </w:rPr>
        <w:t>，报委托人批准</w:t>
      </w:r>
      <w:r>
        <w:rPr>
          <w:rFonts w:hAnsi="宋体"/>
          <w:kern w:val="2"/>
          <w:szCs w:val="20"/>
          <w:highlight w:val="none"/>
        </w:rPr>
        <w:t>；</w:t>
      </w:r>
    </w:p>
    <w:p w14:paraId="498BE28B">
      <w:pPr>
        <w:autoSpaceDE/>
        <w:autoSpaceDN/>
        <w:adjustRightInd/>
        <w:spacing w:line="300" w:lineRule="auto"/>
        <w:ind w:firstLine="480" w:firstLineChars="200"/>
        <w:jc w:val="both"/>
        <w:rPr>
          <w:kern w:val="2"/>
          <w:szCs w:val="20"/>
          <w:highlight w:val="none"/>
        </w:rPr>
      </w:pPr>
      <w:r>
        <w:rPr>
          <w:rFonts w:hAnsi="宋体"/>
          <w:kern w:val="2"/>
          <w:szCs w:val="20"/>
          <w:highlight w:val="none"/>
        </w:rPr>
        <w:t>二、审查承包人提交的施工组织设计、安全技术措施及专项施工方案等各类文件；</w:t>
      </w:r>
    </w:p>
    <w:p w14:paraId="31B9D1C6">
      <w:pPr>
        <w:autoSpaceDE/>
        <w:autoSpaceDN/>
        <w:adjustRightInd/>
        <w:spacing w:line="300" w:lineRule="auto"/>
        <w:ind w:firstLine="480" w:firstLineChars="200"/>
        <w:jc w:val="both"/>
        <w:rPr>
          <w:kern w:val="2"/>
          <w:szCs w:val="20"/>
          <w:highlight w:val="none"/>
        </w:rPr>
      </w:pPr>
      <w:r>
        <w:rPr>
          <w:rFonts w:hAnsi="宋体"/>
          <w:kern w:val="2"/>
          <w:szCs w:val="20"/>
          <w:highlight w:val="none"/>
        </w:rPr>
        <w:t>三、核查并签发施工图纸；</w:t>
      </w:r>
    </w:p>
    <w:p w14:paraId="129EEA5E">
      <w:pPr>
        <w:autoSpaceDE/>
        <w:autoSpaceDN/>
        <w:adjustRightInd/>
        <w:spacing w:line="300" w:lineRule="auto"/>
        <w:ind w:firstLine="480" w:firstLineChars="200"/>
        <w:jc w:val="both"/>
        <w:rPr>
          <w:kern w:val="2"/>
          <w:szCs w:val="20"/>
          <w:highlight w:val="none"/>
        </w:rPr>
      </w:pPr>
      <w:r>
        <w:rPr>
          <w:rFonts w:hAnsi="宋体"/>
          <w:kern w:val="2"/>
          <w:szCs w:val="20"/>
          <w:highlight w:val="none"/>
        </w:rPr>
        <w:t>四、签发合同项目开工令、暂停施工</w:t>
      </w:r>
      <w:r>
        <w:rPr>
          <w:rFonts w:hAnsi="宋体"/>
          <w:kern w:val="2"/>
          <w:szCs w:val="20"/>
          <w:highlight w:val="none"/>
          <w:shd w:val="clear" w:color="auto" w:fill="FFFFFF"/>
        </w:rPr>
        <w:t>指示</w:t>
      </w:r>
      <w:r>
        <w:rPr>
          <w:rFonts w:hAnsi="宋体"/>
          <w:kern w:val="2"/>
          <w:szCs w:val="20"/>
          <w:highlight w:val="none"/>
        </w:rPr>
        <w:t>，但应事先征得委托人同意；</w:t>
      </w:r>
      <w:r>
        <w:rPr>
          <w:rFonts w:hAnsi="宋体"/>
          <w:kern w:val="2"/>
          <w:szCs w:val="20"/>
          <w:highlight w:val="none"/>
          <w:shd w:val="clear" w:color="auto" w:fill="FFFFFF"/>
        </w:rPr>
        <w:t>签发</w:t>
      </w:r>
      <w:r>
        <w:rPr>
          <w:rFonts w:hAnsi="宋体"/>
          <w:kern w:val="2"/>
          <w:szCs w:val="20"/>
          <w:highlight w:val="none"/>
        </w:rPr>
        <w:t>进场通知、复工通知；</w:t>
      </w:r>
    </w:p>
    <w:p w14:paraId="581A6A38">
      <w:pPr>
        <w:autoSpaceDE/>
        <w:autoSpaceDN/>
        <w:adjustRightInd/>
        <w:spacing w:line="300" w:lineRule="auto"/>
        <w:ind w:firstLine="480" w:firstLineChars="200"/>
        <w:jc w:val="both"/>
        <w:rPr>
          <w:kern w:val="2"/>
          <w:szCs w:val="20"/>
          <w:highlight w:val="none"/>
        </w:rPr>
      </w:pPr>
      <w:r>
        <w:rPr>
          <w:rFonts w:hAnsi="宋体"/>
          <w:kern w:val="2"/>
          <w:szCs w:val="20"/>
          <w:highlight w:val="none"/>
        </w:rPr>
        <w:t>五、审核和签发工程计量、付款凭证；</w:t>
      </w:r>
    </w:p>
    <w:p w14:paraId="46C8F178">
      <w:pPr>
        <w:autoSpaceDE/>
        <w:autoSpaceDN/>
        <w:adjustRightInd/>
        <w:spacing w:line="300" w:lineRule="auto"/>
        <w:ind w:firstLine="480" w:firstLineChars="200"/>
        <w:jc w:val="both"/>
        <w:rPr>
          <w:kern w:val="2"/>
          <w:szCs w:val="20"/>
          <w:highlight w:val="none"/>
        </w:rPr>
      </w:pPr>
      <w:r>
        <w:rPr>
          <w:rFonts w:hAnsi="宋体"/>
          <w:kern w:val="2"/>
          <w:szCs w:val="20"/>
          <w:highlight w:val="none"/>
        </w:rPr>
        <w:t>六、核查承包人现场工作人员数量及相应岗位资格，有权要求承包人撤换不称职的现场工作人员；</w:t>
      </w:r>
    </w:p>
    <w:p w14:paraId="3C00DAB3">
      <w:pPr>
        <w:autoSpaceDE/>
        <w:autoSpaceDN/>
        <w:adjustRightInd/>
        <w:spacing w:line="300" w:lineRule="auto"/>
        <w:ind w:firstLine="480" w:firstLineChars="200"/>
        <w:jc w:val="both"/>
        <w:rPr>
          <w:kern w:val="2"/>
          <w:szCs w:val="20"/>
          <w:highlight w:val="none"/>
        </w:rPr>
      </w:pPr>
      <w:r>
        <w:rPr>
          <w:rFonts w:hAnsi="宋体"/>
          <w:kern w:val="2"/>
          <w:szCs w:val="20"/>
          <w:highlight w:val="none"/>
        </w:rPr>
        <w:t>七、发现承包人使用的施工设备影响工程质量或进度时，有权要求承包人增加或更换施工设备；</w:t>
      </w:r>
    </w:p>
    <w:p w14:paraId="14AFB899">
      <w:pPr>
        <w:autoSpaceDE/>
        <w:autoSpaceDN/>
        <w:adjustRightInd/>
        <w:spacing w:line="300" w:lineRule="auto"/>
        <w:ind w:firstLine="480" w:firstLineChars="200"/>
        <w:jc w:val="both"/>
        <w:rPr>
          <w:kern w:val="2"/>
          <w:szCs w:val="20"/>
          <w:highlight w:val="none"/>
        </w:rPr>
      </w:pPr>
      <w:r>
        <w:rPr>
          <w:rFonts w:hAnsi="宋体"/>
          <w:kern w:val="2"/>
          <w:szCs w:val="20"/>
          <w:highlight w:val="none"/>
        </w:rPr>
        <w:t>八、当委托人发生本合同专用条款约定的违约情形时，有权解除本合同；</w:t>
      </w:r>
    </w:p>
    <w:p w14:paraId="7CA5F8DB">
      <w:pPr>
        <w:autoSpaceDE/>
        <w:autoSpaceDN/>
        <w:adjustRightInd/>
        <w:spacing w:line="300" w:lineRule="auto"/>
        <w:ind w:firstLine="480" w:firstLineChars="200"/>
        <w:jc w:val="both"/>
        <w:rPr>
          <w:kern w:val="2"/>
          <w:szCs w:val="20"/>
          <w:highlight w:val="none"/>
        </w:rPr>
      </w:pPr>
      <w:r>
        <w:rPr>
          <w:rFonts w:hAnsi="宋体"/>
          <w:kern w:val="2"/>
          <w:szCs w:val="20"/>
          <w:highlight w:val="none"/>
        </w:rPr>
        <w:t>九、专用合同条款约定的其他权利。</w:t>
      </w:r>
    </w:p>
    <w:p w14:paraId="37D1A10C">
      <w:pPr>
        <w:autoSpaceDE/>
        <w:autoSpaceDN/>
        <w:adjustRightInd/>
        <w:spacing w:before="120" w:beforeLines="50" w:after="120" w:afterLines="50" w:line="300" w:lineRule="auto"/>
        <w:ind w:firstLine="420"/>
        <w:jc w:val="center"/>
        <w:rPr>
          <w:kern w:val="2"/>
          <w:sz w:val="28"/>
          <w:szCs w:val="28"/>
          <w:highlight w:val="none"/>
        </w:rPr>
      </w:pPr>
      <w:r>
        <w:rPr>
          <w:rFonts w:hAnsi="宋体"/>
          <w:kern w:val="2"/>
          <w:sz w:val="28"/>
          <w:szCs w:val="28"/>
          <w:highlight w:val="none"/>
        </w:rPr>
        <w:t>委托人的义务</w:t>
      </w:r>
    </w:p>
    <w:p w14:paraId="2E39FDB6">
      <w:pPr>
        <w:autoSpaceDE/>
        <w:autoSpaceDN/>
        <w:adjustRightInd/>
        <w:spacing w:line="300" w:lineRule="auto"/>
        <w:ind w:firstLine="361"/>
        <w:jc w:val="both"/>
        <w:rPr>
          <w:kern w:val="2"/>
          <w:szCs w:val="20"/>
          <w:highlight w:val="none"/>
        </w:rPr>
      </w:pPr>
      <w:r>
        <w:rPr>
          <w:rFonts w:hAnsi="宋体"/>
          <w:b/>
          <w:kern w:val="2"/>
          <w:szCs w:val="20"/>
          <w:highlight w:val="none"/>
        </w:rPr>
        <w:t>第九条</w:t>
      </w:r>
      <w:r>
        <w:rPr>
          <w:b/>
          <w:kern w:val="2"/>
          <w:szCs w:val="20"/>
          <w:highlight w:val="none"/>
        </w:rPr>
        <w:t xml:space="preserve"> </w:t>
      </w:r>
      <w:r>
        <w:rPr>
          <w:rFonts w:hAnsi="宋体"/>
          <w:kern w:val="2"/>
          <w:szCs w:val="20"/>
          <w:highlight w:val="none"/>
        </w:rPr>
        <w:t>工程建设外部环境的协调工作。</w:t>
      </w:r>
    </w:p>
    <w:p w14:paraId="689D838D">
      <w:pPr>
        <w:autoSpaceDE/>
        <w:autoSpaceDN/>
        <w:adjustRightInd/>
        <w:spacing w:line="300" w:lineRule="auto"/>
        <w:ind w:firstLine="361"/>
        <w:jc w:val="both"/>
        <w:rPr>
          <w:kern w:val="2"/>
          <w:szCs w:val="20"/>
          <w:highlight w:val="none"/>
        </w:rPr>
      </w:pPr>
      <w:r>
        <w:rPr>
          <w:rFonts w:hAnsi="宋体"/>
          <w:b/>
          <w:kern w:val="2"/>
          <w:szCs w:val="20"/>
          <w:highlight w:val="none"/>
        </w:rPr>
        <w:t>第十条</w:t>
      </w:r>
      <w:r>
        <w:rPr>
          <w:b/>
          <w:kern w:val="2"/>
          <w:szCs w:val="20"/>
          <w:highlight w:val="none"/>
        </w:rPr>
        <w:t xml:space="preserve"> </w:t>
      </w:r>
      <w:r>
        <w:rPr>
          <w:rFonts w:hAnsi="宋体"/>
          <w:kern w:val="2"/>
          <w:szCs w:val="20"/>
          <w:highlight w:val="none"/>
        </w:rPr>
        <w:t>按专用合同条款约定的时间、数量、方式，免费向监理机构提供开展监理服务的有关本工程建设的资料。</w:t>
      </w:r>
    </w:p>
    <w:p w14:paraId="52A7A5B1">
      <w:pPr>
        <w:autoSpaceDE/>
        <w:autoSpaceDN/>
        <w:adjustRightInd/>
        <w:spacing w:line="300" w:lineRule="auto"/>
        <w:ind w:firstLine="361"/>
        <w:jc w:val="both"/>
        <w:rPr>
          <w:dstrike/>
          <w:kern w:val="2"/>
          <w:szCs w:val="20"/>
          <w:highlight w:val="none"/>
        </w:rPr>
      </w:pPr>
      <w:r>
        <w:rPr>
          <w:rFonts w:hAnsi="宋体"/>
          <w:b/>
          <w:kern w:val="2"/>
          <w:szCs w:val="20"/>
          <w:highlight w:val="none"/>
        </w:rPr>
        <w:t>第十一条</w:t>
      </w:r>
      <w:r>
        <w:rPr>
          <w:kern w:val="2"/>
          <w:szCs w:val="20"/>
          <w:highlight w:val="none"/>
        </w:rPr>
        <w:t xml:space="preserve"> </w:t>
      </w:r>
      <w:r>
        <w:rPr>
          <w:rFonts w:hAnsi="宋体"/>
          <w:kern w:val="2"/>
          <w:szCs w:val="20"/>
          <w:highlight w:val="none"/>
        </w:rPr>
        <w:t>在专用合同条款约定的时间内，就监理机构书面提交并要求作出决定的问题作出书面决定，并及时送达监理机构。超过约定时间，监理机构未收到委托人的书面决定，且委托人未说明理由，监理机构可认为委托人对其提出的事宜已无不同意见，无须再作确认。</w:t>
      </w:r>
    </w:p>
    <w:p w14:paraId="7DC2A0CF">
      <w:pPr>
        <w:autoSpaceDE/>
        <w:autoSpaceDN/>
        <w:adjustRightInd/>
        <w:spacing w:line="300" w:lineRule="auto"/>
        <w:ind w:firstLine="361"/>
        <w:jc w:val="both"/>
        <w:rPr>
          <w:kern w:val="2"/>
          <w:szCs w:val="20"/>
          <w:highlight w:val="none"/>
          <w:shd w:val="pct10" w:color="auto" w:fill="FFFFFF"/>
        </w:rPr>
      </w:pPr>
      <w:r>
        <w:rPr>
          <w:rFonts w:hAnsi="宋体"/>
          <w:b/>
          <w:kern w:val="2"/>
          <w:szCs w:val="20"/>
          <w:highlight w:val="none"/>
        </w:rPr>
        <w:t>第十二条</w:t>
      </w:r>
      <w:r>
        <w:rPr>
          <w:b/>
          <w:kern w:val="2"/>
          <w:szCs w:val="20"/>
          <w:highlight w:val="none"/>
        </w:rPr>
        <w:t xml:space="preserve"> </w:t>
      </w:r>
      <w:r>
        <w:rPr>
          <w:rFonts w:hAnsi="宋体"/>
          <w:kern w:val="2"/>
          <w:szCs w:val="20"/>
          <w:highlight w:val="none"/>
          <w:shd w:val="clear" w:color="auto" w:fill="FFFFFF"/>
        </w:rPr>
        <w:t>与承包人签订的施工合同中明确其赋予监理人的权限，并在工程开工前将监理单位、总监理工程师通知承包人。</w:t>
      </w:r>
    </w:p>
    <w:p w14:paraId="39F8289A">
      <w:pPr>
        <w:autoSpaceDE/>
        <w:autoSpaceDN/>
        <w:adjustRightInd/>
        <w:spacing w:line="300" w:lineRule="auto"/>
        <w:ind w:firstLine="361"/>
        <w:jc w:val="both"/>
        <w:rPr>
          <w:kern w:val="2"/>
          <w:szCs w:val="20"/>
          <w:highlight w:val="none"/>
          <w:shd w:val="clear" w:color="auto" w:fill="FFFFFF"/>
        </w:rPr>
      </w:pPr>
      <w:r>
        <w:rPr>
          <w:rFonts w:hAnsi="宋体"/>
          <w:b/>
          <w:kern w:val="2"/>
          <w:szCs w:val="20"/>
          <w:highlight w:val="none"/>
        </w:rPr>
        <w:t>第十三条</w:t>
      </w:r>
      <w:r>
        <w:rPr>
          <w:kern w:val="2"/>
          <w:szCs w:val="20"/>
          <w:highlight w:val="none"/>
          <w:shd w:val="clear" w:color="auto" w:fill="FFFFFF"/>
        </w:rPr>
        <w:t xml:space="preserve"> </w:t>
      </w:r>
      <w:r>
        <w:rPr>
          <w:rFonts w:hAnsi="宋体"/>
          <w:kern w:val="2"/>
          <w:szCs w:val="20"/>
          <w:highlight w:val="none"/>
          <w:shd w:val="clear" w:color="auto" w:fill="FFFFFF"/>
        </w:rPr>
        <w:t>提供监理人员在现场的工作和生活条件，具体内容在专用合同条款中明确。如果不能提供上述条件的，应按实际发生费用给予监理人补偿。</w:t>
      </w:r>
    </w:p>
    <w:p w14:paraId="28F6ECA7">
      <w:pPr>
        <w:autoSpaceDE/>
        <w:autoSpaceDN/>
        <w:adjustRightInd/>
        <w:spacing w:line="300" w:lineRule="auto"/>
        <w:ind w:firstLine="361"/>
        <w:jc w:val="both"/>
        <w:rPr>
          <w:kern w:val="2"/>
          <w:szCs w:val="20"/>
          <w:highlight w:val="none"/>
        </w:rPr>
      </w:pPr>
      <w:r>
        <w:rPr>
          <w:rFonts w:hAnsi="宋体"/>
          <w:b/>
          <w:kern w:val="2"/>
          <w:szCs w:val="20"/>
          <w:highlight w:val="none"/>
        </w:rPr>
        <w:t>第十四条</w:t>
      </w:r>
      <w:r>
        <w:rPr>
          <w:kern w:val="2"/>
          <w:szCs w:val="20"/>
          <w:highlight w:val="none"/>
        </w:rPr>
        <w:t xml:space="preserve"> </w:t>
      </w:r>
      <w:r>
        <w:rPr>
          <w:rFonts w:hAnsi="宋体"/>
          <w:kern w:val="2"/>
          <w:szCs w:val="20"/>
          <w:highlight w:val="none"/>
        </w:rPr>
        <w:t>按本合同约定及时、足额支付监理服务酬金。</w:t>
      </w:r>
    </w:p>
    <w:p w14:paraId="48D34B07">
      <w:pPr>
        <w:autoSpaceDE/>
        <w:autoSpaceDN/>
        <w:adjustRightInd/>
        <w:spacing w:line="300" w:lineRule="auto"/>
        <w:ind w:firstLine="361"/>
        <w:jc w:val="both"/>
        <w:rPr>
          <w:kern w:val="2"/>
          <w:szCs w:val="20"/>
          <w:highlight w:val="none"/>
        </w:rPr>
      </w:pPr>
      <w:r>
        <w:rPr>
          <w:rFonts w:hAnsi="宋体"/>
          <w:b/>
          <w:kern w:val="2"/>
          <w:szCs w:val="20"/>
          <w:highlight w:val="none"/>
        </w:rPr>
        <w:t>第十五条</w:t>
      </w:r>
      <w:r>
        <w:rPr>
          <w:b/>
          <w:kern w:val="2"/>
          <w:szCs w:val="20"/>
          <w:highlight w:val="none"/>
        </w:rPr>
        <w:t xml:space="preserve"> </w:t>
      </w:r>
      <w:r>
        <w:rPr>
          <w:rFonts w:hAnsi="宋体"/>
          <w:kern w:val="2"/>
          <w:szCs w:val="20"/>
          <w:highlight w:val="none"/>
        </w:rPr>
        <w:t>为监理机构指定具有检验、试验资质的机构并承担检验、试验相关费用。</w:t>
      </w:r>
    </w:p>
    <w:p w14:paraId="468055ED">
      <w:pPr>
        <w:autoSpaceDE/>
        <w:autoSpaceDN/>
        <w:adjustRightInd/>
        <w:spacing w:line="300" w:lineRule="auto"/>
        <w:ind w:firstLine="361"/>
        <w:jc w:val="both"/>
        <w:rPr>
          <w:kern w:val="2"/>
          <w:szCs w:val="20"/>
          <w:highlight w:val="none"/>
        </w:rPr>
      </w:pPr>
      <w:r>
        <w:rPr>
          <w:rFonts w:hAnsi="宋体"/>
          <w:b/>
          <w:kern w:val="2"/>
          <w:szCs w:val="20"/>
          <w:highlight w:val="none"/>
        </w:rPr>
        <w:t>第十六条</w:t>
      </w:r>
      <w:r>
        <w:rPr>
          <w:b/>
          <w:kern w:val="2"/>
          <w:szCs w:val="20"/>
          <w:highlight w:val="none"/>
        </w:rPr>
        <w:t xml:space="preserve"> </w:t>
      </w:r>
      <w:r>
        <w:rPr>
          <w:rFonts w:hAnsi="宋体"/>
          <w:kern w:val="2"/>
          <w:szCs w:val="20"/>
          <w:highlight w:val="none"/>
        </w:rPr>
        <w:t>维护监理机构工作的独立性，不干涉监理机构正常开展监理业务，不擅自作出有悖于监理机构在合同授权范围内所作出的指示的决定；未经监理机构签字确认，不得支付工程款。</w:t>
      </w:r>
    </w:p>
    <w:p w14:paraId="10ED8A74">
      <w:pPr>
        <w:autoSpaceDE/>
        <w:autoSpaceDN/>
        <w:adjustRightInd/>
        <w:spacing w:line="300" w:lineRule="auto"/>
        <w:ind w:firstLine="361"/>
        <w:jc w:val="both"/>
        <w:rPr>
          <w:kern w:val="2"/>
          <w:szCs w:val="20"/>
          <w:highlight w:val="none"/>
        </w:rPr>
      </w:pPr>
      <w:r>
        <w:rPr>
          <w:rFonts w:hAnsi="宋体"/>
          <w:b/>
          <w:kern w:val="2"/>
          <w:szCs w:val="20"/>
          <w:highlight w:val="none"/>
        </w:rPr>
        <w:t>第十七条</w:t>
      </w:r>
      <w:r>
        <w:rPr>
          <w:kern w:val="2"/>
          <w:szCs w:val="20"/>
          <w:highlight w:val="none"/>
        </w:rPr>
        <w:t xml:space="preserve"> </w:t>
      </w:r>
      <w:r>
        <w:rPr>
          <w:rFonts w:hAnsi="宋体"/>
          <w:kern w:val="2"/>
          <w:szCs w:val="20"/>
          <w:highlight w:val="none"/>
        </w:rPr>
        <w:t>为监理人员投保人身意外伤害险和第三者责任险。如要求监理人自己投保，则应同意监理人将投保的费用计入报价中。</w:t>
      </w:r>
    </w:p>
    <w:p w14:paraId="16F5A7FD">
      <w:pPr>
        <w:autoSpaceDE/>
        <w:autoSpaceDN/>
        <w:adjustRightInd/>
        <w:spacing w:line="300" w:lineRule="auto"/>
        <w:ind w:firstLine="361"/>
        <w:jc w:val="both"/>
        <w:rPr>
          <w:kern w:val="2"/>
          <w:szCs w:val="20"/>
          <w:highlight w:val="none"/>
        </w:rPr>
      </w:pPr>
      <w:r>
        <w:rPr>
          <w:rFonts w:hAnsi="宋体"/>
          <w:b/>
          <w:kern w:val="2"/>
          <w:szCs w:val="20"/>
          <w:highlight w:val="none"/>
        </w:rPr>
        <w:t>第十八条</w:t>
      </w:r>
      <w:r>
        <w:rPr>
          <w:kern w:val="2"/>
          <w:szCs w:val="20"/>
          <w:highlight w:val="none"/>
        </w:rPr>
        <w:t xml:space="preserve"> </w:t>
      </w:r>
      <w:r>
        <w:rPr>
          <w:rFonts w:hAnsi="宋体"/>
          <w:kern w:val="2"/>
          <w:szCs w:val="20"/>
          <w:highlight w:val="none"/>
        </w:rPr>
        <w:t>将投保工程险的保险合同提供给监理人作为工程合同管理的一部分。</w:t>
      </w:r>
    </w:p>
    <w:p w14:paraId="5279E1DB">
      <w:pPr>
        <w:autoSpaceDE/>
        <w:autoSpaceDN/>
        <w:adjustRightInd/>
        <w:spacing w:line="300" w:lineRule="auto"/>
        <w:ind w:firstLine="361"/>
        <w:jc w:val="both"/>
        <w:rPr>
          <w:kern w:val="2"/>
          <w:szCs w:val="20"/>
          <w:highlight w:val="none"/>
        </w:rPr>
      </w:pPr>
      <w:r>
        <w:rPr>
          <w:rFonts w:hAnsi="宋体"/>
          <w:b/>
          <w:kern w:val="2"/>
          <w:szCs w:val="20"/>
          <w:highlight w:val="none"/>
        </w:rPr>
        <w:t>第十九条</w:t>
      </w:r>
      <w:r>
        <w:rPr>
          <w:kern w:val="2"/>
          <w:szCs w:val="20"/>
          <w:highlight w:val="none"/>
        </w:rPr>
        <w:t xml:space="preserve"> </w:t>
      </w:r>
      <w:r>
        <w:rPr>
          <w:rFonts w:hAnsi="宋体"/>
          <w:kern w:val="2"/>
          <w:szCs w:val="20"/>
          <w:highlight w:val="none"/>
        </w:rPr>
        <w:t>未经监理人同意，不得将监理人用于本工程监理服务的</w:t>
      </w:r>
      <w:r>
        <w:rPr>
          <w:rFonts w:hAnsi="宋体"/>
          <w:kern w:val="2"/>
          <w:szCs w:val="20"/>
          <w:highlight w:val="none"/>
          <w:shd w:val="clear" w:color="auto" w:fill="FFFFFF"/>
        </w:rPr>
        <w:t>任何</w:t>
      </w:r>
      <w:r>
        <w:rPr>
          <w:rFonts w:hAnsi="宋体"/>
          <w:kern w:val="2"/>
          <w:szCs w:val="20"/>
          <w:highlight w:val="none"/>
        </w:rPr>
        <w:t>文件直接或间接用于其他工程建设之中。</w:t>
      </w:r>
      <w:r>
        <w:rPr>
          <w:b/>
          <w:kern w:val="2"/>
          <w:szCs w:val="20"/>
          <w:highlight w:val="none"/>
        </w:rPr>
        <w:t xml:space="preserve"> </w:t>
      </w:r>
    </w:p>
    <w:p w14:paraId="5CA25D89">
      <w:pPr>
        <w:autoSpaceDE/>
        <w:autoSpaceDN/>
        <w:adjustRightInd/>
        <w:spacing w:before="120" w:beforeLines="50" w:after="120" w:afterLines="50" w:line="300" w:lineRule="auto"/>
        <w:ind w:firstLine="420"/>
        <w:jc w:val="center"/>
        <w:rPr>
          <w:kern w:val="2"/>
          <w:sz w:val="28"/>
          <w:szCs w:val="28"/>
          <w:highlight w:val="none"/>
        </w:rPr>
      </w:pPr>
      <w:r>
        <w:rPr>
          <w:rFonts w:hAnsi="宋体"/>
          <w:kern w:val="2"/>
          <w:sz w:val="28"/>
          <w:szCs w:val="28"/>
          <w:highlight w:val="none"/>
        </w:rPr>
        <w:t>监理人的义务</w:t>
      </w:r>
    </w:p>
    <w:p w14:paraId="21249189">
      <w:pPr>
        <w:autoSpaceDE/>
        <w:autoSpaceDN/>
        <w:adjustRightInd/>
        <w:spacing w:line="300" w:lineRule="auto"/>
        <w:ind w:firstLine="361"/>
        <w:jc w:val="both"/>
        <w:rPr>
          <w:kern w:val="2"/>
          <w:szCs w:val="20"/>
          <w:highlight w:val="none"/>
        </w:rPr>
      </w:pPr>
      <w:r>
        <w:rPr>
          <w:rFonts w:hAnsi="宋体"/>
          <w:b/>
          <w:kern w:val="2"/>
          <w:szCs w:val="20"/>
          <w:highlight w:val="none"/>
        </w:rPr>
        <w:t>第二十条</w:t>
      </w:r>
      <w:r>
        <w:rPr>
          <w:kern w:val="2"/>
          <w:szCs w:val="20"/>
          <w:highlight w:val="none"/>
        </w:rPr>
        <w:t xml:space="preserve"> </w:t>
      </w:r>
      <w:r>
        <w:rPr>
          <w:rFonts w:hAnsi="宋体"/>
          <w:kern w:val="2"/>
          <w:szCs w:val="20"/>
          <w:highlight w:val="none"/>
        </w:rPr>
        <w:t>本着</w:t>
      </w:r>
      <w:r>
        <w:rPr>
          <w:kern w:val="2"/>
          <w:szCs w:val="20"/>
          <w:highlight w:val="none"/>
        </w:rPr>
        <w:t>“</w:t>
      </w:r>
      <w:r>
        <w:rPr>
          <w:rFonts w:hAnsi="宋体"/>
          <w:kern w:val="2"/>
          <w:szCs w:val="20"/>
          <w:highlight w:val="none"/>
        </w:rPr>
        <w:t>守法、诚信、公正、科学</w:t>
      </w:r>
      <w:r>
        <w:rPr>
          <w:kern w:val="2"/>
          <w:szCs w:val="20"/>
          <w:highlight w:val="none"/>
        </w:rPr>
        <w:t>”</w:t>
      </w:r>
      <w:r>
        <w:rPr>
          <w:rFonts w:hAnsi="宋体"/>
          <w:kern w:val="2"/>
          <w:szCs w:val="20"/>
          <w:highlight w:val="none"/>
        </w:rPr>
        <w:t>的原则，按专用合同条款约定的监理服务内容为委托人提供优质服务。</w:t>
      </w:r>
      <w:r>
        <w:rPr>
          <w:kern w:val="2"/>
          <w:szCs w:val="20"/>
          <w:highlight w:val="none"/>
        </w:rPr>
        <w:t xml:space="preserve">  </w:t>
      </w:r>
    </w:p>
    <w:p w14:paraId="42E3E0ED">
      <w:pPr>
        <w:autoSpaceDE/>
        <w:autoSpaceDN/>
        <w:adjustRightInd/>
        <w:spacing w:line="300" w:lineRule="auto"/>
        <w:ind w:firstLine="361"/>
        <w:jc w:val="both"/>
        <w:rPr>
          <w:kern w:val="2"/>
          <w:szCs w:val="20"/>
          <w:highlight w:val="none"/>
        </w:rPr>
      </w:pPr>
      <w:r>
        <w:rPr>
          <w:rFonts w:hAnsi="宋体"/>
          <w:b/>
          <w:kern w:val="2"/>
          <w:szCs w:val="20"/>
          <w:highlight w:val="none"/>
        </w:rPr>
        <w:t>第二十一条</w:t>
      </w:r>
      <w:r>
        <w:rPr>
          <w:kern w:val="2"/>
          <w:szCs w:val="20"/>
          <w:highlight w:val="none"/>
        </w:rPr>
        <w:t xml:space="preserve"> </w:t>
      </w:r>
      <w:r>
        <w:rPr>
          <w:rFonts w:hAnsi="宋体"/>
          <w:kern w:val="2"/>
          <w:szCs w:val="20"/>
          <w:highlight w:val="none"/>
        </w:rPr>
        <w:t>在专用合同条款约定的时间内组建监理机构，并进驻现场。及时将监理规划、监理机构及其主要人员名单提交委托人，将监理机构及其人员名单、监理工程师和监理员的授权范围通知承包人；实施期间有变化的，应当及时通知承包人。更换总监理工程师和其他主要监理人员应征得委托人同意。</w:t>
      </w:r>
    </w:p>
    <w:p w14:paraId="73BA0533">
      <w:pPr>
        <w:autoSpaceDE/>
        <w:autoSpaceDN/>
        <w:adjustRightInd/>
        <w:spacing w:line="300" w:lineRule="auto"/>
        <w:ind w:firstLine="361"/>
        <w:jc w:val="both"/>
        <w:rPr>
          <w:kern w:val="2"/>
          <w:szCs w:val="20"/>
          <w:highlight w:val="none"/>
        </w:rPr>
      </w:pPr>
      <w:r>
        <w:rPr>
          <w:rFonts w:hAnsi="宋体"/>
          <w:b/>
          <w:kern w:val="2"/>
          <w:szCs w:val="20"/>
          <w:highlight w:val="none"/>
        </w:rPr>
        <w:t>第二十二条</w:t>
      </w:r>
      <w:r>
        <w:rPr>
          <w:b/>
          <w:kern w:val="2"/>
          <w:szCs w:val="20"/>
          <w:highlight w:val="none"/>
        </w:rPr>
        <w:t xml:space="preserve"> </w:t>
      </w:r>
      <w:r>
        <w:rPr>
          <w:rFonts w:hAnsi="宋体"/>
          <w:kern w:val="2"/>
          <w:szCs w:val="20"/>
          <w:highlight w:val="none"/>
        </w:rPr>
        <w:t>发现设计文件不符合有关规定或合同约定时，应向委托人报告。</w:t>
      </w:r>
    </w:p>
    <w:p w14:paraId="62764DB0">
      <w:pPr>
        <w:autoSpaceDE/>
        <w:autoSpaceDN/>
        <w:adjustRightInd/>
        <w:spacing w:line="300" w:lineRule="auto"/>
        <w:ind w:firstLine="361"/>
        <w:jc w:val="both"/>
        <w:rPr>
          <w:kern w:val="2"/>
          <w:szCs w:val="20"/>
          <w:highlight w:val="none"/>
        </w:rPr>
      </w:pPr>
      <w:r>
        <w:rPr>
          <w:rFonts w:hAnsi="宋体"/>
          <w:b/>
          <w:kern w:val="2"/>
          <w:szCs w:val="20"/>
          <w:highlight w:val="none"/>
        </w:rPr>
        <w:t>第二十三条</w:t>
      </w:r>
      <w:r>
        <w:rPr>
          <w:b/>
          <w:kern w:val="2"/>
          <w:szCs w:val="20"/>
          <w:highlight w:val="none"/>
        </w:rPr>
        <w:t xml:space="preserve"> </w:t>
      </w:r>
      <w:r>
        <w:rPr>
          <w:rFonts w:hAnsi="宋体"/>
          <w:kern w:val="2"/>
          <w:szCs w:val="20"/>
          <w:highlight w:val="none"/>
        </w:rPr>
        <w:t>核验建筑材料、建筑构配件和设备质量，检查、检验并确认工程的施工质量；检查施工安全生产情况。发现存在质量、安全事故隐患，或发生质量、安全事故，应按有关规定及时采取相应的监理措施。</w:t>
      </w:r>
    </w:p>
    <w:p w14:paraId="3C6D3C05">
      <w:pPr>
        <w:autoSpaceDE/>
        <w:autoSpaceDN/>
        <w:adjustRightInd/>
        <w:spacing w:line="300" w:lineRule="auto"/>
        <w:ind w:firstLine="361"/>
        <w:jc w:val="both"/>
        <w:rPr>
          <w:kern w:val="2"/>
          <w:szCs w:val="20"/>
          <w:highlight w:val="none"/>
        </w:rPr>
      </w:pPr>
      <w:r>
        <w:rPr>
          <w:rFonts w:hAnsi="宋体"/>
          <w:b/>
          <w:kern w:val="2"/>
          <w:szCs w:val="20"/>
          <w:highlight w:val="none"/>
        </w:rPr>
        <w:t>第二十四条</w:t>
      </w:r>
      <w:r>
        <w:rPr>
          <w:kern w:val="2"/>
          <w:szCs w:val="20"/>
          <w:highlight w:val="none"/>
        </w:rPr>
        <w:t xml:space="preserve"> </w:t>
      </w:r>
      <w:r>
        <w:rPr>
          <w:rFonts w:hAnsi="宋体"/>
          <w:kern w:val="2"/>
          <w:szCs w:val="20"/>
          <w:highlight w:val="none"/>
        </w:rPr>
        <w:t>监督、检查工程施工进度。</w:t>
      </w:r>
    </w:p>
    <w:p w14:paraId="2DC09392">
      <w:pPr>
        <w:autoSpaceDE/>
        <w:autoSpaceDN/>
        <w:adjustRightInd/>
        <w:spacing w:line="300" w:lineRule="auto"/>
        <w:ind w:firstLine="361"/>
        <w:jc w:val="both"/>
        <w:rPr>
          <w:kern w:val="2"/>
          <w:szCs w:val="20"/>
          <w:highlight w:val="none"/>
        </w:rPr>
      </w:pPr>
      <w:r>
        <w:rPr>
          <w:rFonts w:hAnsi="宋体"/>
          <w:b/>
          <w:kern w:val="2"/>
          <w:szCs w:val="20"/>
          <w:highlight w:val="none"/>
        </w:rPr>
        <w:t>第二十五条</w:t>
      </w:r>
      <w:r>
        <w:rPr>
          <w:kern w:val="2"/>
          <w:szCs w:val="20"/>
          <w:highlight w:val="none"/>
        </w:rPr>
        <w:t xml:space="preserve"> </w:t>
      </w:r>
      <w:r>
        <w:rPr>
          <w:rFonts w:hAnsi="宋体"/>
          <w:kern w:val="2"/>
          <w:szCs w:val="20"/>
          <w:highlight w:val="none"/>
        </w:rPr>
        <w:t>按照委托人签订的工程保险合同，做好施工现场工程保险合同的管理。协助委托人向保险公司及时提供一切必要的材料和证据。</w:t>
      </w:r>
    </w:p>
    <w:p w14:paraId="1CBAA300">
      <w:pPr>
        <w:autoSpaceDE/>
        <w:autoSpaceDN/>
        <w:adjustRightInd/>
        <w:spacing w:line="300" w:lineRule="auto"/>
        <w:ind w:firstLine="361"/>
        <w:jc w:val="both"/>
        <w:rPr>
          <w:kern w:val="2"/>
          <w:szCs w:val="20"/>
          <w:highlight w:val="none"/>
        </w:rPr>
      </w:pPr>
      <w:r>
        <w:rPr>
          <w:rFonts w:hAnsi="宋体"/>
          <w:b/>
          <w:kern w:val="2"/>
          <w:szCs w:val="20"/>
          <w:highlight w:val="none"/>
        </w:rPr>
        <w:t>第二十六条</w:t>
      </w:r>
      <w:r>
        <w:rPr>
          <w:kern w:val="2"/>
          <w:szCs w:val="20"/>
          <w:highlight w:val="none"/>
        </w:rPr>
        <w:t xml:space="preserve"> </w:t>
      </w:r>
      <w:r>
        <w:rPr>
          <w:rFonts w:hAnsi="宋体"/>
          <w:kern w:val="2"/>
          <w:szCs w:val="20"/>
          <w:highlight w:val="none"/>
        </w:rPr>
        <w:t>协调施工合同各方之间的关系。</w:t>
      </w:r>
    </w:p>
    <w:p w14:paraId="1DC8D48C">
      <w:pPr>
        <w:autoSpaceDE/>
        <w:autoSpaceDN/>
        <w:adjustRightInd/>
        <w:spacing w:line="300" w:lineRule="auto"/>
        <w:ind w:firstLine="361"/>
        <w:jc w:val="both"/>
        <w:rPr>
          <w:kern w:val="2"/>
          <w:szCs w:val="20"/>
          <w:highlight w:val="none"/>
        </w:rPr>
      </w:pPr>
      <w:r>
        <w:rPr>
          <w:rFonts w:hAnsi="宋体"/>
          <w:b/>
          <w:kern w:val="2"/>
          <w:szCs w:val="20"/>
          <w:highlight w:val="none"/>
        </w:rPr>
        <w:t>第二十七条</w:t>
      </w:r>
      <w:r>
        <w:rPr>
          <w:kern w:val="2"/>
          <w:szCs w:val="20"/>
          <w:highlight w:val="none"/>
        </w:rPr>
        <w:t xml:space="preserve"> </w:t>
      </w:r>
      <w:r>
        <w:rPr>
          <w:rFonts w:hAnsi="宋体"/>
          <w:kern w:val="2"/>
          <w:szCs w:val="20"/>
          <w:highlight w:val="none"/>
        </w:rPr>
        <w:t>按照施工作业程序，采取旁站、巡视、跟踪检测和平行检测等方法实施监理。需要旁站的重要部位和关键工序在专用合同条款中约定。</w:t>
      </w:r>
    </w:p>
    <w:p w14:paraId="5A083745">
      <w:pPr>
        <w:autoSpaceDE/>
        <w:autoSpaceDN/>
        <w:adjustRightInd/>
        <w:spacing w:line="300" w:lineRule="auto"/>
        <w:ind w:firstLine="361"/>
        <w:jc w:val="both"/>
        <w:rPr>
          <w:kern w:val="2"/>
          <w:szCs w:val="20"/>
          <w:highlight w:val="none"/>
        </w:rPr>
      </w:pPr>
      <w:r>
        <w:rPr>
          <w:rFonts w:hAnsi="宋体"/>
          <w:b/>
          <w:kern w:val="2"/>
          <w:szCs w:val="20"/>
          <w:highlight w:val="none"/>
        </w:rPr>
        <w:t>第二十八条</w:t>
      </w:r>
      <w:r>
        <w:rPr>
          <w:b/>
          <w:kern w:val="2"/>
          <w:szCs w:val="20"/>
          <w:highlight w:val="none"/>
        </w:rPr>
        <w:t xml:space="preserve"> </w:t>
      </w:r>
      <w:r>
        <w:rPr>
          <w:rFonts w:hAnsi="宋体"/>
          <w:kern w:val="2"/>
          <w:szCs w:val="20"/>
          <w:highlight w:val="none"/>
        </w:rPr>
        <w:t>及时做好工程施工</w:t>
      </w:r>
      <w:r>
        <w:rPr>
          <w:rFonts w:hAnsi="宋体"/>
          <w:kern w:val="2"/>
          <w:szCs w:val="20"/>
          <w:highlight w:val="none"/>
          <w:shd w:val="clear" w:color="auto" w:fill="FFFFFF"/>
        </w:rPr>
        <w:t>过程</w:t>
      </w:r>
      <w:r>
        <w:rPr>
          <w:rFonts w:hAnsi="宋体"/>
          <w:kern w:val="2"/>
          <w:szCs w:val="20"/>
          <w:highlight w:val="none"/>
        </w:rPr>
        <w:t>各种监理信息的收集、整理和归档，并保证现场记录、试验、检验、检查等资料的完整和真实。</w:t>
      </w:r>
    </w:p>
    <w:p w14:paraId="5735640E">
      <w:pPr>
        <w:autoSpaceDE/>
        <w:autoSpaceDN/>
        <w:adjustRightInd/>
        <w:spacing w:line="300" w:lineRule="auto"/>
        <w:ind w:firstLine="361"/>
        <w:jc w:val="both"/>
        <w:rPr>
          <w:kern w:val="2"/>
          <w:szCs w:val="20"/>
          <w:highlight w:val="none"/>
        </w:rPr>
      </w:pPr>
      <w:r>
        <w:rPr>
          <w:rFonts w:hAnsi="宋体"/>
          <w:b/>
          <w:kern w:val="2"/>
          <w:szCs w:val="20"/>
          <w:highlight w:val="none"/>
        </w:rPr>
        <w:t>第二十九条</w:t>
      </w:r>
      <w:r>
        <w:rPr>
          <w:b/>
          <w:kern w:val="2"/>
          <w:szCs w:val="20"/>
          <w:highlight w:val="none"/>
        </w:rPr>
        <w:t xml:space="preserve"> </w:t>
      </w:r>
      <w:r>
        <w:rPr>
          <w:rFonts w:hAnsi="宋体"/>
          <w:kern w:val="2"/>
          <w:szCs w:val="20"/>
          <w:highlight w:val="none"/>
        </w:rPr>
        <w:t>编制《监理日志》，并向委托人提交监理月报、监理专题报告、监理工作报告和监理工作总结报告。</w:t>
      </w:r>
    </w:p>
    <w:p w14:paraId="63DF0525">
      <w:pPr>
        <w:autoSpaceDE/>
        <w:autoSpaceDN/>
        <w:adjustRightInd/>
        <w:spacing w:line="300" w:lineRule="auto"/>
        <w:ind w:firstLine="361"/>
        <w:jc w:val="both"/>
        <w:rPr>
          <w:kern w:val="2"/>
          <w:szCs w:val="20"/>
          <w:highlight w:val="none"/>
        </w:rPr>
      </w:pPr>
      <w:r>
        <w:rPr>
          <w:rFonts w:hAnsi="宋体"/>
          <w:b/>
          <w:kern w:val="2"/>
          <w:szCs w:val="20"/>
          <w:highlight w:val="none"/>
        </w:rPr>
        <w:t>第三十条</w:t>
      </w:r>
      <w:r>
        <w:rPr>
          <w:b/>
          <w:kern w:val="2"/>
          <w:szCs w:val="20"/>
          <w:highlight w:val="none"/>
        </w:rPr>
        <w:t xml:space="preserve"> </w:t>
      </w:r>
      <w:r>
        <w:rPr>
          <w:rFonts w:hAnsi="宋体"/>
          <w:kern w:val="2"/>
          <w:szCs w:val="20"/>
          <w:highlight w:val="none"/>
        </w:rPr>
        <w:t>按有关规定参加工程验收，做好相关配合工作。委托人委托监理人主持的分部工程验收由专用合同条款约定。</w:t>
      </w:r>
    </w:p>
    <w:p w14:paraId="17FF7423">
      <w:pPr>
        <w:autoSpaceDE/>
        <w:autoSpaceDN/>
        <w:adjustRightInd/>
        <w:spacing w:line="300" w:lineRule="auto"/>
        <w:ind w:firstLine="361"/>
        <w:jc w:val="both"/>
        <w:rPr>
          <w:kern w:val="2"/>
          <w:szCs w:val="20"/>
          <w:highlight w:val="none"/>
        </w:rPr>
      </w:pPr>
      <w:r>
        <w:rPr>
          <w:rFonts w:hAnsi="宋体"/>
          <w:b/>
          <w:kern w:val="2"/>
          <w:szCs w:val="20"/>
          <w:highlight w:val="none"/>
        </w:rPr>
        <w:t>第三十一条</w:t>
      </w:r>
      <w:r>
        <w:rPr>
          <w:kern w:val="2"/>
          <w:szCs w:val="20"/>
          <w:highlight w:val="none"/>
        </w:rPr>
        <w:t xml:space="preserve"> </w:t>
      </w:r>
      <w:r>
        <w:rPr>
          <w:rFonts w:hAnsi="宋体"/>
          <w:kern w:val="2"/>
          <w:szCs w:val="20"/>
          <w:highlight w:val="none"/>
        </w:rPr>
        <w:t>妥善做好委托人所提供的工程建设文件资料的保存、回收及保密工作。在本合同期限内或</w:t>
      </w:r>
      <w:r>
        <w:rPr>
          <w:rFonts w:hAnsi="宋体"/>
          <w:kern w:val="2"/>
          <w:szCs w:val="20"/>
          <w:highlight w:val="none"/>
          <w:shd w:val="clear" w:color="auto" w:fill="FFFFFF"/>
        </w:rPr>
        <w:t>专用合同条款约定的合同终止后的一定期限内</w:t>
      </w:r>
      <w:r>
        <w:rPr>
          <w:rFonts w:hAnsi="宋体"/>
          <w:kern w:val="2"/>
          <w:szCs w:val="20"/>
          <w:highlight w:val="none"/>
        </w:rPr>
        <w:t>，未征得委托人同意，不得公开涉及委托人的专利、专有技术或其他需保密的资料，不得泄露与本合同业务有关的技术、商务等</w:t>
      </w:r>
      <w:r>
        <w:rPr>
          <w:rFonts w:hAnsi="宋体"/>
          <w:kern w:val="2"/>
          <w:szCs w:val="20"/>
          <w:highlight w:val="none"/>
          <w:shd w:val="clear" w:color="auto" w:fill="FFFFFF"/>
        </w:rPr>
        <w:t>秘密</w:t>
      </w:r>
      <w:r>
        <w:rPr>
          <w:rFonts w:hAnsi="宋体"/>
          <w:kern w:val="2"/>
          <w:szCs w:val="20"/>
          <w:highlight w:val="none"/>
        </w:rPr>
        <w:t>。</w:t>
      </w:r>
    </w:p>
    <w:p w14:paraId="20D65588">
      <w:pPr>
        <w:autoSpaceDE/>
        <w:autoSpaceDN/>
        <w:adjustRightInd/>
        <w:spacing w:before="120" w:beforeLines="50" w:after="120" w:afterLines="50" w:line="300" w:lineRule="auto"/>
        <w:ind w:firstLine="420"/>
        <w:jc w:val="center"/>
        <w:rPr>
          <w:kern w:val="2"/>
          <w:sz w:val="28"/>
          <w:szCs w:val="28"/>
          <w:highlight w:val="none"/>
        </w:rPr>
      </w:pPr>
      <w:r>
        <w:rPr>
          <w:rFonts w:hAnsi="宋体"/>
          <w:kern w:val="2"/>
          <w:sz w:val="28"/>
          <w:szCs w:val="28"/>
          <w:highlight w:val="none"/>
        </w:rPr>
        <w:t>监理服务酬金</w:t>
      </w:r>
    </w:p>
    <w:p w14:paraId="37FEFA12">
      <w:pPr>
        <w:autoSpaceDE/>
        <w:autoSpaceDN/>
        <w:adjustRightInd/>
        <w:spacing w:line="300" w:lineRule="auto"/>
        <w:ind w:firstLine="361"/>
        <w:jc w:val="both"/>
        <w:rPr>
          <w:kern w:val="2"/>
          <w:szCs w:val="20"/>
          <w:highlight w:val="none"/>
        </w:rPr>
      </w:pPr>
      <w:r>
        <w:rPr>
          <w:rFonts w:hAnsi="宋体"/>
          <w:b/>
          <w:kern w:val="2"/>
          <w:szCs w:val="20"/>
          <w:highlight w:val="none"/>
        </w:rPr>
        <w:t>第三十二条</w:t>
      </w:r>
      <w:r>
        <w:rPr>
          <w:kern w:val="2"/>
          <w:szCs w:val="20"/>
          <w:highlight w:val="none"/>
        </w:rPr>
        <w:t xml:space="preserve"> </w:t>
      </w:r>
      <w:r>
        <w:rPr>
          <w:rFonts w:hAnsi="宋体"/>
          <w:kern w:val="2"/>
          <w:szCs w:val="20"/>
          <w:highlight w:val="none"/>
        </w:rPr>
        <w:t>监理正常服务酬金的支付时间和支付方式在专用合同条款中约定。</w:t>
      </w:r>
    </w:p>
    <w:p w14:paraId="47514129">
      <w:pPr>
        <w:autoSpaceDE/>
        <w:autoSpaceDN/>
        <w:adjustRightInd/>
        <w:spacing w:line="300" w:lineRule="auto"/>
        <w:ind w:firstLine="361"/>
        <w:jc w:val="both"/>
        <w:rPr>
          <w:kern w:val="2"/>
          <w:szCs w:val="20"/>
          <w:highlight w:val="none"/>
        </w:rPr>
      </w:pPr>
      <w:r>
        <w:rPr>
          <w:rFonts w:hAnsi="宋体"/>
          <w:b/>
          <w:kern w:val="2"/>
          <w:szCs w:val="20"/>
          <w:highlight w:val="none"/>
        </w:rPr>
        <w:t>第三十三条</w:t>
      </w:r>
      <w:r>
        <w:rPr>
          <w:kern w:val="2"/>
          <w:szCs w:val="20"/>
          <w:highlight w:val="none"/>
        </w:rPr>
        <w:t xml:space="preserve"> </w:t>
      </w:r>
      <w:r>
        <w:rPr>
          <w:rFonts w:hAnsi="宋体"/>
          <w:kern w:val="2"/>
          <w:szCs w:val="20"/>
          <w:highlight w:val="none"/>
        </w:rPr>
        <w:t>除不可抗力外，有下列情形之一且由此引起监理工作量增加或服务期限延长，均应视为监理机构的附加服务，监理人应得到监理附加服务酬金：</w:t>
      </w:r>
    </w:p>
    <w:p w14:paraId="6DFE27F0">
      <w:pPr>
        <w:autoSpaceDE/>
        <w:autoSpaceDN/>
        <w:adjustRightInd/>
        <w:spacing w:line="300" w:lineRule="auto"/>
        <w:ind w:firstLine="480" w:firstLineChars="200"/>
        <w:jc w:val="both"/>
        <w:rPr>
          <w:kern w:val="2"/>
          <w:szCs w:val="20"/>
          <w:highlight w:val="none"/>
        </w:rPr>
      </w:pPr>
      <w:r>
        <w:rPr>
          <w:rFonts w:hAnsi="宋体"/>
          <w:kern w:val="2"/>
          <w:szCs w:val="20"/>
          <w:highlight w:val="none"/>
        </w:rPr>
        <w:t>一、由于委托人、第三方责任、</w:t>
      </w:r>
      <w:r>
        <w:rPr>
          <w:rFonts w:hAnsi="宋体"/>
          <w:kern w:val="2"/>
          <w:szCs w:val="20"/>
          <w:highlight w:val="none"/>
          <w:shd w:val="clear" w:color="auto" w:fill="FFFFFF"/>
        </w:rPr>
        <w:t>设计变更</w:t>
      </w:r>
      <w:r>
        <w:rPr>
          <w:rFonts w:hAnsi="宋体"/>
          <w:kern w:val="2"/>
          <w:szCs w:val="20"/>
          <w:highlight w:val="none"/>
        </w:rPr>
        <w:t>及不良地质条件等非监理人原因致使正常的监理服务受到阻碍或延误；</w:t>
      </w:r>
    </w:p>
    <w:p w14:paraId="5CDA8298">
      <w:pPr>
        <w:autoSpaceDE/>
        <w:autoSpaceDN/>
        <w:adjustRightInd/>
        <w:spacing w:line="300" w:lineRule="auto"/>
        <w:ind w:firstLine="480" w:firstLineChars="200"/>
        <w:jc w:val="both"/>
        <w:rPr>
          <w:kern w:val="2"/>
          <w:szCs w:val="20"/>
          <w:highlight w:val="none"/>
        </w:rPr>
      </w:pPr>
      <w:r>
        <w:rPr>
          <w:rFonts w:hAnsi="宋体"/>
          <w:kern w:val="2"/>
          <w:szCs w:val="20"/>
          <w:highlight w:val="none"/>
        </w:rPr>
        <w:t>二、在本合同履行过程中，委托人要求监理机构完成监理合同约定范围和内容以外的服务；</w:t>
      </w:r>
    </w:p>
    <w:p w14:paraId="6D4A4689">
      <w:pPr>
        <w:autoSpaceDE/>
        <w:autoSpaceDN/>
        <w:adjustRightInd/>
        <w:spacing w:line="300" w:lineRule="auto"/>
        <w:ind w:firstLine="480" w:firstLineChars="200"/>
        <w:jc w:val="both"/>
        <w:rPr>
          <w:kern w:val="2"/>
          <w:szCs w:val="20"/>
          <w:highlight w:val="none"/>
        </w:rPr>
      </w:pPr>
      <w:r>
        <w:rPr>
          <w:rFonts w:hAnsi="宋体"/>
          <w:kern w:val="2"/>
          <w:szCs w:val="20"/>
          <w:highlight w:val="none"/>
        </w:rPr>
        <w:t>三、由于非监理人原因暂停或终止监理业务时，其善后工作或恢复执行监理业务的工作。</w:t>
      </w:r>
    </w:p>
    <w:p w14:paraId="654CA0E0">
      <w:pPr>
        <w:autoSpaceDE/>
        <w:autoSpaceDN/>
        <w:adjustRightInd/>
        <w:spacing w:line="300" w:lineRule="auto"/>
        <w:ind w:firstLine="480" w:firstLineChars="200"/>
        <w:jc w:val="both"/>
        <w:rPr>
          <w:kern w:val="2"/>
          <w:szCs w:val="20"/>
          <w:highlight w:val="none"/>
        </w:rPr>
      </w:pPr>
      <w:r>
        <w:rPr>
          <w:rFonts w:hint="eastAsia" w:hAnsi="宋体"/>
          <w:kern w:val="2"/>
          <w:szCs w:val="20"/>
          <w:highlight w:val="none"/>
        </w:rPr>
        <w:t>四、</w:t>
      </w:r>
      <w:r>
        <w:rPr>
          <w:rFonts w:hAnsi="宋体"/>
          <w:kern w:val="2"/>
          <w:szCs w:val="20"/>
          <w:highlight w:val="none"/>
        </w:rPr>
        <w:t>监理人完成附加服务应得到的酬金，按</w:t>
      </w:r>
      <w:r>
        <w:rPr>
          <w:rFonts w:hAnsi="宋体"/>
          <w:kern w:val="2"/>
          <w:szCs w:val="20"/>
          <w:highlight w:val="none"/>
          <w:shd w:val="clear" w:color="auto" w:fill="FFFFFF"/>
        </w:rPr>
        <w:t>专用合同条款约定的方法或</w:t>
      </w:r>
      <w:r>
        <w:rPr>
          <w:rFonts w:hAnsi="宋体"/>
          <w:kern w:val="2"/>
          <w:szCs w:val="20"/>
          <w:highlight w:val="none"/>
        </w:rPr>
        <w:t>监理补充协议计取和支付。</w:t>
      </w:r>
    </w:p>
    <w:p w14:paraId="43F62593">
      <w:pPr>
        <w:autoSpaceDE/>
        <w:autoSpaceDN/>
        <w:adjustRightInd/>
        <w:spacing w:line="300" w:lineRule="auto"/>
        <w:ind w:firstLine="361"/>
        <w:jc w:val="both"/>
        <w:rPr>
          <w:b/>
          <w:kern w:val="2"/>
          <w:szCs w:val="20"/>
          <w:highlight w:val="none"/>
        </w:rPr>
      </w:pPr>
      <w:r>
        <w:rPr>
          <w:rFonts w:hAnsi="宋体"/>
          <w:b/>
          <w:kern w:val="2"/>
          <w:szCs w:val="20"/>
          <w:highlight w:val="none"/>
        </w:rPr>
        <w:t>第三十四条</w:t>
      </w:r>
      <w:r>
        <w:rPr>
          <w:b/>
          <w:kern w:val="2"/>
          <w:szCs w:val="20"/>
          <w:highlight w:val="none"/>
        </w:rPr>
        <w:t xml:space="preserve"> </w:t>
      </w:r>
      <w:r>
        <w:rPr>
          <w:rFonts w:hAnsi="宋体"/>
          <w:kern w:val="2"/>
          <w:szCs w:val="20"/>
          <w:highlight w:val="none"/>
        </w:rPr>
        <w:t>国家有关法律、法规、规章和监理酬金标准发生变化时，应按有关规定调整监理服务酬金。</w:t>
      </w:r>
    </w:p>
    <w:p w14:paraId="37112AA2">
      <w:pPr>
        <w:autoSpaceDE/>
        <w:autoSpaceDN/>
        <w:adjustRightInd/>
        <w:spacing w:line="300" w:lineRule="auto"/>
        <w:ind w:firstLine="361"/>
        <w:jc w:val="both"/>
        <w:rPr>
          <w:kern w:val="2"/>
          <w:szCs w:val="20"/>
          <w:highlight w:val="none"/>
        </w:rPr>
      </w:pPr>
      <w:r>
        <w:rPr>
          <w:rFonts w:hAnsi="宋体"/>
          <w:b/>
          <w:kern w:val="2"/>
          <w:szCs w:val="20"/>
          <w:highlight w:val="none"/>
        </w:rPr>
        <w:t>第三十五条</w:t>
      </w:r>
      <w:r>
        <w:rPr>
          <w:kern w:val="2"/>
          <w:szCs w:val="20"/>
          <w:highlight w:val="none"/>
        </w:rPr>
        <w:t xml:space="preserve"> </w:t>
      </w:r>
      <w:r>
        <w:rPr>
          <w:rFonts w:hAnsi="宋体"/>
          <w:kern w:val="2"/>
          <w:szCs w:val="20"/>
          <w:highlight w:val="none"/>
        </w:rPr>
        <w:t>委托人对监理人</w:t>
      </w:r>
      <w:r>
        <w:rPr>
          <w:rFonts w:hAnsi="宋体"/>
          <w:kern w:val="2"/>
          <w:szCs w:val="20"/>
          <w:highlight w:val="none"/>
          <w:shd w:val="clear" w:color="auto" w:fill="FFFFFF"/>
        </w:rPr>
        <w:t>申请支付的</w:t>
      </w:r>
      <w:r>
        <w:rPr>
          <w:rFonts w:hAnsi="宋体"/>
          <w:kern w:val="2"/>
          <w:szCs w:val="20"/>
          <w:highlight w:val="none"/>
        </w:rPr>
        <w:t>监理酬金项目及金额有异议时，应当在收到监理人支付申请书</w:t>
      </w:r>
      <w:r>
        <w:rPr>
          <w:rFonts w:hAnsi="宋体"/>
          <w:kern w:val="2"/>
          <w:szCs w:val="20"/>
          <w:highlight w:val="none"/>
          <w:shd w:val="clear" w:color="auto" w:fill="FFFFFF"/>
        </w:rPr>
        <w:t>后</w:t>
      </w:r>
      <w:r>
        <w:rPr>
          <w:kern w:val="2"/>
          <w:szCs w:val="20"/>
          <w:highlight w:val="none"/>
        </w:rPr>
        <w:t>7</w:t>
      </w:r>
      <w:r>
        <w:rPr>
          <w:rFonts w:hAnsi="宋体"/>
          <w:kern w:val="2"/>
          <w:szCs w:val="20"/>
          <w:highlight w:val="none"/>
        </w:rPr>
        <w:t>天内向监理人发出异议通知，由双方协商解决。</w:t>
      </w:r>
      <w:r>
        <w:rPr>
          <w:kern w:val="2"/>
          <w:szCs w:val="20"/>
          <w:highlight w:val="none"/>
        </w:rPr>
        <w:t>7</w:t>
      </w:r>
      <w:r>
        <w:rPr>
          <w:rFonts w:hAnsi="宋体"/>
          <w:kern w:val="2"/>
          <w:szCs w:val="20"/>
          <w:highlight w:val="none"/>
        </w:rPr>
        <w:t>天内未发出异议通知，则按通用合同条款第三十二条、第三十三条、第三十四条的约定支付。</w:t>
      </w:r>
    </w:p>
    <w:p w14:paraId="1434EBFC">
      <w:pPr>
        <w:autoSpaceDE/>
        <w:autoSpaceDN/>
        <w:adjustRightInd/>
        <w:spacing w:line="300" w:lineRule="auto"/>
        <w:jc w:val="both"/>
        <w:rPr>
          <w:kern w:val="2"/>
          <w:szCs w:val="20"/>
          <w:highlight w:val="none"/>
        </w:rPr>
      </w:pPr>
      <w:r>
        <w:rPr>
          <w:rFonts w:hAnsi="宋体"/>
          <w:kern w:val="2"/>
          <w:szCs w:val="20"/>
          <w:highlight w:val="none"/>
        </w:rPr>
        <w:t>合同变更与终止</w:t>
      </w:r>
    </w:p>
    <w:p w14:paraId="2796BE68">
      <w:pPr>
        <w:autoSpaceDE/>
        <w:autoSpaceDN/>
        <w:adjustRightInd/>
        <w:spacing w:line="300" w:lineRule="auto"/>
        <w:ind w:firstLine="361"/>
        <w:jc w:val="both"/>
        <w:rPr>
          <w:kern w:val="2"/>
          <w:szCs w:val="20"/>
          <w:highlight w:val="none"/>
        </w:rPr>
      </w:pPr>
      <w:r>
        <w:rPr>
          <w:rFonts w:hAnsi="宋体"/>
          <w:b/>
          <w:kern w:val="2"/>
          <w:szCs w:val="20"/>
          <w:highlight w:val="none"/>
        </w:rPr>
        <w:t>第三十六条</w:t>
      </w:r>
      <w:r>
        <w:rPr>
          <w:b/>
          <w:kern w:val="2"/>
          <w:szCs w:val="20"/>
          <w:highlight w:val="none"/>
        </w:rPr>
        <w:t xml:space="preserve"> </w:t>
      </w:r>
      <w:r>
        <w:rPr>
          <w:rFonts w:hAnsi="宋体"/>
          <w:kern w:val="2"/>
          <w:szCs w:val="20"/>
          <w:highlight w:val="none"/>
        </w:rPr>
        <w:t>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14:paraId="147CF4CD">
      <w:pPr>
        <w:autoSpaceDE/>
        <w:autoSpaceDN/>
        <w:adjustRightInd/>
        <w:spacing w:line="300" w:lineRule="auto"/>
        <w:ind w:firstLine="361"/>
        <w:jc w:val="both"/>
        <w:rPr>
          <w:kern w:val="2"/>
          <w:szCs w:val="20"/>
          <w:highlight w:val="none"/>
          <w:u w:val="single"/>
          <w:shd w:val="pct10" w:color="auto" w:fill="FFFFFF"/>
        </w:rPr>
      </w:pPr>
      <w:r>
        <w:rPr>
          <w:rFonts w:hAnsi="宋体"/>
          <w:b/>
          <w:kern w:val="2"/>
          <w:szCs w:val="20"/>
          <w:highlight w:val="none"/>
        </w:rPr>
        <w:t>第</w:t>
      </w:r>
      <w:r>
        <w:rPr>
          <w:rFonts w:hAnsi="宋体"/>
          <w:b/>
          <w:kern w:val="2"/>
          <w:szCs w:val="20"/>
          <w:highlight w:val="none"/>
          <w:shd w:val="clear" w:color="auto" w:fill="FFFFFF"/>
        </w:rPr>
        <w:t>三十</w:t>
      </w:r>
      <w:r>
        <w:rPr>
          <w:rFonts w:hAnsi="宋体"/>
          <w:b/>
          <w:kern w:val="2"/>
          <w:szCs w:val="20"/>
          <w:highlight w:val="none"/>
        </w:rPr>
        <w:t>七</w:t>
      </w:r>
      <w:r>
        <w:rPr>
          <w:rFonts w:hAnsi="宋体"/>
          <w:b/>
          <w:kern w:val="2"/>
          <w:szCs w:val="20"/>
          <w:highlight w:val="none"/>
          <w:shd w:val="clear" w:color="auto" w:fill="FFFFFF"/>
        </w:rPr>
        <w:t>条</w:t>
      </w:r>
      <w:r>
        <w:rPr>
          <w:kern w:val="2"/>
          <w:szCs w:val="20"/>
          <w:highlight w:val="none"/>
          <w:shd w:val="clear" w:color="auto" w:fill="FFFFFF"/>
        </w:rPr>
        <w:t xml:space="preserve"> </w:t>
      </w:r>
      <w:r>
        <w:rPr>
          <w:rFonts w:hAnsi="宋体"/>
          <w:kern w:val="2"/>
          <w:szCs w:val="20"/>
          <w:highlight w:val="none"/>
          <w:shd w:val="clear" w:color="auto" w:fill="FFFFFF"/>
        </w:rPr>
        <w:t>当发生法律或本合同约定的解除合同的情形时，有权解除合同的一方要求解除合同的，应书面通知对方；若通知送达后</w:t>
      </w:r>
      <w:r>
        <w:rPr>
          <w:kern w:val="2"/>
          <w:szCs w:val="20"/>
          <w:highlight w:val="none"/>
          <w:shd w:val="clear" w:color="auto" w:fill="FFFFFF"/>
        </w:rPr>
        <w:t>28</w:t>
      </w:r>
      <w:r>
        <w:rPr>
          <w:rFonts w:hAnsi="宋体"/>
          <w:kern w:val="2"/>
          <w:szCs w:val="20"/>
          <w:highlight w:val="none"/>
          <w:shd w:val="clear" w:color="auto" w:fill="FFFFFF"/>
        </w:rPr>
        <w:t>天内未收到对方的答复，可发出终止监理合同的通知，本合同即行终止。因解除合同遭受损失的，除依法可以免除责任的外，应由责任方赔偿损失。</w:t>
      </w:r>
    </w:p>
    <w:p w14:paraId="005CDB68">
      <w:pPr>
        <w:autoSpaceDE/>
        <w:autoSpaceDN/>
        <w:adjustRightInd/>
        <w:spacing w:line="300" w:lineRule="auto"/>
        <w:ind w:firstLine="361"/>
        <w:jc w:val="both"/>
        <w:rPr>
          <w:kern w:val="2"/>
          <w:szCs w:val="20"/>
          <w:highlight w:val="none"/>
        </w:rPr>
      </w:pPr>
      <w:r>
        <w:rPr>
          <w:rFonts w:hAnsi="宋体"/>
          <w:b/>
          <w:kern w:val="2"/>
          <w:szCs w:val="20"/>
          <w:highlight w:val="none"/>
        </w:rPr>
        <w:t>第三十八条</w:t>
      </w:r>
      <w:r>
        <w:rPr>
          <w:kern w:val="2"/>
          <w:szCs w:val="20"/>
          <w:highlight w:val="none"/>
        </w:rPr>
        <w:t xml:space="preserve"> </w:t>
      </w:r>
      <w:r>
        <w:rPr>
          <w:rFonts w:hAnsi="宋体"/>
          <w:kern w:val="2"/>
          <w:szCs w:val="20"/>
          <w:highlight w:val="none"/>
        </w:rPr>
        <w:t>在监理服务期内，由于国家政策致使工程建设计划重大调整，或不可抗力致使合同不能履行时，双方协商解决因合同终止所产生的遗留问题。</w:t>
      </w:r>
    </w:p>
    <w:p w14:paraId="2805046A">
      <w:pPr>
        <w:autoSpaceDE/>
        <w:autoSpaceDN/>
        <w:adjustRightInd/>
        <w:spacing w:line="300" w:lineRule="auto"/>
        <w:ind w:firstLine="361"/>
        <w:jc w:val="both"/>
        <w:rPr>
          <w:kern w:val="2"/>
          <w:szCs w:val="20"/>
          <w:highlight w:val="none"/>
        </w:rPr>
      </w:pPr>
      <w:r>
        <w:rPr>
          <w:rFonts w:hAnsi="宋体"/>
          <w:b/>
          <w:kern w:val="2"/>
          <w:szCs w:val="20"/>
          <w:highlight w:val="none"/>
        </w:rPr>
        <w:t>第三十九条</w:t>
      </w:r>
      <w:r>
        <w:rPr>
          <w:kern w:val="2"/>
          <w:szCs w:val="20"/>
          <w:highlight w:val="none"/>
        </w:rPr>
        <w:t xml:space="preserve"> </w:t>
      </w:r>
      <w:r>
        <w:rPr>
          <w:rFonts w:hAnsi="宋体"/>
          <w:kern w:val="2"/>
          <w:szCs w:val="20"/>
          <w:highlight w:val="none"/>
        </w:rPr>
        <w:t>本合同在监理期限届满并结清监理服务酬金后即终止。</w:t>
      </w:r>
    </w:p>
    <w:p w14:paraId="53A6F2EE">
      <w:pPr>
        <w:autoSpaceDE/>
        <w:autoSpaceDN/>
        <w:adjustRightInd/>
        <w:spacing w:before="120" w:beforeLines="50" w:after="120" w:afterLines="50" w:line="300" w:lineRule="auto"/>
        <w:ind w:firstLine="420"/>
        <w:jc w:val="center"/>
        <w:rPr>
          <w:kern w:val="2"/>
          <w:sz w:val="28"/>
          <w:szCs w:val="28"/>
          <w:highlight w:val="none"/>
        </w:rPr>
      </w:pPr>
      <w:r>
        <w:rPr>
          <w:rFonts w:hAnsi="宋体"/>
          <w:kern w:val="2"/>
          <w:sz w:val="28"/>
          <w:szCs w:val="28"/>
          <w:highlight w:val="none"/>
        </w:rPr>
        <w:t>违约责任</w:t>
      </w:r>
    </w:p>
    <w:p w14:paraId="4EA9F0DF">
      <w:pPr>
        <w:autoSpaceDE/>
        <w:autoSpaceDN/>
        <w:adjustRightInd/>
        <w:spacing w:line="300" w:lineRule="auto"/>
        <w:ind w:firstLine="361"/>
        <w:jc w:val="both"/>
        <w:rPr>
          <w:kern w:val="2"/>
          <w:szCs w:val="20"/>
          <w:highlight w:val="none"/>
        </w:rPr>
      </w:pPr>
      <w:r>
        <w:rPr>
          <w:rFonts w:hAnsi="宋体"/>
          <w:b/>
          <w:kern w:val="2"/>
          <w:szCs w:val="20"/>
          <w:highlight w:val="none"/>
        </w:rPr>
        <w:t>第四十条</w:t>
      </w:r>
      <w:r>
        <w:rPr>
          <w:kern w:val="2"/>
          <w:szCs w:val="20"/>
          <w:highlight w:val="none"/>
        </w:rPr>
        <w:t xml:space="preserve"> </w:t>
      </w:r>
      <w:r>
        <w:rPr>
          <w:rFonts w:hAnsi="宋体"/>
          <w:kern w:val="2"/>
          <w:szCs w:val="20"/>
          <w:highlight w:val="none"/>
        </w:rPr>
        <w:t>委托人未履行合同条款第十条、第十一条、第十三条、第十四条、第十五条、第十六条、第十七条、第十九条约定的义务和责任，除按专用合同条款约定向监理人支付违约金外，还应继续履行合同约定的义务和责任。</w:t>
      </w:r>
    </w:p>
    <w:p w14:paraId="21318106">
      <w:pPr>
        <w:autoSpaceDE/>
        <w:autoSpaceDN/>
        <w:adjustRightInd/>
        <w:spacing w:line="300" w:lineRule="auto"/>
        <w:ind w:firstLine="361"/>
        <w:jc w:val="both"/>
        <w:rPr>
          <w:kern w:val="2"/>
          <w:szCs w:val="20"/>
          <w:highlight w:val="none"/>
        </w:rPr>
      </w:pPr>
      <w:r>
        <w:rPr>
          <w:rFonts w:hAnsi="宋体"/>
          <w:b/>
          <w:kern w:val="2"/>
          <w:szCs w:val="20"/>
          <w:highlight w:val="none"/>
        </w:rPr>
        <w:t>第四十一条</w:t>
      </w:r>
      <w:r>
        <w:rPr>
          <w:kern w:val="2"/>
          <w:szCs w:val="20"/>
          <w:highlight w:val="none"/>
        </w:rPr>
        <w:t xml:space="preserve"> </w:t>
      </w:r>
      <w:r>
        <w:rPr>
          <w:rFonts w:hAnsi="宋体"/>
          <w:kern w:val="2"/>
          <w:szCs w:val="20"/>
          <w:highlight w:val="none"/>
        </w:rPr>
        <w:t>委托人未按合同条款第三十二条、第三十三条、第三十四条约定支付监理服务酬金，除按专用合同条款约定向监理人支付逾期付款违约金外，还应继续履行合同约定的支付义务。</w:t>
      </w:r>
    </w:p>
    <w:p w14:paraId="22B84C6C">
      <w:pPr>
        <w:autoSpaceDE/>
        <w:autoSpaceDN/>
        <w:adjustRightInd/>
        <w:spacing w:line="300" w:lineRule="auto"/>
        <w:ind w:firstLine="361"/>
        <w:jc w:val="both"/>
        <w:rPr>
          <w:kern w:val="2"/>
          <w:szCs w:val="20"/>
          <w:highlight w:val="none"/>
        </w:rPr>
      </w:pPr>
      <w:r>
        <w:rPr>
          <w:rFonts w:hAnsi="宋体"/>
          <w:b/>
          <w:kern w:val="2"/>
          <w:szCs w:val="20"/>
          <w:highlight w:val="none"/>
        </w:rPr>
        <w:t>第四十二条</w:t>
      </w:r>
      <w:r>
        <w:rPr>
          <w:kern w:val="2"/>
          <w:szCs w:val="20"/>
          <w:highlight w:val="none"/>
        </w:rPr>
        <w:t xml:space="preserve"> </w:t>
      </w:r>
      <w:r>
        <w:rPr>
          <w:rFonts w:hAnsi="宋体"/>
          <w:kern w:val="2"/>
          <w:szCs w:val="20"/>
          <w:highlight w:val="none"/>
        </w:rPr>
        <w:t>监理人未履行合同条款第二十一条、第二十三条、第二十四条、第二十五条、第二十七条、第二十八条、第二十九条、第三十条、第三十一条约定的义务和责任，除按专用合同条款约定向委托人支付违约金外，还应继续履行合同约定的义务和责任。</w:t>
      </w:r>
    </w:p>
    <w:p w14:paraId="3E437F3E">
      <w:pPr>
        <w:autoSpaceDE/>
        <w:autoSpaceDN/>
        <w:adjustRightInd/>
        <w:spacing w:before="120" w:beforeLines="50" w:after="120" w:afterLines="50" w:line="300" w:lineRule="auto"/>
        <w:ind w:firstLine="420"/>
        <w:jc w:val="center"/>
        <w:rPr>
          <w:kern w:val="2"/>
          <w:sz w:val="28"/>
          <w:szCs w:val="28"/>
          <w:highlight w:val="none"/>
        </w:rPr>
      </w:pPr>
      <w:r>
        <w:rPr>
          <w:rFonts w:hAnsi="宋体"/>
          <w:kern w:val="2"/>
          <w:sz w:val="28"/>
          <w:szCs w:val="28"/>
          <w:highlight w:val="none"/>
        </w:rPr>
        <w:t>争议的解决</w:t>
      </w:r>
    </w:p>
    <w:p w14:paraId="294CB3CA">
      <w:pPr>
        <w:autoSpaceDE/>
        <w:autoSpaceDN/>
        <w:adjustRightInd/>
        <w:spacing w:line="300" w:lineRule="auto"/>
        <w:ind w:firstLine="361"/>
        <w:jc w:val="both"/>
        <w:rPr>
          <w:kern w:val="2"/>
          <w:szCs w:val="20"/>
          <w:highlight w:val="none"/>
        </w:rPr>
      </w:pPr>
      <w:r>
        <w:rPr>
          <w:rFonts w:hAnsi="宋体"/>
          <w:b/>
          <w:kern w:val="2"/>
          <w:szCs w:val="20"/>
          <w:highlight w:val="none"/>
        </w:rPr>
        <w:t>第四十三条</w:t>
      </w:r>
      <w:r>
        <w:rPr>
          <w:kern w:val="2"/>
          <w:szCs w:val="20"/>
          <w:highlight w:val="none"/>
        </w:rPr>
        <w:t xml:space="preserve"> </w:t>
      </w:r>
      <w:r>
        <w:rPr>
          <w:rFonts w:hAnsi="宋体"/>
          <w:kern w:val="2"/>
          <w:szCs w:val="20"/>
          <w:highlight w:val="none"/>
        </w:rPr>
        <w:t>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14:paraId="790CD97A">
      <w:pPr>
        <w:autoSpaceDE/>
        <w:autoSpaceDN/>
        <w:adjustRightInd/>
        <w:spacing w:line="300" w:lineRule="auto"/>
        <w:ind w:firstLine="361"/>
        <w:jc w:val="both"/>
        <w:rPr>
          <w:kern w:val="2"/>
          <w:szCs w:val="20"/>
          <w:highlight w:val="none"/>
        </w:rPr>
      </w:pPr>
      <w:r>
        <w:rPr>
          <w:rFonts w:hAnsi="宋体"/>
          <w:b/>
          <w:kern w:val="2"/>
          <w:szCs w:val="20"/>
          <w:highlight w:val="none"/>
        </w:rPr>
        <w:t>第四十四条</w:t>
      </w:r>
      <w:r>
        <w:rPr>
          <w:kern w:val="2"/>
          <w:szCs w:val="20"/>
          <w:highlight w:val="none"/>
        </w:rPr>
        <w:t xml:space="preserve"> </w:t>
      </w:r>
      <w:r>
        <w:rPr>
          <w:rFonts w:hAnsi="宋体"/>
          <w:kern w:val="2"/>
          <w:szCs w:val="20"/>
          <w:highlight w:val="none"/>
        </w:rPr>
        <w:t>在争议协商、调解、仲裁或起诉过程中，双方仍应继续履行本合同约定的责任和义务。</w:t>
      </w:r>
    </w:p>
    <w:p w14:paraId="0721C4C8">
      <w:pPr>
        <w:autoSpaceDE/>
        <w:autoSpaceDN/>
        <w:adjustRightInd/>
        <w:spacing w:before="120" w:beforeLines="50" w:after="120" w:afterLines="50" w:line="300" w:lineRule="auto"/>
        <w:ind w:firstLine="420"/>
        <w:jc w:val="center"/>
        <w:rPr>
          <w:kern w:val="2"/>
          <w:sz w:val="28"/>
          <w:szCs w:val="28"/>
          <w:highlight w:val="none"/>
        </w:rPr>
      </w:pPr>
      <w:r>
        <w:rPr>
          <w:rFonts w:hAnsi="宋体"/>
          <w:kern w:val="2"/>
          <w:sz w:val="28"/>
          <w:szCs w:val="28"/>
          <w:highlight w:val="none"/>
        </w:rPr>
        <w:t>其</w:t>
      </w:r>
      <w:r>
        <w:rPr>
          <w:kern w:val="2"/>
          <w:sz w:val="28"/>
          <w:szCs w:val="28"/>
          <w:highlight w:val="none"/>
        </w:rPr>
        <w:t xml:space="preserve">   </w:t>
      </w:r>
      <w:r>
        <w:rPr>
          <w:rFonts w:hAnsi="宋体"/>
          <w:kern w:val="2"/>
          <w:sz w:val="28"/>
          <w:szCs w:val="28"/>
          <w:highlight w:val="none"/>
        </w:rPr>
        <w:t>他</w:t>
      </w:r>
    </w:p>
    <w:p w14:paraId="733A1302">
      <w:pPr>
        <w:autoSpaceDE/>
        <w:autoSpaceDN/>
        <w:adjustRightInd/>
        <w:spacing w:line="300" w:lineRule="auto"/>
        <w:ind w:firstLine="361"/>
        <w:jc w:val="both"/>
        <w:rPr>
          <w:kern w:val="2"/>
          <w:szCs w:val="20"/>
          <w:highlight w:val="none"/>
        </w:rPr>
      </w:pPr>
      <w:r>
        <w:rPr>
          <w:rFonts w:hAnsi="宋体"/>
          <w:b/>
          <w:kern w:val="2"/>
          <w:szCs w:val="20"/>
          <w:highlight w:val="none"/>
        </w:rPr>
        <w:t>第四十五条</w:t>
      </w:r>
      <w:r>
        <w:rPr>
          <w:kern w:val="2"/>
          <w:szCs w:val="20"/>
          <w:highlight w:val="none"/>
        </w:rPr>
        <w:t xml:space="preserve"> </w:t>
      </w:r>
      <w:r>
        <w:rPr>
          <w:rFonts w:hAnsi="宋体"/>
          <w:kern w:val="2"/>
          <w:szCs w:val="20"/>
          <w:highlight w:val="none"/>
        </w:rPr>
        <w:t>委托人可以对监理人提出并落实的合理化建议给予奖励。奖励办法在专用合同条款中约定。</w:t>
      </w:r>
    </w:p>
    <w:p w14:paraId="27932722">
      <w:pPr>
        <w:autoSpaceDE/>
        <w:autoSpaceDN/>
        <w:adjustRightInd/>
        <w:spacing w:line="300" w:lineRule="auto"/>
        <w:ind w:firstLine="361"/>
        <w:jc w:val="center"/>
        <w:rPr>
          <w:b/>
          <w:sz w:val="32"/>
          <w:szCs w:val="32"/>
          <w:highlight w:val="none"/>
        </w:rPr>
      </w:pPr>
    </w:p>
    <w:p w14:paraId="6988A7EE">
      <w:pPr>
        <w:autoSpaceDE/>
        <w:autoSpaceDN/>
        <w:adjustRightInd/>
        <w:spacing w:line="300" w:lineRule="auto"/>
        <w:ind w:firstLine="361"/>
        <w:jc w:val="center"/>
        <w:rPr>
          <w:b/>
          <w:sz w:val="32"/>
          <w:szCs w:val="32"/>
          <w:highlight w:val="none"/>
        </w:rPr>
      </w:pPr>
      <w:r>
        <w:rPr>
          <w:rFonts w:hAnsi="宋体"/>
          <w:b/>
          <w:sz w:val="32"/>
          <w:szCs w:val="32"/>
          <w:highlight w:val="none"/>
        </w:rPr>
        <w:br w:type="column"/>
      </w:r>
      <w:r>
        <w:rPr>
          <w:rFonts w:hAnsi="宋体"/>
          <w:b/>
          <w:sz w:val="32"/>
          <w:szCs w:val="32"/>
          <w:highlight w:val="none"/>
        </w:rPr>
        <w:t>第二部分</w:t>
      </w:r>
      <w:r>
        <w:rPr>
          <w:b/>
          <w:sz w:val="32"/>
          <w:szCs w:val="32"/>
          <w:highlight w:val="none"/>
        </w:rPr>
        <w:t xml:space="preserve"> </w:t>
      </w:r>
      <w:r>
        <w:rPr>
          <w:rFonts w:hAnsi="宋体"/>
          <w:b/>
          <w:sz w:val="32"/>
          <w:szCs w:val="32"/>
          <w:highlight w:val="none"/>
        </w:rPr>
        <w:t>专用合同条款</w:t>
      </w:r>
    </w:p>
    <w:p w14:paraId="366E97B0">
      <w:pPr>
        <w:autoSpaceDE/>
        <w:autoSpaceDN/>
        <w:adjustRightInd/>
        <w:spacing w:before="120" w:beforeLines="50" w:after="120" w:afterLines="50" w:line="360" w:lineRule="auto"/>
        <w:ind w:firstLine="420"/>
        <w:jc w:val="center"/>
        <w:rPr>
          <w:kern w:val="2"/>
          <w:sz w:val="28"/>
          <w:szCs w:val="28"/>
          <w:highlight w:val="none"/>
        </w:rPr>
      </w:pPr>
      <w:r>
        <w:rPr>
          <w:rFonts w:hAnsi="宋体"/>
          <w:kern w:val="2"/>
          <w:sz w:val="28"/>
          <w:szCs w:val="28"/>
          <w:highlight w:val="none"/>
        </w:rPr>
        <w:t>监理依据</w:t>
      </w:r>
    </w:p>
    <w:p w14:paraId="461BD920">
      <w:pPr>
        <w:autoSpaceDE/>
        <w:autoSpaceDN/>
        <w:adjustRightInd/>
        <w:spacing w:line="360" w:lineRule="auto"/>
        <w:ind w:firstLine="361"/>
        <w:jc w:val="both"/>
        <w:rPr>
          <w:kern w:val="2"/>
          <w:szCs w:val="20"/>
          <w:highlight w:val="none"/>
        </w:rPr>
      </w:pPr>
      <w:r>
        <w:rPr>
          <w:rFonts w:hAnsi="宋体"/>
          <w:b/>
          <w:kern w:val="2"/>
          <w:szCs w:val="20"/>
          <w:highlight w:val="none"/>
        </w:rPr>
        <w:t>第三条</w:t>
      </w:r>
      <w:r>
        <w:rPr>
          <w:kern w:val="2"/>
          <w:szCs w:val="20"/>
          <w:highlight w:val="none"/>
        </w:rPr>
        <w:t xml:space="preserve"> </w:t>
      </w:r>
      <w:r>
        <w:rPr>
          <w:rFonts w:hAnsi="宋体"/>
          <w:kern w:val="2"/>
          <w:szCs w:val="20"/>
          <w:highlight w:val="none"/>
        </w:rPr>
        <w:t>本合同的监理依据为：</w:t>
      </w:r>
    </w:p>
    <w:p w14:paraId="6B695964">
      <w:pPr>
        <w:numPr>
          <w:ilvl w:val="0"/>
          <w:numId w:val="2"/>
        </w:numPr>
        <w:autoSpaceDE/>
        <w:autoSpaceDN/>
        <w:adjustRightInd/>
        <w:spacing w:line="360" w:lineRule="auto"/>
        <w:ind w:firstLine="360"/>
        <w:jc w:val="both"/>
        <w:rPr>
          <w:kern w:val="2"/>
          <w:szCs w:val="20"/>
          <w:highlight w:val="none"/>
        </w:rPr>
      </w:pPr>
      <w:r>
        <w:rPr>
          <w:rFonts w:hAnsi="宋体"/>
          <w:kern w:val="2"/>
          <w:szCs w:val="20"/>
          <w:highlight w:val="none"/>
        </w:rPr>
        <w:t>水利部《水利工程建设监理规定》；</w:t>
      </w:r>
    </w:p>
    <w:p w14:paraId="75205180">
      <w:pPr>
        <w:numPr>
          <w:ilvl w:val="0"/>
          <w:numId w:val="2"/>
        </w:numPr>
        <w:autoSpaceDE/>
        <w:autoSpaceDN/>
        <w:adjustRightInd/>
        <w:spacing w:line="360" w:lineRule="auto"/>
        <w:ind w:firstLine="360"/>
        <w:jc w:val="both"/>
        <w:rPr>
          <w:kern w:val="2"/>
          <w:szCs w:val="20"/>
          <w:highlight w:val="none"/>
        </w:rPr>
      </w:pPr>
      <w:r>
        <w:rPr>
          <w:rFonts w:hAnsi="宋体"/>
          <w:kern w:val="2"/>
          <w:szCs w:val="20"/>
          <w:highlight w:val="none"/>
        </w:rPr>
        <w:t>水利部《水利工程建设监理单位管理办法》；</w:t>
      </w:r>
    </w:p>
    <w:p w14:paraId="22E1E4FC">
      <w:pPr>
        <w:numPr>
          <w:ilvl w:val="0"/>
          <w:numId w:val="2"/>
        </w:numPr>
        <w:autoSpaceDE/>
        <w:autoSpaceDN/>
        <w:adjustRightInd/>
        <w:spacing w:line="360" w:lineRule="auto"/>
        <w:ind w:firstLine="360"/>
        <w:jc w:val="both"/>
        <w:rPr>
          <w:kern w:val="2"/>
          <w:szCs w:val="20"/>
          <w:highlight w:val="none"/>
        </w:rPr>
      </w:pPr>
      <w:r>
        <w:rPr>
          <w:rFonts w:hAnsi="宋体"/>
          <w:kern w:val="2"/>
          <w:szCs w:val="20"/>
          <w:highlight w:val="none"/>
        </w:rPr>
        <w:t>水利部《水利工程建设监理人员管理办法》；</w:t>
      </w:r>
    </w:p>
    <w:p w14:paraId="3BC6764F">
      <w:pPr>
        <w:numPr>
          <w:ilvl w:val="0"/>
          <w:numId w:val="2"/>
        </w:numPr>
        <w:autoSpaceDE/>
        <w:autoSpaceDN/>
        <w:adjustRightInd/>
        <w:spacing w:line="360" w:lineRule="auto"/>
        <w:ind w:firstLine="360"/>
        <w:jc w:val="both"/>
        <w:rPr>
          <w:kern w:val="2"/>
          <w:szCs w:val="20"/>
          <w:highlight w:val="none"/>
        </w:rPr>
      </w:pPr>
      <w:r>
        <w:rPr>
          <w:rFonts w:hAnsi="宋体"/>
          <w:kern w:val="2"/>
          <w:szCs w:val="20"/>
          <w:highlight w:val="none"/>
        </w:rPr>
        <w:t>《广东省建设工程监理条例》；</w:t>
      </w:r>
    </w:p>
    <w:p w14:paraId="0BF90360">
      <w:pPr>
        <w:numPr>
          <w:ilvl w:val="0"/>
          <w:numId w:val="2"/>
        </w:numPr>
        <w:autoSpaceDE/>
        <w:autoSpaceDN/>
        <w:adjustRightInd/>
        <w:spacing w:line="360" w:lineRule="auto"/>
        <w:ind w:firstLine="360"/>
        <w:jc w:val="both"/>
        <w:rPr>
          <w:kern w:val="2"/>
          <w:szCs w:val="20"/>
          <w:highlight w:val="none"/>
        </w:rPr>
      </w:pPr>
      <w:r>
        <w:rPr>
          <w:rFonts w:hAnsi="宋体"/>
          <w:kern w:val="2"/>
          <w:szCs w:val="20"/>
          <w:highlight w:val="none"/>
        </w:rPr>
        <w:t>广东省水利厅《监理导则》；</w:t>
      </w:r>
    </w:p>
    <w:p w14:paraId="322839BF">
      <w:pPr>
        <w:numPr>
          <w:ilvl w:val="0"/>
          <w:numId w:val="2"/>
        </w:numPr>
        <w:autoSpaceDE/>
        <w:autoSpaceDN/>
        <w:adjustRightInd/>
        <w:spacing w:line="360" w:lineRule="auto"/>
        <w:ind w:firstLine="360"/>
        <w:jc w:val="both"/>
        <w:rPr>
          <w:kern w:val="2"/>
          <w:szCs w:val="20"/>
          <w:highlight w:val="none"/>
        </w:rPr>
      </w:pPr>
      <w:r>
        <w:rPr>
          <w:rFonts w:hAnsi="宋体"/>
          <w:kern w:val="2"/>
          <w:szCs w:val="20"/>
          <w:highlight w:val="none"/>
        </w:rPr>
        <w:t>其他适用于本合同的法律、法规和规章、有关文件。</w:t>
      </w:r>
    </w:p>
    <w:p w14:paraId="782EB8FD">
      <w:pPr>
        <w:numPr>
          <w:ilvl w:val="0"/>
          <w:numId w:val="2"/>
        </w:numPr>
        <w:autoSpaceDE/>
        <w:autoSpaceDN/>
        <w:adjustRightInd/>
        <w:spacing w:line="360" w:lineRule="auto"/>
        <w:ind w:firstLine="360"/>
        <w:jc w:val="both"/>
        <w:rPr>
          <w:kern w:val="2"/>
          <w:szCs w:val="20"/>
          <w:highlight w:val="none"/>
        </w:rPr>
      </w:pPr>
      <w:r>
        <w:rPr>
          <w:rFonts w:hAnsi="宋体"/>
          <w:kern w:val="2"/>
          <w:szCs w:val="20"/>
          <w:highlight w:val="none"/>
        </w:rPr>
        <w:t>监理各项工作实施细则；</w:t>
      </w:r>
    </w:p>
    <w:p w14:paraId="3F15B816">
      <w:pPr>
        <w:numPr>
          <w:ilvl w:val="0"/>
          <w:numId w:val="2"/>
        </w:numPr>
        <w:autoSpaceDE/>
        <w:autoSpaceDN/>
        <w:adjustRightInd/>
        <w:spacing w:line="360" w:lineRule="auto"/>
        <w:ind w:firstLine="360"/>
        <w:jc w:val="both"/>
        <w:rPr>
          <w:kern w:val="2"/>
          <w:szCs w:val="20"/>
          <w:highlight w:val="none"/>
        </w:rPr>
      </w:pPr>
      <w:r>
        <w:rPr>
          <w:rFonts w:hAnsi="宋体"/>
          <w:kern w:val="2"/>
          <w:szCs w:val="20"/>
          <w:highlight w:val="none"/>
        </w:rPr>
        <w:t>经发包人批准的监理规划；</w:t>
      </w:r>
    </w:p>
    <w:p w14:paraId="2480EBED">
      <w:pPr>
        <w:numPr>
          <w:ilvl w:val="0"/>
          <w:numId w:val="2"/>
        </w:numPr>
        <w:autoSpaceDE/>
        <w:autoSpaceDN/>
        <w:adjustRightInd/>
        <w:spacing w:line="360" w:lineRule="auto"/>
        <w:ind w:firstLine="360"/>
        <w:jc w:val="both"/>
        <w:rPr>
          <w:kern w:val="2"/>
          <w:szCs w:val="20"/>
          <w:highlight w:val="none"/>
        </w:rPr>
      </w:pPr>
      <w:r>
        <w:rPr>
          <w:rFonts w:hint="eastAsia" w:hAnsi="宋体"/>
          <w:kern w:val="2"/>
          <w:szCs w:val="20"/>
          <w:highlight w:val="none"/>
        </w:rPr>
        <w:t>本</w:t>
      </w:r>
      <w:r>
        <w:rPr>
          <w:rFonts w:hAnsi="宋体"/>
          <w:kern w:val="2"/>
          <w:szCs w:val="20"/>
          <w:highlight w:val="none"/>
        </w:rPr>
        <w:t>工程</w:t>
      </w:r>
      <w:r>
        <w:rPr>
          <w:rFonts w:hint="eastAsia" w:hAnsi="宋体"/>
          <w:kern w:val="2"/>
          <w:szCs w:val="20"/>
          <w:highlight w:val="none"/>
        </w:rPr>
        <w:t>可行性研究报告、</w:t>
      </w:r>
      <w:r>
        <w:rPr>
          <w:rFonts w:hAnsi="宋体"/>
          <w:kern w:val="2"/>
          <w:szCs w:val="20"/>
          <w:highlight w:val="none"/>
        </w:rPr>
        <w:t>初步设计报告及其批复文件；</w:t>
      </w:r>
    </w:p>
    <w:p w14:paraId="54A26B2A">
      <w:pPr>
        <w:numPr>
          <w:ilvl w:val="0"/>
          <w:numId w:val="2"/>
        </w:numPr>
        <w:autoSpaceDE/>
        <w:autoSpaceDN/>
        <w:adjustRightInd/>
        <w:spacing w:line="360" w:lineRule="auto"/>
        <w:ind w:firstLine="360"/>
        <w:jc w:val="both"/>
        <w:rPr>
          <w:kern w:val="2"/>
          <w:szCs w:val="20"/>
          <w:highlight w:val="none"/>
        </w:rPr>
      </w:pPr>
      <w:r>
        <w:rPr>
          <w:rFonts w:hAnsi="宋体"/>
          <w:kern w:val="2"/>
          <w:szCs w:val="20"/>
          <w:highlight w:val="none"/>
        </w:rPr>
        <w:t>工程设计文件（包括图纸和设计说明）；</w:t>
      </w:r>
    </w:p>
    <w:p w14:paraId="3244BDAA">
      <w:pPr>
        <w:numPr>
          <w:ilvl w:val="0"/>
          <w:numId w:val="2"/>
        </w:numPr>
        <w:autoSpaceDE/>
        <w:autoSpaceDN/>
        <w:adjustRightInd/>
        <w:spacing w:line="360" w:lineRule="auto"/>
        <w:ind w:firstLine="360"/>
        <w:jc w:val="both"/>
        <w:rPr>
          <w:kern w:val="2"/>
          <w:szCs w:val="20"/>
          <w:highlight w:val="none"/>
        </w:rPr>
      </w:pPr>
      <w:r>
        <w:rPr>
          <w:rFonts w:hAnsi="宋体"/>
          <w:kern w:val="2"/>
          <w:szCs w:val="20"/>
          <w:highlight w:val="none"/>
        </w:rPr>
        <w:t>工程地质钻探资料；</w:t>
      </w:r>
    </w:p>
    <w:p w14:paraId="29BE2DFC">
      <w:pPr>
        <w:numPr>
          <w:ilvl w:val="0"/>
          <w:numId w:val="2"/>
        </w:numPr>
        <w:autoSpaceDE/>
        <w:autoSpaceDN/>
        <w:adjustRightInd/>
        <w:spacing w:line="360" w:lineRule="auto"/>
        <w:ind w:firstLine="360"/>
        <w:jc w:val="both"/>
        <w:rPr>
          <w:kern w:val="2"/>
          <w:szCs w:val="20"/>
          <w:highlight w:val="none"/>
        </w:rPr>
      </w:pPr>
      <w:r>
        <w:rPr>
          <w:rFonts w:hAnsi="宋体"/>
          <w:kern w:val="2"/>
          <w:szCs w:val="20"/>
          <w:highlight w:val="none"/>
        </w:rPr>
        <w:t>本工程监理合同；</w:t>
      </w:r>
    </w:p>
    <w:p w14:paraId="30B6064C">
      <w:pPr>
        <w:numPr>
          <w:ilvl w:val="0"/>
          <w:numId w:val="2"/>
        </w:numPr>
        <w:autoSpaceDE/>
        <w:autoSpaceDN/>
        <w:adjustRightInd/>
        <w:spacing w:line="360" w:lineRule="auto"/>
        <w:ind w:firstLine="360"/>
        <w:jc w:val="both"/>
        <w:rPr>
          <w:kern w:val="2"/>
          <w:szCs w:val="20"/>
          <w:highlight w:val="none"/>
        </w:rPr>
      </w:pPr>
      <w:r>
        <w:rPr>
          <w:rFonts w:hAnsi="宋体"/>
          <w:kern w:val="2"/>
          <w:szCs w:val="20"/>
          <w:highlight w:val="none"/>
        </w:rPr>
        <w:t>工程施工承包合同</w:t>
      </w:r>
      <w:r>
        <w:rPr>
          <w:rFonts w:hint="eastAsia" w:hAnsi="宋体"/>
          <w:kern w:val="2"/>
          <w:szCs w:val="20"/>
          <w:highlight w:val="none"/>
        </w:rPr>
        <w:t>。</w:t>
      </w:r>
    </w:p>
    <w:p w14:paraId="182C6217">
      <w:pPr>
        <w:autoSpaceDE/>
        <w:autoSpaceDN/>
        <w:adjustRightInd/>
        <w:spacing w:before="120" w:beforeLines="50" w:after="120" w:afterLines="50" w:line="360" w:lineRule="auto"/>
        <w:ind w:firstLine="420"/>
        <w:jc w:val="center"/>
        <w:rPr>
          <w:kern w:val="2"/>
          <w:sz w:val="28"/>
          <w:szCs w:val="28"/>
          <w:highlight w:val="none"/>
        </w:rPr>
      </w:pPr>
      <w:r>
        <w:rPr>
          <w:rFonts w:hAnsi="宋体"/>
          <w:kern w:val="2"/>
          <w:sz w:val="28"/>
          <w:szCs w:val="28"/>
          <w:highlight w:val="none"/>
        </w:rPr>
        <w:t>委托人的权利</w:t>
      </w:r>
    </w:p>
    <w:p w14:paraId="3AF88653">
      <w:pPr>
        <w:autoSpaceDE/>
        <w:autoSpaceDN/>
        <w:adjustRightInd/>
        <w:spacing w:line="360" w:lineRule="auto"/>
        <w:ind w:firstLine="361"/>
        <w:jc w:val="both"/>
        <w:rPr>
          <w:kern w:val="2"/>
          <w:szCs w:val="20"/>
          <w:highlight w:val="none"/>
        </w:rPr>
      </w:pPr>
      <w:r>
        <w:rPr>
          <w:rFonts w:hAnsi="宋体"/>
          <w:b/>
          <w:kern w:val="2"/>
          <w:szCs w:val="20"/>
          <w:highlight w:val="none"/>
        </w:rPr>
        <w:t>第七条</w:t>
      </w:r>
      <w:r>
        <w:rPr>
          <w:rFonts w:hint="eastAsia" w:hAnsi="宋体"/>
          <w:b/>
          <w:kern w:val="2"/>
          <w:szCs w:val="20"/>
          <w:highlight w:val="none"/>
        </w:rPr>
        <w:t xml:space="preserve"> </w:t>
      </w:r>
      <w:r>
        <w:rPr>
          <w:rFonts w:hAnsi="宋体"/>
          <w:kern w:val="2"/>
          <w:szCs w:val="20"/>
          <w:highlight w:val="none"/>
        </w:rPr>
        <w:t>当监理人发生下列违约情形时，委托人有权解除合同：</w:t>
      </w:r>
    </w:p>
    <w:p w14:paraId="737726A5">
      <w:pPr>
        <w:autoSpaceDE/>
        <w:autoSpaceDN/>
        <w:adjustRightInd/>
        <w:spacing w:line="360" w:lineRule="auto"/>
        <w:ind w:firstLine="480" w:firstLineChars="200"/>
        <w:jc w:val="both"/>
        <w:rPr>
          <w:kern w:val="2"/>
          <w:szCs w:val="20"/>
          <w:highlight w:val="none"/>
          <w:u w:val="single"/>
        </w:rPr>
      </w:pPr>
      <w:r>
        <w:rPr>
          <w:kern w:val="2"/>
          <w:szCs w:val="20"/>
          <w:highlight w:val="none"/>
        </w:rPr>
        <w:t>1</w:t>
      </w:r>
      <w:r>
        <w:rPr>
          <w:rFonts w:hAnsi="宋体"/>
          <w:kern w:val="2"/>
          <w:szCs w:val="20"/>
          <w:highlight w:val="none"/>
        </w:rPr>
        <w:t>、本合同第四十二条第</w:t>
      </w:r>
      <w:r>
        <w:rPr>
          <w:kern w:val="2"/>
          <w:szCs w:val="20"/>
          <w:highlight w:val="none"/>
        </w:rPr>
        <w:t>(13)</w:t>
      </w:r>
      <w:r>
        <w:rPr>
          <w:rFonts w:hAnsi="宋体"/>
          <w:kern w:val="2"/>
          <w:szCs w:val="20"/>
          <w:highlight w:val="none"/>
        </w:rPr>
        <w:t>款。</w:t>
      </w:r>
    </w:p>
    <w:p w14:paraId="56F2DE8E">
      <w:pPr>
        <w:autoSpaceDE/>
        <w:autoSpaceDN/>
        <w:adjustRightInd/>
        <w:spacing w:before="120" w:beforeLines="50" w:after="120" w:afterLines="50" w:line="360" w:lineRule="auto"/>
        <w:ind w:firstLine="420"/>
        <w:jc w:val="center"/>
        <w:rPr>
          <w:kern w:val="2"/>
          <w:sz w:val="28"/>
          <w:szCs w:val="28"/>
          <w:highlight w:val="none"/>
        </w:rPr>
      </w:pPr>
      <w:r>
        <w:rPr>
          <w:rFonts w:hAnsi="宋体"/>
          <w:kern w:val="2"/>
          <w:sz w:val="28"/>
          <w:szCs w:val="28"/>
          <w:highlight w:val="none"/>
        </w:rPr>
        <w:t>监理人的权利</w:t>
      </w:r>
    </w:p>
    <w:p w14:paraId="72722159">
      <w:pPr>
        <w:autoSpaceDE/>
        <w:autoSpaceDN/>
        <w:adjustRightInd/>
        <w:spacing w:line="360" w:lineRule="auto"/>
        <w:ind w:firstLine="361"/>
        <w:jc w:val="both"/>
        <w:rPr>
          <w:rFonts w:hAnsi="宋体"/>
          <w:b/>
          <w:kern w:val="2"/>
          <w:szCs w:val="20"/>
          <w:highlight w:val="none"/>
        </w:rPr>
      </w:pPr>
      <w:r>
        <w:rPr>
          <w:rFonts w:hAnsi="宋体"/>
          <w:b/>
          <w:kern w:val="2"/>
          <w:szCs w:val="20"/>
          <w:highlight w:val="none"/>
        </w:rPr>
        <w:t>第八条</w:t>
      </w:r>
      <w:r>
        <w:rPr>
          <w:rFonts w:hint="eastAsia" w:hAnsi="宋体"/>
          <w:b/>
          <w:kern w:val="2"/>
          <w:szCs w:val="20"/>
          <w:highlight w:val="none"/>
        </w:rPr>
        <w:t xml:space="preserve"> </w:t>
      </w:r>
      <w:r>
        <w:rPr>
          <w:rFonts w:hAnsi="宋体"/>
          <w:kern w:val="2"/>
          <w:szCs w:val="20"/>
          <w:highlight w:val="none"/>
        </w:rPr>
        <w:t>委托人赋予监理人如下权利</w:t>
      </w:r>
    </w:p>
    <w:p w14:paraId="50ABAE2C">
      <w:pPr>
        <w:autoSpaceDE/>
        <w:autoSpaceDN/>
        <w:adjustRightInd/>
        <w:spacing w:line="360" w:lineRule="auto"/>
        <w:ind w:firstLine="361"/>
        <w:jc w:val="both"/>
        <w:rPr>
          <w:kern w:val="2"/>
          <w:szCs w:val="20"/>
          <w:highlight w:val="none"/>
          <w:u w:val="single"/>
        </w:rPr>
      </w:pPr>
      <w:r>
        <w:rPr>
          <w:rFonts w:hint="eastAsia" w:hAnsi="宋体"/>
          <w:kern w:val="2"/>
          <w:szCs w:val="20"/>
          <w:highlight w:val="none"/>
        </w:rPr>
        <w:t>（一）</w:t>
      </w:r>
      <w:r>
        <w:rPr>
          <w:rFonts w:hAnsi="宋体"/>
          <w:kern w:val="2"/>
          <w:szCs w:val="20"/>
          <w:highlight w:val="none"/>
        </w:rPr>
        <w:t>当委托人发生下列违约情形时，监理人有权解除合同：在工程正常施工期间，委托人连续两个季度未向监理人支付进度款。</w:t>
      </w:r>
    </w:p>
    <w:p w14:paraId="4EDDC3EB">
      <w:pPr>
        <w:autoSpaceDE/>
        <w:autoSpaceDN/>
        <w:adjustRightInd/>
        <w:spacing w:line="360" w:lineRule="auto"/>
        <w:ind w:firstLine="354" w:firstLineChars="147"/>
        <w:jc w:val="both"/>
        <w:rPr>
          <w:kern w:val="2"/>
          <w:szCs w:val="20"/>
          <w:highlight w:val="none"/>
        </w:rPr>
      </w:pPr>
      <w:r>
        <w:rPr>
          <w:rFonts w:hint="eastAsia" w:hAnsi="宋体"/>
          <w:b/>
          <w:kern w:val="2"/>
          <w:szCs w:val="20"/>
          <w:highlight w:val="none"/>
        </w:rPr>
        <w:t>（二）</w:t>
      </w:r>
      <w:r>
        <w:rPr>
          <w:rFonts w:hAnsi="宋体"/>
          <w:kern w:val="2"/>
          <w:szCs w:val="20"/>
          <w:highlight w:val="none"/>
        </w:rPr>
        <w:t>委托人</w:t>
      </w:r>
      <w:r>
        <w:rPr>
          <w:rFonts w:hAnsi="宋体"/>
          <w:kern w:val="2"/>
          <w:szCs w:val="20"/>
          <w:highlight w:val="none"/>
          <w:shd w:val="clear" w:color="auto" w:fill="FFFFFF"/>
        </w:rPr>
        <w:t>赋</w:t>
      </w:r>
      <w:r>
        <w:rPr>
          <w:rFonts w:hAnsi="宋体"/>
          <w:kern w:val="2"/>
          <w:szCs w:val="20"/>
          <w:highlight w:val="none"/>
        </w:rPr>
        <w:t>予监理人的其他权利：</w:t>
      </w:r>
    </w:p>
    <w:p w14:paraId="4D2BE82A">
      <w:pPr>
        <w:autoSpaceDE/>
        <w:autoSpaceDN/>
        <w:adjustRightInd/>
        <w:spacing w:line="360" w:lineRule="auto"/>
        <w:ind w:firstLine="480" w:firstLineChars="200"/>
        <w:jc w:val="both"/>
        <w:rPr>
          <w:szCs w:val="20"/>
          <w:highlight w:val="none"/>
        </w:rPr>
      </w:pPr>
      <w:r>
        <w:rPr>
          <w:kern w:val="2"/>
          <w:szCs w:val="20"/>
          <w:highlight w:val="none"/>
        </w:rPr>
        <w:t>1</w:t>
      </w:r>
      <w:r>
        <w:rPr>
          <w:rFonts w:hAnsi="宋体"/>
          <w:kern w:val="2"/>
          <w:szCs w:val="20"/>
          <w:highlight w:val="none"/>
        </w:rPr>
        <w:t>、</w:t>
      </w:r>
      <w:r>
        <w:rPr>
          <w:rFonts w:hAnsi="宋体"/>
          <w:szCs w:val="20"/>
          <w:highlight w:val="none"/>
        </w:rPr>
        <w:t>选择工程施工、设备和材料供应等单位的建议权。</w:t>
      </w:r>
    </w:p>
    <w:p w14:paraId="64E6445D">
      <w:pPr>
        <w:autoSpaceDE/>
        <w:autoSpaceDN/>
        <w:adjustRightInd/>
        <w:spacing w:line="360" w:lineRule="auto"/>
        <w:ind w:firstLine="480" w:firstLineChars="200"/>
        <w:jc w:val="both"/>
        <w:rPr>
          <w:szCs w:val="20"/>
          <w:highlight w:val="none"/>
        </w:rPr>
      </w:pPr>
      <w:r>
        <w:rPr>
          <w:szCs w:val="20"/>
          <w:highlight w:val="none"/>
        </w:rPr>
        <w:t>2</w:t>
      </w:r>
      <w:r>
        <w:rPr>
          <w:rFonts w:hAnsi="宋体"/>
          <w:szCs w:val="20"/>
          <w:highlight w:val="none"/>
        </w:rPr>
        <w:t>、协助发包人签订工程建设合同。</w:t>
      </w:r>
    </w:p>
    <w:p w14:paraId="245BD632">
      <w:pPr>
        <w:autoSpaceDE/>
        <w:autoSpaceDN/>
        <w:adjustRightInd/>
        <w:spacing w:line="360" w:lineRule="auto"/>
        <w:ind w:firstLine="480" w:firstLineChars="200"/>
        <w:jc w:val="both"/>
        <w:rPr>
          <w:kern w:val="2"/>
          <w:szCs w:val="20"/>
          <w:highlight w:val="none"/>
        </w:rPr>
      </w:pPr>
      <w:r>
        <w:rPr>
          <w:szCs w:val="20"/>
          <w:highlight w:val="none"/>
        </w:rPr>
        <w:t>3</w:t>
      </w:r>
      <w:r>
        <w:rPr>
          <w:rFonts w:hAnsi="宋体"/>
          <w:szCs w:val="20"/>
          <w:highlight w:val="none"/>
        </w:rPr>
        <w:t>、</w:t>
      </w:r>
      <w:r>
        <w:rPr>
          <w:rFonts w:hAnsi="宋体"/>
          <w:kern w:val="2"/>
          <w:szCs w:val="20"/>
          <w:highlight w:val="none"/>
        </w:rPr>
        <w:t>当变更引起的合同价格增加</w:t>
      </w:r>
      <w:r>
        <w:rPr>
          <w:rFonts w:hAnsi="宋体"/>
          <w:b/>
          <w:kern w:val="2"/>
          <w:szCs w:val="20"/>
          <w:highlight w:val="none"/>
        </w:rPr>
        <w:t>不大于</w:t>
      </w:r>
      <w:r>
        <w:rPr>
          <w:b/>
          <w:kern w:val="2"/>
          <w:szCs w:val="20"/>
          <w:highlight w:val="none"/>
        </w:rPr>
        <w:t>1000</w:t>
      </w:r>
      <w:r>
        <w:rPr>
          <w:rFonts w:hAnsi="宋体"/>
          <w:b/>
          <w:kern w:val="2"/>
          <w:szCs w:val="20"/>
          <w:highlight w:val="none"/>
        </w:rPr>
        <w:t>元，</w:t>
      </w:r>
      <w:r>
        <w:rPr>
          <w:rFonts w:hAnsi="宋体"/>
          <w:kern w:val="2"/>
          <w:szCs w:val="20"/>
          <w:highlight w:val="none"/>
        </w:rPr>
        <w:t>设计变更现场的处置权。</w:t>
      </w:r>
    </w:p>
    <w:p w14:paraId="0731AF16">
      <w:pPr>
        <w:autoSpaceDE/>
        <w:autoSpaceDN/>
        <w:adjustRightInd/>
        <w:spacing w:line="360" w:lineRule="auto"/>
        <w:ind w:firstLine="480" w:firstLineChars="200"/>
        <w:jc w:val="both"/>
        <w:rPr>
          <w:szCs w:val="20"/>
          <w:highlight w:val="none"/>
        </w:rPr>
      </w:pPr>
      <w:r>
        <w:rPr>
          <w:kern w:val="2"/>
          <w:szCs w:val="20"/>
          <w:highlight w:val="none"/>
        </w:rPr>
        <w:t>4</w:t>
      </w:r>
      <w:r>
        <w:rPr>
          <w:rFonts w:hAnsi="宋体"/>
          <w:kern w:val="2"/>
          <w:szCs w:val="20"/>
          <w:highlight w:val="none"/>
        </w:rPr>
        <w:t>、</w:t>
      </w:r>
      <w:r>
        <w:rPr>
          <w:rFonts w:hAnsi="宋体"/>
          <w:szCs w:val="20"/>
          <w:highlight w:val="none"/>
        </w:rPr>
        <w:t>对全部工程的所有部位及其任何一项工艺、材料、构件和工程设备的检查、检验权。但上述的一切检查、检验不免除承包人按有关合同规定应负的责任。</w:t>
      </w:r>
    </w:p>
    <w:p w14:paraId="5141DF40">
      <w:pPr>
        <w:autoSpaceDE/>
        <w:autoSpaceDN/>
        <w:adjustRightInd/>
        <w:spacing w:line="360" w:lineRule="auto"/>
        <w:ind w:firstLine="480" w:firstLineChars="200"/>
        <w:jc w:val="both"/>
        <w:rPr>
          <w:szCs w:val="20"/>
          <w:highlight w:val="none"/>
        </w:rPr>
      </w:pPr>
      <w:r>
        <w:rPr>
          <w:szCs w:val="20"/>
          <w:highlight w:val="none"/>
        </w:rPr>
        <w:t>5</w:t>
      </w:r>
      <w:r>
        <w:rPr>
          <w:rFonts w:hAnsi="宋体"/>
          <w:szCs w:val="20"/>
          <w:highlight w:val="none"/>
        </w:rPr>
        <w:t>、对全部工程的施工质量和工程上使用的材料、设备的检验权和确认权；安全生产和文明施工的监督权。</w:t>
      </w:r>
    </w:p>
    <w:p w14:paraId="143D7931">
      <w:pPr>
        <w:autoSpaceDE/>
        <w:autoSpaceDN/>
        <w:adjustRightInd/>
        <w:spacing w:line="360" w:lineRule="auto"/>
        <w:ind w:firstLine="480" w:firstLineChars="200"/>
        <w:jc w:val="both"/>
        <w:rPr>
          <w:szCs w:val="20"/>
          <w:highlight w:val="none"/>
        </w:rPr>
      </w:pPr>
      <w:r>
        <w:rPr>
          <w:szCs w:val="20"/>
          <w:highlight w:val="none"/>
        </w:rPr>
        <w:t>6</w:t>
      </w:r>
      <w:r>
        <w:rPr>
          <w:rFonts w:hAnsi="宋体"/>
          <w:szCs w:val="20"/>
          <w:highlight w:val="none"/>
        </w:rPr>
        <w:t>、工程施工进度的检查、监督权以及工程建设合同工期的签认权。</w:t>
      </w:r>
    </w:p>
    <w:p w14:paraId="17F4E6BF">
      <w:pPr>
        <w:autoSpaceDE/>
        <w:autoSpaceDN/>
        <w:adjustRightInd/>
        <w:spacing w:line="360" w:lineRule="auto"/>
        <w:ind w:firstLine="480" w:firstLineChars="200"/>
        <w:jc w:val="both"/>
        <w:rPr>
          <w:szCs w:val="20"/>
          <w:highlight w:val="none"/>
        </w:rPr>
      </w:pPr>
      <w:r>
        <w:rPr>
          <w:szCs w:val="20"/>
          <w:highlight w:val="none"/>
        </w:rPr>
        <w:t>7</w:t>
      </w:r>
      <w:r>
        <w:rPr>
          <w:rFonts w:hAnsi="宋体"/>
          <w:szCs w:val="20"/>
          <w:highlight w:val="none"/>
        </w:rPr>
        <w:t>、工程款支付的审核和签认权，工程结算的复核确认和否认权。未经监理机构签字确认，发包人不支付任何工程款项。</w:t>
      </w:r>
    </w:p>
    <w:p w14:paraId="1221A248">
      <w:pPr>
        <w:autoSpaceDE/>
        <w:autoSpaceDN/>
        <w:adjustRightInd/>
        <w:spacing w:line="360" w:lineRule="auto"/>
        <w:ind w:firstLine="480" w:firstLineChars="200"/>
        <w:jc w:val="both"/>
        <w:rPr>
          <w:szCs w:val="20"/>
          <w:highlight w:val="none"/>
        </w:rPr>
      </w:pPr>
      <w:r>
        <w:rPr>
          <w:szCs w:val="20"/>
          <w:highlight w:val="none"/>
        </w:rPr>
        <w:t>8</w:t>
      </w:r>
      <w:r>
        <w:rPr>
          <w:rFonts w:hAnsi="宋体"/>
          <w:szCs w:val="20"/>
          <w:highlight w:val="none"/>
        </w:rPr>
        <w:t>、组织协调工程建设有关各方关系的主持权。</w:t>
      </w:r>
    </w:p>
    <w:p w14:paraId="5449040C">
      <w:pPr>
        <w:autoSpaceDE/>
        <w:autoSpaceDN/>
        <w:adjustRightInd/>
        <w:spacing w:line="360" w:lineRule="auto"/>
        <w:ind w:firstLine="480" w:firstLineChars="200"/>
        <w:jc w:val="both"/>
        <w:rPr>
          <w:szCs w:val="20"/>
          <w:highlight w:val="none"/>
        </w:rPr>
      </w:pPr>
      <w:r>
        <w:rPr>
          <w:szCs w:val="20"/>
          <w:highlight w:val="none"/>
        </w:rPr>
        <w:t>9</w:t>
      </w:r>
      <w:r>
        <w:rPr>
          <w:rFonts w:hAnsi="宋体"/>
          <w:szCs w:val="20"/>
          <w:highlight w:val="none"/>
        </w:rPr>
        <w:t>、按照安全和优化的原则，对工程实施中的重大技术问题自主向设计单位提出建议意见，并向发包人提出书面报告。</w:t>
      </w:r>
    </w:p>
    <w:p w14:paraId="52352253">
      <w:pPr>
        <w:autoSpaceDE/>
        <w:autoSpaceDN/>
        <w:adjustRightInd/>
        <w:spacing w:line="360" w:lineRule="auto"/>
        <w:ind w:firstLine="480" w:firstLineChars="200"/>
        <w:jc w:val="both"/>
        <w:rPr>
          <w:szCs w:val="20"/>
          <w:highlight w:val="none"/>
        </w:rPr>
      </w:pPr>
      <w:r>
        <w:rPr>
          <w:szCs w:val="20"/>
          <w:highlight w:val="none"/>
        </w:rPr>
        <w:t>10</w:t>
      </w:r>
      <w:r>
        <w:rPr>
          <w:rFonts w:hAnsi="宋体"/>
          <w:szCs w:val="20"/>
          <w:highlight w:val="none"/>
        </w:rPr>
        <w:t>、工程建设实施设计文件的审核确认权。只有经监理机构审核确认并加盖公章的施工图纸和设计文件，才能成为有效的施工依据。</w:t>
      </w:r>
    </w:p>
    <w:p w14:paraId="3208EA7E">
      <w:pPr>
        <w:autoSpaceDE/>
        <w:autoSpaceDN/>
        <w:adjustRightInd/>
        <w:spacing w:before="120" w:beforeLines="50" w:after="120" w:afterLines="50" w:line="360" w:lineRule="auto"/>
        <w:ind w:firstLine="420"/>
        <w:jc w:val="center"/>
        <w:rPr>
          <w:kern w:val="2"/>
          <w:sz w:val="28"/>
          <w:szCs w:val="28"/>
          <w:highlight w:val="none"/>
        </w:rPr>
      </w:pPr>
      <w:r>
        <w:rPr>
          <w:rFonts w:hAnsi="宋体"/>
          <w:kern w:val="2"/>
          <w:sz w:val="28"/>
          <w:szCs w:val="28"/>
          <w:highlight w:val="none"/>
        </w:rPr>
        <w:t>委托人的义务</w:t>
      </w:r>
    </w:p>
    <w:p w14:paraId="3177B425">
      <w:pPr>
        <w:autoSpaceDE/>
        <w:autoSpaceDN/>
        <w:adjustRightInd/>
        <w:spacing w:line="360" w:lineRule="auto"/>
        <w:ind w:firstLine="361"/>
        <w:jc w:val="both"/>
        <w:rPr>
          <w:kern w:val="2"/>
          <w:szCs w:val="20"/>
          <w:highlight w:val="none"/>
        </w:rPr>
      </w:pPr>
      <w:r>
        <w:rPr>
          <w:rFonts w:hAnsi="宋体"/>
          <w:b/>
          <w:kern w:val="2"/>
          <w:szCs w:val="20"/>
          <w:highlight w:val="none"/>
        </w:rPr>
        <w:t>第十条</w:t>
      </w:r>
      <w:r>
        <w:rPr>
          <w:kern w:val="2"/>
          <w:szCs w:val="20"/>
          <w:highlight w:val="none"/>
        </w:rPr>
        <w:t xml:space="preserve"> </w:t>
      </w:r>
      <w:r>
        <w:rPr>
          <w:rFonts w:hAnsi="宋体"/>
          <w:kern w:val="2"/>
          <w:szCs w:val="20"/>
          <w:highlight w:val="none"/>
        </w:rPr>
        <w:t>委托人向监理机构免费提供的资料为：</w:t>
      </w: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848"/>
        <w:gridCol w:w="813"/>
        <w:gridCol w:w="1626"/>
        <w:gridCol w:w="1626"/>
        <w:gridCol w:w="2236"/>
      </w:tblGrid>
      <w:tr w14:paraId="59AF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4623A7B6">
            <w:pPr>
              <w:autoSpaceDE/>
              <w:autoSpaceDN/>
              <w:adjustRightInd/>
              <w:spacing w:line="360" w:lineRule="auto"/>
              <w:jc w:val="center"/>
              <w:rPr>
                <w:b/>
                <w:kern w:val="2"/>
                <w:sz w:val="21"/>
                <w:szCs w:val="21"/>
                <w:highlight w:val="none"/>
              </w:rPr>
            </w:pPr>
            <w:r>
              <w:rPr>
                <w:rFonts w:hAnsi="宋体"/>
                <w:b/>
                <w:kern w:val="2"/>
                <w:sz w:val="21"/>
                <w:szCs w:val="21"/>
                <w:highlight w:val="none"/>
              </w:rPr>
              <w:t>序号</w:t>
            </w:r>
          </w:p>
        </w:tc>
        <w:tc>
          <w:tcPr>
            <w:tcW w:w="2848" w:type="dxa"/>
            <w:vAlign w:val="center"/>
          </w:tcPr>
          <w:p w14:paraId="1CBCEF8E">
            <w:pPr>
              <w:autoSpaceDE/>
              <w:autoSpaceDN/>
              <w:adjustRightInd/>
              <w:spacing w:line="360" w:lineRule="auto"/>
              <w:jc w:val="center"/>
              <w:rPr>
                <w:b/>
                <w:kern w:val="2"/>
                <w:sz w:val="21"/>
                <w:szCs w:val="21"/>
                <w:highlight w:val="none"/>
              </w:rPr>
            </w:pPr>
            <w:r>
              <w:rPr>
                <w:rFonts w:hAnsi="宋体"/>
                <w:b/>
                <w:kern w:val="2"/>
                <w:sz w:val="21"/>
                <w:szCs w:val="21"/>
                <w:highlight w:val="none"/>
              </w:rPr>
              <w:t>资料名称</w:t>
            </w:r>
          </w:p>
        </w:tc>
        <w:tc>
          <w:tcPr>
            <w:tcW w:w="813" w:type="dxa"/>
            <w:vAlign w:val="center"/>
          </w:tcPr>
          <w:p w14:paraId="79E04BD7">
            <w:pPr>
              <w:autoSpaceDE/>
              <w:autoSpaceDN/>
              <w:adjustRightInd/>
              <w:spacing w:line="360" w:lineRule="auto"/>
              <w:jc w:val="center"/>
              <w:rPr>
                <w:b/>
                <w:kern w:val="2"/>
                <w:sz w:val="21"/>
                <w:szCs w:val="21"/>
                <w:highlight w:val="none"/>
              </w:rPr>
            </w:pPr>
            <w:r>
              <w:rPr>
                <w:rFonts w:hAnsi="宋体"/>
                <w:b/>
                <w:kern w:val="2"/>
                <w:sz w:val="21"/>
                <w:szCs w:val="21"/>
                <w:highlight w:val="none"/>
              </w:rPr>
              <w:t>份数</w:t>
            </w:r>
          </w:p>
        </w:tc>
        <w:tc>
          <w:tcPr>
            <w:tcW w:w="1626" w:type="dxa"/>
            <w:vAlign w:val="center"/>
          </w:tcPr>
          <w:p w14:paraId="26FE6F72">
            <w:pPr>
              <w:autoSpaceDE/>
              <w:autoSpaceDN/>
              <w:adjustRightInd/>
              <w:spacing w:line="360" w:lineRule="auto"/>
              <w:jc w:val="center"/>
              <w:rPr>
                <w:b/>
                <w:kern w:val="2"/>
                <w:sz w:val="21"/>
                <w:szCs w:val="21"/>
                <w:highlight w:val="none"/>
              </w:rPr>
            </w:pPr>
            <w:r>
              <w:rPr>
                <w:rFonts w:hAnsi="宋体"/>
                <w:b/>
                <w:kern w:val="2"/>
                <w:sz w:val="21"/>
                <w:szCs w:val="21"/>
                <w:highlight w:val="none"/>
              </w:rPr>
              <w:t>提供时间</w:t>
            </w:r>
          </w:p>
        </w:tc>
        <w:tc>
          <w:tcPr>
            <w:tcW w:w="1626" w:type="dxa"/>
            <w:vAlign w:val="center"/>
          </w:tcPr>
          <w:p w14:paraId="64586E39">
            <w:pPr>
              <w:autoSpaceDE/>
              <w:autoSpaceDN/>
              <w:adjustRightInd/>
              <w:spacing w:line="360" w:lineRule="auto"/>
              <w:jc w:val="center"/>
              <w:rPr>
                <w:b/>
                <w:kern w:val="2"/>
                <w:sz w:val="21"/>
                <w:szCs w:val="21"/>
                <w:highlight w:val="none"/>
              </w:rPr>
            </w:pPr>
            <w:r>
              <w:rPr>
                <w:rFonts w:hAnsi="宋体"/>
                <w:b/>
                <w:kern w:val="2"/>
                <w:sz w:val="21"/>
                <w:szCs w:val="21"/>
                <w:highlight w:val="none"/>
              </w:rPr>
              <w:t>收回时间</w:t>
            </w:r>
          </w:p>
        </w:tc>
        <w:tc>
          <w:tcPr>
            <w:tcW w:w="2236" w:type="dxa"/>
            <w:vAlign w:val="center"/>
          </w:tcPr>
          <w:p w14:paraId="117578C1">
            <w:pPr>
              <w:autoSpaceDE/>
              <w:autoSpaceDN/>
              <w:adjustRightInd/>
              <w:spacing w:line="360" w:lineRule="auto"/>
              <w:jc w:val="center"/>
              <w:rPr>
                <w:b/>
                <w:kern w:val="2"/>
                <w:sz w:val="21"/>
                <w:szCs w:val="21"/>
                <w:highlight w:val="none"/>
              </w:rPr>
            </w:pPr>
            <w:r>
              <w:rPr>
                <w:rFonts w:hAnsi="宋体"/>
                <w:b/>
                <w:kern w:val="2"/>
                <w:sz w:val="21"/>
                <w:szCs w:val="21"/>
                <w:highlight w:val="none"/>
              </w:rPr>
              <w:t>保存和保密要求</w:t>
            </w:r>
          </w:p>
        </w:tc>
      </w:tr>
      <w:tr w14:paraId="10E4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3" w:type="dxa"/>
            <w:vAlign w:val="center"/>
          </w:tcPr>
          <w:p w14:paraId="5E2B780F">
            <w:pPr>
              <w:autoSpaceDE/>
              <w:autoSpaceDN/>
              <w:adjustRightInd/>
              <w:spacing w:line="360" w:lineRule="auto"/>
              <w:jc w:val="center"/>
              <w:rPr>
                <w:kern w:val="2"/>
                <w:sz w:val="21"/>
                <w:szCs w:val="21"/>
                <w:highlight w:val="none"/>
              </w:rPr>
            </w:pPr>
            <w:r>
              <w:rPr>
                <w:sz w:val="21"/>
                <w:szCs w:val="21"/>
                <w:highlight w:val="none"/>
              </w:rPr>
              <w:t>1</w:t>
            </w:r>
          </w:p>
        </w:tc>
        <w:tc>
          <w:tcPr>
            <w:tcW w:w="2848" w:type="dxa"/>
            <w:vAlign w:val="center"/>
          </w:tcPr>
          <w:p w14:paraId="0AD9DE43">
            <w:pPr>
              <w:autoSpaceDE/>
              <w:autoSpaceDN/>
              <w:adjustRightInd/>
              <w:snapToGrid w:val="0"/>
              <w:spacing w:line="360" w:lineRule="auto"/>
              <w:jc w:val="center"/>
              <w:rPr>
                <w:kern w:val="2"/>
                <w:sz w:val="21"/>
                <w:szCs w:val="21"/>
                <w:highlight w:val="none"/>
              </w:rPr>
            </w:pPr>
            <w:r>
              <w:rPr>
                <w:rFonts w:hAnsi="宋体"/>
                <w:sz w:val="21"/>
                <w:szCs w:val="21"/>
                <w:highlight w:val="none"/>
              </w:rPr>
              <w:t>主管部门批准的项目建设文件及附件</w:t>
            </w:r>
          </w:p>
        </w:tc>
        <w:tc>
          <w:tcPr>
            <w:tcW w:w="813" w:type="dxa"/>
            <w:vAlign w:val="center"/>
          </w:tcPr>
          <w:p w14:paraId="2A55CFD6">
            <w:pPr>
              <w:autoSpaceDE/>
              <w:autoSpaceDN/>
              <w:adjustRightInd/>
              <w:snapToGrid w:val="0"/>
              <w:spacing w:line="360" w:lineRule="auto"/>
              <w:jc w:val="center"/>
              <w:rPr>
                <w:kern w:val="2"/>
                <w:sz w:val="21"/>
                <w:szCs w:val="21"/>
                <w:highlight w:val="none"/>
              </w:rPr>
            </w:pPr>
            <w:r>
              <w:rPr>
                <w:sz w:val="21"/>
                <w:szCs w:val="21"/>
                <w:highlight w:val="none"/>
              </w:rPr>
              <w:t>1</w:t>
            </w:r>
          </w:p>
        </w:tc>
        <w:tc>
          <w:tcPr>
            <w:tcW w:w="1626" w:type="dxa"/>
            <w:vAlign w:val="center"/>
          </w:tcPr>
          <w:p w14:paraId="5036FB9B">
            <w:pPr>
              <w:autoSpaceDE/>
              <w:autoSpaceDN/>
              <w:adjustRightInd/>
              <w:snapToGrid w:val="0"/>
              <w:spacing w:line="360" w:lineRule="auto"/>
              <w:jc w:val="center"/>
              <w:rPr>
                <w:kern w:val="2"/>
                <w:sz w:val="21"/>
                <w:szCs w:val="21"/>
                <w:highlight w:val="none"/>
              </w:rPr>
            </w:pPr>
            <w:r>
              <w:rPr>
                <w:rFonts w:hAnsi="宋体"/>
                <w:sz w:val="21"/>
                <w:szCs w:val="21"/>
                <w:highlight w:val="none"/>
              </w:rPr>
              <w:t>合同生效后</w:t>
            </w:r>
          </w:p>
        </w:tc>
        <w:tc>
          <w:tcPr>
            <w:tcW w:w="1626" w:type="dxa"/>
            <w:vAlign w:val="center"/>
          </w:tcPr>
          <w:p w14:paraId="3151279D">
            <w:pPr>
              <w:autoSpaceDE/>
              <w:autoSpaceDN/>
              <w:adjustRightInd/>
              <w:snapToGrid w:val="0"/>
              <w:spacing w:line="360" w:lineRule="auto"/>
              <w:jc w:val="center"/>
              <w:rPr>
                <w:kern w:val="2"/>
                <w:sz w:val="21"/>
                <w:szCs w:val="21"/>
                <w:highlight w:val="none"/>
              </w:rPr>
            </w:pPr>
            <w:r>
              <w:rPr>
                <w:rFonts w:hAnsi="宋体"/>
                <w:sz w:val="21"/>
                <w:szCs w:val="21"/>
                <w:highlight w:val="none"/>
              </w:rPr>
              <w:t>合同终止时</w:t>
            </w:r>
          </w:p>
        </w:tc>
        <w:tc>
          <w:tcPr>
            <w:tcW w:w="2236" w:type="dxa"/>
            <w:vAlign w:val="center"/>
          </w:tcPr>
          <w:p w14:paraId="1293E330">
            <w:pPr>
              <w:autoSpaceDE/>
              <w:autoSpaceDN/>
              <w:adjustRightInd/>
              <w:snapToGrid w:val="0"/>
              <w:spacing w:line="360" w:lineRule="auto"/>
              <w:jc w:val="center"/>
              <w:rPr>
                <w:kern w:val="2"/>
                <w:sz w:val="21"/>
                <w:szCs w:val="21"/>
                <w:highlight w:val="none"/>
              </w:rPr>
            </w:pPr>
            <w:r>
              <w:rPr>
                <w:rFonts w:hAnsi="宋体"/>
                <w:sz w:val="21"/>
                <w:szCs w:val="21"/>
                <w:highlight w:val="none"/>
              </w:rPr>
              <w:t>保密</w:t>
            </w:r>
          </w:p>
        </w:tc>
      </w:tr>
      <w:tr w14:paraId="0668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7D97C342">
            <w:pPr>
              <w:autoSpaceDE/>
              <w:autoSpaceDN/>
              <w:adjustRightInd/>
              <w:spacing w:line="360" w:lineRule="auto"/>
              <w:jc w:val="center"/>
              <w:rPr>
                <w:kern w:val="2"/>
                <w:sz w:val="21"/>
                <w:szCs w:val="21"/>
                <w:highlight w:val="none"/>
              </w:rPr>
            </w:pPr>
            <w:r>
              <w:rPr>
                <w:sz w:val="21"/>
                <w:szCs w:val="21"/>
                <w:highlight w:val="none"/>
              </w:rPr>
              <w:t>2</w:t>
            </w:r>
          </w:p>
        </w:tc>
        <w:tc>
          <w:tcPr>
            <w:tcW w:w="2848" w:type="dxa"/>
            <w:vAlign w:val="center"/>
          </w:tcPr>
          <w:p w14:paraId="5CEEC023">
            <w:pPr>
              <w:autoSpaceDE/>
              <w:autoSpaceDN/>
              <w:adjustRightInd/>
              <w:snapToGrid w:val="0"/>
              <w:spacing w:line="360" w:lineRule="auto"/>
              <w:jc w:val="center"/>
              <w:rPr>
                <w:kern w:val="2"/>
                <w:sz w:val="21"/>
                <w:szCs w:val="21"/>
                <w:highlight w:val="none"/>
              </w:rPr>
            </w:pPr>
            <w:r>
              <w:rPr>
                <w:rFonts w:hAnsi="宋体"/>
                <w:sz w:val="21"/>
                <w:szCs w:val="21"/>
                <w:highlight w:val="none"/>
              </w:rPr>
              <w:t>设计文件及图纸</w:t>
            </w:r>
          </w:p>
        </w:tc>
        <w:tc>
          <w:tcPr>
            <w:tcW w:w="813" w:type="dxa"/>
            <w:vAlign w:val="center"/>
          </w:tcPr>
          <w:p w14:paraId="6537EE56">
            <w:pPr>
              <w:autoSpaceDE/>
              <w:autoSpaceDN/>
              <w:adjustRightInd/>
              <w:snapToGrid w:val="0"/>
              <w:spacing w:line="360" w:lineRule="auto"/>
              <w:jc w:val="center"/>
              <w:rPr>
                <w:kern w:val="2"/>
                <w:sz w:val="21"/>
                <w:szCs w:val="21"/>
                <w:highlight w:val="none"/>
              </w:rPr>
            </w:pPr>
            <w:r>
              <w:rPr>
                <w:sz w:val="21"/>
                <w:szCs w:val="21"/>
                <w:highlight w:val="none"/>
              </w:rPr>
              <w:t>1</w:t>
            </w:r>
          </w:p>
        </w:tc>
        <w:tc>
          <w:tcPr>
            <w:tcW w:w="1626" w:type="dxa"/>
            <w:vAlign w:val="center"/>
          </w:tcPr>
          <w:p w14:paraId="537E8668">
            <w:pPr>
              <w:autoSpaceDE/>
              <w:autoSpaceDN/>
              <w:adjustRightInd/>
              <w:snapToGrid w:val="0"/>
              <w:spacing w:line="360" w:lineRule="auto"/>
              <w:jc w:val="center"/>
              <w:rPr>
                <w:kern w:val="2"/>
                <w:sz w:val="21"/>
                <w:szCs w:val="21"/>
                <w:highlight w:val="none"/>
              </w:rPr>
            </w:pPr>
            <w:r>
              <w:rPr>
                <w:rFonts w:hAnsi="宋体"/>
                <w:sz w:val="21"/>
                <w:szCs w:val="21"/>
                <w:highlight w:val="none"/>
              </w:rPr>
              <w:t>合同生效后</w:t>
            </w:r>
          </w:p>
        </w:tc>
        <w:tc>
          <w:tcPr>
            <w:tcW w:w="1626" w:type="dxa"/>
            <w:vAlign w:val="center"/>
          </w:tcPr>
          <w:p w14:paraId="57BEAB69">
            <w:pPr>
              <w:autoSpaceDE/>
              <w:autoSpaceDN/>
              <w:adjustRightInd/>
              <w:snapToGrid w:val="0"/>
              <w:spacing w:line="360" w:lineRule="auto"/>
              <w:jc w:val="center"/>
              <w:rPr>
                <w:kern w:val="2"/>
                <w:sz w:val="21"/>
                <w:szCs w:val="21"/>
                <w:highlight w:val="none"/>
              </w:rPr>
            </w:pPr>
            <w:r>
              <w:rPr>
                <w:rFonts w:hAnsi="宋体"/>
                <w:sz w:val="21"/>
                <w:szCs w:val="21"/>
                <w:highlight w:val="none"/>
              </w:rPr>
              <w:t>合同终止时</w:t>
            </w:r>
          </w:p>
        </w:tc>
        <w:tc>
          <w:tcPr>
            <w:tcW w:w="2236" w:type="dxa"/>
            <w:vAlign w:val="center"/>
          </w:tcPr>
          <w:p w14:paraId="2D282A14">
            <w:pPr>
              <w:autoSpaceDE/>
              <w:autoSpaceDN/>
              <w:adjustRightInd/>
              <w:snapToGrid w:val="0"/>
              <w:spacing w:line="360" w:lineRule="auto"/>
              <w:jc w:val="center"/>
              <w:rPr>
                <w:sz w:val="21"/>
                <w:szCs w:val="21"/>
                <w:highlight w:val="none"/>
              </w:rPr>
            </w:pPr>
            <w:r>
              <w:rPr>
                <w:rFonts w:hAnsi="宋体"/>
                <w:sz w:val="21"/>
                <w:szCs w:val="21"/>
                <w:highlight w:val="none"/>
              </w:rPr>
              <w:t>不得流入非相</w:t>
            </w:r>
          </w:p>
          <w:p w14:paraId="4853AD0B">
            <w:pPr>
              <w:autoSpaceDE/>
              <w:autoSpaceDN/>
              <w:adjustRightInd/>
              <w:snapToGrid w:val="0"/>
              <w:spacing w:line="360" w:lineRule="auto"/>
              <w:jc w:val="center"/>
              <w:rPr>
                <w:kern w:val="2"/>
                <w:sz w:val="21"/>
                <w:szCs w:val="21"/>
                <w:highlight w:val="none"/>
              </w:rPr>
            </w:pPr>
            <w:r>
              <w:rPr>
                <w:rFonts w:hAnsi="宋体"/>
                <w:sz w:val="21"/>
                <w:szCs w:val="21"/>
                <w:highlight w:val="none"/>
              </w:rPr>
              <w:t>关单位及个人</w:t>
            </w:r>
          </w:p>
        </w:tc>
      </w:tr>
      <w:tr w14:paraId="27E2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13" w:type="dxa"/>
            <w:vAlign w:val="center"/>
          </w:tcPr>
          <w:p w14:paraId="6D3A4CE4">
            <w:pPr>
              <w:autoSpaceDE/>
              <w:autoSpaceDN/>
              <w:adjustRightInd/>
              <w:spacing w:line="360" w:lineRule="auto"/>
              <w:jc w:val="center"/>
              <w:rPr>
                <w:kern w:val="2"/>
                <w:sz w:val="21"/>
                <w:szCs w:val="21"/>
                <w:highlight w:val="none"/>
              </w:rPr>
            </w:pPr>
            <w:r>
              <w:rPr>
                <w:sz w:val="21"/>
                <w:szCs w:val="21"/>
                <w:highlight w:val="none"/>
              </w:rPr>
              <w:t>3</w:t>
            </w:r>
          </w:p>
        </w:tc>
        <w:tc>
          <w:tcPr>
            <w:tcW w:w="2848" w:type="dxa"/>
            <w:vAlign w:val="center"/>
          </w:tcPr>
          <w:p w14:paraId="2D17CD48">
            <w:pPr>
              <w:autoSpaceDE/>
              <w:autoSpaceDN/>
              <w:adjustRightInd/>
              <w:snapToGrid w:val="0"/>
              <w:spacing w:line="360" w:lineRule="auto"/>
              <w:jc w:val="center"/>
              <w:rPr>
                <w:kern w:val="2"/>
                <w:sz w:val="21"/>
                <w:szCs w:val="21"/>
                <w:highlight w:val="none"/>
              </w:rPr>
            </w:pPr>
            <w:r>
              <w:rPr>
                <w:rFonts w:hAnsi="宋体"/>
                <w:sz w:val="21"/>
                <w:szCs w:val="21"/>
                <w:highlight w:val="none"/>
              </w:rPr>
              <w:t>有关技术资料</w:t>
            </w:r>
          </w:p>
        </w:tc>
        <w:tc>
          <w:tcPr>
            <w:tcW w:w="813" w:type="dxa"/>
            <w:vAlign w:val="center"/>
          </w:tcPr>
          <w:p w14:paraId="0E39719B">
            <w:pPr>
              <w:autoSpaceDE/>
              <w:autoSpaceDN/>
              <w:adjustRightInd/>
              <w:snapToGrid w:val="0"/>
              <w:spacing w:line="360" w:lineRule="auto"/>
              <w:jc w:val="center"/>
              <w:rPr>
                <w:kern w:val="2"/>
                <w:sz w:val="21"/>
                <w:szCs w:val="21"/>
                <w:highlight w:val="none"/>
              </w:rPr>
            </w:pPr>
            <w:r>
              <w:rPr>
                <w:sz w:val="21"/>
                <w:szCs w:val="21"/>
                <w:highlight w:val="none"/>
              </w:rPr>
              <w:t>1</w:t>
            </w:r>
          </w:p>
        </w:tc>
        <w:tc>
          <w:tcPr>
            <w:tcW w:w="1626" w:type="dxa"/>
            <w:vAlign w:val="center"/>
          </w:tcPr>
          <w:p w14:paraId="34E860AF">
            <w:pPr>
              <w:autoSpaceDE/>
              <w:autoSpaceDN/>
              <w:adjustRightInd/>
              <w:snapToGrid w:val="0"/>
              <w:spacing w:line="360" w:lineRule="auto"/>
              <w:jc w:val="center"/>
              <w:rPr>
                <w:kern w:val="2"/>
                <w:sz w:val="21"/>
                <w:szCs w:val="21"/>
                <w:highlight w:val="none"/>
              </w:rPr>
            </w:pPr>
            <w:r>
              <w:rPr>
                <w:rFonts w:hAnsi="宋体"/>
                <w:sz w:val="21"/>
                <w:szCs w:val="21"/>
                <w:highlight w:val="none"/>
              </w:rPr>
              <w:t>合同生效后</w:t>
            </w:r>
          </w:p>
        </w:tc>
        <w:tc>
          <w:tcPr>
            <w:tcW w:w="1626" w:type="dxa"/>
            <w:vAlign w:val="center"/>
          </w:tcPr>
          <w:p w14:paraId="56F3A0A6">
            <w:pPr>
              <w:autoSpaceDE/>
              <w:autoSpaceDN/>
              <w:adjustRightInd/>
              <w:snapToGrid w:val="0"/>
              <w:spacing w:line="360" w:lineRule="auto"/>
              <w:jc w:val="center"/>
              <w:rPr>
                <w:kern w:val="2"/>
                <w:sz w:val="21"/>
                <w:szCs w:val="21"/>
                <w:highlight w:val="none"/>
              </w:rPr>
            </w:pPr>
            <w:r>
              <w:rPr>
                <w:rFonts w:hAnsi="宋体"/>
                <w:sz w:val="21"/>
                <w:szCs w:val="21"/>
                <w:highlight w:val="none"/>
              </w:rPr>
              <w:t>合同终止时</w:t>
            </w:r>
          </w:p>
        </w:tc>
        <w:tc>
          <w:tcPr>
            <w:tcW w:w="2236" w:type="dxa"/>
            <w:vAlign w:val="center"/>
          </w:tcPr>
          <w:p w14:paraId="4D718494">
            <w:pPr>
              <w:autoSpaceDE/>
              <w:autoSpaceDN/>
              <w:adjustRightInd/>
              <w:snapToGrid w:val="0"/>
              <w:spacing w:line="360" w:lineRule="auto"/>
              <w:jc w:val="center"/>
              <w:rPr>
                <w:sz w:val="21"/>
                <w:szCs w:val="21"/>
                <w:highlight w:val="none"/>
              </w:rPr>
            </w:pPr>
            <w:r>
              <w:rPr>
                <w:rFonts w:hAnsi="宋体"/>
                <w:sz w:val="21"/>
                <w:szCs w:val="21"/>
                <w:highlight w:val="none"/>
              </w:rPr>
              <w:t>不得流入非相</w:t>
            </w:r>
          </w:p>
          <w:p w14:paraId="627DA7DE">
            <w:pPr>
              <w:autoSpaceDE/>
              <w:autoSpaceDN/>
              <w:adjustRightInd/>
              <w:snapToGrid w:val="0"/>
              <w:spacing w:line="360" w:lineRule="auto"/>
              <w:jc w:val="center"/>
              <w:rPr>
                <w:kern w:val="2"/>
                <w:sz w:val="21"/>
                <w:szCs w:val="21"/>
                <w:highlight w:val="none"/>
              </w:rPr>
            </w:pPr>
            <w:r>
              <w:rPr>
                <w:rFonts w:hAnsi="宋体"/>
                <w:sz w:val="21"/>
                <w:szCs w:val="21"/>
                <w:highlight w:val="none"/>
              </w:rPr>
              <w:t>关单位及个人</w:t>
            </w:r>
          </w:p>
        </w:tc>
      </w:tr>
      <w:tr w14:paraId="6919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13" w:type="dxa"/>
            <w:vAlign w:val="center"/>
          </w:tcPr>
          <w:p w14:paraId="0FB6C019">
            <w:pPr>
              <w:autoSpaceDE/>
              <w:autoSpaceDN/>
              <w:adjustRightInd/>
              <w:spacing w:line="360" w:lineRule="auto"/>
              <w:jc w:val="center"/>
              <w:rPr>
                <w:kern w:val="2"/>
                <w:sz w:val="21"/>
                <w:szCs w:val="21"/>
                <w:highlight w:val="none"/>
              </w:rPr>
            </w:pPr>
            <w:r>
              <w:rPr>
                <w:sz w:val="21"/>
                <w:szCs w:val="21"/>
                <w:highlight w:val="none"/>
              </w:rPr>
              <w:t>4</w:t>
            </w:r>
          </w:p>
        </w:tc>
        <w:tc>
          <w:tcPr>
            <w:tcW w:w="2848" w:type="dxa"/>
            <w:vAlign w:val="center"/>
          </w:tcPr>
          <w:p w14:paraId="15D1C413">
            <w:pPr>
              <w:autoSpaceDE/>
              <w:autoSpaceDN/>
              <w:adjustRightInd/>
              <w:snapToGrid w:val="0"/>
              <w:spacing w:line="360" w:lineRule="auto"/>
              <w:jc w:val="center"/>
              <w:rPr>
                <w:kern w:val="2"/>
                <w:sz w:val="21"/>
                <w:szCs w:val="21"/>
                <w:highlight w:val="none"/>
              </w:rPr>
            </w:pPr>
            <w:r>
              <w:rPr>
                <w:rFonts w:hAnsi="宋体"/>
                <w:sz w:val="21"/>
                <w:szCs w:val="21"/>
                <w:highlight w:val="none"/>
              </w:rPr>
              <w:t>与有关承包人签订的合同</w:t>
            </w:r>
          </w:p>
        </w:tc>
        <w:tc>
          <w:tcPr>
            <w:tcW w:w="813" w:type="dxa"/>
            <w:vAlign w:val="center"/>
          </w:tcPr>
          <w:p w14:paraId="6584A681">
            <w:pPr>
              <w:autoSpaceDE/>
              <w:autoSpaceDN/>
              <w:adjustRightInd/>
              <w:snapToGrid w:val="0"/>
              <w:spacing w:line="360" w:lineRule="auto"/>
              <w:jc w:val="center"/>
              <w:rPr>
                <w:kern w:val="2"/>
                <w:sz w:val="21"/>
                <w:szCs w:val="21"/>
                <w:highlight w:val="none"/>
              </w:rPr>
            </w:pPr>
            <w:r>
              <w:rPr>
                <w:sz w:val="21"/>
                <w:szCs w:val="21"/>
                <w:highlight w:val="none"/>
              </w:rPr>
              <w:t>1</w:t>
            </w:r>
          </w:p>
        </w:tc>
        <w:tc>
          <w:tcPr>
            <w:tcW w:w="1626" w:type="dxa"/>
            <w:vAlign w:val="center"/>
          </w:tcPr>
          <w:p w14:paraId="74A49DBE">
            <w:pPr>
              <w:autoSpaceDE/>
              <w:autoSpaceDN/>
              <w:adjustRightInd/>
              <w:snapToGrid w:val="0"/>
              <w:spacing w:line="360" w:lineRule="auto"/>
              <w:jc w:val="center"/>
              <w:rPr>
                <w:kern w:val="2"/>
                <w:sz w:val="21"/>
                <w:szCs w:val="21"/>
                <w:highlight w:val="none"/>
              </w:rPr>
            </w:pPr>
            <w:r>
              <w:rPr>
                <w:rFonts w:hAnsi="宋体"/>
                <w:sz w:val="21"/>
                <w:szCs w:val="21"/>
                <w:highlight w:val="none"/>
              </w:rPr>
              <w:t>合同生效后</w:t>
            </w:r>
          </w:p>
        </w:tc>
        <w:tc>
          <w:tcPr>
            <w:tcW w:w="1626" w:type="dxa"/>
            <w:vAlign w:val="center"/>
          </w:tcPr>
          <w:p w14:paraId="5A3E8404">
            <w:pPr>
              <w:autoSpaceDE/>
              <w:autoSpaceDN/>
              <w:adjustRightInd/>
              <w:snapToGrid w:val="0"/>
              <w:spacing w:line="360" w:lineRule="auto"/>
              <w:jc w:val="center"/>
              <w:rPr>
                <w:kern w:val="2"/>
                <w:sz w:val="21"/>
                <w:szCs w:val="21"/>
                <w:highlight w:val="none"/>
              </w:rPr>
            </w:pPr>
            <w:r>
              <w:rPr>
                <w:rFonts w:hAnsi="宋体"/>
                <w:sz w:val="21"/>
                <w:szCs w:val="21"/>
                <w:highlight w:val="none"/>
              </w:rPr>
              <w:t>合同终止时</w:t>
            </w:r>
          </w:p>
        </w:tc>
        <w:tc>
          <w:tcPr>
            <w:tcW w:w="2236" w:type="dxa"/>
            <w:vAlign w:val="center"/>
          </w:tcPr>
          <w:p w14:paraId="4611B660">
            <w:pPr>
              <w:autoSpaceDE/>
              <w:autoSpaceDN/>
              <w:adjustRightInd/>
              <w:snapToGrid w:val="0"/>
              <w:spacing w:line="360" w:lineRule="auto"/>
              <w:jc w:val="center"/>
              <w:rPr>
                <w:kern w:val="2"/>
                <w:sz w:val="21"/>
                <w:szCs w:val="21"/>
                <w:highlight w:val="none"/>
              </w:rPr>
            </w:pPr>
            <w:r>
              <w:rPr>
                <w:rFonts w:hAnsi="宋体"/>
                <w:sz w:val="21"/>
                <w:szCs w:val="21"/>
                <w:highlight w:val="none"/>
              </w:rPr>
              <w:t>保密</w:t>
            </w:r>
          </w:p>
        </w:tc>
      </w:tr>
      <w:tr w14:paraId="2450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635C514C">
            <w:pPr>
              <w:autoSpaceDE/>
              <w:autoSpaceDN/>
              <w:adjustRightInd/>
              <w:spacing w:line="360" w:lineRule="auto"/>
              <w:jc w:val="center"/>
              <w:rPr>
                <w:kern w:val="2"/>
                <w:sz w:val="21"/>
                <w:szCs w:val="21"/>
                <w:highlight w:val="none"/>
              </w:rPr>
            </w:pPr>
            <w:r>
              <w:rPr>
                <w:sz w:val="21"/>
                <w:szCs w:val="21"/>
                <w:highlight w:val="none"/>
              </w:rPr>
              <w:t>5</w:t>
            </w:r>
          </w:p>
        </w:tc>
        <w:tc>
          <w:tcPr>
            <w:tcW w:w="2848" w:type="dxa"/>
            <w:vAlign w:val="center"/>
          </w:tcPr>
          <w:p w14:paraId="496ACA10">
            <w:pPr>
              <w:autoSpaceDE/>
              <w:autoSpaceDN/>
              <w:adjustRightInd/>
              <w:snapToGrid w:val="0"/>
              <w:spacing w:line="360" w:lineRule="auto"/>
              <w:jc w:val="center"/>
              <w:rPr>
                <w:kern w:val="2"/>
                <w:sz w:val="21"/>
                <w:szCs w:val="21"/>
                <w:highlight w:val="none"/>
              </w:rPr>
            </w:pPr>
            <w:r>
              <w:rPr>
                <w:rFonts w:hAnsi="宋体"/>
                <w:sz w:val="21"/>
                <w:szCs w:val="21"/>
                <w:highlight w:val="none"/>
              </w:rPr>
              <w:t>其他有关资料</w:t>
            </w:r>
          </w:p>
        </w:tc>
        <w:tc>
          <w:tcPr>
            <w:tcW w:w="813" w:type="dxa"/>
            <w:vAlign w:val="center"/>
          </w:tcPr>
          <w:p w14:paraId="3FE13C61">
            <w:pPr>
              <w:autoSpaceDE/>
              <w:autoSpaceDN/>
              <w:adjustRightInd/>
              <w:snapToGrid w:val="0"/>
              <w:spacing w:line="360" w:lineRule="auto"/>
              <w:jc w:val="center"/>
              <w:rPr>
                <w:kern w:val="2"/>
                <w:sz w:val="21"/>
                <w:szCs w:val="21"/>
                <w:highlight w:val="none"/>
              </w:rPr>
            </w:pPr>
            <w:r>
              <w:rPr>
                <w:sz w:val="21"/>
                <w:szCs w:val="21"/>
                <w:highlight w:val="none"/>
              </w:rPr>
              <w:t>1</w:t>
            </w:r>
          </w:p>
        </w:tc>
        <w:tc>
          <w:tcPr>
            <w:tcW w:w="1626" w:type="dxa"/>
            <w:vAlign w:val="center"/>
          </w:tcPr>
          <w:p w14:paraId="0062D396">
            <w:pPr>
              <w:autoSpaceDE/>
              <w:autoSpaceDN/>
              <w:adjustRightInd/>
              <w:snapToGrid w:val="0"/>
              <w:spacing w:line="360" w:lineRule="auto"/>
              <w:jc w:val="center"/>
              <w:rPr>
                <w:kern w:val="2"/>
                <w:sz w:val="21"/>
                <w:szCs w:val="21"/>
                <w:highlight w:val="none"/>
              </w:rPr>
            </w:pPr>
            <w:r>
              <w:rPr>
                <w:rFonts w:hAnsi="宋体"/>
                <w:sz w:val="21"/>
                <w:szCs w:val="21"/>
                <w:highlight w:val="none"/>
              </w:rPr>
              <w:t>合同生效后</w:t>
            </w:r>
          </w:p>
        </w:tc>
        <w:tc>
          <w:tcPr>
            <w:tcW w:w="1626" w:type="dxa"/>
            <w:vAlign w:val="center"/>
          </w:tcPr>
          <w:p w14:paraId="7E2A7BD2">
            <w:pPr>
              <w:autoSpaceDE/>
              <w:autoSpaceDN/>
              <w:adjustRightInd/>
              <w:snapToGrid w:val="0"/>
              <w:spacing w:line="360" w:lineRule="auto"/>
              <w:jc w:val="center"/>
              <w:rPr>
                <w:kern w:val="2"/>
                <w:sz w:val="21"/>
                <w:szCs w:val="21"/>
                <w:highlight w:val="none"/>
              </w:rPr>
            </w:pPr>
            <w:r>
              <w:rPr>
                <w:rFonts w:hAnsi="宋体"/>
                <w:sz w:val="21"/>
                <w:szCs w:val="21"/>
                <w:highlight w:val="none"/>
              </w:rPr>
              <w:t>合同终止时</w:t>
            </w:r>
          </w:p>
        </w:tc>
        <w:tc>
          <w:tcPr>
            <w:tcW w:w="2236" w:type="dxa"/>
            <w:vAlign w:val="center"/>
          </w:tcPr>
          <w:p w14:paraId="656FBC44">
            <w:pPr>
              <w:autoSpaceDE/>
              <w:autoSpaceDN/>
              <w:adjustRightInd/>
              <w:snapToGrid w:val="0"/>
              <w:spacing w:line="360" w:lineRule="auto"/>
              <w:jc w:val="center"/>
              <w:rPr>
                <w:kern w:val="2"/>
                <w:sz w:val="21"/>
                <w:szCs w:val="21"/>
                <w:highlight w:val="none"/>
              </w:rPr>
            </w:pPr>
            <w:r>
              <w:rPr>
                <w:rFonts w:hAnsi="宋体"/>
                <w:sz w:val="21"/>
                <w:szCs w:val="21"/>
                <w:highlight w:val="none"/>
              </w:rPr>
              <w:t>不得流入非相关单位及个人</w:t>
            </w:r>
          </w:p>
        </w:tc>
      </w:tr>
    </w:tbl>
    <w:p w14:paraId="73B3AF99">
      <w:pPr>
        <w:autoSpaceDE/>
        <w:autoSpaceDN/>
        <w:adjustRightInd/>
        <w:spacing w:line="360" w:lineRule="auto"/>
        <w:ind w:firstLine="361"/>
        <w:jc w:val="both"/>
        <w:rPr>
          <w:kern w:val="2"/>
          <w:szCs w:val="20"/>
          <w:highlight w:val="none"/>
        </w:rPr>
      </w:pPr>
      <w:r>
        <w:rPr>
          <w:rFonts w:hAnsi="宋体"/>
          <w:b/>
          <w:kern w:val="2"/>
          <w:szCs w:val="20"/>
          <w:highlight w:val="none"/>
        </w:rPr>
        <w:t>第十一条</w:t>
      </w:r>
      <w:r>
        <w:rPr>
          <w:kern w:val="2"/>
          <w:szCs w:val="20"/>
          <w:highlight w:val="none"/>
        </w:rPr>
        <w:t xml:space="preserve"> </w:t>
      </w:r>
      <w:r>
        <w:rPr>
          <w:rFonts w:hAnsi="宋体"/>
          <w:kern w:val="2"/>
          <w:szCs w:val="20"/>
          <w:highlight w:val="none"/>
        </w:rPr>
        <w:t>委托人对监理机构书面提交并要求作出决定的事宜作出书面决定并送达的时限：</w:t>
      </w:r>
    </w:p>
    <w:p w14:paraId="5E310787">
      <w:pPr>
        <w:autoSpaceDE/>
        <w:autoSpaceDN/>
        <w:adjustRightInd/>
        <w:spacing w:line="360" w:lineRule="auto"/>
        <w:jc w:val="both"/>
        <w:rPr>
          <w:kern w:val="2"/>
          <w:szCs w:val="20"/>
          <w:highlight w:val="none"/>
        </w:rPr>
      </w:pPr>
      <w:r>
        <w:rPr>
          <w:rFonts w:hAnsi="宋体"/>
          <w:kern w:val="2"/>
          <w:szCs w:val="20"/>
          <w:highlight w:val="none"/>
        </w:rPr>
        <w:t>一般文件</w:t>
      </w:r>
      <w:r>
        <w:rPr>
          <w:kern w:val="2"/>
          <w:szCs w:val="20"/>
          <w:highlight w:val="none"/>
          <w:u w:val="single"/>
        </w:rPr>
        <w:t xml:space="preserve"> 7 </w:t>
      </w:r>
      <w:r>
        <w:rPr>
          <w:rFonts w:hAnsi="宋体"/>
          <w:kern w:val="2"/>
          <w:szCs w:val="20"/>
          <w:highlight w:val="none"/>
        </w:rPr>
        <w:t>天；紧急事项</w:t>
      </w:r>
      <w:r>
        <w:rPr>
          <w:kern w:val="2"/>
          <w:szCs w:val="20"/>
          <w:highlight w:val="none"/>
          <w:u w:val="single"/>
        </w:rPr>
        <w:t xml:space="preserve"> 2 </w:t>
      </w:r>
      <w:r>
        <w:rPr>
          <w:rFonts w:hAnsi="宋体"/>
          <w:kern w:val="2"/>
          <w:szCs w:val="20"/>
          <w:highlight w:val="none"/>
        </w:rPr>
        <w:t>天；变更文件</w:t>
      </w:r>
      <w:r>
        <w:rPr>
          <w:kern w:val="2"/>
          <w:szCs w:val="20"/>
          <w:highlight w:val="none"/>
          <w:u w:val="single"/>
        </w:rPr>
        <w:t xml:space="preserve"> 5 </w:t>
      </w:r>
      <w:r>
        <w:rPr>
          <w:rFonts w:hAnsi="宋体"/>
          <w:kern w:val="2"/>
          <w:szCs w:val="20"/>
          <w:highlight w:val="none"/>
        </w:rPr>
        <w:t>天。</w:t>
      </w:r>
    </w:p>
    <w:p w14:paraId="5CFE2D80">
      <w:pPr>
        <w:autoSpaceDE/>
        <w:autoSpaceDN/>
        <w:adjustRightInd/>
        <w:spacing w:line="360" w:lineRule="auto"/>
        <w:ind w:firstLine="361" w:firstLineChars="150"/>
        <w:jc w:val="both"/>
        <w:rPr>
          <w:szCs w:val="20"/>
          <w:highlight w:val="none"/>
        </w:rPr>
      </w:pPr>
      <w:r>
        <w:rPr>
          <w:rFonts w:hAnsi="宋体"/>
          <w:b/>
          <w:kern w:val="2"/>
          <w:szCs w:val="20"/>
          <w:highlight w:val="none"/>
        </w:rPr>
        <w:t>第十三条</w:t>
      </w:r>
      <w:r>
        <w:rPr>
          <w:b/>
          <w:kern w:val="2"/>
          <w:szCs w:val="20"/>
          <w:highlight w:val="none"/>
        </w:rPr>
        <w:t xml:space="preserve"> </w:t>
      </w:r>
      <w:r>
        <w:rPr>
          <w:rFonts w:hAnsi="宋体"/>
          <w:szCs w:val="20"/>
          <w:highlight w:val="none"/>
        </w:rPr>
        <w:t>发包人不向监理机构提供生活和办公用房，不提供通讯设施、交通工具、办公设施和设备，也不向监理机构专门支付生活和办公用房、通讯设施、交通工具、办公设施和设备的使用、维护与运行等费用，监理人应将有关费用包含在合同监理服务费总金额中，并应在投标文件中列明拟投入的房屋、设施、设备、工具等的情况和房屋、设施、设备、工具等的使用、维修与运行等费用。合同实施期间的供水、供电由监理人自行解决。</w:t>
      </w:r>
    </w:p>
    <w:p w14:paraId="3D7EE928">
      <w:pPr>
        <w:autoSpaceDE/>
        <w:autoSpaceDN/>
        <w:adjustRightInd/>
        <w:spacing w:line="360" w:lineRule="auto"/>
        <w:ind w:firstLine="361"/>
        <w:jc w:val="both"/>
        <w:rPr>
          <w:kern w:val="2"/>
          <w:szCs w:val="20"/>
          <w:highlight w:val="none"/>
        </w:rPr>
      </w:pPr>
      <w:r>
        <w:rPr>
          <w:rFonts w:hAnsi="宋体"/>
          <w:b/>
          <w:kern w:val="2"/>
          <w:szCs w:val="20"/>
          <w:highlight w:val="none"/>
        </w:rPr>
        <w:t>第十七条</w:t>
      </w:r>
      <w:r>
        <w:rPr>
          <w:kern w:val="2"/>
          <w:szCs w:val="20"/>
          <w:highlight w:val="none"/>
        </w:rPr>
        <w:t xml:space="preserve"> </w:t>
      </w:r>
      <w:r>
        <w:rPr>
          <w:rFonts w:hAnsi="宋体"/>
          <w:kern w:val="2"/>
          <w:szCs w:val="20"/>
          <w:highlight w:val="none"/>
        </w:rPr>
        <w:t>委托人不为监理人员投保人身意外伤害险和第三者责任险，由监理人自己投保，</w:t>
      </w:r>
      <w:r>
        <w:rPr>
          <w:rFonts w:hAnsi="宋体"/>
          <w:szCs w:val="20"/>
          <w:highlight w:val="none"/>
        </w:rPr>
        <w:t>监理人应将</w:t>
      </w:r>
      <w:r>
        <w:rPr>
          <w:rFonts w:hAnsi="宋体"/>
          <w:kern w:val="2"/>
          <w:szCs w:val="20"/>
          <w:highlight w:val="none"/>
        </w:rPr>
        <w:t>投保的费用</w:t>
      </w:r>
      <w:r>
        <w:rPr>
          <w:rFonts w:hAnsi="宋体"/>
          <w:szCs w:val="20"/>
          <w:highlight w:val="none"/>
        </w:rPr>
        <w:t>包含在合同监理服务费总金额</w:t>
      </w:r>
      <w:r>
        <w:rPr>
          <w:rFonts w:hAnsi="宋体"/>
          <w:kern w:val="2"/>
          <w:szCs w:val="20"/>
          <w:highlight w:val="none"/>
        </w:rPr>
        <w:t>中。</w:t>
      </w:r>
    </w:p>
    <w:p w14:paraId="7DF147B1">
      <w:pPr>
        <w:autoSpaceDE/>
        <w:autoSpaceDN/>
        <w:adjustRightInd/>
        <w:spacing w:before="120" w:beforeLines="50" w:after="120" w:afterLines="50" w:line="360" w:lineRule="auto"/>
        <w:ind w:firstLine="420"/>
        <w:jc w:val="center"/>
        <w:rPr>
          <w:kern w:val="2"/>
          <w:sz w:val="28"/>
          <w:szCs w:val="28"/>
          <w:highlight w:val="none"/>
        </w:rPr>
      </w:pPr>
      <w:r>
        <w:rPr>
          <w:rFonts w:hAnsi="宋体"/>
          <w:kern w:val="2"/>
          <w:sz w:val="28"/>
          <w:szCs w:val="28"/>
          <w:highlight w:val="none"/>
        </w:rPr>
        <w:t>监理人的义务</w:t>
      </w:r>
    </w:p>
    <w:p w14:paraId="142A1518">
      <w:pPr>
        <w:autoSpaceDE/>
        <w:autoSpaceDN/>
        <w:adjustRightInd/>
        <w:spacing w:line="360" w:lineRule="auto"/>
        <w:ind w:firstLine="361"/>
        <w:jc w:val="both"/>
        <w:rPr>
          <w:kern w:val="2"/>
          <w:szCs w:val="20"/>
          <w:highlight w:val="none"/>
        </w:rPr>
      </w:pPr>
      <w:r>
        <w:rPr>
          <w:rFonts w:hAnsi="宋体"/>
          <w:b/>
          <w:kern w:val="2"/>
          <w:szCs w:val="20"/>
          <w:highlight w:val="none"/>
        </w:rPr>
        <w:t>第二十一条</w:t>
      </w:r>
      <w:r>
        <w:rPr>
          <w:kern w:val="2"/>
          <w:szCs w:val="20"/>
          <w:highlight w:val="none"/>
        </w:rPr>
        <w:t xml:space="preserve"> </w:t>
      </w:r>
      <w:r>
        <w:rPr>
          <w:rFonts w:hAnsi="宋体"/>
          <w:kern w:val="2"/>
          <w:szCs w:val="20"/>
          <w:highlight w:val="none"/>
        </w:rPr>
        <w:t>监理人应当在业主通知进场后</w:t>
      </w:r>
      <w:r>
        <w:rPr>
          <w:kern w:val="2"/>
          <w:szCs w:val="20"/>
          <w:highlight w:val="none"/>
          <w:u w:val="single"/>
        </w:rPr>
        <w:t xml:space="preserve"> 5 </w:t>
      </w:r>
      <w:r>
        <w:rPr>
          <w:rFonts w:hAnsi="宋体"/>
          <w:kern w:val="2"/>
          <w:szCs w:val="20"/>
          <w:highlight w:val="none"/>
        </w:rPr>
        <w:t>天内组建监理机构，并进驻现场。监理</w:t>
      </w:r>
      <w:r>
        <w:rPr>
          <w:rFonts w:hAnsi="宋体"/>
          <w:spacing w:val="-4"/>
          <w:kern w:val="2"/>
          <w:highlight w:val="none"/>
        </w:rPr>
        <w:t>人未经业主同意不得随意更换派驻本项目的监理人员，否则委托人将责令其进行整改</w:t>
      </w:r>
      <w:r>
        <w:rPr>
          <w:rFonts w:hAnsi="宋体"/>
          <w:kern w:val="2"/>
          <w:szCs w:val="20"/>
          <w:highlight w:val="none"/>
        </w:rPr>
        <w:t>。</w:t>
      </w:r>
    </w:p>
    <w:p w14:paraId="3A09C65E">
      <w:pPr>
        <w:autoSpaceDE/>
        <w:autoSpaceDN/>
        <w:adjustRightInd/>
        <w:spacing w:line="360" w:lineRule="auto"/>
        <w:ind w:firstLine="361"/>
        <w:jc w:val="both"/>
        <w:rPr>
          <w:kern w:val="2"/>
          <w:szCs w:val="20"/>
          <w:highlight w:val="none"/>
        </w:rPr>
      </w:pPr>
      <w:r>
        <w:rPr>
          <w:rFonts w:hAnsi="宋体"/>
          <w:b/>
          <w:kern w:val="2"/>
          <w:szCs w:val="20"/>
          <w:highlight w:val="none"/>
        </w:rPr>
        <w:t>第二十七条</w:t>
      </w:r>
      <w:r>
        <w:rPr>
          <w:kern w:val="2"/>
          <w:szCs w:val="20"/>
          <w:highlight w:val="none"/>
        </w:rPr>
        <w:t xml:space="preserve"> </w:t>
      </w:r>
      <w:r>
        <w:rPr>
          <w:rFonts w:hAnsi="宋体"/>
          <w:kern w:val="2"/>
          <w:szCs w:val="20"/>
          <w:highlight w:val="none"/>
        </w:rPr>
        <w:t>需要旁站的重要部位和关键工序</w:t>
      </w:r>
    </w:p>
    <w:p w14:paraId="48F59B8D">
      <w:pPr>
        <w:autoSpaceDE/>
        <w:autoSpaceDN/>
        <w:snapToGrid w:val="0"/>
        <w:spacing w:line="360" w:lineRule="auto"/>
        <w:ind w:left="547" w:leftChars="228"/>
        <w:jc w:val="both"/>
        <w:rPr>
          <w:kern w:val="2"/>
          <w:szCs w:val="20"/>
          <w:highlight w:val="none"/>
        </w:rPr>
      </w:pPr>
      <w:r>
        <w:rPr>
          <w:kern w:val="2"/>
          <w:szCs w:val="20"/>
          <w:highlight w:val="none"/>
        </w:rPr>
        <w:t>1</w:t>
      </w:r>
      <w:r>
        <w:rPr>
          <w:rFonts w:hAnsi="宋体"/>
          <w:kern w:val="2"/>
          <w:szCs w:val="20"/>
          <w:highlight w:val="none"/>
        </w:rPr>
        <w:t>、需旁站监理的工程重要部位是：按现行有关规范。</w:t>
      </w:r>
    </w:p>
    <w:p w14:paraId="3045CCEA">
      <w:pPr>
        <w:autoSpaceDE/>
        <w:autoSpaceDN/>
        <w:snapToGrid w:val="0"/>
        <w:spacing w:line="360" w:lineRule="auto"/>
        <w:ind w:left="547" w:leftChars="228"/>
        <w:jc w:val="both"/>
        <w:rPr>
          <w:kern w:val="2"/>
          <w:szCs w:val="20"/>
          <w:highlight w:val="none"/>
        </w:rPr>
      </w:pPr>
      <w:r>
        <w:rPr>
          <w:kern w:val="2"/>
          <w:szCs w:val="20"/>
          <w:highlight w:val="none"/>
        </w:rPr>
        <w:t>2</w:t>
      </w:r>
      <w:r>
        <w:rPr>
          <w:rFonts w:hAnsi="宋体"/>
          <w:kern w:val="2"/>
          <w:szCs w:val="20"/>
          <w:highlight w:val="none"/>
        </w:rPr>
        <w:t>、需旁站监理的关键工序是：按现行有关规范。</w:t>
      </w:r>
    </w:p>
    <w:p w14:paraId="071593F8">
      <w:pPr>
        <w:autoSpaceDE/>
        <w:autoSpaceDN/>
        <w:adjustRightInd/>
        <w:spacing w:line="360" w:lineRule="auto"/>
        <w:ind w:firstLine="361"/>
        <w:jc w:val="both"/>
        <w:rPr>
          <w:kern w:val="2"/>
          <w:szCs w:val="20"/>
          <w:highlight w:val="none"/>
        </w:rPr>
      </w:pPr>
      <w:r>
        <w:rPr>
          <w:rFonts w:hAnsi="宋体"/>
          <w:b/>
          <w:kern w:val="2"/>
          <w:szCs w:val="20"/>
          <w:highlight w:val="none"/>
        </w:rPr>
        <w:t>第三十条</w:t>
      </w:r>
      <w:r>
        <w:rPr>
          <w:b/>
          <w:kern w:val="2"/>
          <w:szCs w:val="20"/>
          <w:highlight w:val="none"/>
        </w:rPr>
        <w:t xml:space="preserve"> </w:t>
      </w:r>
      <w:r>
        <w:rPr>
          <w:rFonts w:hAnsi="宋体"/>
          <w:kern w:val="2"/>
          <w:szCs w:val="20"/>
          <w:highlight w:val="none"/>
        </w:rPr>
        <w:t>委托人委托监理人主持的分部工程验收：</w:t>
      </w:r>
      <w:r>
        <w:rPr>
          <w:kern w:val="2"/>
          <w:szCs w:val="20"/>
          <w:highlight w:val="none"/>
          <w:u w:val="single"/>
        </w:rPr>
        <w:t xml:space="preserve"> </w:t>
      </w:r>
      <w:r>
        <w:rPr>
          <w:rFonts w:hAnsi="宋体"/>
          <w:kern w:val="2"/>
          <w:szCs w:val="20"/>
          <w:highlight w:val="none"/>
          <w:u w:val="single"/>
        </w:rPr>
        <w:t>无</w:t>
      </w:r>
      <w:r>
        <w:rPr>
          <w:kern w:val="2"/>
          <w:szCs w:val="20"/>
          <w:highlight w:val="none"/>
          <w:u w:val="single"/>
        </w:rPr>
        <w:t xml:space="preserve"> </w:t>
      </w:r>
      <w:r>
        <w:rPr>
          <w:rFonts w:hAnsi="宋体"/>
          <w:kern w:val="2"/>
          <w:szCs w:val="20"/>
          <w:highlight w:val="none"/>
        </w:rPr>
        <w:t>。</w:t>
      </w:r>
    </w:p>
    <w:p w14:paraId="47A1374F">
      <w:pPr>
        <w:autoSpaceDE/>
        <w:autoSpaceDN/>
        <w:adjustRightInd/>
        <w:spacing w:line="360" w:lineRule="auto"/>
        <w:ind w:firstLine="361"/>
        <w:jc w:val="both"/>
        <w:rPr>
          <w:rFonts w:hAnsi="宋体"/>
          <w:kern w:val="2"/>
          <w:szCs w:val="20"/>
          <w:highlight w:val="none"/>
        </w:rPr>
      </w:pPr>
      <w:r>
        <w:rPr>
          <w:rFonts w:hAnsi="宋体"/>
          <w:b/>
          <w:kern w:val="2"/>
          <w:szCs w:val="20"/>
          <w:highlight w:val="none"/>
        </w:rPr>
        <w:t>第三十一条</w:t>
      </w:r>
      <w:r>
        <w:rPr>
          <w:b/>
          <w:kern w:val="2"/>
          <w:szCs w:val="20"/>
          <w:highlight w:val="none"/>
        </w:rPr>
        <w:t xml:space="preserve"> </w:t>
      </w:r>
      <w:r>
        <w:rPr>
          <w:rFonts w:hAnsi="宋体"/>
          <w:kern w:val="2"/>
          <w:szCs w:val="20"/>
          <w:highlight w:val="none"/>
        </w:rPr>
        <w:t>在本合同终止后</w:t>
      </w:r>
      <w:r>
        <w:rPr>
          <w:kern w:val="2"/>
          <w:szCs w:val="20"/>
          <w:highlight w:val="none"/>
          <w:u w:val="single"/>
          <w:shd w:val="clear" w:color="auto" w:fill="FFFFFF"/>
        </w:rPr>
        <w:t xml:space="preserve"> 180 </w:t>
      </w:r>
      <w:r>
        <w:rPr>
          <w:rFonts w:hAnsi="宋体"/>
          <w:kern w:val="2"/>
          <w:szCs w:val="20"/>
          <w:highlight w:val="none"/>
          <w:shd w:val="clear" w:color="auto" w:fill="FFFFFF"/>
        </w:rPr>
        <w:t>天内</w:t>
      </w:r>
      <w:r>
        <w:rPr>
          <w:rFonts w:hAnsi="宋体"/>
          <w:kern w:val="2"/>
          <w:szCs w:val="20"/>
          <w:highlight w:val="none"/>
        </w:rPr>
        <w:t>，未征得委托人同意，不得泄露与本合同业务有关的技术、商务等</w:t>
      </w:r>
      <w:r>
        <w:rPr>
          <w:rFonts w:hAnsi="宋体"/>
          <w:kern w:val="2"/>
          <w:szCs w:val="20"/>
          <w:highlight w:val="none"/>
          <w:shd w:val="clear" w:color="auto" w:fill="FFFFFF"/>
        </w:rPr>
        <w:t>秘密</w:t>
      </w:r>
      <w:r>
        <w:rPr>
          <w:rFonts w:hAnsi="宋体"/>
          <w:kern w:val="2"/>
          <w:szCs w:val="20"/>
          <w:highlight w:val="none"/>
        </w:rPr>
        <w:t>。</w:t>
      </w:r>
    </w:p>
    <w:p w14:paraId="0222AA31">
      <w:pPr>
        <w:autoSpaceDE/>
        <w:autoSpaceDN/>
        <w:adjustRightInd/>
        <w:spacing w:line="360" w:lineRule="auto"/>
        <w:ind w:firstLine="361"/>
        <w:jc w:val="both"/>
        <w:rPr>
          <w:kern w:val="2"/>
          <w:szCs w:val="20"/>
          <w:highlight w:val="none"/>
        </w:rPr>
      </w:pPr>
    </w:p>
    <w:p w14:paraId="20C326EC">
      <w:pPr>
        <w:autoSpaceDE/>
        <w:autoSpaceDN/>
        <w:adjustRightInd/>
        <w:spacing w:line="360" w:lineRule="auto"/>
        <w:ind w:firstLine="420"/>
        <w:jc w:val="center"/>
        <w:rPr>
          <w:kern w:val="2"/>
          <w:sz w:val="28"/>
          <w:szCs w:val="28"/>
          <w:highlight w:val="none"/>
        </w:rPr>
      </w:pPr>
      <w:r>
        <w:rPr>
          <w:rFonts w:hAnsi="宋体"/>
          <w:kern w:val="2"/>
          <w:sz w:val="28"/>
          <w:szCs w:val="28"/>
          <w:highlight w:val="none"/>
        </w:rPr>
        <w:t>监理服务酬金</w:t>
      </w:r>
    </w:p>
    <w:p w14:paraId="4CB1333F">
      <w:pPr>
        <w:autoSpaceDE/>
        <w:autoSpaceDN/>
        <w:adjustRightInd/>
        <w:spacing w:line="360" w:lineRule="auto"/>
        <w:ind w:firstLine="361"/>
        <w:jc w:val="both"/>
        <w:rPr>
          <w:kern w:val="2"/>
          <w:szCs w:val="20"/>
          <w:highlight w:val="none"/>
        </w:rPr>
      </w:pPr>
      <w:r>
        <w:rPr>
          <w:rFonts w:hAnsi="宋体"/>
          <w:b/>
          <w:kern w:val="2"/>
          <w:szCs w:val="20"/>
          <w:highlight w:val="none"/>
        </w:rPr>
        <w:t>第三十二条</w:t>
      </w:r>
      <w:r>
        <w:rPr>
          <w:b/>
          <w:kern w:val="2"/>
          <w:szCs w:val="20"/>
          <w:highlight w:val="none"/>
        </w:rPr>
        <w:t xml:space="preserve"> </w:t>
      </w:r>
      <w:r>
        <w:rPr>
          <w:rFonts w:hAnsi="宋体"/>
          <w:kern w:val="2"/>
          <w:szCs w:val="20"/>
          <w:highlight w:val="none"/>
        </w:rPr>
        <w:t>监理服务酬金及支付方法：</w:t>
      </w:r>
    </w:p>
    <w:p w14:paraId="206C3F61">
      <w:pPr>
        <w:autoSpaceDE/>
        <w:autoSpaceDN/>
        <w:snapToGrid w:val="0"/>
        <w:spacing w:line="360" w:lineRule="auto"/>
        <w:ind w:firstLine="480"/>
        <w:jc w:val="both"/>
        <w:rPr>
          <w:rFonts w:ascii="宋体" w:hAnsi="宋体"/>
          <w:szCs w:val="22"/>
          <w:highlight w:val="none"/>
        </w:rPr>
      </w:pPr>
      <w:r>
        <w:rPr>
          <w:rFonts w:ascii="宋体" w:hAnsi="宋体"/>
          <w:szCs w:val="22"/>
          <w:highlight w:val="none"/>
        </w:rPr>
        <w:t>一、支付时间为：监理报酬的支付按进展情况阶段分期支付。</w:t>
      </w:r>
    </w:p>
    <w:p w14:paraId="645A82FA">
      <w:pPr>
        <w:autoSpaceDE/>
        <w:autoSpaceDN/>
        <w:adjustRightInd/>
        <w:spacing w:line="360" w:lineRule="auto"/>
        <w:ind w:firstLine="480" w:firstLineChars="200"/>
        <w:jc w:val="both"/>
        <w:rPr>
          <w:b/>
          <w:highlight w:val="none"/>
        </w:rPr>
      </w:pPr>
      <w:r>
        <w:rPr>
          <w:rFonts w:hAnsi="宋体"/>
          <w:kern w:val="2"/>
          <w:szCs w:val="20"/>
          <w:highlight w:val="none"/>
        </w:rPr>
        <w:t>二、支付方式为：</w:t>
      </w:r>
      <w:r>
        <w:rPr>
          <w:rFonts w:hAnsi="宋体"/>
          <w:szCs w:val="20"/>
          <w:highlight w:val="none"/>
        </w:rPr>
        <w:t>监理报酬的支付将分为前期支付</w:t>
      </w:r>
      <w:r>
        <w:rPr>
          <w:rFonts w:hint="eastAsia" w:hAnsi="宋体"/>
          <w:szCs w:val="20"/>
          <w:highlight w:val="none"/>
        </w:rPr>
        <w:t>、</w:t>
      </w:r>
      <w:r>
        <w:rPr>
          <w:rFonts w:hAnsi="宋体"/>
          <w:szCs w:val="20"/>
          <w:highlight w:val="none"/>
        </w:rPr>
        <w:t>中期支付和最终支付。</w:t>
      </w:r>
    </w:p>
    <w:p w14:paraId="216B7BB6">
      <w:pPr>
        <w:autoSpaceDE/>
        <w:autoSpaceDN/>
        <w:adjustRightInd/>
        <w:spacing w:line="360" w:lineRule="auto"/>
        <w:ind w:firstLine="357" w:firstLineChars="149"/>
        <w:jc w:val="both"/>
        <w:rPr>
          <w:b/>
          <w:highlight w:val="none"/>
        </w:rPr>
      </w:pPr>
      <w:r>
        <w:rPr>
          <w:rFonts w:hint="eastAsia"/>
          <w:highlight w:val="none"/>
        </w:rPr>
        <w:t>(1)</w:t>
      </w:r>
      <w:r>
        <w:rPr>
          <w:rFonts w:hint="eastAsia"/>
          <w:b/>
          <w:highlight w:val="none"/>
        </w:rPr>
        <w:t>前期支付</w:t>
      </w:r>
    </w:p>
    <w:p w14:paraId="20CB6C86">
      <w:pPr>
        <w:autoSpaceDE/>
        <w:autoSpaceDN/>
        <w:snapToGrid w:val="0"/>
        <w:spacing w:line="360" w:lineRule="auto"/>
        <w:ind w:firstLine="480"/>
        <w:jc w:val="both"/>
        <w:rPr>
          <w:rFonts w:ascii="宋体" w:hAnsi="宋体"/>
          <w:szCs w:val="22"/>
          <w:highlight w:val="none"/>
        </w:rPr>
      </w:pPr>
      <w:r>
        <w:rPr>
          <w:rFonts w:hint="eastAsia" w:ascii="宋体" w:hAnsi="宋体"/>
          <w:szCs w:val="22"/>
          <w:highlight w:val="none"/>
        </w:rPr>
        <w:t>本合同签订后14天内，第一次支付服务酬金为监理合同价的30%。</w:t>
      </w:r>
    </w:p>
    <w:p w14:paraId="0A596735">
      <w:pPr>
        <w:autoSpaceDE/>
        <w:autoSpaceDN/>
        <w:adjustRightInd/>
        <w:spacing w:line="360" w:lineRule="auto"/>
        <w:ind w:firstLine="393"/>
        <w:jc w:val="both"/>
        <w:rPr>
          <w:b/>
          <w:highlight w:val="none"/>
        </w:rPr>
      </w:pPr>
      <w:r>
        <w:rPr>
          <w:highlight w:val="none"/>
        </w:rPr>
        <w:t>(</w:t>
      </w:r>
      <w:r>
        <w:rPr>
          <w:rFonts w:hint="eastAsia"/>
          <w:highlight w:val="none"/>
        </w:rPr>
        <w:t>2</w:t>
      </w:r>
      <w:r>
        <w:rPr>
          <w:highlight w:val="none"/>
        </w:rPr>
        <w:t xml:space="preserve">) </w:t>
      </w:r>
      <w:r>
        <w:rPr>
          <w:rFonts w:hAnsi="宋体"/>
          <w:b/>
          <w:highlight w:val="none"/>
        </w:rPr>
        <w:t>中期支付</w:t>
      </w:r>
    </w:p>
    <w:p w14:paraId="2BB830BF">
      <w:pPr>
        <w:autoSpaceDE/>
        <w:autoSpaceDN/>
        <w:adjustRightInd/>
        <w:spacing w:line="360" w:lineRule="auto"/>
        <w:ind w:firstLine="393"/>
        <w:jc w:val="both"/>
        <w:rPr>
          <w:rFonts w:hAnsi="宋体"/>
          <w:kern w:val="2"/>
          <w:highlight w:val="none"/>
        </w:rPr>
      </w:pPr>
      <w:r>
        <w:rPr>
          <w:rFonts w:hint="eastAsia" w:ascii="宋体" w:hAnsi="宋体"/>
          <w:szCs w:val="22"/>
          <w:highlight w:val="none"/>
        </w:rPr>
        <w:t>工程监理费按照工程进度支付，进场开工完成工程量40%时，支付至合同价的35%；工程完成工程量50%时，支付至合同价的45%；工程完成工程量60%时，支付至合同价的55%；工程完成工程量70%时，支付至合同价的65%；工程完成工程量80%时，支付至合同价的75%；工程完工后，支付至合同监理费的</w:t>
      </w:r>
      <w:r>
        <w:rPr>
          <w:rFonts w:hint="eastAsia" w:ascii="宋体" w:hAnsi="宋体"/>
          <w:szCs w:val="22"/>
          <w:highlight w:val="none"/>
          <w:lang w:val="en-US" w:eastAsia="zh-CN"/>
        </w:rPr>
        <w:t>80</w:t>
      </w:r>
      <w:r>
        <w:rPr>
          <w:rFonts w:hint="eastAsia" w:ascii="宋体" w:hAnsi="宋体"/>
          <w:szCs w:val="22"/>
          <w:highlight w:val="none"/>
        </w:rPr>
        <w:t>%。</w:t>
      </w:r>
      <w:r>
        <w:rPr>
          <w:rFonts w:hAnsi="宋体"/>
          <w:kern w:val="2"/>
          <w:highlight w:val="none"/>
        </w:rPr>
        <w:t>监理单位应在工程进度达到支付标准后当月</w:t>
      </w:r>
      <w:r>
        <w:rPr>
          <w:rFonts w:hAnsi="Calibri"/>
          <w:kern w:val="2"/>
          <w:highlight w:val="none"/>
        </w:rPr>
        <w:t>20</w:t>
      </w:r>
      <w:r>
        <w:rPr>
          <w:rFonts w:hAnsi="宋体"/>
          <w:kern w:val="2"/>
          <w:highlight w:val="none"/>
        </w:rPr>
        <w:t>日前向委托人提交支付申请，委托人将</w:t>
      </w:r>
      <w:r>
        <w:rPr>
          <w:rFonts w:ascii="宋体" w:hAnsi="宋体"/>
          <w:szCs w:val="22"/>
          <w:highlight w:val="none"/>
        </w:rPr>
        <w:t>根据</w:t>
      </w:r>
      <w:r>
        <w:rPr>
          <w:rFonts w:hAnsi="宋体"/>
          <w:kern w:val="2"/>
          <w:highlight w:val="none"/>
        </w:rPr>
        <w:t>支付申请进行审批支</w:t>
      </w:r>
      <w:r>
        <w:rPr>
          <w:rFonts w:hint="eastAsia" w:hAnsi="宋体"/>
          <w:kern w:val="2"/>
          <w:highlight w:val="none"/>
        </w:rPr>
        <w:t>付。</w:t>
      </w:r>
    </w:p>
    <w:p w14:paraId="65E57E43">
      <w:pPr>
        <w:autoSpaceDE/>
        <w:autoSpaceDN/>
        <w:adjustRightInd/>
        <w:spacing w:line="360" w:lineRule="auto"/>
        <w:ind w:firstLine="393"/>
        <w:jc w:val="both"/>
        <w:rPr>
          <w:rFonts w:hAnsi="宋体"/>
          <w:spacing w:val="11"/>
          <w:szCs w:val="20"/>
          <w:highlight w:val="none"/>
        </w:rPr>
      </w:pPr>
      <w:r>
        <w:rPr>
          <w:spacing w:val="11"/>
          <w:szCs w:val="20"/>
          <w:highlight w:val="none"/>
        </w:rPr>
        <w:t>(</w:t>
      </w:r>
      <w:r>
        <w:rPr>
          <w:rFonts w:hint="eastAsia"/>
          <w:spacing w:val="11"/>
          <w:szCs w:val="20"/>
          <w:highlight w:val="none"/>
        </w:rPr>
        <w:t>3</w:t>
      </w:r>
      <w:r>
        <w:rPr>
          <w:spacing w:val="11"/>
          <w:szCs w:val="20"/>
          <w:highlight w:val="none"/>
        </w:rPr>
        <w:t>)</w:t>
      </w:r>
      <w:r>
        <w:rPr>
          <w:rFonts w:hAnsi="宋体"/>
          <w:b/>
          <w:spacing w:val="11"/>
          <w:szCs w:val="20"/>
          <w:highlight w:val="none"/>
        </w:rPr>
        <w:t>最终支付</w:t>
      </w:r>
      <w:r>
        <w:rPr>
          <w:rFonts w:hint="eastAsia"/>
          <w:b/>
          <w:spacing w:val="11"/>
          <w:szCs w:val="20"/>
          <w:highlight w:val="none"/>
          <w:lang w:val="en-US" w:eastAsia="zh-CN"/>
        </w:rPr>
        <w:t>20</w:t>
      </w:r>
      <w:r>
        <w:rPr>
          <w:b/>
          <w:spacing w:val="11"/>
          <w:szCs w:val="20"/>
          <w:highlight w:val="none"/>
        </w:rPr>
        <w:t>%</w:t>
      </w:r>
      <w:r>
        <w:rPr>
          <w:rFonts w:hAnsi="宋体"/>
          <w:b/>
          <w:spacing w:val="11"/>
          <w:szCs w:val="20"/>
          <w:highlight w:val="none"/>
        </w:rPr>
        <w:t>的监理报酬，</w:t>
      </w:r>
      <w:r>
        <w:rPr>
          <w:rFonts w:hAnsi="宋体"/>
          <w:spacing w:val="11"/>
          <w:szCs w:val="20"/>
          <w:highlight w:val="none"/>
        </w:rPr>
        <w:t>在工程施工结算后</w:t>
      </w:r>
      <w:r>
        <w:rPr>
          <w:spacing w:val="11"/>
          <w:szCs w:val="20"/>
          <w:highlight w:val="none"/>
        </w:rPr>
        <w:t>14</w:t>
      </w:r>
      <w:r>
        <w:rPr>
          <w:rFonts w:hAnsi="宋体"/>
          <w:spacing w:val="11"/>
          <w:szCs w:val="20"/>
          <w:highlight w:val="none"/>
        </w:rPr>
        <w:t>天内予以支付，监理费最终结算价不得超过经评审的概算中的工程建设监理费。</w:t>
      </w:r>
    </w:p>
    <w:p w14:paraId="7B1BAA06">
      <w:pPr>
        <w:autoSpaceDE/>
        <w:autoSpaceDN/>
        <w:adjustRightInd/>
        <w:spacing w:line="360" w:lineRule="auto"/>
        <w:ind w:firstLine="393"/>
        <w:jc w:val="both"/>
        <w:rPr>
          <w:spacing w:val="11"/>
          <w:szCs w:val="20"/>
          <w:highlight w:val="none"/>
        </w:rPr>
      </w:pPr>
      <w:r>
        <w:rPr>
          <w:rFonts w:hint="eastAsia"/>
          <w:spacing w:val="11"/>
          <w:szCs w:val="20"/>
          <w:highlight w:val="none"/>
        </w:rPr>
        <w:t>三</w:t>
      </w:r>
      <w:r>
        <w:rPr>
          <w:spacing w:val="11"/>
          <w:szCs w:val="20"/>
          <w:highlight w:val="none"/>
        </w:rPr>
        <w:t>、</w:t>
      </w:r>
      <w:r>
        <w:rPr>
          <w:rFonts w:hint="eastAsia"/>
          <w:spacing w:val="11"/>
          <w:szCs w:val="20"/>
          <w:highlight w:val="none"/>
        </w:rPr>
        <w:t>监理服务酬金为中标价，总价包干，不因工程投资变动而调整。</w:t>
      </w:r>
    </w:p>
    <w:p w14:paraId="594ADE89">
      <w:pPr>
        <w:autoSpaceDE/>
        <w:autoSpaceDN/>
        <w:adjustRightInd/>
        <w:spacing w:line="360" w:lineRule="auto"/>
        <w:ind w:firstLine="361"/>
        <w:jc w:val="both"/>
        <w:rPr>
          <w:kern w:val="2"/>
          <w:szCs w:val="20"/>
          <w:highlight w:val="none"/>
        </w:rPr>
      </w:pPr>
      <w:r>
        <w:rPr>
          <w:rFonts w:hAnsi="宋体"/>
          <w:b/>
          <w:kern w:val="2"/>
          <w:szCs w:val="20"/>
          <w:highlight w:val="none"/>
        </w:rPr>
        <w:t>第三十三条</w:t>
      </w:r>
      <w:r>
        <w:rPr>
          <w:b/>
          <w:kern w:val="2"/>
          <w:szCs w:val="20"/>
          <w:highlight w:val="none"/>
        </w:rPr>
        <w:t xml:space="preserve"> </w:t>
      </w:r>
      <w:r>
        <w:rPr>
          <w:rFonts w:hAnsi="宋体"/>
          <w:kern w:val="2"/>
          <w:szCs w:val="20"/>
          <w:highlight w:val="none"/>
        </w:rPr>
        <w:t>监理附加服务酬金的计取与支付方法：</w:t>
      </w:r>
    </w:p>
    <w:p w14:paraId="13BFEAAB">
      <w:pPr>
        <w:autoSpaceDE/>
        <w:autoSpaceDN/>
        <w:adjustRightInd/>
        <w:spacing w:line="360" w:lineRule="auto"/>
        <w:ind w:firstLine="482" w:firstLineChars="200"/>
        <w:jc w:val="both"/>
        <w:rPr>
          <w:b/>
          <w:kern w:val="2"/>
          <w:szCs w:val="20"/>
          <w:highlight w:val="none"/>
        </w:rPr>
      </w:pPr>
      <w:r>
        <w:rPr>
          <w:rFonts w:hAnsi="宋体"/>
          <w:b/>
          <w:kern w:val="2"/>
          <w:szCs w:val="20"/>
          <w:highlight w:val="none"/>
        </w:rPr>
        <w:t>一、计取方法为：</w:t>
      </w:r>
      <w:r>
        <w:rPr>
          <w:rFonts w:hint="eastAsia" w:hAnsi="宋体"/>
          <w:kern w:val="2"/>
          <w:szCs w:val="20"/>
          <w:highlight w:val="none"/>
          <w:u w:val="single"/>
        </w:rPr>
        <w:t>监理附加服务所需的费用，监理人在投标报价时应充分考虑，委托人不另行计算和支付该项费用</w:t>
      </w:r>
      <w:r>
        <w:rPr>
          <w:rFonts w:hAnsi="宋体"/>
          <w:b/>
          <w:kern w:val="2"/>
          <w:szCs w:val="20"/>
          <w:highlight w:val="none"/>
        </w:rPr>
        <w:t>。</w:t>
      </w:r>
    </w:p>
    <w:p w14:paraId="4DB54765">
      <w:pPr>
        <w:autoSpaceDE/>
        <w:autoSpaceDN/>
        <w:adjustRightInd/>
        <w:spacing w:line="360" w:lineRule="auto"/>
        <w:ind w:firstLine="482" w:firstLineChars="200"/>
        <w:jc w:val="both"/>
        <w:rPr>
          <w:b/>
          <w:kern w:val="2"/>
          <w:szCs w:val="20"/>
          <w:highlight w:val="none"/>
        </w:rPr>
      </w:pPr>
      <w:r>
        <w:rPr>
          <w:rFonts w:hAnsi="宋体"/>
          <w:b/>
          <w:kern w:val="2"/>
          <w:szCs w:val="20"/>
          <w:highlight w:val="none"/>
        </w:rPr>
        <w:t>二、支付方式为：</w:t>
      </w:r>
      <w:r>
        <w:rPr>
          <w:rFonts w:hint="eastAsia" w:hAnsi="宋体"/>
          <w:kern w:val="2"/>
          <w:szCs w:val="20"/>
          <w:highlight w:val="none"/>
          <w:u w:val="single"/>
        </w:rPr>
        <w:t>无</w:t>
      </w:r>
      <w:r>
        <w:rPr>
          <w:rFonts w:hAnsi="宋体"/>
          <w:b/>
          <w:kern w:val="2"/>
          <w:szCs w:val="20"/>
          <w:highlight w:val="none"/>
        </w:rPr>
        <w:t>。</w:t>
      </w:r>
    </w:p>
    <w:p w14:paraId="38B17040">
      <w:pPr>
        <w:autoSpaceDE/>
        <w:autoSpaceDN/>
        <w:adjustRightInd/>
        <w:spacing w:line="360" w:lineRule="auto"/>
        <w:ind w:firstLine="482" w:firstLineChars="200"/>
        <w:jc w:val="both"/>
        <w:rPr>
          <w:b/>
          <w:kern w:val="2"/>
          <w:szCs w:val="20"/>
          <w:highlight w:val="none"/>
        </w:rPr>
      </w:pPr>
      <w:r>
        <w:rPr>
          <w:rFonts w:hAnsi="宋体"/>
          <w:b/>
          <w:kern w:val="2"/>
          <w:szCs w:val="20"/>
          <w:highlight w:val="none"/>
        </w:rPr>
        <w:t>三、支付时间为：</w:t>
      </w:r>
      <w:r>
        <w:rPr>
          <w:rFonts w:hint="eastAsia" w:hAnsi="宋体"/>
          <w:kern w:val="2"/>
          <w:szCs w:val="20"/>
          <w:highlight w:val="none"/>
          <w:u w:val="single"/>
        </w:rPr>
        <w:t>无</w:t>
      </w:r>
      <w:r>
        <w:rPr>
          <w:rFonts w:hAnsi="宋体"/>
          <w:b/>
          <w:kern w:val="2"/>
          <w:szCs w:val="20"/>
          <w:highlight w:val="none"/>
        </w:rPr>
        <w:t>。</w:t>
      </w:r>
    </w:p>
    <w:p w14:paraId="1A1BE4A0">
      <w:pPr>
        <w:tabs>
          <w:tab w:val="center" w:pos="4907"/>
        </w:tabs>
        <w:autoSpaceDE/>
        <w:autoSpaceDN/>
        <w:adjustRightInd/>
        <w:spacing w:before="120" w:beforeLines="50" w:after="120" w:afterLines="50" w:line="360" w:lineRule="auto"/>
        <w:ind w:firstLine="420"/>
        <w:jc w:val="both"/>
        <w:rPr>
          <w:rFonts w:hAnsi="宋体"/>
          <w:kern w:val="2"/>
          <w:szCs w:val="20"/>
          <w:highlight w:val="none"/>
        </w:rPr>
      </w:pPr>
      <w:r>
        <w:rPr>
          <w:rFonts w:hAnsi="宋体"/>
          <w:b/>
          <w:kern w:val="2"/>
          <w:szCs w:val="20"/>
          <w:highlight w:val="none"/>
        </w:rPr>
        <w:t>第三十</w:t>
      </w:r>
      <w:r>
        <w:rPr>
          <w:rFonts w:hint="eastAsia" w:hAnsi="宋体"/>
          <w:b/>
          <w:kern w:val="2"/>
          <w:szCs w:val="20"/>
          <w:highlight w:val="none"/>
        </w:rPr>
        <w:t>六</w:t>
      </w:r>
      <w:r>
        <w:rPr>
          <w:rFonts w:hAnsi="宋体"/>
          <w:b/>
          <w:kern w:val="2"/>
          <w:szCs w:val="20"/>
          <w:highlight w:val="none"/>
        </w:rPr>
        <w:t>条</w:t>
      </w:r>
      <w:r>
        <w:rPr>
          <w:rFonts w:hint="eastAsia" w:hAnsi="宋体"/>
          <w:b/>
          <w:kern w:val="2"/>
          <w:szCs w:val="20"/>
          <w:highlight w:val="none"/>
        </w:rPr>
        <w:t xml:space="preserve"> </w:t>
      </w:r>
      <w:r>
        <w:rPr>
          <w:rFonts w:hint="eastAsia" w:hAnsi="宋体"/>
          <w:kern w:val="2"/>
          <w:szCs w:val="20"/>
          <w:highlight w:val="none"/>
        </w:rPr>
        <w:t>因工程建设计划调整、较大的工程设计变更、不良地质条件等非监理人原因致使本合同约定的服务范围、内容和服务形式发生较大变化时，委托人有权对监理服务范围、内容和服务形式、监理服务期限进行调整，监理人不行拒绝，监理服务酬金按照实际完成的监理工作的正常服务费用计取。</w:t>
      </w:r>
    </w:p>
    <w:p w14:paraId="4680BF9D">
      <w:pPr>
        <w:tabs>
          <w:tab w:val="center" w:pos="4907"/>
        </w:tabs>
        <w:autoSpaceDE/>
        <w:autoSpaceDN/>
        <w:adjustRightInd/>
        <w:spacing w:before="120" w:beforeLines="50" w:after="120" w:afterLines="50" w:line="360" w:lineRule="auto"/>
        <w:ind w:firstLine="420"/>
        <w:jc w:val="both"/>
        <w:rPr>
          <w:kern w:val="2"/>
          <w:sz w:val="28"/>
          <w:szCs w:val="28"/>
          <w:highlight w:val="none"/>
        </w:rPr>
      </w:pPr>
      <w:r>
        <w:rPr>
          <w:rFonts w:hAnsi="宋体"/>
          <w:kern w:val="2"/>
          <w:sz w:val="28"/>
          <w:szCs w:val="28"/>
          <w:highlight w:val="none"/>
        </w:rPr>
        <w:tab/>
      </w:r>
      <w:r>
        <w:rPr>
          <w:rFonts w:hAnsi="宋体"/>
          <w:kern w:val="2"/>
          <w:sz w:val="28"/>
          <w:szCs w:val="28"/>
          <w:highlight w:val="none"/>
        </w:rPr>
        <w:t>违约责任</w:t>
      </w:r>
    </w:p>
    <w:p w14:paraId="79AAE8F9">
      <w:pPr>
        <w:autoSpaceDE/>
        <w:autoSpaceDN/>
        <w:adjustRightInd/>
        <w:spacing w:line="360" w:lineRule="auto"/>
        <w:ind w:firstLine="361"/>
        <w:jc w:val="both"/>
        <w:rPr>
          <w:kern w:val="2"/>
          <w:szCs w:val="20"/>
          <w:highlight w:val="none"/>
        </w:rPr>
      </w:pPr>
      <w:r>
        <w:rPr>
          <w:rFonts w:hAnsi="宋体"/>
          <w:b/>
          <w:kern w:val="2"/>
          <w:szCs w:val="20"/>
          <w:highlight w:val="none"/>
        </w:rPr>
        <w:t>第四十条</w:t>
      </w:r>
      <w:r>
        <w:rPr>
          <w:kern w:val="2"/>
          <w:szCs w:val="20"/>
          <w:highlight w:val="none"/>
        </w:rPr>
        <w:t xml:space="preserve"> </w:t>
      </w:r>
      <w:r>
        <w:rPr>
          <w:rFonts w:hAnsi="宋体"/>
          <w:kern w:val="2"/>
          <w:szCs w:val="20"/>
          <w:highlight w:val="none"/>
        </w:rPr>
        <w:t>委托人违约，应支付给监理人违约金。</w:t>
      </w:r>
    </w:p>
    <w:p w14:paraId="1F3F414D">
      <w:pPr>
        <w:autoSpaceDE/>
        <w:autoSpaceDN/>
        <w:adjustRightInd/>
        <w:spacing w:line="360" w:lineRule="auto"/>
        <w:ind w:firstLine="480" w:firstLineChars="200"/>
        <w:jc w:val="both"/>
        <w:rPr>
          <w:kern w:val="2"/>
          <w:szCs w:val="20"/>
          <w:highlight w:val="none"/>
        </w:rPr>
      </w:pPr>
      <w:r>
        <w:rPr>
          <w:rFonts w:hAnsi="宋体"/>
          <w:kern w:val="2"/>
          <w:szCs w:val="20"/>
          <w:highlight w:val="none"/>
        </w:rPr>
        <w:t>违约金：</w:t>
      </w:r>
      <w:r>
        <w:rPr>
          <w:rFonts w:hAnsi="宋体"/>
          <w:kern w:val="2"/>
          <w:szCs w:val="20"/>
          <w:highlight w:val="none"/>
          <w:u w:val="single"/>
        </w:rPr>
        <w:t>由双方协商确定</w:t>
      </w:r>
      <w:r>
        <w:rPr>
          <w:rFonts w:hAnsi="宋体"/>
          <w:kern w:val="2"/>
          <w:szCs w:val="20"/>
          <w:highlight w:val="none"/>
        </w:rPr>
        <w:t>。</w:t>
      </w:r>
    </w:p>
    <w:p w14:paraId="4730B8B3">
      <w:pPr>
        <w:autoSpaceDE/>
        <w:autoSpaceDN/>
        <w:adjustRightInd/>
        <w:spacing w:line="360" w:lineRule="auto"/>
        <w:ind w:firstLine="361"/>
        <w:jc w:val="both"/>
        <w:rPr>
          <w:kern w:val="2"/>
          <w:szCs w:val="20"/>
          <w:highlight w:val="none"/>
        </w:rPr>
      </w:pPr>
      <w:r>
        <w:rPr>
          <w:rFonts w:hAnsi="宋体"/>
          <w:b/>
          <w:kern w:val="2"/>
          <w:szCs w:val="20"/>
          <w:highlight w:val="none"/>
        </w:rPr>
        <w:t>第四十一条</w:t>
      </w:r>
      <w:r>
        <w:rPr>
          <w:kern w:val="2"/>
          <w:szCs w:val="20"/>
          <w:highlight w:val="none"/>
        </w:rPr>
        <w:t xml:space="preserve"> </w:t>
      </w:r>
      <w:r>
        <w:rPr>
          <w:rFonts w:hAnsi="宋体"/>
          <w:szCs w:val="27"/>
          <w:highlight w:val="none"/>
        </w:rPr>
        <w:t>若委托人不能按期支付监理服务酬金，委托人按中国人民银行同期贷款利率向监理人支付逾期付款利息。</w:t>
      </w:r>
    </w:p>
    <w:p w14:paraId="4677A59D">
      <w:pPr>
        <w:autoSpaceDE/>
        <w:autoSpaceDN/>
        <w:adjustRightInd/>
        <w:spacing w:line="360" w:lineRule="auto"/>
        <w:ind w:firstLine="361"/>
        <w:jc w:val="both"/>
        <w:rPr>
          <w:kern w:val="2"/>
          <w:szCs w:val="20"/>
          <w:highlight w:val="none"/>
        </w:rPr>
      </w:pPr>
      <w:r>
        <w:rPr>
          <w:rFonts w:hAnsi="宋体"/>
          <w:b/>
          <w:kern w:val="2"/>
          <w:szCs w:val="20"/>
          <w:highlight w:val="none"/>
        </w:rPr>
        <w:t>第四十二条</w:t>
      </w:r>
      <w:r>
        <w:rPr>
          <w:kern w:val="2"/>
          <w:szCs w:val="20"/>
          <w:highlight w:val="none"/>
        </w:rPr>
        <w:t xml:space="preserve"> </w:t>
      </w:r>
      <w:r>
        <w:rPr>
          <w:rFonts w:hAnsi="宋体"/>
          <w:kern w:val="2"/>
          <w:szCs w:val="20"/>
          <w:highlight w:val="none"/>
        </w:rPr>
        <w:t>监理人有以下违约行为，应支付给委托人违约金：</w:t>
      </w:r>
    </w:p>
    <w:p w14:paraId="7DFC10A5">
      <w:pPr>
        <w:autoSpaceDE/>
        <w:autoSpaceDN/>
        <w:adjustRightInd/>
        <w:spacing w:line="360" w:lineRule="auto"/>
        <w:ind w:firstLine="480" w:firstLineChars="200"/>
        <w:jc w:val="both"/>
        <w:rPr>
          <w:rFonts w:ascii="宋体" w:hAnsi="宋体" w:cs="宋体"/>
          <w:szCs w:val="20"/>
          <w:highlight w:val="none"/>
        </w:rPr>
      </w:pPr>
      <w:r>
        <w:rPr>
          <w:rFonts w:hint="eastAsia" w:ascii="宋体" w:hAnsi="宋体" w:cs="宋体"/>
          <w:szCs w:val="20"/>
          <w:highlight w:val="none"/>
        </w:rPr>
        <w:t>(1) 监理人在履行监理服务合同中，由于过失行为给发包人带来经济损失的，应赔偿发包人的赔偿金计算公式为：</w:t>
      </w:r>
    </w:p>
    <w:p w14:paraId="3AAC1760">
      <w:pPr>
        <w:autoSpaceDE/>
        <w:autoSpaceDN/>
        <w:adjustRightInd/>
        <w:spacing w:line="360" w:lineRule="auto"/>
        <w:ind w:firstLine="480" w:firstLineChars="200"/>
        <w:jc w:val="both"/>
        <w:rPr>
          <w:rFonts w:ascii="宋体" w:hAnsi="宋体" w:cs="宋体"/>
          <w:szCs w:val="20"/>
          <w:highlight w:val="none"/>
        </w:rPr>
      </w:pPr>
      <w:r>
        <w:rPr>
          <w:rFonts w:hint="eastAsia" w:ascii="宋体" w:hAnsi="宋体" w:cs="宋体"/>
          <w:szCs w:val="20"/>
          <w:highlight w:val="none"/>
        </w:rPr>
        <w:t>赔偿金=直接经济损失×报酬(税金等各项应扣费用扣除后)比率</w:t>
      </w:r>
    </w:p>
    <w:p w14:paraId="786BD0E3">
      <w:pPr>
        <w:autoSpaceDE/>
        <w:autoSpaceDN/>
        <w:adjustRightInd/>
        <w:spacing w:line="360" w:lineRule="auto"/>
        <w:ind w:firstLine="480" w:firstLineChars="200"/>
        <w:jc w:val="both"/>
        <w:rPr>
          <w:rFonts w:ascii="宋体" w:hAnsi="宋体" w:cs="宋体"/>
          <w:szCs w:val="20"/>
          <w:highlight w:val="none"/>
        </w:rPr>
      </w:pPr>
      <w:r>
        <w:rPr>
          <w:rFonts w:hint="eastAsia" w:ascii="宋体" w:hAnsi="宋体" w:cs="宋体"/>
          <w:szCs w:val="20"/>
          <w:highlight w:val="none"/>
        </w:rPr>
        <w:t>(2) 监理人未按规定进驻现场或者未按要求旁站监理的，除按承诺书接受处罚，并每次向发包人支付1仟元违约金。</w:t>
      </w:r>
    </w:p>
    <w:p w14:paraId="36A18E1B">
      <w:pPr>
        <w:autoSpaceDE/>
        <w:autoSpaceDN/>
        <w:adjustRightInd/>
        <w:spacing w:line="360" w:lineRule="auto"/>
        <w:ind w:firstLine="480" w:firstLineChars="200"/>
        <w:jc w:val="both"/>
        <w:rPr>
          <w:rFonts w:ascii="宋体" w:hAnsi="宋体" w:cs="宋体"/>
          <w:szCs w:val="20"/>
          <w:highlight w:val="none"/>
        </w:rPr>
      </w:pPr>
      <w:r>
        <w:rPr>
          <w:rFonts w:hint="eastAsia" w:ascii="宋体" w:hAnsi="宋体" w:cs="宋体"/>
          <w:szCs w:val="20"/>
          <w:highlight w:val="none"/>
        </w:rPr>
        <w:t>(3) 监理人未按规定向发包人报告工作或者提供不实报告的，向发包人支付违约金1仟元。</w:t>
      </w:r>
    </w:p>
    <w:p w14:paraId="3FE35C50">
      <w:pPr>
        <w:autoSpaceDE/>
        <w:autoSpaceDN/>
        <w:adjustRightInd/>
        <w:spacing w:line="360" w:lineRule="auto"/>
        <w:ind w:firstLine="480" w:firstLineChars="200"/>
        <w:jc w:val="both"/>
        <w:rPr>
          <w:rFonts w:ascii="宋体" w:hAnsi="宋体" w:cs="宋体"/>
          <w:szCs w:val="20"/>
          <w:highlight w:val="none"/>
        </w:rPr>
      </w:pPr>
      <w:r>
        <w:rPr>
          <w:rFonts w:hint="eastAsia" w:ascii="宋体" w:hAnsi="宋体" w:cs="宋体"/>
          <w:szCs w:val="20"/>
          <w:highlight w:val="none"/>
        </w:rPr>
        <w:t>(4) 监理人指派不具有相应资质的人员进行监理的，向发包人支付违约金1仟元。</w:t>
      </w:r>
    </w:p>
    <w:p w14:paraId="32B49FA0">
      <w:pPr>
        <w:autoSpaceDE/>
        <w:autoSpaceDN/>
        <w:adjustRightInd/>
        <w:spacing w:line="360" w:lineRule="auto"/>
        <w:ind w:firstLine="480" w:firstLineChars="200"/>
        <w:jc w:val="both"/>
        <w:rPr>
          <w:rFonts w:ascii="宋体" w:hAnsi="宋体" w:cs="宋体"/>
          <w:szCs w:val="20"/>
          <w:highlight w:val="none"/>
        </w:rPr>
      </w:pPr>
      <w:r>
        <w:rPr>
          <w:rFonts w:hint="eastAsia" w:ascii="宋体" w:hAnsi="宋体" w:cs="宋体"/>
          <w:szCs w:val="20"/>
          <w:highlight w:val="none"/>
        </w:rPr>
        <w:t>(5) 监理人及其工作人员接受承包人或者建筑材料、建筑构配件和设备供应人的利益或者请客送礼的，每次向发包人支付违约金5仟元。</w:t>
      </w:r>
    </w:p>
    <w:p w14:paraId="6FCE70E0">
      <w:pPr>
        <w:autoSpaceDE/>
        <w:autoSpaceDN/>
        <w:adjustRightInd/>
        <w:spacing w:line="360" w:lineRule="auto"/>
        <w:ind w:firstLine="480" w:firstLineChars="200"/>
        <w:jc w:val="both"/>
        <w:rPr>
          <w:rFonts w:ascii="宋体" w:hAnsi="宋体" w:cs="宋体"/>
          <w:szCs w:val="20"/>
          <w:highlight w:val="none"/>
        </w:rPr>
      </w:pPr>
      <w:r>
        <w:rPr>
          <w:rFonts w:hint="eastAsia" w:ascii="宋体" w:hAnsi="宋体" w:cs="宋体"/>
          <w:szCs w:val="20"/>
          <w:highlight w:val="none"/>
        </w:rPr>
        <w:t>(6) 监理人在工作中超越合同规定权限审批的，向发包人支付违约金1仟元，负有直接责任的监理人员应当被撤换。</w:t>
      </w:r>
    </w:p>
    <w:p w14:paraId="5E5C8A64">
      <w:pPr>
        <w:autoSpaceDE/>
        <w:autoSpaceDN/>
        <w:adjustRightInd/>
        <w:spacing w:line="360" w:lineRule="auto"/>
        <w:ind w:firstLine="480" w:firstLineChars="200"/>
        <w:jc w:val="both"/>
        <w:rPr>
          <w:rFonts w:ascii="宋体" w:hAnsi="宋体" w:cs="宋体"/>
          <w:szCs w:val="20"/>
          <w:highlight w:val="none"/>
        </w:rPr>
      </w:pPr>
      <w:r>
        <w:rPr>
          <w:rFonts w:hint="eastAsia" w:ascii="宋体" w:hAnsi="宋体" w:cs="宋体"/>
          <w:szCs w:val="20"/>
          <w:highlight w:val="none"/>
        </w:rPr>
        <w:t>(7) 监理人在计量或变更设计工作中弄虚作假的，每次向发包人支付1万元违约金；造成发包人损失的，应当赔偿全部损失或者与有关责任人连带赔偿全部损失；负有直接责任的监理人员应当被撤换。</w:t>
      </w:r>
    </w:p>
    <w:p w14:paraId="5A32EDA0">
      <w:pPr>
        <w:autoSpaceDE/>
        <w:autoSpaceDN/>
        <w:adjustRightInd/>
        <w:spacing w:line="360" w:lineRule="auto"/>
        <w:ind w:firstLine="480" w:firstLineChars="200"/>
        <w:jc w:val="both"/>
        <w:rPr>
          <w:rFonts w:ascii="宋体" w:hAnsi="宋体" w:cs="宋体"/>
          <w:szCs w:val="20"/>
          <w:highlight w:val="none"/>
        </w:rPr>
      </w:pPr>
      <w:r>
        <w:rPr>
          <w:rFonts w:hint="eastAsia" w:ascii="宋体" w:hAnsi="宋体" w:cs="宋体"/>
          <w:szCs w:val="20"/>
          <w:highlight w:val="none"/>
        </w:rPr>
        <w:t>(8) 监理人明知不合格的建设工程、建筑材料、建筑构配件和设备按照合格签字的，向发包人支付1万元违约金；造成发包人损失的，应当赔偿部分损失或者与有关责任人连带赔偿全部损失。</w:t>
      </w:r>
    </w:p>
    <w:p w14:paraId="2C815788">
      <w:pPr>
        <w:autoSpaceDE/>
        <w:autoSpaceDN/>
        <w:adjustRightInd/>
        <w:spacing w:line="360" w:lineRule="auto"/>
        <w:ind w:firstLine="480" w:firstLineChars="200"/>
        <w:jc w:val="both"/>
        <w:rPr>
          <w:rFonts w:ascii="宋体" w:hAnsi="宋体" w:cs="宋体"/>
          <w:szCs w:val="20"/>
          <w:highlight w:val="none"/>
        </w:rPr>
      </w:pPr>
      <w:r>
        <w:rPr>
          <w:rFonts w:hint="eastAsia" w:ascii="宋体" w:hAnsi="宋体" w:cs="宋体"/>
          <w:szCs w:val="20"/>
          <w:highlight w:val="none"/>
        </w:rPr>
        <w:t>(9) 监理人对承包人的野蛮施工、违规操作、上一工序（单元工程）质量未验收合格就进行下一工序（单元工程）施工的行为未及时采取有效措施的，每次向发包人支付违约金5仟元，造成发包人损失的，应当赔偿全部损失或者与有关责任人连带赔偿全部损失；负有直接责任的监理人员应当被撤换。</w:t>
      </w:r>
    </w:p>
    <w:p w14:paraId="31AF1F2D">
      <w:pPr>
        <w:autoSpaceDE/>
        <w:autoSpaceDN/>
        <w:adjustRightInd/>
        <w:spacing w:line="360" w:lineRule="auto"/>
        <w:ind w:firstLine="480" w:firstLineChars="200"/>
        <w:jc w:val="both"/>
        <w:rPr>
          <w:rFonts w:ascii="宋体" w:hAnsi="宋体" w:cs="宋体"/>
          <w:szCs w:val="20"/>
          <w:highlight w:val="none"/>
        </w:rPr>
      </w:pPr>
      <w:r>
        <w:rPr>
          <w:rFonts w:hint="eastAsia" w:ascii="宋体" w:hAnsi="宋体" w:cs="宋体"/>
          <w:szCs w:val="20"/>
          <w:highlight w:val="none"/>
        </w:rPr>
        <w:t>(10) 监理人与承包人串通，弄虚作假、降低工程质量的，向发包人支付1万元违约金；造成发包人损失的，应当赔偿全部损失或者与有关责任人连带赔偿全部损失。</w:t>
      </w:r>
    </w:p>
    <w:p w14:paraId="38DCDF38">
      <w:pPr>
        <w:autoSpaceDE/>
        <w:autoSpaceDN/>
        <w:adjustRightInd/>
        <w:spacing w:line="360" w:lineRule="auto"/>
        <w:ind w:firstLine="480" w:firstLineChars="200"/>
        <w:jc w:val="both"/>
        <w:rPr>
          <w:rFonts w:ascii="宋体" w:hAnsi="宋体" w:cs="宋体"/>
          <w:szCs w:val="20"/>
          <w:highlight w:val="none"/>
        </w:rPr>
      </w:pPr>
      <w:r>
        <w:rPr>
          <w:rFonts w:hint="eastAsia" w:ascii="宋体" w:hAnsi="宋体" w:cs="宋体"/>
          <w:szCs w:val="20"/>
          <w:highlight w:val="none"/>
        </w:rPr>
        <w:t>(11) 监理人及其工作人员向承包人介绍分包队伍，推荐建筑材料、建筑构配件和设备的，向发包人支付1万元违约金，监理人及其介绍的分包队伍将被清除出场。但介绍或者推荐经发包人书面同意的除外。</w:t>
      </w:r>
    </w:p>
    <w:p w14:paraId="698C5C19">
      <w:pPr>
        <w:autoSpaceDE/>
        <w:autoSpaceDN/>
        <w:adjustRightInd/>
        <w:spacing w:line="360" w:lineRule="auto"/>
        <w:ind w:firstLine="480" w:firstLineChars="200"/>
        <w:jc w:val="both"/>
        <w:rPr>
          <w:rFonts w:ascii="宋体" w:hAnsi="宋体" w:cs="宋体"/>
          <w:szCs w:val="20"/>
          <w:highlight w:val="none"/>
        </w:rPr>
      </w:pPr>
      <w:r>
        <w:rPr>
          <w:rFonts w:hint="eastAsia" w:ascii="宋体" w:hAnsi="宋体" w:cs="宋体"/>
          <w:szCs w:val="20"/>
          <w:highlight w:val="none"/>
        </w:rPr>
        <w:t>(12) 监理人转包或者分包监理业务的，发包人有权解除合同，给发包人造成损失的，还应当赔偿全部损失或者与有关责任人连带赔偿全部损失。</w:t>
      </w:r>
    </w:p>
    <w:p w14:paraId="6E35D0F5">
      <w:pPr>
        <w:autoSpaceDE/>
        <w:autoSpaceDN/>
        <w:adjustRightInd/>
        <w:spacing w:line="360" w:lineRule="auto"/>
        <w:ind w:firstLine="480" w:firstLineChars="200"/>
        <w:jc w:val="both"/>
        <w:rPr>
          <w:rFonts w:ascii="宋体" w:hAnsi="宋体" w:cs="宋体"/>
          <w:szCs w:val="20"/>
          <w:highlight w:val="none"/>
        </w:rPr>
      </w:pPr>
      <w:r>
        <w:rPr>
          <w:rFonts w:hint="eastAsia" w:ascii="宋体" w:hAnsi="宋体" w:cs="宋体"/>
          <w:szCs w:val="20"/>
          <w:highlight w:val="none"/>
        </w:rPr>
        <w:t>(13) 因监理人的故意行为致使工期延误的，逾期每日向发包人支付1仟元违约金；给发包人造成损失的，还应当赔偿全部损失或者与有关责任人连带赔偿全部损失。</w:t>
      </w:r>
    </w:p>
    <w:p w14:paraId="280F5370">
      <w:pPr>
        <w:autoSpaceDE/>
        <w:autoSpaceDN/>
        <w:adjustRightInd/>
        <w:spacing w:line="360" w:lineRule="auto"/>
        <w:ind w:firstLine="480" w:firstLineChars="200"/>
        <w:jc w:val="both"/>
        <w:rPr>
          <w:rFonts w:ascii="宋体" w:hAnsi="宋体" w:cs="宋体"/>
          <w:szCs w:val="20"/>
          <w:highlight w:val="none"/>
        </w:rPr>
      </w:pPr>
      <w:r>
        <w:rPr>
          <w:rFonts w:hint="eastAsia" w:ascii="宋体" w:hAnsi="宋体" w:cs="宋体"/>
          <w:szCs w:val="20"/>
          <w:highlight w:val="none"/>
        </w:rPr>
        <w:t>(14) 监理人有第(2)至第(4)项情形各累计超过3次，或者有(5)至(10)项情形累计各超过2次，或有第(11)项情形的，发包人有权解除合同，由此造成的损失概由监理人承担。</w:t>
      </w:r>
    </w:p>
    <w:p w14:paraId="6D52C700">
      <w:pPr>
        <w:autoSpaceDE/>
        <w:autoSpaceDN/>
        <w:adjustRightInd/>
        <w:spacing w:line="360" w:lineRule="auto"/>
        <w:ind w:firstLine="480" w:firstLineChars="200"/>
        <w:jc w:val="both"/>
        <w:rPr>
          <w:rFonts w:ascii="宋体" w:hAnsi="宋体" w:cs="宋体"/>
          <w:szCs w:val="20"/>
          <w:highlight w:val="none"/>
        </w:rPr>
      </w:pPr>
      <w:r>
        <w:rPr>
          <w:rFonts w:hint="eastAsia" w:ascii="宋体" w:hAnsi="宋体" w:cs="宋体"/>
          <w:szCs w:val="20"/>
          <w:highlight w:val="none"/>
        </w:rPr>
        <w:t>(15) 监理人的违约行为给发包人造成重大损失或者情节严重的，将移送司法机关处理。</w:t>
      </w:r>
    </w:p>
    <w:p w14:paraId="60500614">
      <w:pPr>
        <w:autoSpaceDE/>
        <w:autoSpaceDN/>
        <w:adjustRightInd/>
        <w:spacing w:line="360" w:lineRule="auto"/>
        <w:ind w:firstLine="480" w:firstLineChars="200"/>
        <w:jc w:val="both"/>
        <w:rPr>
          <w:rFonts w:hint="eastAsia" w:ascii="宋体" w:hAnsi="宋体" w:cs="宋体"/>
          <w:b/>
          <w:szCs w:val="20"/>
          <w:highlight w:val="none"/>
        </w:rPr>
      </w:pPr>
      <w:r>
        <w:rPr>
          <w:rFonts w:hint="eastAsia" w:ascii="宋体" w:hAnsi="宋体" w:cs="宋体"/>
          <w:szCs w:val="20"/>
          <w:highlight w:val="none"/>
        </w:rPr>
        <w:t>(16) 监理人的未按专用条款第21条规定派驻监理人员，应当向发包人支付合同价20％的违约金</w:t>
      </w:r>
      <w:r>
        <w:rPr>
          <w:rFonts w:hint="eastAsia" w:ascii="宋体" w:hAnsi="宋体" w:cs="宋体"/>
          <w:b/>
          <w:szCs w:val="20"/>
          <w:highlight w:val="none"/>
        </w:rPr>
        <w:t>。</w:t>
      </w:r>
    </w:p>
    <w:p w14:paraId="3C434252">
      <w:pPr>
        <w:pStyle w:val="29"/>
        <w:rPr>
          <w:rFonts w:hint="eastAsia" w:eastAsia="宋体"/>
          <w:highlight w:val="none"/>
          <w:lang w:eastAsia="zh-CN"/>
        </w:rPr>
      </w:pPr>
      <w:r>
        <w:rPr>
          <w:rFonts w:hint="eastAsia" w:ascii="宋体" w:hAnsi="宋体" w:cs="宋体"/>
          <w:b/>
          <w:szCs w:val="20"/>
          <w:highlight w:val="none"/>
          <w:lang w:eastAsia="zh-CN"/>
        </w:rPr>
        <w:t>（</w:t>
      </w:r>
      <w:r>
        <w:rPr>
          <w:rFonts w:hint="eastAsia" w:ascii="宋体" w:hAnsi="宋体" w:cs="宋体"/>
          <w:b/>
          <w:szCs w:val="20"/>
          <w:highlight w:val="none"/>
          <w:lang w:val="en-US" w:eastAsia="zh-CN"/>
        </w:rPr>
        <w:t>17</w:t>
      </w:r>
      <w:r>
        <w:rPr>
          <w:rFonts w:hint="eastAsia" w:ascii="宋体" w:hAnsi="宋体" w:cs="宋体"/>
          <w:b/>
          <w:szCs w:val="20"/>
          <w:highlight w:val="none"/>
          <w:lang w:eastAsia="zh-CN"/>
        </w:rPr>
        <w:t>）</w:t>
      </w:r>
      <w:r>
        <w:rPr>
          <w:rFonts w:hint="eastAsia" w:ascii="宋体" w:hAnsi="宋体" w:eastAsia="宋体" w:cs="Times New Roman"/>
          <w:b w:val="0"/>
          <w:szCs w:val="24"/>
          <w:highlight w:val="none"/>
          <w:lang w:val="en-US" w:eastAsia="zh-CN"/>
        </w:rPr>
        <w:t>工程</w:t>
      </w:r>
      <w:r>
        <w:rPr>
          <w:rFonts w:hint="eastAsia" w:ascii="宋体" w:hAnsi="宋体"/>
          <w:highlight w:val="none"/>
          <w:lang w:val="en-US" w:eastAsia="zh-CN"/>
        </w:rPr>
        <w:t>在区级政府部门组织的检查中，被发现存在严重的安全、质量等问题，被通报批评，或被新闻媒体曝光造成不良影响的，被通报或被曝光一次，监理人需支付违约金1000元；在市级及以上部门检查中被通报或被曝光，承包人需支付违约金3000元。</w:t>
      </w:r>
    </w:p>
    <w:p w14:paraId="125E47E2">
      <w:pPr>
        <w:pStyle w:val="29"/>
        <w:rPr>
          <w:highlight w:val="none"/>
        </w:rPr>
      </w:pPr>
    </w:p>
    <w:p w14:paraId="1D3C69A8">
      <w:pPr>
        <w:autoSpaceDE/>
        <w:autoSpaceDN/>
        <w:adjustRightInd/>
        <w:spacing w:before="120" w:beforeLines="50" w:after="120" w:afterLines="50" w:line="360" w:lineRule="auto"/>
        <w:ind w:firstLine="420"/>
        <w:jc w:val="center"/>
        <w:rPr>
          <w:kern w:val="2"/>
          <w:sz w:val="28"/>
          <w:szCs w:val="28"/>
          <w:highlight w:val="none"/>
        </w:rPr>
      </w:pPr>
      <w:r>
        <w:rPr>
          <w:rFonts w:hAnsi="宋体"/>
          <w:kern w:val="2"/>
          <w:sz w:val="28"/>
          <w:szCs w:val="28"/>
          <w:highlight w:val="none"/>
        </w:rPr>
        <w:t>争议的解决</w:t>
      </w:r>
    </w:p>
    <w:p w14:paraId="10DE9D5C">
      <w:pPr>
        <w:autoSpaceDE/>
        <w:autoSpaceDN/>
        <w:adjustRightInd/>
        <w:spacing w:line="360" w:lineRule="auto"/>
        <w:ind w:firstLine="361"/>
        <w:jc w:val="both"/>
        <w:rPr>
          <w:kern w:val="2"/>
          <w:szCs w:val="20"/>
          <w:highlight w:val="none"/>
        </w:rPr>
      </w:pPr>
      <w:r>
        <w:rPr>
          <w:rFonts w:hAnsi="宋体"/>
          <w:b/>
          <w:kern w:val="2"/>
          <w:szCs w:val="20"/>
          <w:highlight w:val="none"/>
        </w:rPr>
        <w:t>第四十三条</w:t>
      </w:r>
      <w:r>
        <w:rPr>
          <w:kern w:val="2"/>
          <w:szCs w:val="20"/>
          <w:highlight w:val="none"/>
        </w:rPr>
        <w:t xml:space="preserve"> </w:t>
      </w:r>
      <w:r>
        <w:rPr>
          <w:rFonts w:hAnsi="宋体"/>
          <w:kern w:val="2"/>
          <w:szCs w:val="20"/>
          <w:highlight w:val="none"/>
        </w:rPr>
        <w:t>争议</w:t>
      </w:r>
      <w:r>
        <w:rPr>
          <w:rFonts w:hint="eastAsia" w:hAnsi="宋体"/>
          <w:kern w:val="2"/>
          <w:szCs w:val="20"/>
          <w:highlight w:val="none"/>
        </w:rPr>
        <w:t>解决方式</w:t>
      </w:r>
      <w:r>
        <w:rPr>
          <w:rFonts w:hAnsi="宋体"/>
          <w:kern w:val="2"/>
          <w:szCs w:val="20"/>
          <w:highlight w:val="none"/>
        </w:rPr>
        <w:t>：</w:t>
      </w:r>
    </w:p>
    <w:p w14:paraId="0DA1E339">
      <w:pPr>
        <w:autoSpaceDE/>
        <w:autoSpaceDN/>
        <w:adjustRightInd/>
        <w:spacing w:line="360" w:lineRule="auto"/>
        <w:ind w:firstLine="480" w:firstLineChars="200"/>
        <w:jc w:val="both"/>
        <w:rPr>
          <w:kern w:val="2"/>
          <w:szCs w:val="20"/>
          <w:highlight w:val="none"/>
        </w:rPr>
      </w:pPr>
      <w:r>
        <w:rPr>
          <w:rFonts w:hAnsi="宋体"/>
          <w:kern w:val="2"/>
          <w:szCs w:val="20"/>
          <w:highlight w:val="none"/>
        </w:rPr>
        <w:t>争议调解机构为广州市增城区水务局</w:t>
      </w:r>
      <w:r>
        <w:rPr>
          <w:kern w:val="2"/>
          <w:szCs w:val="20"/>
          <w:highlight w:val="none"/>
        </w:rPr>
        <w:t xml:space="preserve"> </w:t>
      </w:r>
      <w:r>
        <w:rPr>
          <w:rFonts w:hint="eastAsia"/>
          <w:kern w:val="2"/>
          <w:szCs w:val="20"/>
          <w:highlight w:val="none"/>
        </w:rPr>
        <w:t>，如调解不成，双方均可向广州市增城区人民法院提起诉讼</w:t>
      </w:r>
      <w:r>
        <w:rPr>
          <w:rFonts w:hAnsi="宋体"/>
          <w:kern w:val="2"/>
          <w:szCs w:val="20"/>
          <w:highlight w:val="none"/>
        </w:rPr>
        <w:t>。</w:t>
      </w:r>
    </w:p>
    <w:p w14:paraId="12636FFB">
      <w:pPr>
        <w:autoSpaceDE/>
        <w:autoSpaceDN/>
        <w:adjustRightInd/>
        <w:spacing w:before="120" w:beforeLines="50" w:after="120" w:afterLines="50" w:line="360" w:lineRule="auto"/>
        <w:ind w:firstLine="420"/>
        <w:jc w:val="center"/>
        <w:rPr>
          <w:kern w:val="2"/>
          <w:sz w:val="28"/>
          <w:szCs w:val="28"/>
          <w:highlight w:val="none"/>
        </w:rPr>
      </w:pPr>
      <w:r>
        <w:rPr>
          <w:rFonts w:hAnsi="宋体"/>
          <w:kern w:val="2"/>
          <w:sz w:val="28"/>
          <w:szCs w:val="28"/>
          <w:highlight w:val="none"/>
        </w:rPr>
        <w:t>其</w:t>
      </w:r>
      <w:r>
        <w:rPr>
          <w:kern w:val="2"/>
          <w:sz w:val="28"/>
          <w:szCs w:val="28"/>
          <w:highlight w:val="none"/>
        </w:rPr>
        <w:t xml:space="preserve">  </w:t>
      </w:r>
      <w:r>
        <w:rPr>
          <w:rFonts w:hAnsi="宋体"/>
          <w:kern w:val="2"/>
          <w:sz w:val="28"/>
          <w:szCs w:val="28"/>
          <w:highlight w:val="none"/>
        </w:rPr>
        <w:t>他</w:t>
      </w:r>
    </w:p>
    <w:p w14:paraId="44D462C4">
      <w:pPr>
        <w:autoSpaceDE/>
        <w:autoSpaceDN/>
        <w:adjustRightInd/>
        <w:spacing w:line="360" w:lineRule="auto"/>
        <w:ind w:firstLine="361"/>
        <w:jc w:val="both"/>
        <w:rPr>
          <w:rFonts w:hAnsi="宋体"/>
          <w:szCs w:val="20"/>
          <w:highlight w:val="none"/>
        </w:rPr>
      </w:pPr>
      <w:r>
        <w:rPr>
          <w:rFonts w:hAnsi="宋体"/>
          <w:b/>
          <w:kern w:val="2"/>
          <w:szCs w:val="20"/>
          <w:highlight w:val="none"/>
        </w:rPr>
        <w:t>第四十五条</w:t>
      </w:r>
      <w:r>
        <w:rPr>
          <w:b/>
          <w:kern w:val="2"/>
          <w:szCs w:val="20"/>
          <w:highlight w:val="none"/>
        </w:rPr>
        <w:t xml:space="preserve"> </w:t>
      </w:r>
      <w:r>
        <w:rPr>
          <w:rFonts w:hAnsi="宋体"/>
          <w:szCs w:val="20"/>
          <w:highlight w:val="none"/>
        </w:rPr>
        <w:t>本项目</w:t>
      </w:r>
      <w:r>
        <w:rPr>
          <w:rFonts w:hAnsi="宋体"/>
          <w:kern w:val="2"/>
          <w:szCs w:val="20"/>
          <w:highlight w:val="none"/>
        </w:rPr>
        <w:t>委托人对监理人提出并落实的合理化建议</w:t>
      </w:r>
      <w:r>
        <w:rPr>
          <w:rFonts w:hAnsi="宋体"/>
          <w:szCs w:val="20"/>
          <w:highlight w:val="none"/>
        </w:rPr>
        <w:t>无奖励。</w:t>
      </w:r>
    </w:p>
    <w:p w14:paraId="62AFA327">
      <w:pPr>
        <w:autoSpaceDE/>
        <w:autoSpaceDN/>
        <w:adjustRightInd/>
        <w:spacing w:line="300" w:lineRule="auto"/>
        <w:ind w:firstLine="361"/>
        <w:jc w:val="center"/>
        <w:rPr>
          <w:rFonts w:ascii="宋体" w:hAnsi="宋体" w:cs="宋体"/>
          <w:kern w:val="2"/>
          <w:sz w:val="36"/>
          <w:szCs w:val="36"/>
          <w:highlight w:val="none"/>
        </w:rPr>
      </w:pPr>
      <w:r>
        <w:rPr>
          <w:rFonts w:hAnsi="宋体"/>
          <w:szCs w:val="20"/>
          <w:highlight w:val="none"/>
        </w:rPr>
        <w:br w:type="page"/>
      </w:r>
      <w:bookmarkStart w:id="190" w:name="_Toc14624"/>
      <w:r>
        <w:rPr>
          <w:rFonts w:hint="eastAsia" w:hAnsi="宋体"/>
          <w:b/>
          <w:sz w:val="32"/>
          <w:szCs w:val="32"/>
          <w:highlight w:val="none"/>
        </w:rPr>
        <w:t>合同附</w:t>
      </w:r>
      <w:bookmarkEnd w:id="190"/>
      <w:r>
        <w:rPr>
          <w:rFonts w:hint="eastAsia" w:hAnsi="宋体"/>
          <w:b/>
          <w:sz w:val="32"/>
          <w:szCs w:val="32"/>
          <w:highlight w:val="none"/>
        </w:rPr>
        <w:t>加条款</w:t>
      </w:r>
    </w:p>
    <w:p w14:paraId="264C6E43">
      <w:pPr>
        <w:snapToGrid w:val="0"/>
        <w:spacing w:line="300" w:lineRule="auto"/>
        <w:ind w:firstLine="482" w:firstLineChars="200"/>
        <w:jc w:val="both"/>
        <w:rPr>
          <w:rFonts w:ascii="Calibri" w:hAnsi="Calibri"/>
          <w:b/>
          <w:bCs/>
          <w:szCs w:val="22"/>
          <w:highlight w:val="none"/>
        </w:rPr>
      </w:pPr>
      <w:r>
        <w:rPr>
          <w:rFonts w:ascii="Calibri" w:hAnsi="宋体"/>
          <w:b/>
          <w:bCs/>
          <w:szCs w:val="22"/>
          <w:highlight w:val="none"/>
        </w:rPr>
        <w:t>本合同监理服务内容：</w:t>
      </w:r>
      <w:r>
        <w:rPr>
          <w:rFonts w:ascii="Calibri" w:hAnsi="Calibri"/>
          <w:b/>
          <w:bCs/>
          <w:szCs w:val="22"/>
          <w:highlight w:val="none"/>
        </w:rPr>
        <w:t xml:space="preserve"> </w:t>
      </w:r>
    </w:p>
    <w:p w14:paraId="3F6C6304">
      <w:pPr>
        <w:snapToGrid w:val="0"/>
        <w:spacing w:line="360" w:lineRule="auto"/>
        <w:ind w:firstLine="480" w:firstLineChars="200"/>
        <w:jc w:val="both"/>
        <w:rPr>
          <w:rFonts w:ascii="Calibri" w:hAnsi="Calibri"/>
          <w:szCs w:val="22"/>
          <w:highlight w:val="none"/>
        </w:rPr>
      </w:pPr>
      <w:r>
        <w:rPr>
          <w:rFonts w:ascii="Calibri" w:hAnsi="Calibri"/>
          <w:szCs w:val="22"/>
          <w:highlight w:val="none"/>
        </w:rPr>
        <w:t>(</w:t>
      </w:r>
      <w:r>
        <w:rPr>
          <w:rFonts w:ascii="Calibri" w:hAnsi="宋体"/>
          <w:szCs w:val="22"/>
          <w:highlight w:val="none"/>
        </w:rPr>
        <w:t>一</w:t>
      </w:r>
      <w:r>
        <w:rPr>
          <w:rFonts w:ascii="Calibri" w:hAnsi="Calibri"/>
          <w:szCs w:val="22"/>
          <w:highlight w:val="none"/>
        </w:rPr>
        <w:t>)</w:t>
      </w:r>
      <w:r>
        <w:rPr>
          <w:rFonts w:ascii="Calibri" w:hAnsi="宋体"/>
          <w:szCs w:val="22"/>
          <w:highlight w:val="none"/>
        </w:rPr>
        <w:t>设计方面</w:t>
      </w:r>
    </w:p>
    <w:p w14:paraId="2498BBA7">
      <w:pPr>
        <w:snapToGrid w:val="0"/>
        <w:spacing w:line="360" w:lineRule="auto"/>
        <w:ind w:firstLine="480"/>
        <w:jc w:val="both"/>
        <w:rPr>
          <w:rFonts w:asciiTheme="minorEastAsia" w:hAnsiTheme="minorEastAsia" w:eastAsiaTheme="minorEastAsia"/>
          <w:szCs w:val="22"/>
          <w:highlight w:val="none"/>
        </w:rPr>
      </w:pPr>
      <w:r>
        <w:rPr>
          <w:rFonts w:asciiTheme="minorEastAsia" w:hAnsiTheme="minorEastAsia" w:eastAsiaTheme="minorEastAsia"/>
          <w:szCs w:val="22"/>
          <w:highlight w:val="none"/>
        </w:rPr>
        <w:t xml:space="preserve">1. </w:t>
      </w:r>
      <w:r>
        <w:rPr>
          <w:rFonts w:hint="eastAsia" w:asciiTheme="minorEastAsia" w:hAnsiTheme="minorEastAsia" w:eastAsiaTheme="minorEastAsia"/>
          <w:szCs w:val="22"/>
          <w:highlight w:val="none"/>
        </w:rPr>
        <w:t>核查并签发施工图，发现问题向委托人反映，重大问题向委托人做专题报告。</w:t>
      </w:r>
    </w:p>
    <w:p w14:paraId="2661F4F7">
      <w:pPr>
        <w:snapToGrid w:val="0"/>
        <w:spacing w:line="360" w:lineRule="auto"/>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 xml:space="preserve">    2. 主持或与委托人联合主持设计技术交底会议，编写会议纪要。</w:t>
      </w:r>
    </w:p>
    <w:p w14:paraId="6093D5D0">
      <w:pPr>
        <w:snapToGrid w:val="0"/>
        <w:spacing w:line="360" w:lineRule="auto"/>
        <w:ind w:firstLine="480" w:firstLineChars="200"/>
        <w:jc w:val="both"/>
        <w:rPr>
          <w:rFonts w:asciiTheme="minorEastAsia" w:hAnsiTheme="minorEastAsia" w:eastAsiaTheme="minorEastAsia"/>
          <w:szCs w:val="22"/>
          <w:highlight w:val="none"/>
        </w:rPr>
      </w:pPr>
      <w:r>
        <w:rPr>
          <w:rFonts w:asciiTheme="minorEastAsia" w:hAnsiTheme="minorEastAsia" w:eastAsiaTheme="minorEastAsia"/>
          <w:szCs w:val="22"/>
          <w:highlight w:val="none"/>
        </w:rPr>
        <w:t xml:space="preserve">3. </w:t>
      </w:r>
      <w:r>
        <w:rPr>
          <w:rFonts w:hint="eastAsia" w:asciiTheme="minorEastAsia" w:hAnsiTheme="minorEastAsia" w:eastAsiaTheme="minorEastAsia"/>
          <w:szCs w:val="22"/>
          <w:highlight w:val="none"/>
        </w:rPr>
        <w:t>协助委托人会同设计人对重大技术问题和优化设计进行专题讨论。</w:t>
      </w:r>
    </w:p>
    <w:p w14:paraId="7B4606AF">
      <w:pPr>
        <w:snapToGrid w:val="0"/>
        <w:spacing w:line="360" w:lineRule="auto"/>
        <w:ind w:firstLine="480" w:firstLineChars="200"/>
        <w:jc w:val="both"/>
        <w:rPr>
          <w:rFonts w:asciiTheme="minorEastAsia" w:hAnsiTheme="minorEastAsia" w:eastAsiaTheme="minorEastAsia"/>
          <w:szCs w:val="22"/>
          <w:highlight w:val="none"/>
        </w:rPr>
      </w:pPr>
      <w:r>
        <w:rPr>
          <w:rFonts w:asciiTheme="minorEastAsia" w:hAnsiTheme="minorEastAsia" w:eastAsiaTheme="minorEastAsia"/>
          <w:szCs w:val="22"/>
          <w:highlight w:val="none"/>
        </w:rPr>
        <w:t xml:space="preserve">4. </w:t>
      </w:r>
      <w:r>
        <w:rPr>
          <w:rFonts w:hint="eastAsia" w:asciiTheme="minorEastAsia" w:hAnsiTheme="minorEastAsia" w:eastAsiaTheme="minorEastAsia"/>
          <w:szCs w:val="22"/>
          <w:highlight w:val="none"/>
        </w:rPr>
        <w:t>审核承包人对施工图的意见和建议，协助委托人会同设计人进行研究。</w:t>
      </w:r>
    </w:p>
    <w:p w14:paraId="107507A0">
      <w:pPr>
        <w:snapToGrid w:val="0"/>
        <w:spacing w:line="360" w:lineRule="auto"/>
        <w:ind w:firstLine="480" w:firstLineChars="200"/>
        <w:jc w:val="both"/>
        <w:rPr>
          <w:rFonts w:asciiTheme="minorEastAsia" w:hAnsiTheme="minorEastAsia" w:eastAsiaTheme="minorEastAsia"/>
          <w:szCs w:val="22"/>
          <w:highlight w:val="none"/>
        </w:rPr>
      </w:pPr>
      <w:r>
        <w:rPr>
          <w:rFonts w:asciiTheme="minorEastAsia" w:hAnsiTheme="minorEastAsia" w:eastAsiaTheme="minorEastAsia"/>
          <w:szCs w:val="22"/>
          <w:highlight w:val="none"/>
        </w:rPr>
        <w:t xml:space="preserve">5. </w:t>
      </w:r>
      <w:r>
        <w:rPr>
          <w:rFonts w:hint="eastAsia" w:asciiTheme="minorEastAsia" w:hAnsiTheme="minorEastAsia" w:eastAsiaTheme="minorEastAsia"/>
          <w:szCs w:val="22"/>
          <w:highlight w:val="none"/>
        </w:rPr>
        <w:t>其他相关业务。</w:t>
      </w:r>
    </w:p>
    <w:p w14:paraId="1B3ED60D">
      <w:pPr>
        <w:snapToGrid w:val="0"/>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(二)采购方面</w:t>
      </w:r>
    </w:p>
    <w:p w14:paraId="2F29672B">
      <w:pPr>
        <w:snapToGrid w:val="0"/>
        <w:spacing w:line="360" w:lineRule="auto"/>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 xml:space="preserve">    1. 协助委托人进行采购招标。</w:t>
      </w:r>
    </w:p>
    <w:p w14:paraId="4FBBAB04">
      <w:pPr>
        <w:snapToGrid w:val="0"/>
        <w:spacing w:line="360" w:lineRule="auto"/>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 xml:space="preserve">    2. 协助委托人对进场的永久工程设备进行质量检验与到货验收。</w:t>
      </w:r>
    </w:p>
    <w:p w14:paraId="32642B18">
      <w:pPr>
        <w:snapToGrid w:val="0"/>
        <w:spacing w:line="360" w:lineRule="auto"/>
        <w:ind w:firstLine="480"/>
        <w:jc w:val="both"/>
        <w:rPr>
          <w:rFonts w:asciiTheme="minorEastAsia" w:hAnsiTheme="minorEastAsia" w:eastAsiaTheme="minorEastAsia"/>
          <w:szCs w:val="22"/>
          <w:highlight w:val="none"/>
        </w:rPr>
      </w:pPr>
      <w:r>
        <w:rPr>
          <w:rFonts w:asciiTheme="minorEastAsia" w:hAnsiTheme="minorEastAsia" w:eastAsiaTheme="minorEastAsia"/>
          <w:szCs w:val="22"/>
          <w:highlight w:val="none"/>
        </w:rPr>
        <w:t xml:space="preserve">3. </w:t>
      </w:r>
      <w:r>
        <w:rPr>
          <w:rFonts w:hint="eastAsia" w:asciiTheme="minorEastAsia" w:hAnsiTheme="minorEastAsia" w:eastAsiaTheme="minorEastAsia"/>
          <w:szCs w:val="22"/>
          <w:highlight w:val="none"/>
        </w:rPr>
        <w:t>其他相关业务。</w:t>
      </w:r>
    </w:p>
    <w:p w14:paraId="4CF99EA1">
      <w:pPr>
        <w:snapToGrid w:val="0"/>
        <w:spacing w:line="360" w:lineRule="auto"/>
        <w:ind w:firstLine="48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(三)</w:t>
      </w:r>
      <w:r>
        <w:rPr>
          <w:rFonts w:asciiTheme="minorEastAsia" w:hAnsiTheme="minorEastAsia" w:eastAsiaTheme="minorEastAsia"/>
          <w:szCs w:val="22"/>
          <w:highlight w:val="none"/>
        </w:rPr>
        <w:t xml:space="preserve"> </w:t>
      </w:r>
      <w:r>
        <w:rPr>
          <w:rFonts w:hint="eastAsia" w:asciiTheme="minorEastAsia" w:hAnsiTheme="minorEastAsia" w:eastAsiaTheme="minorEastAsia"/>
          <w:szCs w:val="22"/>
          <w:highlight w:val="none"/>
        </w:rPr>
        <w:t>施工方面</w:t>
      </w:r>
    </w:p>
    <w:p w14:paraId="3AB502DB">
      <w:pPr>
        <w:snapToGrid w:val="0"/>
        <w:spacing w:line="360" w:lineRule="auto"/>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 xml:space="preserve">    1. 协助委托人进行工程施工招标和签订工程施工合同。</w:t>
      </w:r>
    </w:p>
    <w:p w14:paraId="230049FC">
      <w:pPr>
        <w:snapToGrid w:val="0"/>
        <w:spacing w:line="360" w:lineRule="auto"/>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 xml:space="preserve">    2. 全面管理工程施工合同，审查承包人选择的分包单位，并报委托人批准。</w:t>
      </w:r>
    </w:p>
    <w:p w14:paraId="47212226">
      <w:pPr>
        <w:snapToGrid w:val="0"/>
        <w:spacing w:line="360" w:lineRule="auto"/>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 xml:space="preserve">    3. 督促委托人按工程施工合同的约定，落实必须提供的施工条件，检查承包人的开工准备工作。</w:t>
      </w:r>
    </w:p>
    <w:p w14:paraId="6844A2CA">
      <w:pPr>
        <w:snapToGrid w:val="0"/>
        <w:spacing w:line="360" w:lineRule="auto"/>
        <w:jc w:val="both"/>
        <w:rPr>
          <w:rFonts w:asciiTheme="minorEastAsia" w:hAnsiTheme="minorEastAsia" w:eastAsiaTheme="minorEastAsia"/>
          <w:szCs w:val="22"/>
          <w:highlight w:val="none"/>
        </w:rPr>
      </w:pPr>
      <w:r>
        <w:rPr>
          <w:rFonts w:asciiTheme="minorEastAsia" w:hAnsiTheme="minorEastAsia" w:eastAsiaTheme="minorEastAsia"/>
          <w:szCs w:val="22"/>
          <w:highlight w:val="none"/>
        </w:rPr>
        <w:t xml:space="preserve">    4. 审核按工程施工合同文件约定应由承包人提交的设计文件。</w:t>
      </w:r>
    </w:p>
    <w:p w14:paraId="4A282697">
      <w:pPr>
        <w:snapToGrid w:val="0"/>
        <w:spacing w:line="360" w:lineRule="auto"/>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 xml:space="preserve">    5. 审查承包人提交的施工组织设计、施工进度计划、施工措施计划；审核工艺试验成果等。</w:t>
      </w:r>
    </w:p>
    <w:p w14:paraId="153077E1">
      <w:pPr>
        <w:snapToGrid w:val="0"/>
        <w:spacing w:line="360" w:lineRule="auto"/>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 xml:space="preserve">    6. 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p>
    <w:p w14:paraId="101A3B1D">
      <w:pPr>
        <w:snapToGrid w:val="0"/>
        <w:spacing w:line="360" w:lineRule="auto"/>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 xml:space="preserve">    7. 施工质量控制。审查承包人的质量保证体系和措施，审查承包人的实验条件；依据工程施工合同文件、设计文件、技术标准，对施工全过程进行检查，对重要部分、关键</w:t>
      </w:r>
      <w:r>
        <w:rPr>
          <w:rFonts w:asciiTheme="minorEastAsia" w:hAnsiTheme="minorEastAsia" w:eastAsiaTheme="minorEastAsia"/>
          <w:szCs w:val="22"/>
          <w:highlight w:val="none"/>
        </w:rPr>
        <w:t>工序进行旁站监理；按照有关规定，对承包人进场的工程设备、建筑材料、建筑构配件、中间产品进行跟踪检测和平行检测；复核承包人自评的工程质量等级；审核承包人提出的工程质量缺陷处理方案，参与调查质量事故。</w:t>
      </w:r>
    </w:p>
    <w:p w14:paraId="4BB6A3CC">
      <w:pPr>
        <w:snapToGrid w:val="0"/>
        <w:spacing w:line="360" w:lineRule="auto"/>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 xml:space="preserve">    8. 资金控制：协助委托人编制付款计划；审查承包人提交的资金流计划；核定承包人完成的工程量，审核承包人提交的支付申请，签发付款凭证；受理索赔申请，提出处理建议意见；处理工程变更。</w:t>
      </w:r>
    </w:p>
    <w:p w14:paraId="68D1BD6E">
      <w:pPr>
        <w:snapToGrid w:val="0"/>
        <w:spacing w:line="360" w:lineRule="auto"/>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 xml:space="preserve">    9. 施工安全控制。审查承包人提出的安全技术措施、专项施工方案，并检查实施情况；检查防洪渡汛措施落实情况；参与安全事故调查。</w:t>
      </w:r>
    </w:p>
    <w:p w14:paraId="005D2071">
      <w:pPr>
        <w:snapToGrid w:val="0"/>
        <w:spacing w:line="360" w:lineRule="auto"/>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 xml:space="preserve">    10. 协调施工合同各方之间的关系。</w:t>
      </w:r>
    </w:p>
    <w:p w14:paraId="250DB11D">
      <w:pPr>
        <w:snapToGrid w:val="0"/>
        <w:spacing w:line="360" w:lineRule="auto"/>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 xml:space="preserve">    11. 按有关规定参加工程验收，负责完成监理资料的汇总整理，协助委托人检查承包人的合同执行情况；做好验收的各项准备工作或者配合工作，提供工程监理资料，提交监理工作报告。</w:t>
      </w:r>
    </w:p>
    <w:p w14:paraId="7EB048C3">
      <w:pPr>
        <w:snapToGrid w:val="0"/>
        <w:spacing w:line="360" w:lineRule="auto"/>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 xml:space="preserve">    12. 档案管理。做好施工现场的监理记录与信息反馈；做好监理文档管理工作，合同期限届满时按照档案管理要求整理、归档并移交委托人。</w:t>
      </w:r>
    </w:p>
    <w:p w14:paraId="3E0675D7">
      <w:pPr>
        <w:snapToGrid w:val="0"/>
        <w:spacing w:line="360" w:lineRule="auto"/>
        <w:ind w:firstLine="480"/>
        <w:jc w:val="both"/>
        <w:rPr>
          <w:rFonts w:asciiTheme="minorEastAsia" w:hAnsiTheme="minorEastAsia" w:eastAsiaTheme="minorEastAsia"/>
          <w:szCs w:val="22"/>
          <w:highlight w:val="none"/>
        </w:rPr>
      </w:pPr>
      <w:r>
        <w:rPr>
          <w:rFonts w:asciiTheme="minorEastAsia" w:hAnsiTheme="minorEastAsia" w:eastAsiaTheme="minorEastAsia"/>
          <w:szCs w:val="22"/>
          <w:highlight w:val="none"/>
        </w:rPr>
        <w:t xml:space="preserve">13. </w:t>
      </w:r>
      <w:r>
        <w:rPr>
          <w:rFonts w:hint="eastAsia" w:asciiTheme="minorEastAsia" w:hAnsiTheme="minorEastAsia" w:eastAsiaTheme="minorEastAsia"/>
          <w:szCs w:val="22"/>
          <w:highlight w:val="none"/>
        </w:rPr>
        <w:t>监督承包人执行保修期工作计划，检查和验收尾工项目，对已移交工程中出现的质量缺陷等调查原因并提出处理意见。</w:t>
      </w:r>
    </w:p>
    <w:p w14:paraId="63D66D86">
      <w:pPr>
        <w:snapToGrid w:val="0"/>
        <w:spacing w:line="360" w:lineRule="auto"/>
        <w:ind w:firstLine="480"/>
        <w:jc w:val="both"/>
        <w:rPr>
          <w:rFonts w:asciiTheme="minorEastAsia" w:hAnsiTheme="minorEastAsia" w:eastAsiaTheme="minorEastAsia"/>
          <w:szCs w:val="22"/>
          <w:highlight w:val="none"/>
        </w:rPr>
      </w:pPr>
      <w:r>
        <w:rPr>
          <w:rFonts w:asciiTheme="minorEastAsia" w:hAnsiTheme="minorEastAsia" w:eastAsiaTheme="minorEastAsia"/>
          <w:szCs w:val="22"/>
          <w:highlight w:val="none"/>
        </w:rPr>
        <w:t xml:space="preserve">14. </w:t>
      </w:r>
      <w:r>
        <w:rPr>
          <w:rFonts w:hint="eastAsia" w:asciiTheme="minorEastAsia" w:hAnsiTheme="minorEastAsia" w:eastAsiaTheme="minorEastAsia"/>
          <w:szCs w:val="22"/>
          <w:highlight w:val="none"/>
        </w:rPr>
        <w:t>按照委托人签订的工程保险合同，做好施工现场工程保险合同的管理。协助委托人向保险公司及时提供一切必要的材料核证据。</w:t>
      </w:r>
    </w:p>
    <w:p w14:paraId="2D81C59A">
      <w:pPr>
        <w:snapToGrid w:val="0"/>
        <w:spacing w:line="360" w:lineRule="auto"/>
        <w:ind w:firstLine="480"/>
        <w:jc w:val="both"/>
        <w:rPr>
          <w:rFonts w:asciiTheme="minorEastAsia" w:hAnsiTheme="minorEastAsia" w:eastAsiaTheme="minorEastAsia"/>
          <w:szCs w:val="22"/>
          <w:highlight w:val="none"/>
        </w:rPr>
      </w:pPr>
      <w:r>
        <w:rPr>
          <w:rFonts w:asciiTheme="minorEastAsia" w:hAnsiTheme="minorEastAsia" w:eastAsiaTheme="minorEastAsia"/>
          <w:szCs w:val="22"/>
          <w:highlight w:val="none"/>
        </w:rPr>
        <w:t xml:space="preserve">15. </w:t>
      </w:r>
      <w:r>
        <w:rPr>
          <w:rFonts w:hint="eastAsia" w:asciiTheme="minorEastAsia" w:hAnsiTheme="minorEastAsia" w:eastAsiaTheme="minorEastAsia"/>
          <w:szCs w:val="22"/>
          <w:highlight w:val="none"/>
        </w:rPr>
        <w:t>其他相关工作。</w:t>
      </w:r>
    </w:p>
    <w:p w14:paraId="2774C783">
      <w:pPr>
        <w:autoSpaceDE/>
        <w:autoSpaceDN/>
        <w:adjustRightInd/>
        <w:spacing w:line="360" w:lineRule="auto"/>
        <w:jc w:val="center"/>
        <w:rPr>
          <w:rFonts w:ascii="Calibri" w:hAnsi="Calibri"/>
          <w:b/>
          <w:bCs/>
          <w:sz w:val="32"/>
          <w:szCs w:val="32"/>
          <w:highlight w:val="none"/>
          <w:lang w:val="zh-CN"/>
        </w:rPr>
      </w:pPr>
      <w:r>
        <w:rPr>
          <w:rFonts w:ascii="Calibri" w:hAnsi="Calibri"/>
          <w:szCs w:val="22"/>
          <w:highlight w:val="none"/>
          <w:lang w:val="zh-CN"/>
        </w:rPr>
        <w:br w:type="page"/>
      </w:r>
      <w:r>
        <w:rPr>
          <w:rFonts w:ascii="Calibri" w:hAnsi="宋体"/>
          <w:b/>
          <w:sz w:val="32"/>
          <w:szCs w:val="32"/>
          <w:highlight w:val="none"/>
        </w:rPr>
        <w:t>第</w:t>
      </w:r>
      <w:r>
        <w:rPr>
          <w:rFonts w:hint="eastAsia" w:ascii="Calibri" w:hAnsi="宋体"/>
          <w:b/>
          <w:sz w:val="32"/>
          <w:szCs w:val="32"/>
          <w:highlight w:val="none"/>
        </w:rPr>
        <w:t>三</w:t>
      </w:r>
      <w:r>
        <w:rPr>
          <w:rFonts w:ascii="Calibri" w:hAnsi="宋体"/>
          <w:b/>
          <w:sz w:val="32"/>
          <w:szCs w:val="32"/>
          <w:highlight w:val="none"/>
        </w:rPr>
        <w:t xml:space="preserve">部分 </w:t>
      </w:r>
      <w:r>
        <w:rPr>
          <w:rFonts w:ascii="Calibri" w:hAnsi="宋体"/>
          <w:b/>
          <w:sz w:val="32"/>
          <w:szCs w:val="32"/>
          <w:highlight w:val="none"/>
          <w:lang w:val="zh-CN"/>
        </w:rPr>
        <w:t xml:space="preserve"> </w:t>
      </w:r>
      <w:r>
        <w:rPr>
          <w:rFonts w:hint="eastAsia" w:ascii="Calibri" w:hAnsi="宋体"/>
          <w:b/>
          <w:sz w:val="32"/>
          <w:szCs w:val="32"/>
          <w:highlight w:val="none"/>
          <w:lang w:val="zh-CN"/>
        </w:rPr>
        <w:t>合同附件</w:t>
      </w:r>
    </w:p>
    <w:p w14:paraId="2AAB5E71">
      <w:pPr>
        <w:spacing w:line="360" w:lineRule="auto"/>
        <w:jc w:val="both"/>
        <w:rPr>
          <w:rFonts w:ascii="Calibri" w:hAnsi="Calibri"/>
          <w:b/>
          <w:bCs/>
          <w:sz w:val="32"/>
          <w:szCs w:val="32"/>
          <w:highlight w:val="none"/>
          <w:lang w:val="zh-CN"/>
        </w:rPr>
      </w:pPr>
      <w:r>
        <w:rPr>
          <w:rFonts w:hint="eastAsia" w:ascii="Calibri" w:hAnsi="Calibri"/>
          <w:szCs w:val="22"/>
          <w:highlight w:val="none"/>
          <w:lang w:val="zh-CN"/>
        </w:rPr>
        <w:t>附件：</w:t>
      </w:r>
      <w:r>
        <w:rPr>
          <w:rFonts w:hint="eastAsia" w:ascii="Calibri" w:hAnsi="Calibri"/>
          <w:b/>
          <w:bCs/>
          <w:szCs w:val="32"/>
          <w:highlight w:val="none"/>
          <w:lang w:val="zh-CN"/>
        </w:rPr>
        <w:t>工程建设项目廉政责任书</w:t>
      </w:r>
    </w:p>
    <w:p w14:paraId="224DBDC3">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工程项目名称：</w:t>
      </w:r>
      <w:r>
        <w:rPr>
          <w:rFonts w:asciiTheme="minorEastAsia" w:hAnsiTheme="minorEastAsia" w:eastAsiaTheme="minorEastAsia"/>
          <w:szCs w:val="22"/>
          <w:highlight w:val="none"/>
          <w:u w:val="single"/>
        </w:rPr>
        <w:t xml:space="preserve">                     </w:t>
      </w:r>
    </w:p>
    <w:p w14:paraId="1727FDB5">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工程项目地址：</w:t>
      </w:r>
      <w:r>
        <w:rPr>
          <w:rFonts w:asciiTheme="minorEastAsia" w:hAnsiTheme="minorEastAsia" w:eastAsiaTheme="minorEastAsia"/>
          <w:szCs w:val="22"/>
          <w:highlight w:val="none"/>
          <w:u w:val="single"/>
        </w:rPr>
        <w:t xml:space="preserve">                    </w:t>
      </w:r>
    </w:p>
    <w:p w14:paraId="0870D39A">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建设单位（甲方）：</w:t>
      </w:r>
      <w:r>
        <w:rPr>
          <w:rFonts w:asciiTheme="minorEastAsia" w:hAnsiTheme="minorEastAsia" w:eastAsiaTheme="minorEastAsia"/>
          <w:szCs w:val="22"/>
          <w:highlight w:val="none"/>
          <w:u w:val="single"/>
        </w:rPr>
        <w:t xml:space="preserve">                 </w:t>
      </w:r>
    </w:p>
    <w:p w14:paraId="0E21F996">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监理单位（乙方）：</w:t>
      </w:r>
      <w:r>
        <w:rPr>
          <w:rFonts w:asciiTheme="minorEastAsia" w:hAnsiTheme="minorEastAsia" w:eastAsiaTheme="minorEastAsia"/>
          <w:szCs w:val="22"/>
          <w:highlight w:val="none"/>
          <w:u w:val="single"/>
        </w:rPr>
        <w:t xml:space="preserve">                    </w:t>
      </w:r>
    </w:p>
    <w:p w14:paraId="1EBB5760">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59A8EBA8">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第一条</w:t>
      </w:r>
      <w:r>
        <w:rPr>
          <w:rFonts w:asciiTheme="minorEastAsia" w:hAnsiTheme="minorEastAsia" w:eastAsiaTheme="minorEastAsia"/>
          <w:szCs w:val="22"/>
          <w:highlight w:val="none"/>
        </w:rPr>
        <w:t xml:space="preserve">  </w:t>
      </w:r>
      <w:r>
        <w:rPr>
          <w:rFonts w:hint="eastAsia" w:asciiTheme="minorEastAsia" w:hAnsiTheme="minorEastAsia" w:eastAsiaTheme="minorEastAsia"/>
          <w:szCs w:val="22"/>
          <w:highlight w:val="none"/>
        </w:rPr>
        <w:t>甲乙双方的责任</w:t>
      </w:r>
    </w:p>
    <w:p w14:paraId="6CAC8B58">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（一）应严格遵守国家关于市场准入、项目招标投标、工程建设、施工安装和市场活动等有关法律、法规、相关政策、以及廉政建设的各项规定。</w:t>
      </w:r>
    </w:p>
    <w:p w14:paraId="390B8429">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（二）严格执行建设工程项目承发包合同文件，自觉按合同办事。</w:t>
      </w:r>
    </w:p>
    <w:p w14:paraId="42DDB833">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（三）业务活动必须坚持公开、公平、公正、诚信、透明的原则（除法律法规另有规定者外），不得为获取不正当的利益，损害国家、集体和对方利益，不得违反工程建设管理、施工安装的规章制度。</w:t>
      </w:r>
    </w:p>
    <w:p w14:paraId="2D7B39ED">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（四）发现对方在业务活动中有违规、违纪、违法行为的，应及时提醒对方，情节严重的，应向其上级主管部门或纪检监察、司法等有关机关举报。</w:t>
      </w:r>
    </w:p>
    <w:p w14:paraId="232180E1">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第二条</w:t>
      </w:r>
      <w:r>
        <w:rPr>
          <w:rFonts w:asciiTheme="minorEastAsia" w:hAnsiTheme="minorEastAsia" w:eastAsiaTheme="minorEastAsia"/>
          <w:szCs w:val="22"/>
          <w:highlight w:val="none"/>
        </w:rPr>
        <w:t xml:space="preserve">  </w:t>
      </w:r>
      <w:r>
        <w:rPr>
          <w:rFonts w:hint="eastAsia" w:asciiTheme="minorEastAsia" w:hAnsiTheme="minorEastAsia" w:eastAsiaTheme="minorEastAsia"/>
          <w:szCs w:val="22"/>
          <w:highlight w:val="none"/>
        </w:rPr>
        <w:t>甲方的责任</w:t>
      </w:r>
    </w:p>
    <w:p w14:paraId="3B7385F2">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甲方的领导和从事该建设工程项目的工作人员，在工程建设的事前、事中、事后应遵守以下规定：</w:t>
      </w:r>
    </w:p>
    <w:p w14:paraId="5A2BBEFC">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（一）不准向乙方和相关单位索要或接受回扣、礼金、有价证券、贵重物品和好处费、感谢费等。</w:t>
      </w:r>
    </w:p>
    <w:p w14:paraId="6BD1F805">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（二）不准在乙方和相关单位报销任何应由甲方或个人支付的费用。</w:t>
      </w:r>
    </w:p>
    <w:p w14:paraId="39DB5CD9">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（三）不准要求、暗示或接受乙方和相关单位为个人装修住房、婚丧嫁娶、配偶子女的工作安排以及出国（境）、旅游等提供方便。</w:t>
      </w:r>
    </w:p>
    <w:p w14:paraId="4318CEBB">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（四）不准参加有可能影响公正执行公务的乙方和相关单位的宴请和健身、娱乐等活动。</w:t>
      </w:r>
    </w:p>
    <w:p w14:paraId="2335E41C">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五）不准向乙方介绍或为配偶、子女、亲属参与同甲方项目工程项目工程施工合同有关的设备、材料、工程分包、劳务等经济活动。不得任何理由要求乙方和相关单位推荐分包单位和要求乙方购买项目工程施工合同规定以外的材料、设备登记。</w:t>
      </w:r>
    </w:p>
    <w:p w14:paraId="5711B297">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第三条</w:t>
      </w:r>
      <w:r>
        <w:rPr>
          <w:rFonts w:asciiTheme="minorEastAsia" w:hAnsiTheme="minorEastAsia" w:eastAsiaTheme="minorEastAsia"/>
          <w:szCs w:val="22"/>
          <w:highlight w:val="none"/>
        </w:rPr>
        <w:t xml:space="preserve">  </w:t>
      </w:r>
      <w:r>
        <w:rPr>
          <w:rFonts w:hint="eastAsia" w:asciiTheme="minorEastAsia" w:hAnsiTheme="minorEastAsia" w:eastAsiaTheme="minorEastAsia"/>
          <w:szCs w:val="22"/>
          <w:highlight w:val="none"/>
        </w:rPr>
        <w:t>乙方的责任</w:t>
      </w:r>
    </w:p>
    <w:p w14:paraId="3DBF7CB7">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应与甲方保持正常的业务交往，按照有关法律法规和程序开展业务工作，严格执行工程建设的有关方针、政策，尤其是有关建筑施工安装的强制性标准和规范，并遵守以下规定：</w:t>
      </w:r>
    </w:p>
    <w:p w14:paraId="7B586ED1">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（一）不准以任何理由向甲方、相关单位及其工作人员索要、接受或赠送礼金、有价证券、贵重物品及回扣、好处费、感谢费等。</w:t>
      </w:r>
    </w:p>
    <w:p w14:paraId="0218A675">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（二）不准以任何理由为甲方和相关单位报销应由对方或个人支付的费用。</w:t>
      </w:r>
    </w:p>
    <w:p w14:paraId="5C8A240A">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（三）不准接受或暗示为甲方、相关单位或个人装修住房、婚丧嫁娶、配偶子女的工作安排以及出国（境）、旅游等提供方便。</w:t>
      </w:r>
    </w:p>
    <w:p w14:paraId="5DDF57F6">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（四）不准以任何理由为甲方、相关单位或个人组织有可能影响公正执行公务的宴请、健身、娱乐等活动。</w:t>
      </w:r>
    </w:p>
    <w:p w14:paraId="1394F9B5">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第四条</w:t>
      </w:r>
      <w:r>
        <w:rPr>
          <w:rFonts w:asciiTheme="minorEastAsia" w:hAnsiTheme="minorEastAsia" w:eastAsiaTheme="minorEastAsia"/>
          <w:szCs w:val="22"/>
          <w:highlight w:val="none"/>
        </w:rPr>
        <w:t xml:space="preserve">  </w:t>
      </w:r>
      <w:r>
        <w:rPr>
          <w:rFonts w:hint="eastAsia" w:asciiTheme="minorEastAsia" w:hAnsiTheme="minorEastAsia" w:eastAsiaTheme="minorEastAsia"/>
          <w:szCs w:val="22"/>
          <w:highlight w:val="none"/>
        </w:rPr>
        <w:t>违约责任</w:t>
      </w:r>
    </w:p>
    <w:p w14:paraId="3A8981BF">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（一）甲方工作人员有违反本责任书第一、二条责任行为的，按照管理权限。依据有关法律法规和规定给予党纪、政纪处分或组织处理；涉嫌犯罪</w:t>
      </w:r>
      <w:r>
        <w:rPr>
          <w:rFonts w:hint="eastAsia" w:ascii="Calibri" w:hAnsi="Calibri"/>
          <w:kern w:val="2"/>
          <w:sz w:val="21"/>
          <w:szCs w:val="22"/>
          <w:highlight w:val="none"/>
        </w:rPr>
        <w:t>的，移交司法机关追究刑事责任；给乙方单位造成经济损失的，应予以赔偿</w:t>
      </w:r>
      <w:r>
        <w:rPr>
          <w:rFonts w:hint="eastAsia" w:asciiTheme="minorEastAsia" w:hAnsiTheme="minorEastAsia" w:eastAsiaTheme="minorEastAsia"/>
          <w:szCs w:val="22"/>
          <w:highlight w:val="none"/>
        </w:rPr>
        <w:t>。</w:t>
      </w:r>
    </w:p>
    <w:p w14:paraId="5AB1550A">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二）乙方工作人员有违反责任书第一、三条责任行为的，按照管理权限，依据有关法律法规和规定给予党纪、政纪处分或组织处理；涉嫌犯罪的，移交司法机关追究刑事责任；给甲方单位造成经济损失的，应予以赔偿。</w:t>
      </w:r>
    </w:p>
    <w:p w14:paraId="1469A9B4">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第五条</w:t>
      </w:r>
      <w:r>
        <w:rPr>
          <w:rFonts w:asciiTheme="minorEastAsia" w:hAnsiTheme="minorEastAsia" w:eastAsiaTheme="minorEastAsia"/>
          <w:szCs w:val="22"/>
          <w:highlight w:val="none"/>
        </w:rPr>
        <w:t xml:space="preserve">  </w:t>
      </w:r>
      <w:r>
        <w:rPr>
          <w:rFonts w:hint="eastAsia" w:asciiTheme="minorEastAsia" w:hAnsiTheme="minorEastAsia" w:eastAsiaTheme="minorEastAsia"/>
          <w:szCs w:val="22"/>
          <w:highlight w:val="none"/>
        </w:rPr>
        <w:t>本责任书作为工程施工合同的附件，与工程施工合同具有同等法律效力。经双方签署后立即生效。</w:t>
      </w:r>
    </w:p>
    <w:p w14:paraId="150263D0">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第六条</w:t>
      </w:r>
      <w:r>
        <w:rPr>
          <w:rFonts w:asciiTheme="minorEastAsia" w:hAnsiTheme="minorEastAsia" w:eastAsiaTheme="minorEastAsia"/>
          <w:szCs w:val="22"/>
          <w:highlight w:val="none"/>
        </w:rPr>
        <w:t xml:space="preserve">  </w:t>
      </w:r>
      <w:r>
        <w:rPr>
          <w:rFonts w:hint="eastAsia" w:asciiTheme="minorEastAsia" w:hAnsiTheme="minorEastAsia" w:eastAsiaTheme="minorEastAsia"/>
          <w:szCs w:val="22"/>
          <w:highlight w:val="none"/>
        </w:rPr>
        <w:t>本责任书的有效期为双方签署之日起至该工程项目竣工验收合格时止。</w:t>
      </w:r>
    </w:p>
    <w:p w14:paraId="774DB822">
      <w:pPr>
        <w:autoSpaceDE/>
        <w:autoSpaceDN/>
        <w:adjustRightInd/>
        <w:spacing w:line="360" w:lineRule="auto"/>
        <w:ind w:firstLine="480" w:firstLineChars="20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第七条</w:t>
      </w:r>
      <w:r>
        <w:rPr>
          <w:rFonts w:asciiTheme="minorEastAsia" w:hAnsiTheme="minorEastAsia" w:eastAsiaTheme="minorEastAsia"/>
          <w:szCs w:val="22"/>
          <w:highlight w:val="none"/>
        </w:rPr>
        <w:t xml:space="preserve">  </w:t>
      </w:r>
      <w:r>
        <w:rPr>
          <w:rFonts w:hint="eastAsia" w:asciiTheme="minorEastAsia" w:hAnsiTheme="minorEastAsia" w:eastAsiaTheme="minorEastAsia"/>
          <w:szCs w:val="22"/>
          <w:highlight w:val="none"/>
        </w:rPr>
        <w:t>本责任书一式四份，由甲乙双方各执一份，送交甲乙双方的监督单位各一份。</w:t>
      </w:r>
    </w:p>
    <w:p w14:paraId="3F2BE450">
      <w:pPr>
        <w:autoSpaceDE/>
        <w:autoSpaceDN/>
        <w:adjustRightInd/>
        <w:spacing w:line="360" w:lineRule="auto"/>
        <w:ind w:firstLine="0" w:firstLineChars="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甲方单位：（盖章）</w:t>
      </w:r>
      <w:r>
        <w:rPr>
          <w:rFonts w:asciiTheme="minorEastAsia" w:hAnsiTheme="minorEastAsia" w:eastAsiaTheme="minorEastAsia"/>
          <w:szCs w:val="22"/>
          <w:highlight w:val="none"/>
        </w:rPr>
        <w:t xml:space="preserve">              </w:t>
      </w:r>
      <w:r>
        <w:rPr>
          <w:rFonts w:hint="eastAsia" w:asciiTheme="minorEastAsia" w:hAnsiTheme="minorEastAsia" w:eastAsiaTheme="minorEastAsia"/>
          <w:szCs w:val="22"/>
          <w:highlight w:val="none"/>
          <w:lang w:val="en-US" w:eastAsia="zh-CN"/>
        </w:rPr>
        <w:t xml:space="preserve">     </w:t>
      </w:r>
      <w:r>
        <w:rPr>
          <w:rFonts w:hint="eastAsia" w:asciiTheme="minorEastAsia" w:hAnsiTheme="minorEastAsia" w:eastAsiaTheme="minorEastAsia"/>
          <w:szCs w:val="22"/>
          <w:highlight w:val="none"/>
        </w:rPr>
        <w:t>乙方单位：（盖章）</w:t>
      </w:r>
    </w:p>
    <w:p w14:paraId="51CFFBE8">
      <w:pPr>
        <w:autoSpaceDE/>
        <w:autoSpaceDN/>
        <w:adjustRightInd/>
        <w:spacing w:line="360" w:lineRule="auto"/>
        <w:ind w:firstLine="0" w:firstLineChars="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法定代表人</w:t>
      </w:r>
      <w:r>
        <w:rPr>
          <w:rFonts w:hint="eastAsia" w:asciiTheme="minorEastAsia" w:hAnsiTheme="minorEastAsia" w:eastAsiaTheme="minorEastAsia"/>
          <w:szCs w:val="22"/>
          <w:highlight w:val="none"/>
          <w:lang w:val="en-US" w:eastAsia="zh-CN"/>
        </w:rPr>
        <w:t>或委托代理人</w:t>
      </w:r>
      <w:r>
        <w:rPr>
          <w:rFonts w:hint="eastAsia" w:asciiTheme="minorEastAsia" w:hAnsiTheme="minorEastAsia" w:eastAsiaTheme="minorEastAsia"/>
          <w:szCs w:val="22"/>
          <w:highlight w:val="none"/>
        </w:rPr>
        <w:t>：</w:t>
      </w:r>
      <w:r>
        <w:rPr>
          <w:rFonts w:asciiTheme="minorEastAsia" w:hAnsiTheme="minorEastAsia" w:eastAsiaTheme="minorEastAsia"/>
          <w:szCs w:val="22"/>
          <w:highlight w:val="none"/>
        </w:rPr>
        <w:t xml:space="preserve">             </w:t>
      </w:r>
      <w:r>
        <w:rPr>
          <w:rFonts w:hint="eastAsia" w:asciiTheme="minorEastAsia" w:hAnsiTheme="minorEastAsia" w:eastAsiaTheme="minorEastAsia"/>
          <w:szCs w:val="22"/>
          <w:highlight w:val="none"/>
        </w:rPr>
        <w:t>法定代表人</w:t>
      </w:r>
      <w:r>
        <w:rPr>
          <w:rFonts w:hint="eastAsia" w:asciiTheme="minorEastAsia" w:hAnsiTheme="minorEastAsia" w:eastAsiaTheme="minorEastAsia"/>
          <w:szCs w:val="22"/>
          <w:highlight w:val="none"/>
          <w:lang w:val="en-US" w:eastAsia="zh-CN"/>
        </w:rPr>
        <w:t>或委托代理人</w:t>
      </w:r>
      <w:r>
        <w:rPr>
          <w:rFonts w:hint="eastAsia" w:asciiTheme="minorEastAsia" w:hAnsiTheme="minorEastAsia" w:eastAsiaTheme="minorEastAsia"/>
          <w:szCs w:val="22"/>
          <w:highlight w:val="none"/>
        </w:rPr>
        <w:t>：</w:t>
      </w:r>
    </w:p>
    <w:p w14:paraId="14BC8ED6">
      <w:pPr>
        <w:autoSpaceDE/>
        <w:autoSpaceDN/>
        <w:adjustRightInd/>
        <w:spacing w:line="360" w:lineRule="auto"/>
        <w:ind w:firstLine="0" w:firstLineChars="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地址：</w:t>
      </w:r>
      <w:r>
        <w:rPr>
          <w:rFonts w:asciiTheme="minorEastAsia" w:hAnsiTheme="minorEastAsia" w:eastAsiaTheme="minorEastAsia"/>
          <w:szCs w:val="22"/>
          <w:highlight w:val="none"/>
        </w:rPr>
        <w:t xml:space="preserve">                          </w:t>
      </w:r>
      <w:r>
        <w:rPr>
          <w:rFonts w:hint="eastAsia" w:asciiTheme="minorEastAsia" w:hAnsiTheme="minorEastAsia" w:eastAsiaTheme="minorEastAsia"/>
          <w:szCs w:val="22"/>
          <w:highlight w:val="none"/>
          <w:lang w:val="en-US" w:eastAsia="zh-CN"/>
        </w:rPr>
        <w:t xml:space="preserve">     </w:t>
      </w:r>
      <w:r>
        <w:rPr>
          <w:rFonts w:hint="eastAsia" w:asciiTheme="minorEastAsia" w:hAnsiTheme="minorEastAsia" w:eastAsiaTheme="minorEastAsia"/>
          <w:szCs w:val="22"/>
          <w:highlight w:val="none"/>
        </w:rPr>
        <w:t>地址：</w:t>
      </w:r>
    </w:p>
    <w:p w14:paraId="6EBFD7EC">
      <w:pPr>
        <w:autoSpaceDE/>
        <w:autoSpaceDN/>
        <w:adjustRightInd/>
        <w:spacing w:line="360" w:lineRule="auto"/>
        <w:ind w:firstLine="0" w:firstLineChars="0"/>
        <w:jc w:val="both"/>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电话：</w:t>
      </w:r>
      <w:r>
        <w:rPr>
          <w:rFonts w:asciiTheme="minorEastAsia" w:hAnsiTheme="minorEastAsia" w:eastAsiaTheme="minorEastAsia"/>
          <w:szCs w:val="22"/>
          <w:highlight w:val="none"/>
        </w:rPr>
        <w:t xml:space="preserve">                          </w:t>
      </w:r>
      <w:r>
        <w:rPr>
          <w:rFonts w:hint="eastAsia" w:asciiTheme="minorEastAsia" w:hAnsiTheme="minorEastAsia" w:eastAsiaTheme="minorEastAsia"/>
          <w:szCs w:val="22"/>
          <w:highlight w:val="none"/>
          <w:lang w:val="en-US" w:eastAsia="zh-CN"/>
        </w:rPr>
        <w:t xml:space="preserve">     </w:t>
      </w:r>
      <w:r>
        <w:rPr>
          <w:rFonts w:hint="eastAsia" w:asciiTheme="minorEastAsia" w:hAnsiTheme="minorEastAsia" w:eastAsiaTheme="minorEastAsia"/>
          <w:szCs w:val="22"/>
          <w:highlight w:val="none"/>
        </w:rPr>
        <w:t>电话：</w:t>
      </w:r>
    </w:p>
    <w:p w14:paraId="4AD55094">
      <w:pPr>
        <w:autoSpaceDE/>
        <w:autoSpaceDN/>
        <w:adjustRightInd/>
        <w:spacing w:line="360" w:lineRule="auto"/>
        <w:ind w:firstLine="480" w:firstLineChars="200"/>
        <w:jc w:val="center"/>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年</w:t>
      </w:r>
      <w:r>
        <w:rPr>
          <w:rFonts w:asciiTheme="minorEastAsia" w:hAnsiTheme="minorEastAsia" w:eastAsiaTheme="minorEastAsia"/>
          <w:szCs w:val="22"/>
          <w:highlight w:val="none"/>
        </w:rPr>
        <w:t xml:space="preserve">   </w:t>
      </w:r>
      <w:r>
        <w:rPr>
          <w:rFonts w:hint="eastAsia" w:asciiTheme="minorEastAsia" w:hAnsiTheme="minorEastAsia" w:eastAsiaTheme="minorEastAsia"/>
          <w:szCs w:val="22"/>
          <w:highlight w:val="none"/>
        </w:rPr>
        <w:t>月</w:t>
      </w:r>
      <w:r>
        <w:rPr>
          <w:rFonts w:asciiTheme="minorEastAsia" w:hAnsiTheme="minorEastAsia" w:eastAsiaTheme="minorEastAsia"/>
          <w:szCs w:val="22"/>
          <w:highlight w:val="none"/>
        </w:rPr>
        <w:t xml:space="preserve">   </w:t>
      </w:r>
      <w:r>
        <w:rPr>
          <w:rFonts w:hint="eastAsia" w:asciiTheme="minorEastAsia" w:hAnsiTheme="minorEastAsia" w:eastAsiaTheme="minorEastAsia"/>
          <w:szCs w:val="22"/>
          <w:highlight w:val="none"/>
        </w:rPr>
        <w:t>日</w:t>
      </w:r>
    </w:p>
    <w:p w14:paraId="1BCB132F">
      <w:pPr>
        <w:pStyle w:val="12"/>
        <w:kinsoku w:val="0"/>
        <w:overflowPunct w:val="0"/>
        <w:ind w:left="0"/>
        <w:rPr>
          <w:sz w:val="20"/>
          <w:highlight w:val="none"/>
        </w:rPr>
        <w:sectPr>
          <w:headerReference r:id="rId9" w:type="default"/>
          <w:footerReference r:id="rId10" w:type="default"/>
          <w:pgSz w:w="11905" w:h="16838"/>
          <w:pgMar w:top="1417" w:right="1417" w:bottom="1417" w:left="1417" w:header="992" w:footer="992" w:gutter="0"/>
          <w:cols w:space="720" w:num="1"/>
        </w:sectPr>
      </w:pPr>
    </w:p>
    <w:p w14:paraId="6588B69B">
      <w:pPr>
        <w:pStyle w:val="3"/>
        <w:spacing w:before="5280" w:beforeLines="2200"/>
        <w:ind w:left="6"/>
        <w:rPr>
          <w:rFonts w:hint="default"/>
          <w:sz w:val="52"/>
          <w:szCs w:val="52"/>
          <w:highlight w:val="none"/>
        </w:rPr>
      </w:pPr>
      <w:bookmarkStart w:id="191" w:name="bookmark161"/>
      <w:bookmarkEnd w:id="191"/>
      <w:bookmarkStart w:id="192" w:name="_Toc29682"/>
      <w:r>
        <w:rPr>
          <w:sz w:val="52"/>
          <w:szCs w:val="52"/>
          <w:highlight w:val="none"/>
        </w:rPr>
        <w:t>第二卷</w:t>
      </w:r>
      <w:bookmarkEnd w:id="192"/>
    </w:p>
    <w:p w14:paraId="4CF5B967">
      <w:pPr>
        <w:pStyle w:val="3"/>
        <w:spacing w:before="5280" w:beforeLines="2200"/>
        <w:ind w:left="6"/>
        <w:rPr>
          <w:rFonts w:hint="default"/>
          <w:sz w:val="52"/>
          <w:szCs w:val="52"/>
          <w:highlight w:val="none"/>
        </w:rPr>
        <w:sectPr>
          <w:pgSz w:w="11905" w:h="16838"/>
          <w:pgMar w:top="1417" w:right="1417" w:bottom="1417" w:left="1417" w:header="992" w:footer="992" w:gutter="0"/>
          <w:cols w:space="720" w:num="1"/>
        </w:sectPr>
      </w:pPr>
    </w:p>
    <w:p w14:paraId="25B7C201">
      <w:pPr>
        <w:pStyle w:val="5"/>
        <w:spacing w:line="360" w:lineRule="auto"/>
        <w:rPr>
          <w:sz w:val="44"/>
          <w:highlight w:val="none"/>
        </w:rPr>
      </w:pPr>
      <w:bookmarkStart w:id="193" w:name="bookmark162"/>
      <w:bookmarkEnd w:id="193"/>
      <w:bookmarkStart w:id="194" w:name="_Toc17878"/>
      <w:r>
        <w:rPr>
          <w:sz w:val="44"/>
          <w:highlight w:val="none"/>
        </w:rPr>
        <w:t>第五章 委托人要求</w:t>
      </w:r>
      <w:bookmarkEnd w:id="194"/>
    </w:p>
    <w:p w14:paraId="46891F38">
      <w:pPr>
        <w:spacing w:line="360" w:lineRule="auto"/>
        <w:jc w:val="center"/>
        <w:outlineLvl w:val="1"/>
        <w:rPr>
          <w:b/>
          <w:sz w:val="32"/>
          <w:highlight w:val="none"/>
        </w:rPr>
      </w:pPr>
      <w:bookmarkStart w:id="195" w:name="_Toc805"/>
      <w:r>
        <w:rPr>
          <w:rFonts w:ascii="宋体"/>
          <w:b/>
          <w:sz w:val="32"/>
          <w:highlight w:val="none"/>
        </w:rPr>
        <w:t>委托人要求</w:t>
      </w:r>
      <w:bookmarkEnd w:id="195"/>
    </w:p>
    <w:p w14:paraId="34B47472">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sz w:val="24"/>
          <w:highlight w:val="none"/>
        </w:rPr>
      </w:pPr>
      <w:r>
        <w:rPr>
          <w:rFonts w:cs="宋体"/>
          <w:sz w:val="24"/>
          <w:highlight w:val="none"/>
        </w:rPr>
        <w:t>委托人要求应尽可能清晰准确，对于可以进行定量评估的工作，委托人要求不仅应明确规 定其功能、用途、质量、环境、安全，并且要规定偏差的范围和计算方法，以及检验、试验、 试运行的具体要求。对于监理人负责提供的有关服务，在委托人要求中应一并明确规定。</w:t>
      </w:r>
    </w:p>
    <w:p w14:paraId="2DCB7DE8">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rPr>
          <w:sz w:val="20"/>
          <w:highlight w:val="none"/>
        </w:rPr>
      </w:pPr>
      <w:r>
        <w:rPr>
          <w:rFonts w:cs="宋体"/>
          <w:sz w:val="24"/>
          <w:highlight w:val="none"/>
        </w:rPr>
        <w:t>委托人要求通常包括但不限于以下内容：</w:t>
      </w:r>
    </w:p>
    <w:p w14:paraId="2A97FCB2">
      <w:pPr>
        <w:pStyle w:val="6"/>
        <w:spacing w:before="120" w:after="120"/>
        <w:rPr>
          <w:sz w:val="31"/>
          <w:highlight w:val="none"/>
        </w:rPr>
      </w:pPr>
      <w:bookmarkStart w:id="196" w:name="bookmark163"/>
      <w:bookmarkEnd w:id="196"/>
      <w:bookmarkStart w:id="197" w:name="_Toc12787"/>
      <w:r>
        <w:rPr>
          <w:highlight w:val="none"/>
        </w:rPr>
        <w:t>一、监理要求</w:t>
      </w:r>
      <w:bookmarkEnd w:id="197"/>
    </w:p>
    <w:p w14:paraId="70391358">
      <w:pPr>
        <w:kinsoku w:val="0"/>
        <w:overflowPunct w:val="0"/>
        <w:spacing w:beforeAutospacing="1" w:afterAutospacing="1" w:line="360" w:lineRule="auto"/>
        <w:ind w:firstLine="240" w:firstLineChars="100"/>
        <w:jc w:val="both"/>
        <w:rPr>
          <w:rFonts w:ascii="宋体" w:hAnsi="宋体" w:cs="宋体"/>
          <w:highlight w:val="none"/>
        </w:rPr>
      </w:pPr>
      <w:r>
        <w:rPr>
          <w:rFonts w:hint="eastAsia" w:ascii="宋体" w:hAnsi="宋体" w:cs="宋体"/>
          <w:highlight w:val="none"/>
          <w:lang w:bidi="ar"/>
        </w:rPr>
        <w:t>招标人应当根据项目情况在本章中明确相应的监理要求，一般应包括以下内容：</w:t>
      </w:r>
    </w:p>
    <w:p w14:paraId="3DDD52D1">
      <w:pPr>
        <w:numPr>
          <w:ilvl w:val="0"/>
          <w:numId w:val="3"/>
        </w:numPr>
        <w:kinsoku w:val="0"/>
        <w:overflowPunct w:val="0"/>
        <w:autoSpaceDE/>
        <w:autoSpaceDN/>
        <w:adjustRightInd/>
        <w:spacing w:beforeAutospacing="1" w:afterAutospacing="1" w:line="360" w:lineRule="auto"/>
        <w:ind w:firstLine="482" w:firstLineChars="200"/>
        <w:jc w:val="both"/>
        <w:rPr>
          <w:rFonts w:ascii="宋体" w:hAnsi="宋体" w:cs="宋体"/>
          <w:b/>
          <w:highlight w:val="none"/>
        </w:rPr>
      </w:pPr>
      <w:r>
        <w:rPr>
          <w:rFonts w:hint="eastAsia" w:ascii="宋体" w:hAnsi="宋体" w:cs="宋体"/>
          <w:b/>
          <w:highlight w:val="none"/>
          <w:lang w:bidi="ar"/>
        </w:rPr>
        <w:t xml:space="preserve">项目概况 </w:t>
      </w:r>
    </w:p>
    <w:p w14:paraId="432E2A87">
      <w:pPr>
        <w:kinsoku w:val="0"/>
        <w:overflowPunct w:val="0"/>
        <w:spacing w:beforeAutospacing="1" w:afterAutospacing="1" w:line="360" w:lineRule="auto"/>
        <w:ind w:left="480" w:leftChars="200" w:firstLine="480" w:firstLineChars="200"/>
        <w:jc w:val="both"/>
        <w:rPr>
          <w:rFonts w:ascii="宋体" w:hAnsi="宋体" w:cs="宋体"/>
          <w:highlight w:val="none"/>
        </w:rPr>
      </w:pPr>
      <w:r>
        <w:rPr>
          <w:rFonts w:hint="eastAsia" w:ascii="宋体" w:hAnsi="宋体" w:cs="宋体"/>
          <w:highlight w:val="none"/>
          <w:lang w:bidi="ar"/>
        </w:rPr>
        <w:t>项目名称：</w:t>
      </w:r>
      <w:r>
        <w:rPr>
          <w:rFonts w:hint="eastAsia" w:ascii="宋体" w:hAnsi="宋体" w:cs="宋体"/>
          <w:color w:val="auto"/>
          <w:szCs w:val="21"/>
          <w:highlight w:val="none"/>
          <w:u w:val="single"/>
          <w:lang w:val="en-US" w:eastAsia="zh-CN"/>
        </w:rPr>
        <w:t>广州市增城区西福河(沙河坊拦河坝至石厦陂左岸段)堤防达标整治工程施工监理</w:t>
      </w:r>
      <w:r>
        <w:rPr>
          <w:rFonts w:hint="eastAsia" w:ascii="宋体" w:hAnsi="宋体" w:cs="宋体"/>
          <w:highlight w:val="none"/>
          <w:u w:val="single"/>
          <w:lang w:bidi="ar"/>
        </w:rPr>
        <w:t>。</w:t>
      </w:r>
    </w:p>
    <w:p w14:paraId="6699EBCA">
      <w:pPr>
        <w:kinsoku w:val="0"/>
        <w:overflowPunct w:val="0"/>
        <w:spacing w:beforeAutospacing="1" w:afterAutospacing="1" w:line="360" w:lineRule="auto"/>
        <w:ind w:left="480" w:leftChars="200" w:firstLine="480" w:firstLineChars="200"/>
        <w:jc w:val="both"/>
        <w:rPr>
          <w:rFonts w:ascii="宋体" w:hAnsi="宋体" w:cs="宋体"/>
          <w:highlight w:val="none"/>
        </w:rPr>
      </w:pPr>
      <w:r>
        <w:rPr>
          <w:rFonts w:hint="eastAsia" w:ascii="宋体" w:hAnsi="宋体" w:cs="宋体"/>
          <w:highlight w:val="none"/>
          <w:lang w:bidi="ar"/>
        </w:rPr>
        <w:t>建设单位：</w:t>
      </w:r>
      <w:r>
        <w:rPr>
          <w:rFonts w:hint="eastAsia" w:ascii="宋体" w:hAnsi="宋体" w:cs="宋体"/>
          <w:highlight w:val="none"/>
          <w:u w:val="single"/>
          <w:lang w:eastAsia="zh-CN" w:bidi="ar"/>
        </w:rPr>
        <w:t>广州市增城区水务建设管理所</w:t>
      </w:r>
      <w:r>
        <w:rPr>
          <w:rFonts w:hint="eastAsia" w:ascii="宋体" w:hAnsi="宋体" w:cs="宋体"/>
          <w:highlight w:val="none"/>
          <w:u w:val="single"/>
          <w:lang w:bidi="ar"/>
        </w:rPr>
        <w:t>。</w:t>
      </w:r>
    </w:p>
    <w:p w14:paraId="5261EC32">
      <w:pPr>
        <w:kinsoku w:val="0"/>
        <w:overflowPunct w:val="0"/>
        <w:spacing w:beforeAutospacing="1" w:afterAutospacing="1" w:line="360" w:lineRule="auto"/>
        <w:ind w:left="480" w:leftChars="200" w:firstLine="480" w:firstLineChars="200"/>
        <w:jc w:val="both"/>
        <w:rPr>
          <w:rFonts w:hint="eastAsia" w:ascii="宋体" w:hAnsi="宋体" w:cs="宋体"/>
          <w:highlight w:val="none"/>
          <w:lang w:bidi="ar"/>
        </w:rPr>
      </w:pPr>
      <w:r>
        <w:rPr>
          <w:rFonts w:hint="eastAsia" w:ascii="宋体" w:hAnsi="宋体" w:cs="宋体"/>
          <w:highlight w:val="none"/>
          <w:lang w:bidi="ar"/>
        </w:rPr>
        <w:t>建设规模：</w:t>
      </w:r>
    </w:p>
    <w:p w14:paraId="24EB0C2F">
      <w:pPr>
        <w:kinsoku w:val="0"/>
        <w:overflowPunct w:val="0"/>
        <w:spacing w:beforeAutospacing="1" w:afterAutospacing="1" w:line="360" w:lineRule="auto"/>
        <w:ind w:left="480" w:leftChars="200" w:firstLine="480" w:firstLineChars="200"/>
        <w:jc w:val="both"/>
        <w:rPr>
          <w:rFonts w:hint="eastAsia" w:ascii="宋体" w:hAnsi="宋体" w:cs="宋体"/>
          <w:highlight w:val="none"/>
          <w:lang w:val="en-US" w:eastAsia="zh-CN" w:bidi="ar"/>
        </w:rPr>
      </w:pPr>
      <w:r>
        <w:rPr>
          <w:rFonts w:hint="eastAsia" w:ascii="宋体" w:hAnsi="宋体" w:cs="宋体"/>
          <w:highlight w:val="none"/>
          <w:lang w:val="en-US" w:eastAsia="zh-CN" w:bidi="ar"/>
        </w:rPr>
        <w:t>1)结合西福河规划岸线调整，对西福河(沙河坊拦河坝至石厦陂左岸段)堤防进行综合整治，本工程西福河堤防达标整治保护对象的设计防洪标准采用100年一遇，堤防建筑物级别为1级。左岸整治起点为沙河坊拦河坝，终点为石厦陂下，整治长度为9.946km。</w:t>
      </w:r>
    </w:p>
    <w:p w14:paraId="105BDDCB">
      <w:pPr>
        <w:kinsoku w:val="0"/>
        <w:overflowPunct w:val="0"/>
        <w:spacing w:beforeAutospacing="1" w:afterAutospacing="1" w:line="360" w:lineRule="auto"/>
        <w:ind w:left="480" w:leftChars="200" w:firstLine="480" w:firstLineChars="200"/>
        <w:jc w:val="both"/>
        <w:rPr>
          <w:rFonts w:hint="eastAsia" w:ascii="宋体" w:hAnsi="宋体" w:cs="宋体"/>
          <w:highlight w:val="none"/>
          <w:lang w:val="en-US" w:eastAsia="zh-CN" w:bidi="ar"/>
        </w:rPr>
      </w:pPr>
      <w:r>
        <w:rPr>
          <w:rFonts w:hint="eastAsia" w:ascii="宋体"/>
          <w:kern w:val="0"/>
          <w:sz w:val="24"/>
          <w:szCs w:val="24"/>
          <w:highlight w:val="none"/>
          <w:lang w:val="en-US" w:eastAsia="zh-CN"/>
        </w:rPr>
        <w:t>2</w:t>
      </w:r>
      <w:r>
        <w:rPr>
          <w:rFonts w:hint="eastAsia" w:ascii="宋体" w:hAnsi="Times New Roman"/>
          <w:kern w:val="0"/>
          <w:sz w:val="24"/>
          <w:szCs w:val="24"/>
          <w:highlight w:val="none"/>
          <w:lang w:val="en-US" w:eastAsia="zh-CN"/>
        </w:rPr>
        <w:t>)</w:t>
      </w:r>
      <w:r>
        <w:rPr>
          <w:rFonts w:hint="eastAsia" w:ascii="宋体" w:hAnsi="宋体" w:cs="宋体"/>
          <w:highlight w:val="none"/>
          <w:lang w:val="en-US" w:eastAsia="zh-CN" w:bidi="ar"/>
        </w:rPr>
        <w:t>重建萧元东闸站、萧元西闸、屈头水闸，重建潭吓泵站，共3座水闸，2座泵站。水闸设计洪水标准为100年一遇，萧元东闸、萧元西闸、屈头水闸闸宽分别为4m、4m 及 10.5m。泵站排涝标准采用10年一遇24小时暴雨不成灾，萧元东泵站、潭吓泵站设计排涝流量分别为 3m</w:t>
      </w:r>
      <w:r>
        <w:rPr>
          <w:rFonts w:hint="eastAsia" w:ascii="宋体" w:hAnsi="宋体" w:cs="宋体"/>
          <w:highlight w:val="none"/>
          <w:vertAlign w:val="superscript"/>
          <w:lang w:val="en-US" w:eastAsia="zh-CN" w:bidi="ar"/>
        </w:rPr>
        <w:t>3</w:t>
      </w:r>
      <w:r>
        <w:rPr>
          <w:rFonts w:hint="eastAsia" w:ascii="宋体" w:hAnsi="宋体" w:cs="宋体"/>
          <w:highlight w:val="none"/>
          <w:lang w:val="en-US" w:eastAsia="zh-CN" w:bidi="ar"/>
        </w:rPr>
        <w:t>/s和 6m</w:t>
      </w:r>
      <w:r>
        <w:rPr>
          <w:rFonts w:hint="eastAsia" w:ascii="宋体" w:hAnsi="宋体" w:cs="宋体"/>
          <w:highlight w:val="none"/>
          <w:vertAlign w:val="superscript"/>
          <w:lang w:val="en-US" w:eastAsia="zh-CN" w:bidi="ar"/>
        </w:rPr>
        <w:t>3</w:t>
      </w:r>
      <w:r>
        <w:rPr>
          <w:rFonts w:hint="eastAsia" w:ascii="宋体" w:hAnsi="宋体" w:cs="宋体"/>
          <w:highlight w:val="none"/>
          <w:lang w:val="en-US" w:eastAsia="zh-CN" w:bidi="ar"/>
        </w:rPr>
        <w:t>/s。水闸及泵站建筑物级别为1级。</w:t>
      </w:r>
    </w:p>
    <w:p w14:paraId="0D2CC2FB">
      <w:pPr>
        <w:kinsoku w:val="0"/>
        <w:overflowPunct w:val="0"/>
        <w:spacing w:beforeAutospacing="1" w:afterAutospacing="1" w:line="360" w:lineRule="auto"/>
        <w:ind w:left="480" w:leftChars="200" w:firstLine="480" w:firstLineChars="200"/>
        <w:jc w:val="both"/>
        <w:rPr>
          <w:rFonts w:hint="eastAsia" w:ascii="宋体" w:hAnsi="宋体" w:cs="宋体"/>
          <w:highlight w:val="none"/>
          <w:lang w:val="en-US" w:eastAsia="zh-CN" w:bidi="ar"/>
        </w:rPr>
      </w:pPr>
      <w:r>
        <w:rPr>
          <w:rFonts w:hint="eastAsia" w:ascii="宋体"/>
          <w:kern w:val="0"/>
          <w:sz w:val="24"/>
          <w:szCs w:val="24"/>
          <w:highlight w:val="none"/>
          <w:lang w:val="en-US" w:eastAsia="zh-CN"/>
        </w:rPr>
        <w:t>3</w:t>
      </w:r>
      <w:r>
        <w:rPr>
          <w:rFonts w:hint="eastAsia" w:ascii="宋体" w:hAnsi="Times New Roman"/>
          <w:kern w:val="0"/>
          <w:sz w:val="24"/>
          <w:szCs w:val="24"/>
          <w:highlight w:val="none"/>
          <w:lang w:val="en-US" w:eastAsia="zh-CN"/>
        </w:rPr>
        <w:t>)</w:t>
      </w:r>
      <w:r>
        <w:rPr>
          <w:rFonts w:hint="eastAsia" w:ascii="宋体" w:hAnsi="宋体" w:cs="宋体"/>
          <w:highlight w:val="none"/>
          <w:lang w:val="en-US" w:eastAsia="zh-CN" w:bidi="ar"/>
        </w:rPr>
        <w:t>按100年一遇防洪设计标准加高沈元水闸。</w:t>
      </w:r>
    </w:p>
    <w:p w14:paraId="2C0AF370">
      <w:pPr>
        <w:kinsoku w:val="0"/>
        <w:overflowPunct w:val="0"/>
        <w:spacing w:beforeAutospacing="1" w:afterAutospacing="1" w:line="360" w:lineRule="auto"/>
        <w:ind w:left="480" w:leftChars="200" w:firstLine="480" w:firstLineChars="200"/>
        <w:jc w:val="both"/>
        <w:rPr>
          <w:rFonts w:ascii="宋体" w:hAnsi="宋体" w:cs="宋体"/>
          <w:highlight w:val="none"/>
        </w:rPr>
      </w:pPr>
      <w:r>
        <w:rPr>
          <w:rFonts w:hint="eastAsia" w:ascii="宋体" w:hAnsi="宋体" w:cs="宋体"/>
          <w:highlight w:val="none"/>
          <w:lang w:val="en-US" w:eastAsia="zh-CN" w:bidi="ar"/>
        </w:rPr>
        <w:t>4)石湖村鱼塘处新建小型排涝泵1座，泵站设计排涝流量0.4m</w:t>
      </w:r>
      <w:r>
        <w:rPr>
          <w:rFonts w:hint="eastAsia" w:ascii="宋体" w:hAnsi="宋体" w:cs="宋体"/>
          <w:highlight w:val="none"/>
          <w:u w:val="single"/>
          <w:vertAlign w:val="superscript"/>
          <w:lang w:val="en-US" w:eastAsia="zh-CN" w:bidi="ar"/>
        </w:rPr>
        <w:t>3</w:t>
      </w:r>
      <w:r>
        <w:rPr>
          <w:rFonts w:hint="eastAsia" w:ascii="宋体" w:hAnsi="宋体" w:cs="宋体"/>
          <w:highlight w:val="none"/>
          <w:u w:val="single"/>
          <w:lang w:val="en-US" w:eastAsia="zh-CN" w:bidi="ar"/>
        </w:rPr>
        <w:t>/s</w:t>
      </w:r>
      <w:r>
        <w:rPr>
          <w:rFonts w:hint="eastAsia" w:ascii="宋体" w:hAnsi="宋体" w:cs="宋体"/>
          <w:highlight w:val="none"/>
          <w:u w:val="single"/>
          <w:lang w:bidi="ar"/>
        </w:rPr>
        <w:t>。</w:t>
      </w:r>
    </w:p>
    <w:p w14:paraId="0937A2FF">
      <w:pPr>
        <w:kinsoku w:val="0"/>
        <w:overflowPunct w:val="0"/>
        <w:spacing w:beforeAutospacing="1" w:afterAutospacing="1" w:line="360" w:lineRule="auto"/>
        <w:ind w:left="480" w:leftChars="200" w:firstLine="480" w:firstLineChars="200"/>
        <w:jc w:val="both"/>
        <w:rPr>
          <w:rFonts w:ascii="宋体" w:hAnsi="宋体" w:cs="宋体"/>
          <w:highlight w:val="none"/>
        </w:rPr>
      </w:pPr>
      <w:r>
        <w:rPr>
          <w:rFonts w:hint="eastAsia" w:ascii="宋体" w:hAnsi="宋体" w:cs="宋体"/>
          <w:highlight w:val="none"/>
          <w:lang w:bidi="ar"/>
        </w:rPr>
        <w:t>项目地理位置：广州市增城区石滩镇，起点为沙河坊拦河坝，终点为石厦陂，整治长度为 9.946km(XFH0+000~XFH9+946)</w:t>
      </w:r>
      <w:r>
        <w:rPr>
          <w:rFonts w:hint="eastAsia" w:ascii="宋体" w:hAnsi="宋体" w:cs="宋体"/>
          <w:highlight w:val="none"/>
          <w:u w:val="single"/>
          <w:lang w:bidi="ar"/>
        </w:rPr>
        <w:t>。</w:t>
      </w:r>
    </w:p>
    <w:p w14:paraId="17DD0095">
      <w:pPr>
        <w:kinsoku w:val="0"/>
        <w:overflowPunct w:val="0"/>
        <w:spacing w:beforeAutospacing="1" w:afterAutospacing="1" w:line="360" w:lineRule="auto"/>
        <w:ind w:left="480" w:leftChars="200" w:firstLine="480" w:firstLineChars="200"/>
        <w:jc w:val="both"/>
        <w:rPr>
          <w:rFonts w:hint="eastAsia" w:ascii="宋体" w:hAnsi="宋体" w:cs="宋体"/>
          <w:highlight w:val="none"/>
          <w:u w:val="single"/>
        </w:rPr>
      </w:pPr>
      <w:r>
        <w:rPr>
          <w:rFonts w:hint="eastAsia" w:ascii="宋体" w:hAnsi="宋体" w:cs="宋体"/>
          <w:highlight w:val="none"/>
          <w:lang w:bidi="ar"/>
        </w:rPr>
        <w:t>周边环境：</w:t>
      </w:r>
      <w:r>
        <w:rPr>
          <w:rFonts w:hint="eastAsia" w:ascii="宋体" w:hAnsi="宋体" w:cs="宋体"/>
          <w:highlight w:val="none"/>
          <w:u w:val="single"/>
          <w:lang w:eastAsia="zh-CN" w:bidi="ar"/>
        </w:rPr>
        <w:t xml:space="preserve"> </w:t>
      </w:r>
    </w:p>
    <w:p w14:paraId="55FF48B7">
      <w:pPr>
        <w:kinsoku w:val="0"/>
        <w:overflowPunct w:val="0"/>
        <w:spacing w:beforeAutospacing="1" w:afterAutospacing="1" w:line="360" w:lineRule="auto"/>
        <w:ind w:left="480" w:leftChars="200" w:firstLine="480" w:firstLineChars="200"/>
        <w:jc w:val="both"/>
        <w:rPr>
          <w:rFonts w:ascii="宋体" w:hAnsi="宋体" w:cs="宋体"/>
          <w:highlight w:val="none"/>
          <w:u w:val="single"/>
        </w:rPr>
      </w:pPr>
      <w:r>
        <w:rPr>
          <w:rFonts w:hint="eastAsia" w:ascii="宋体" w:hAnsi="宋体" w:cs="宋体"/>
          <w:highlight w:val="none"/>
          <w:lang w:bidi="ar"/>
        </w:rPr>
        <w:t>树木情况：</w:t>
      </w:r>
      <w:r>
        <w:rPr>
          <w:rFonts w:hint="eastAsia" w:ascii="宋体" w:hAnsi="宋体" w:cs="宋体"/>
          <w:highlight w:val="none"/>
          <w:u w:val="single"/>
          <w:lang w:eastAsia="zh-CN" w:bidi="ar"/>
        </w:rPr>
        <w:t xml:space="preserve"> </w:t>
      </w:r>
      <w:r>
        <w:rPr>
          <w:rFonts w:hint="eastAsia" w:ascii="宋体" w:hAnsi="宋体" w:cs="宋体"/>
          <w:highlight w:val="none"/>
          <w:lang w:bidi="ar"/>
        </w:rPr>
        <w:t>文物情况：</w:t>
      </w:r>
      <w:r>
        <w:rPr>
          <w:rFonts w:hint="eastAsia" w:ascii="宋体" w:hAnsi="宋体" w:cs="宋体"/>
          <w:highlight w:val="none"/>
          <w:u w:val="single"/>
          <w:lang w:bidi="ar"/>
        </w:rPr>
        <w:t>本工程主要建筑物、次要建筑物、临时建筑物均在文物核心保护范围外，未发现文物。因此，本工程不会对建筑附近历史风貌产生影响。</w:t>
      </w:r>
    </w:p>
    <w:p w14:paraId="11C291A7">
      <w:pPr>
        <w:kinsoku w:val="0"/>
        <w:overflowPunct w:val="0"/>
        <w:spacing w:beforeAutospacing="1" w:afterAutospacing="1" w:line="360" w:lineRule="auto"/>
        <w:ind w:left="480" w:leftChars="200" w:firstLine="480" w:firstLineChars="200"/>
        <w:jc w:val="both"/>
        <w:rPr>
          <w:rFonts w:hint="eastAsia" w:ascii="宋体" w:hAnsi="宋体" w:cs="宋体"/>
          <w:highlight w:val="none"/>
          <w:u w:val="single"/>
          <w:lang w:eastAsia="zh-CN" w:bidi="ar"/>
        </w:rPr>
      </w:pPr>
      <w:r>
        <w:rPr>
          <w:rFonts w:hint="eastAsia" w:ascii="宋体" w:hAnsi="宋体" w:cs="宋体"/>
          <w:highlight w:val="none"/>
          <w:lang w:bidi="ar"/>
        </w:rPr>
        <w:t>地址地貌：</w:t>
      </w:r>
      <w:r>
        <w:rPr>
          <w:rFonts w:hint="eastAsia" w:ascii="宋体" w:hAnsi="宋体" w:cs="宋体"/>
          <w:highlight w:val="none"/>
          <w:u w:val="single"/>
          <w:lang w:eastAsia="zh-CN" w:bidi="ar"/>
        </w:rPr>
        <w:t xml:space="preserve"> </w:t>
      </w:r>
    </w:p>
    <w:p w14:paraId="738BF04C">
      <w:pPr>
        <w:kinsoku w:val="0"/>
        <w:overflowPunct w:val="0"/>
        <w:spacing w:beforeAutospacing="1" w:afterAutospacing="1" w:line="360" w:lineRule="auto"/>
        <w:ind w:left="480" w:leftChars="200" w:firstLine="480" w:firstLineChars="200"/>
        <w:jc w:val="both"/>
        <w:rPr>
          <w:rFonts w:hint="eastAsia" w:ascii="宋体" w:hAnsi="宋体" w:cs="宋体"/>
          <w:highlight w:val="none"/>
          <w:u w:val="single"/>
        </w:rPr>
      </w:pPr>
      <w:r>
        <w:rPr>
          <w:rFonts w:hint="eastAsia" w:ascii="宋体" w:hAnsi="宋体" w:cs="宋体"/>
          <w:highlight w:val="none"/>
          <w:lang w:bidi="ar"/>
        </w:rPr>
        <w:t>气候及气象条件：</w:t>
      </w:r>
      <w:r>
        <w:rPr>
          <w:rFonts w:hint="eastAsia" w:ascii="宋体" w:hAnsi="宋体" w:cs="宋体"/>
          <w:highlight w:val="none"/>
          <w:u w:val="single"/>
          <w:lang w:eastAsia="zh-CN" w:bidi="ar"/>
        </w:rPr>
        <w:t xml:space="preserve"> </w:t>
      </w:r>
    </w:p>
    <w:p w14:paraId="07E1D6EE">
      <w:pPr>
        <w:kinsoku w:val="0"/>
        <w:overflowPunct w:val="0"/>
        <w:spacing w:beforeAutospacing="1" w:afterAutospacing="1" w:line="360" w:lineRule="auto"/>
        <w:ind w:left="480" w:leftChars="200" w:firstLine="480" w:firstLineChars="200"/>
        <w:jc w:val="both"/>
        <w:rPr>
          <w:rFonts w:hint="eastAsia" w:ascii="宋体" w:hAnsi="宋体" w:cs="宋体"/>
          <w:highlight w:val="none"/>
          <w:u w:val="single"/>
        </w:rPr>
      </w:pPr>
      <w:r>
        <w:rPr>
          <w:rFonts w:hint="eastAsia" w:ascii="宋体" w:hAnsi="宋体" w:cs="宋体"/>
          <w:highlight w:val="none"/>
          <w:lang w:bidi="ar"/>
        </w:rPr>
        <w:t>道路交通状况</w:t>
      </w:r>
      <w:r>
        <w:rPr>
          <w:rFonts w:hint="eastAsia" w:ascii="宋体" w:hAnsi="宋体" w:cs="宋体"/>
          <w:highlight w:val="none"/>
          <w:u w:val="single"/>
          <w:lang w:bidi="ar"/>
        </w:rPr>
        <w:t>：</w:t>
      </w:r>
      <w:r>
        <w:rPr>
          <w:rFonts w:hint="eastAsia" w:ascii="宋体" w:hAnsi="宋体" w:cs="宋体"/>
          <w:highlight w:val="none"/>
          <w:u w:val="single"/>
          <w:lang w:eastAsia="zh-CN" w:bidi="ar"/>
        </w:rPr>
        <w:t xml:space="preserve"> </w:t>
      </w:r>
    </w:p>
    <w:p w14:paraId="007C6996">
      <w:pPr>
        <w:kinsoku w:val="0"/>
        <w:overflowPunct w:val="0"/>
        <w:spacing w:beforeAutospacing="1" w:afterAutospacing="1" w:line="360" w:lineRule="auto"/>
        <w:ind w:firstLine="482" w:firstLineChars="200"/>
        <w:jc w:val="both"/>
        <w:rPr>
          <w:rFonts w:ascii="宋体" w:hAnsi="宋体" w:cs="宋体"/>
          <w:highlight w:val="none"/>
          <w:u w:val="single"/>
        </w:rPr>
      </w:pPr>
      <w:r>
        <w:rPr>
          <w:rFonts w:hint="eastAsia" w:ascii="宋体" w:hAnsi="宋体" w:cs="宋体"/>
          <w:b/>
          <w:highlight w:val="none"/>
          <w:lang w:bidi="ar"/>
        </w:rPr>
        <w:t>2. 监理范围及内容：</w:t>
      </w:r>
      <w:r>
        <w:rPr>
          <w:rFonts w:hint="eastAsia" w:ascii="宋体" w:hAnsi="宋体" w:cs="宋体"/>
          <w:highlight w:val="none"/>
          <w:u w:val="single"/>
          <w:lang w:bidi="ar"/>
        </w:rPr>
        <w:t>负责本项目施工准备阶段、施工阶段、工程收尾阶段（包括但不限于竣工验收、整改、工程移交、工程结算等）、保修阶段（缺陷责任期）的质量控制、职业健康、安全生产及环境监督管理、投资控制、进度控制、合同管理、信息管理、组织协调等全过程监理工作。</w:t>
      </w:r>
    </w:p>
    <w:p w14:paraId="6736A033">
      <w:pPr>
        <w:kinsoku w:val="0"/>
        <w:overflowPunct w:val="0"/>
        <w:spacing w:beforeAutospacing="1" w:afterAutospacing="1" w:line="360" w:lineRule="auto"/>
        <w:ind w:firstLine="482" w:firstLineChars="200"/>
        <w:jc w:val="both"/>
        <w:rPr>
          <w:rFonts w:ascii="宋体" w:hAnsi="宋体" w:cs="宋体"/>
          <w:highlight w:val="none"/>
        </w:rPr>
      </w:pPr>
      <w:r>
        <w:rPr>
          <w:rFonts w:hint="eastAsia" w:ascii="宋体" w:hAnsi="宋体" w:cs="宋体"/>
          <w:b/>
          <w:highlight w:val="none"/>
          <w:lang w:bidi="ar"/>
        </w:rPr>
        <w:t>3. 监理依据</w:t>
      </w:r>
      <w:r>
        <w:rPr>
          <w:rFonts w:hint="eastAsia" w:ascii="宋体" w:hAnsi="宋体" w:cs="宋体"/>
          <w:highlight w:val="none"/>
          <w:lang w:bidi="ar"/>
        </w:rPr>
        <w:t>：</w:t>
      </w:r>
      <w:r>
        <w:rPr>
          <w:rFonts w:hint="eastAsia" w:ascii="宋体" w:hAnsi="宋体" w:cs="宋体"/>
          <w:highlight w:val="none"/>
          <w:u w:val="single"/>
          <w:lang w:bidi="ar"/>
        </w:rPr>
        <w:t>（1）中华人民共和国的法律、法规、本合同约定的部门规章及工程所在地的地方法规和规章；（2）《建设工程监理规范》（GB/T 50319-2013）；（3）国家和地方现行的建设工程质量评定标准、设计及施工验收规范；（4）经批准的施工图纸及说明，以及经图纸会审确定的修改设计通知书；（5）本合同工程的设计、施工、安装等的招投标文件及合同；（6）委托人发出的有关本合同工程建设的指令；（7）委托人制定的有关本合同工程建设的管理制度。详见监理合同</w:t>
      </w:r>
    </w:p>
    <w:p w14:paraId="6DCBF6CA">
      <w:pPr>
        <w:kinsoku w:val="0"/>
        <w:overflowPunct w:val="0"/>
        <w:spacing w:beforeAutospacing="1" w:afterAutospacing="1" w:line="360" w:lineRule="auto"/>
        <w:ind w:firstLine="482" w:firstLineChars="200"/>
        <w:jc w:val="both"/>
        <w:rPr>
          <w:rFonts w:ascii="宋体" w:hAnsi="宋体" w:cs="宋体"/>
          <w:b/>
          <w:highlight w:val="none"/>
        </w:rPr>
      </w:pPr>
      <w:r>
        <w:rPr>
          <w:rFonts w:hint="eastAsia" w:ascii="宋体" w:hAnsi="宋体" w:cs="宋体"/>
          <w:b/>
          <w:highlight w:val="none"/>
          <w:lang w:bidi="ar"/>
        </w:rPr>
        <w:t>4. 监理人员和试验检测仪器设备要求：</w:t>
      </w:r>
    </w:p>
    <w:p w14:paraId="3859FBFF">
      <w:pPr>
        <w:kinsoku w:val="0"/>
        <w:overflowPunct w:val="0"/>
        <w:spacing w:beforeAutospacing="1" w:afterAutospacing="1" w:line="360" w:lineRule="auto"/>
        <w:ind w:firstLine="480" w:firstLineChars="200"/>
        <w:jc w:val="both"/>
        <w:rPr>
          <w:rFonts w:ascii="宋体" w:hAnsi="宋体" w:cs="宋体"/>
          <w:kern w:val="2"/>
          <w:sz w:val="21"/>
          <w:szCs w:val="21"/>
          <w:highlight w:val="none"/>
        </w:rPr>
      </w:pPr>
      <w:r>
        <w:rPr>
          <w:rFonts w:ascii="宋体" w:hAnsi="宋体" w:cs="宋体"/>
          <w:highlight w:val="none"/>
          <w:u w:val="single"/>
          <w:lang w:bidi="ar"/>
        </w:rPr>
        <w:t>监理人员要求：</w:t>
      </w:r>
      <w:r>
        <w:rPr>
          <w:rFonts w:hint="eastAsia" w:ascii="宋体" w:hAnsi="宋体" w:cs="宋体"/>
          <w:highlight w:val="none"/>
          <w:u w:val="single"/>
          <w:lang w:bidi="ar"/>
        </w:rPr>
        <w:t>监理部总监理工程师、专业监理工程师、监理员等均纳入现场被考勤范围，以上人员必须是监理企业投标文件及合同备案时所承诺配置的监理部管理人员，不得挂名虚设，不得随意更换，现场管理组核实管理架构内是否有无岗位证书、无资格证人员。</w:t>
      </w:r>
    </w:p>
    <w:p w14:paraId="13045553">
      <w:pPr>
        <w:spacing w:line="360" w:lineRule="auto"/>
        <w:rPr>
          <w:rFonts w:ascii="宋体" w:hAnsi="宋体" w:cs="宋体"/>
          <w:b/>
          <w:highlight w:val="none"/>
          <w:lang w:bidi="ar"/>
        </w:rPr>
      </w:pPr>
      <w:r>
        <w:rPr>
          <w:rFonts w:hint="eastAsia" w:ascii="宋体" w:hAnsi="宋体" w:cs="宋体"/>
          <w:b/>
          <w:highlight w:val="none"/>
          <w:lang w:bidi="ar"/>
        </w:rPr>
        <w:t xml:space="preserve"> 4.2试验检测仪器设备</w:t>
      </w:r>
      <w:r>
        <w:rPr>
          <w:rFonts w:ascii="宋体" w:hAnsi="宋体" w:cs="宋体"/>
          <w:b/>
          <w:highlight w:val="none"/>
          <w:lang w:bidi="ar"/>
        </w:rPr>
        <w:t>基本要求</w:t>
      </w:r>
      <w:r>
        <w:rPr>
          <w:rFonts w:hint="eastAsia" w:ascii="宋体" w:hAnsi="宋体" w:cs="宋体"/>
          <w:b/>
          <w:highlight w:val="none"/>
          <w:lang w:bidi="ar"/>
        </w:rPr>
        <w:t>：</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857"/>
        <w:gridCol w:w="1857"/>
        <w:gridCol w:w="1858"/>
        <w:gridCol w:w="1858"/>
      </w:tblGrid>
      <w:tr w14:paraId="5818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14:paraId="74FF563A">
            <w:pPr>
              <w:spacing w:line="360" w:lineRule="auto"/>
              <w:jc w:val="center"/>
              <w:rPr>
                <w:rFonts w:ascii="宋体" w:hAnsi="宋体" w:cs="宋体"/>
                <w:bCs/>
                <w:highlight w:val="none"/>
                <w:lang w:bidi="ar"/>
              </w:rPr>
            </w:pPr>
            <w:r>
              <w:rPr>
                <w:rFonts w:ascii="宋体" w:hAnsi="宋体" w:cs="宋体"/>
                <w:bCs/>
                <w:highlight w:val="none"/>
                <w:lang w:bidi="ar"/>
              </w:rPr>
              <w:t>序号</w:t>
            </w:r>
          </w:p>
        </w:tc>
        <w:tc>
          <w:tcPr>
            <w:tcW w:w="1857" w:type="dxa"/>
            <w:vAlign w:val="center"/>
          </w:tcPr>
          <w:p w14:paraId="2DD48BC1">
            <w:pPr>
              <w:spacing w:line="360" w:lineRule="auto"/>
              <w:jc w:val="center"/>
              <w:rPr>
                <w:rFonts w:ascii="宋体" w:hAnsi="宋体" w:cs="宋体"/>
                <w:bCs/>
                <w:highlight w:val="none"/>
                <w:lang w:bidi="ar"/>
              </w:rPr>
            </w:pPr>
            <w:r>
              <w:rPr>
                <w:rFonts w:ascii="宋体" w:hAnsi="宋体" w:cs="宋体"/>
                <w:bCs/>
                <w:highlight w:val="none"/>
                <w:lang w:bidi="ar"/>
              </w:rPr>
              <w:t>仪器设备名称</w:t>
            </w:r>
          </w:p>
        </w:tc>
        <w:tc>
          <w:tcPr>
            <w:tcW w:w="1857" w:type="dxa"/>
            <w:vAlign w:val="center"/>
          </w:tcPr>
          <w:p w14:paraId="19A21F81">
            <w:pPr>
              <w:spacing w:line="360" w:lineRule="auto"/>
              <w:jc w:val="center"/>
              <w:rPr>
                <w:rFonts w:ascii="宋体" w:hAnsi="宋体" w:cs="宋体"/>
                <w:bCs/>
                <w:highlight w:val="none"/>
                <w:lang w:bidi="ar"/>
              </w:rPr>
            </w:pPr>
            <w:r>
              <w:rPr>
                <w:rFonts w:ascii="宋体" w:hAnsi="宋体" w:cs="宋体"/>
                <w:bCs/>
                <w:highlight w:val="none"/>
                <w:lang w:bidi="ar"/>
              </w:rPr>
              <w:t>规格</w:t>
            </w:r>
          </w:p>
        </w:tc>
        <w:tc>
          <w:tcPr>
            <w:tcW w:w="1858" w:type="dxa"/>
            <w:vAlign w:val="center"/>
          </w:tcPr>
          <w:p w14:paraId="414D0782">
            <w:pPr>
              <w:spacing w:line="360" w:lineRule="auto"/>
              <w:jc w:val="center"/>
              <w:rPr>
                <w:rFonts w:ascii="宋体" w:hAnsi="宋体" w:cs="宋体"/>
                <w:bCs/>
                <w:highlight w:val="none"/>
                <w:lang w:bidi="ar"/>
              </w:rPr>
            </w:pPr>
            <w:r>
              <w:rPr>
                <w:rFonts w:ascii="宋体" w:hAnsi="宋体" w:cs="宋体"/>
                <w:bCs/>
                <w:highlight w:val="none"/>
                <w:lang w:bidi="ar"/>
              </w:rPr>
              <w:t>数量</w:t>
            </w:r>
          </w:p>
        </w:tc>
        <w:tc>
          <w:tcPr>
            <w:tcW w:w="1858" w:type="dxa"/>
            <w:vAlign w:val="center"/>
          </w:tcPr>
          <w:p w14:paraId="457E34E0">
            <w:pPr>
              <w:spacing w:line="360" w:lineRule="auto"/>
              <w:jc w:val="center"/>
              <w:rPr>
                <w:rFonts w:ascii="宋体" w:hAnsi="宋体" w:cs="宋体"/>
                <w:bCs/>
                <w:highlight w:val="none"/>
                <w:lang w:bidi="ar"/>
              </w:rPr>
            </w:pPr>
            <w:r>
              <w:rPr>
                <w:rFonts w:ascii="宋体" w:hAnsi="宋体" w:cs="宋体"/>
                <w:bCs/>
                <w:highlight w:val="none"/>
                <w:lang w:bidi="ar"/>
              </w:rPr>
              <w:t>备注</w:t>
            </w:r>
          </w:p>
        </w:tc>
      </w:tr>
      <w:tr w14:paraId="7F24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14:paraId="67615110">
            <w:pPr>
              <w:spacing w:line="360" w:lineRule="auto"/>
              <w:jc w:val="center"/>
              <w:rPr>
                <w:rFonts w:ascii="宋体" w:hAnsi="宋体" w:cs="宋体"/>
                <w:bCs/>
                <w:highlight w:val="none"/>
                <w:lang w:bidi="ar"/>
              </w:rPr>
            </w:pPr>
            <w:r>
              <w:rPr>
                <w:rFonts w:ascii="宋体" w:hAnsi="宋体" w:cs="宋体"/>
                <w:bCs/>
                <w:highlight w:val="none"/>
                <w:lang w:bidi="ar"/>
              </w:rPr>
              <w:t>1</w:t>
            </w:r>
          </w:p>
        </w:tc>
        <w:tc>
          <w:tcPr>
            <w:tcW w:w="1857" w:type="dxa"/>
            <w:vAlign w:val="center"/>
          </w:tcPr>
          <w:p w14:paraId="399EB10E">
            <w:pPr>
              <w:spacing w:line="360" w:lineRule="auto"/>
              <w:jc w:val="center"/>
              <w:rPr>
                <w:rFonts w:ascii="宋体" w:hAnsi="宋体" w:cs="宋体"/>
                <w:bCs/>
                <w:highlight w:val="none"/>
                <w:lang w:bidi="ar"/>
              </w:rPr>
            </w:pPr>
            <w:r>
              <w:rPr>
                <w:rFonts w:ascii="宋体" w:hAnsi="宋体" w:cs="宋体"/>
                <w:bCs/>
                <w:highlight w:val="none"/>
                <w:lang w:bidi="ar"/>
              </w:rPr>
              <w:t>回弹仪</w:t>
            </w:r>
          </w:p>
        </w:tc>
        <w:tc>
          <w:tcPr>
            <w:tcW w:w="1857" w:type="dxa"/>
            <w:vAlign w:val="center"/>
          </w:tcPr>
          <w:p w14:paraId="5C53A3A9">
            <w:pPr>
              <w:spacing w:line="360" w:lineRule="auto"/>
              <w:jc w:val="center"/>
              <w:rPr>
                <w:rFonts w:ascii="宋体" w:hAnsi="宋体" w:cs="宋体"/>
                <w:bCs/>
                <w:highlight w:val="none"/>
                <w:lang w:bidi="ar"/>
              </w:rPr>
            </w:pPr>
            <w:r>
              <w:rPr>
                <w:rFonts w:ascii="宋体" w:hAnsi="宋体" w:cs="宋体"/>
                <w:bCs/>
                <w:highlight w:val="none"/>
                <w:lang w:bidi="ar"/>
              </w:rPr>
              <w:t>/</w:t>
            </w:r>
          </w:p>
        </w:tc>
        <w:tc>
          <w:tcPr>
            <w:tcW w:w="1858" w:type="dxa"/>
            <w:vAlign w:val="center"/>
          </w:tcPr>
          <w:p w14:paraId="2F1058ED">
            <w:pPr>
              <w:spacing w:line="360" w:lineRule="auto"/>
              <w:jc w:val="center"/>
              <w:rPr>
                <w:rFonts w:ascii="宋体" w:hAnsi="宋体" w:cs="宋体"/>
                <w:bCs/>
                <w:highlight w:val="none"/>
                <w:lang w:bidi="ar"/>
              </w:rPr>
            </w:pPr>
            <w:r>
              <w:rPr>
                <w:rFonts w:ascii="宋体" w:hAnsi="宋体" w:cs="宋体"/>
                <w:bCs/>
                <w:highlight w:val="none"/>
                <w:lang w:bidi="ar"/>
              </w:rPr>
              <w:t>1</w:t>
            </w:r>
          </w:p>
        </w:tc>
        <w:tc>
          <w:tcPr>
            <w:tcW w:w="1858" w:type="dxa"/>
            <w:vAlign w:val="center"/>
          </w:tcPr>
          <w:p w14:paraId="0A70587A">
            <w:pPr>
              <w:spacing w:line="360" w:lineRule="auto"/>
              <w:jc w:val="center"/>
              <w:rPr>
                <w:rFonts w:ascii="宋体" w:hAnsi="宋体" w:cs="宋体"/>
                <w:bCs/>
                <w:highlight w:val="none"/>
                <w:lang w:bidi="ar"/>
              </w:rPr>
            </w:pPr>
          </w:p>
        </w:tc>
      </w:tr>
      <w:tr w14:paraId="6818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14:paraId="0961E98C">
            <w:pPr>
              <w:spacing w:line="360" w:lineRule="auto"/>
              <w:jc w:val="center"/>
              <w:rPr>
                <w:rFonts w:ascii="宋体" w:hAnsi="宋体" w:cs="宋体"/>
                <w:bCs/>
                <w:highlight w:val="none"/>
                <w:lang w:bidi="ar"/>
              </w:rPr>
            </w:pPr>
            <w:r>
              <w:rPr>
                <w:rFonts w:ascii="宋体" w:hAnsi="宋体" w:cs="宋体"/>
                <w:bCs/>
                <w:highlight w:val="none"/>
                <w:lang w:bidi="ar"/>
              </w:rPr>
              <w:t>2</w:t>
            </w:r>
          </w:p>
        </w:tc>
        <w:tc>
          <w:tcPr>
            <w:tcW w:w="1857" w:type="dxa"/>
            <w:vAlign w:val="center"/>
          </w:tcPr>
          <w:p w14:paraId="53937C85">
            <w:pPr>
              <w:spacing w:line="360" w:lineRule="auto"/>
              <w:jc w:val="center"/>
              <w:rPr>
                <w:rFonts w:ascii="宋体" w:hAnsi="宋体" w:cs="宋体"/>
                <w:bCs/>
                <w:highlight w:val="none"/>
                <w:lang w:bidi="ar"/>
              </w:rPr>
            </w:pPr>
            <w:r>
              <w:rPr>
                <w:rFonts w:ascii="宋体" w:hAnsi="宋体" w:cs="宋体"/>
                <w:bCs/>
                <w:highlight w:val="none"/>
                <w:lang w:bidi="ar"/>
              </w:rPr>
              <w:t>砼坍落度筒</w:t>
            </w:r>
          </w:p>
        </w:tc>
        <w:tc>
          <w:tcPr>
            <w:tcW w:w="1857" w:type="dxa"/>
            <w:vAlign w:val="center"/>
          </w:tcPr>
          <w:p w14:paraId="2B64F6CC">
            <w:pPr>
              <w:spacing w:line="360" w:lineRule="auto"/>
              <w:jc w:val="center"/>
              <w:rPr>
                <w:rFonts w:ascii="宋体" w:hAnsi="宋体" w:cs="宋体"/>
                <w:bCs/>
                <w:highlight w:val="none"/>
                <w:lang w:bidi="ar"/>
              </w:rPr>
            </w:pPr>
            <w:r>
              <w:rPr>
                <w:rFonts w:ascii="宋体" w:hAnsi="宋体" w:cs="宋体"/>
                <w:bCs/>
                <w:highlight w:val="none"/>
                <w:lang w:bidi="ar"/>
              </w:rPr>
              <w:t>/</w:t>
            </w:r>
          </w:p>
        </w:tc>
        <w:tc>
          <w:tcPr>
            <w:tcW w:w="1858" w:type="dxa"/>
            <w:vAlign w:val="center"/>
          </w:tcPr>
          <w:p w14:paraId="1DCE8E65">
            <w:pPr>
              <w:spacing w:line="360" w:lineRule="auto"/>
              <w:jc w:val="center"/>
              <w:rPr>
                <w:rFonts w:ascii="宋体" w:hAnsi="宋体" w:cs="宋体"/>
                <w:bCs/>
                <w:highlight w:val="none"/>
                <w:lang w:bidi="ar"/>
              </w:rPr>
            </w:pPr>
            <w:r>
              <w:rPr>
                <w:rFonts w:ascii="宋体" w:hAnsi="宋体" w:cs="宋体"/>
                <w:bCs/>
                <w:highlight w:val="none"/>
                <w:lang w:bidi="ar"/>
              </w:rPr>
              <w:t>1</w:t>
            </w:r>
          </w:p>
        </w:tc>
        <w:tc>
          <w:tcPr>
            <w:tcW w:w="1858" w:type="dxa"/>
            <w:vAlign w:val="center"/>
          </w:tcPr>
          <w:p w14:paraId="304B256D">
            <w:pPr>
              <w:spacing w:line="360" w:lineRule="auto"/>
              <w:jc w:val="center"/>
              <w:rPr>
                <w:rFonts w:ascii="宋体" w:hAnsi="宋体" w:cs="宋体"/>
                <w:bCs/>
                <w:highlight w:val="none"/>
                <w:lang w:bidi="ar"/>
              </w:rPr>
            </w:pPr>
          </w:p>
        </w:tc>
      </w:tr>
      <w:tr w14:paraId="2BE5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14:paraId="2D045049">
            <w:pPr>
              <w:spacing w:line="360" w:lineRule="auto"/>
              <w:jc w:val="center"/>
              <w:rPr>
                <w:rFonts w:ascii="宋体" w:hAnsi="宋体" w:cs="宋体"/>
                <w:bCs/>
                <w:highlight w:val="none"/>
                <w:lang w:bidi="ar"/>
              </w:rPr>
            </w:pPr>
            <w:r>
              <w:rPr>
                <w:rFonts w:ascii="宋体" w:hAnsi="宋体" w:cs="宋体"/>
                <w:bCs/>
                <w:highlight w:val="none"/>
                <w:lang w:bidi="ar"/>
              </w:rPr>
              <w:t>3</w:t>
            </w:r>
          </w:p>
        </w:tc>
        <w:tc>
          <w:tcPr>
            <w:tcW w:w="1857" w:type="dxa"/>
            <w:vAlign w:val="center"/>
          </w:tcPr>
          <w:p w14:paraId="4CE70E5B">
            <w:pPr>
              <w:spacing w:line="360" w:lineRule="auto"/>
              <w:jc w:val="center"/>
              <w:rPr>
                <w:rFonts w:ascii="宋体" w:hAnsi="宋体" w:cs="宋体"/>
                <w:bCs/>
                <w:highlight w:val="none"/>
                <w:lang w:bidi="ar"/>
              </w:rPr>
            </w:pPr>
            <w:r>
              <w:rPr>
                <w:rFonts w:ascii="宋体" w:hAnsi="宋体" w:cs="宋体"/>
                <w:bCs/>
                <w:highlight w:val="none"/>
                <w:lang w:bidi="ar"/>
              </w:rPr>
              <w:t>检测尺</w:t>
            </w:r>
          </w:p>
        </w:tc>
        <w:tc>
          <w:tcPr>
            <w:tcW w:w="1857" w:type="dxa"/>
            <w:vAlign w:val="center"/>
          </w:tcPr>
          <w:p w14:paraId="75A50229">
            <w:pPr>
              <w:spacing w:line="360" w:lineRule="auto"/>
              <w:jc w:val="center"/>
              <w:rPr>
                <w:rFonts w:ascii="宋体" w:hAnsi="宋体" w:cs="宋体"/>
                <w:bCs/>
                <w:highlight w:val="none"/>
                <w:lang w:bidi="ar"/>
              </w:rPr>
            </w:pPr>
            <w:r>
              <w:rPr>
                <w:rFonts w:ascii="宋体" w:hAnsi="宋体" w:cs="宋体"/>
                <w:bCs/>
                <w:highlight w:val="none"/>
                <w:lang w:bidi="ar"/>
              </w:rPr>
              <w:t>/</w:t>
            </w:r>
          </w:p>
        </w:tc>
        <w:tc>
          <w:tcPr>
            <w:tcW w:w="1858" w:type="dxa"/>
            <w:vAlign w:val="center"/>
          </w:tcPr>
          <w:p w14:paraId="3422B946">
            <w:pPr>
              <w:spacing w:line="360" w:lineRule="auto"/>
              <w:jc w:val="center"/>
              <w:rPr>
                <w:rFonts w:ascii="宋体" w:hAnsi="宋体" w:cs="宋体"/>
                <w:bCs/>
                <w:highlight w:val="none"/>
                <w:lang w:bidi="ar"/>
              </w:rPr>
            </w:pPr>
            <w:r>
              <w:rPr>
                <w:rFonts w:ascii="宋体" w:hAnsi="宋体" w:cs="宋体"/>
                <w:bCs/>
                <w:highlight w:val="none"/>
                <w:lang w:bidi="ar"/>
              </w:rPr>
              <w:t>1</w:t>
            </w:r>
          </w:p>
        </w:tc>
        <w:tc>
          <w:tcPr>
            <w:tcW w:w="1858" w:type="dxa"/>
            <w:vAlign w:val="center"/>
          </w:tcPr>
          <w:p w14:paraId="72731619">
            <w:pPr>
              <w:spacing w:line="360" w:lineRule="auto"/>
              <w:jc w:val="center"/>
              <w:rPr>
                <w:rFonts w:ascii="宋体" w:hAnsi="宋体" w:cs="宋体"/>
                <w:bCs/>
                <w:highlight w:val="none"/>
                <w:lang w:bidi="ar"/>
              </w:rPr>
            </w:pPr>
          </w:p>
        </w:tc>
      </w:tr>
      <w:tr w14:paraId="2EAD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14:paraId="362CFE1D">
            <w:pPr>
              <w:spacing w:line="360" w:lineRule="auto"/>
              <w:jc w:val="center"/>
              <w:rPr>
                <w:rFonts w:ascii="宋体" w:hAnsi="宋体" w:cs="宋体"/>
                <w:bCs/>
                <w:highlight w:val="none"/>
                <w:lang w:bidi="ar"/>
              </w:rPr>
            </w:pPr>
            <w:r>
              <w:rPr>
                <w:rFonts w:ascii="宋体" w:hAnsi="宋体" w:cs="宋体"/>
                <w:bCs/>
                <w:highlight w:val="none"/>
                <w:lang w:bidi="ar"/>
              </w:rPr>
              <w:t>4</w:t>
            </w:r>
          </w:p>
        </w:tc>
        <w:tc>
          <w:tcPr>
            <w:tcW w:w="1857" w:type="dxa"/>
            <w:vAlign w:val="center"/>
          </w:tcPr>
          <w:p w14:paraId="3C856CAE">
            <w:pPr>
              <w:spacing w:line="360" w:lineRule="auto"/>
              <w:jc w:val="center"/>
              <w:rPr>
                <w:rFonts w:ascii="宋体" w:hAnsi="宋体" w:cs="宋体"/>
                <w:bCs/>
                <w:highlight w:val="none"/>
                <w:lang w:bidi="ar"/>
              </w:rPr>
            </w:pPr>
            <w:r>
              <w:rPr>
                <w:rFonts w:ascii="宋体" w:hAnsi="宋体" w:cs="宋体"/>
                <w:bCs/>
                <w:highlight w:val="none"/>
                <w:lang w:bidi="ar"/>
              </w:rPr>
              <w:t>卷尺</w:t>
            </w:r>
          </w:p>
        </w:tc>
        <w:tc>
          <w:tcPr>
            <w:tcW w:w="1857" w:type="dxa"/>
            <w:vAlign w:val="center"/>
          </w:tcPr>
          <w:p w14:paraId="09EFF5F7">
            <w:pPr>
              <w:spacing w:line="360" w:lineRule="auto"/>
              <w:jc w:val="center"/>
              <w:rPr>
                <w:rFonts w:ascii="宋体" w:hAnsi="宋体" w:cs="宋体"/>
                <w:bCs/>
                <w:highlight w:val="none"/>
                <w:lang w:bidi="ar"/>
              </w:rPr>
            </w:pPr>
            <w:r>
              <w:rPr>
                <w:rFonts w:ascii="宋体" w:hAnsi="宋体" w:cs="宋体"/>
                <w:bCs/>
                <w:highlight w:val="none"/>
                <w:lang w:bidi="ar"/>
              </w:rPr>
              <w:t>/</w:t>
            </w:r>
          </w:p>
        </w:tc>
        <w:tc>
          <w:tcPr>
            <w:tcW w:w="1858" w:type="dxa"/>
            <w:vAlign w:val="center"/>
          </w:tcPr>
          <w:p w14:paraId="51D94D92">
            <w:pPr>
              <w:spacing w:line="360" w:lineRule="auto"/>
              <w:jc w:val="center"/>
              <w:rPr>
                <w:rFonts w:ascii="宋体" w:hAnsi="宋体" w:cs="宋体"/>
                <w:bCs/>
                <w:highlight w:val="none"/>
                <w:lang w:bidi="ar"/>
              </w:rPr>
            </w:pPr>
            <w:r>
              <w:rPr>
                <w:rFonts w:ascii="宋体" w:hAnsi="宋体" w:cs="宋体"/>
                <w:bCs/>
                <w:highlight w:val="none"/>
                <w:lang w:bidi="ar"/>
              </w:rPr>
              <w:t>1</w:t>
            </w:r>
          </w:p>
        </w:tc>
        <w:tc>
          <w:tcPr>
            <w:tcW w:w="1858" w:type="dxa"/>
            <w:vAlign w:val="center"/>
          </w:tcPr>
          <w:p w14:paraId="4AC2B3D4">
            <w:pPr>
              <w:spacing w:line="360" w:lineRule="auto"/>
              <w:jc w:val="center"/>
              <w:rPr>
                <w:rFonts w:ascii="宋体" w:hAnsi="宋体" w:cs="宋体"/>
                <w:bCs/>
                <w:highlight w:val="none"/>
                <w:lang w:bidi="ar"/>
              </w:rPr>
            </w:pPr>
          </w:p>
        </w:tc>
      </w:tr>
    </w:tbl>
    <w:p w14:paraId="2212569F">
      <w:pPr>
        <w:numPr>
          <w:ilvl w:val="255"/>
          <w:numId w:val="0"/>
        </w:numPr>
        <w:kinsoku w:val="0"/>
        <w:overflowPunct w:val="0"/>
        <w:spacing w:beforeAutospacing="1" w:afterAutospacing="1" w:line="360" w:lineRule="auto"/>
        <w:ind w:firstLine="482" w:firstLineChars="200"/>
        <w:rPr>
          <w:rFonts w:ascii="宋体" w:hAnsi="宋体" w:cs="宋体"/>
          <w:b/>
          <w:highlight w:val="none"/>
        </w:rPr>
      </w:pPr>
      <w:r>
        <w:rPr>
          <w:rFonts w:ascii="宋体" w:hAnsi="宋体" w:cs="宋体"/>
          <w:b/>
          <w:highlight w:val="none"/>
          <w:lang w:bidi="ar"/>
        </w:rPr>
        <w:t>5.</w:t>
      </w:r>
      <w:r>
        <w:rPr>
          <w:rFonts w:hint="eastAsia" w:ascii="宋体" w:hAnsi="宋体" w:cs="宋体"/>
          <w:b/>
          <w:highlight w:val="none"/>
          <w:lang w:bidi="ar"/>
        </w:rPr>
        <w:t>其他要求：</w:t>
      </w:r>
    </w:p>
    <w:p w14:paraId="389EB96B">
      <w:pPr>
        <w:kinsoku w:val="0"/>
        <w:overflowPunct w:val="0"/>
        <w:spacing w:beforeAutospacing="1" w:afterAutospacing="1" w:line="360" w:lineRule="auto"/>
        <w:ind w:firstLine="482" w:firstLineChars="200"/>
        <w:jc w:val="both"/>
        <w:rPr>
          <w:rFonts w:ascii="宋体" w:hAnsi="宋体" w:cs="宋体"/>
          <w:b/>
          <w:highlight w:val="none"/>
          <w:u w:val="single"/>
        </w:rPr>
      </w:pPr>
      <w:r>
        <w:rPr>
          <w:rFonts w:hint="eastAsia" w:ascii="宋体" w:hAnsi="宋体" w:cs="宋体"/>
          <w:b/>
          <w:highlight w:val="none"/>
          <w:u w:val="single"/>
          <w:lang w:bidi="ar"/>
        </w:rPr>
        <w:t>5.1施工监理内容和服务期限</w:t>
      </w:r>
    </w:p>
    <w:p w14:paraId="7EFC1D48">
      <w:pPr>
        <w:kinsoku w:val="0"/>
        <w:overflowPunct w:val="0"/>
        <w:spacing w:beforeAutospacing="1" w:afterAutospacing="1" w:line="360" w:lineRule="auto"/>
        <w:ind w:firstLine="480" w:firstLineChars="200"/>
        <w:jc w:val="both"/>
        <w:rPr>
          <w:rFonts w:ascii="宋体" w:hAnsi="宋体" w:cs="宋体"/>
          <w:highlight w:val="none"/>
          <w:u w:val="single"/>
        </w:rPr>
      </w:pPr>
      <w:r>
        <w:rPr>
          <w:rFonts w:hint="eastAsia" w:ascii="宋体" w:hAnsi="宋体" w:cs="宋体"/>
          <w:highlight w:val="none"/>
          <w:u w:val="single"/>
          <w:lang w:bidi="ar"/>
        </w:rPr>
        <w:t>从中标人收到招标人中标通知或参加由招标人组织的进场动员会开始算起，至本项目工程质量保修期结束且本合同工程结算金额经政府主管部门审定之日止。</w:t>
      </w:r>
    </w:p>
    <w:p w14:paraId="456060EA">
      <w:pPr>
        <w:kinsoku w:val="0"/>
        <w:overflowPunct w:val="0"/>
        <w:spacing w:beforeAutospacing="1" w:afterAutospacing="1" w:line="360" w:lineRule="auto"/>
        <w:ind w:firstLine="482" w:firstLineChars="200"/>
        <w:jc w:val="both"/>
        <w:rPr>
          <w:rFonts w:ascii="宋体" w:hAnsi="宋体" w:cs="宋体"/>
          <w:b/>
          <w:highlight w:val="none"/>
          <w:u w:val="single"/>
        </w:rPr>
      </w:pPr>
      <w:r>
        <w:rPr>
          <w:rFonts w:hint="eastAsia" w:ascii="宋体" w:hAnsi="宋体" w:cs="宋体"/>
          <w:b/>
          <w:highlight w:val="none"/>
          <w:u w:val="single"/>
          <w:lang w:bidi="ar"/>
        </w:rPr>
        <w:t>5.2质量目标、职业健康安全管理目标、环境管理目标</w:t>
      </w:r>
    </w:p>
    <w:p w14:paraId="163E395B">
      <w:pPr>
        <w:kinsoku w:val="0"/>
        <w:overflowPunct w:val="0"/>
        <w:spacing w:beforeAutospacing="1" w:afterAutospacing="1" w:line="360" w:lineRule="auto"/>
        <w:ind w:firstLine="480" w:firstLineChars="200"/>
        <w:jc w:val="both"/>
        <w:rPr>
          <w:rFonts w:ascii="宋体" w:hAnsi="宋体" w:cs="宋体"/>
          <w:highlight w:val="none"/>
          <w:u w:val="single"/>
        </w:rPr>
      </w:pPr>
      <w:r>
        <w:rPr>
          <w:rFonts w:hint="eastAsia" w:ascii="宋体" w:hAnsi="宋体" w:cs="宋体"/>
          <w:highlight w:val="none"/>
          <w:u w:val="single"/>
          <w:lang w:bidi="ar"/>
        </w:rPr>
        <w:t>1. 质量目标：达到施工合同确定的质量目标；一次性验收合格，符合国家现行质量验收标准。</w:t>
      </w:r>
    </w:p>
    <w:p w14:paraId="768C1B30">
      <w:pPr>
        <w:kinsoku w:val="0"/>
        <w:overflowPunct w:val="0"/>
        <w:spacing w:beforeAutospacing="1" w:afterAutospacing="1" w:line="360" w:lineRule="auto"/>
        <w:ind w:firstLine="480" w:firstLineChars="200"/>
        <w:jc w:val="both"/>
        <w:rPr>
          <w:rFonts w:ascii="宋体" w:hAnsi="宋体" w:cs="宋体"/>
          <w:highlight w:val="none"/>
          <w:u w:val="single"/>
        </w:rPr>
      </w:pPr>
      <w:r>
        <w:rPr>
          <w:rFonts w:hint="eastAsia" w:ascii="宋体" w:hAnsi="宋体" w:cs="宋体"/>
          <w:highlight w:val="none"/>
          <w:u w:val="single"/>
          <w:lang w:bidi="ar"/>
        </w:rPr>
        <w:t>2. 职业健康安全管理目标：杜绝发生一般事故等级及以上的伤亡事故且工伤责任事故死亡人数为零。</w:t>
      </w:r>
    </w:p>
    <w:p w14:paraId="2B26582E">
      <w:pPr>
        <w:kinsoku w:val="0"/>
        <w:overflowPunct w:val="0"/>
        <w:spacing w:beforeAutospacing="1" w:afterAutospacing="1" w:line="360" w:lineRule="auto"/>
        <w:ind w:firstLine="480" w:firstLineChars="200"/>
        <w:jc w:val="both"/>
        <w:rPr>
          <w:rFonts w:ascii="宋体" w:hAnsi="宋体" w:cs="宋体"/>
          <w:highlight w:val="none"/>
          <w:u w:val="single"/>
        </w:rPr>
      </w:pPr>
      <w:r>
        <w:rPr>
          <w:rFonts w:hint="eastAsia" w:ascii="宋体" w:hAnsi="宋体" w:cs="宋体"/>
          <w:highlight w:val="none"/>
          <w:u w:val="single"/>
          <w:lang w:bidi="ar"/>
        </w:rPr>
        <w:t>3. 环境目标：严格执行《广州市建设工程现场文明施工管理办法》（穗建质〔2008〕937号）、《广州市建设工程文明施工管理规定》（广州市人民政府令第62号令）、《关于进一步规范建设工程施工现场围蔽的通知》（穗建质〔2008〕1008号）。</w:t>
      </w:r>
    </w:p>
    <w:p w14:paraId="5F8D31ED">
      <w:pPr>
        <w:kinsoku w:val="0"/>
        <w:overflowPunct w:val="0"/>
        <w:spacing w:beforeAutospacing="1" w:afterAutospacing="1" w:line="360" w:lineRule="auto"/>
        <w:ind w:firstLine="482" w:firstLineChars="200"/>
        <w:jc w:val="both"/>
        <w:rPr>
          <w:rFonts w:ascii="宋体" w:hAnsi="宋体" w:cs="宋体"/>
          <w:b/>
          <w:highlight w:val="none"/>
          <w:u w:val="single"/>
          <w:lang w:bidi="ar"/>
        </w:rPr>
      </w:pPr>
      <w:r>
        <w:rPr>
          <w:rFonts w:ascii="宋体" w:hAnsi="宋体" w:cs="宋体"/>
          <w:b/>
          <w:highlight w:val="none"/>
          <w:u w:val="single"/>
          <w:lang w:bidi="ar"/>
        </w:rPr>
        <w:t>5.3</w:t>
      </w:r>
      <w:r>
        <w:rPr>
          <w:rFonts w:hint="eastAsia" w:ascii="宋体" w:hAnsi="宋体" w:cs="宋体"/>
          <w:b/>
          <w:highlight w:val="none"/>
          <w:u w:val="single"/>
          <w:lang w:bidi="ar"/>
        </w:rPr>
        <w:t>监理管理工作总体要求</w:t>
      </w:r>
    </w:p>
    <w:p w14:paraId="2FE9D312">
      <w:pPr>
        <w:kinsoku w:val="0"/>
        <w:overflowPunct w:val="0"/>
        <w:spacing w:beforeAutospacing="1" w:afterAutospacing="1" w:line="360" w:lineRule="auto"/>
        <w:ind w:firstLine="480" w:firstLineChars="200"/>
        <w:jc w:val="both"/>
        <w:rPr>
          <w:rFonts w:ascii="宋体" w:hAnsi="宋体" w:cs="宋体"/>
          <w:highlight w:val="none"/>
          <w:u w:val="single"/>
        </w:rPr>
      </w:pPr>
      <w:r>
        <w:rPr>
          <w:rFonts w:hint="eastAsia" w:ascii="宋体" w:hAnsi="宋体" w:cs="宋体"/>
          <w:highlight w:val="none"/>
          <w:u w:val="single"/>
          <w:lang w:bidi="ar"/>
        </w:rPr>
        <w:t>1.按照“守法、诚信、公正、科学”的准则执业。正确执行国家法律法规、行业及地方有关工程建设的法规、规章和规程、规范、标准和制度，履行监理合同规定的职责。</w:t>
      </w:r>
    </w:p>
    <w:p w14:paraId="292F27EC">
      <w:pPr>
        <w:kinsoku w:val="0"/>
        <w:overflowPunct w:val="0"/>
        <w:spacing w:beforeAutospacing="1" w:afterAutospacing="1" w:line="360" w:lineRule="auto"/>
        <w:ind w:firstLine="480" w:firstLineChars="200"/>
        <w:jc w:val="both"/>
        <w:rPr>
          <w:rFonts w:ascii="宋体" w:hAnsi="宋体" w:cs="宋体"/>
          <w:highlight w:val="none"/>
          <w:u w:val="single"/>
        </w:rPr>
      </w:pPr>
      <w:r>
        <w:rPr>
          <w:rFonts w:hint="eastAsia" w:ascii="宋体" w:hAnsi="宋体" w:cs="宋体"/>
          <w:highlight w:val="none"/>
          <w:u w:val="single"/>
          <w:lang w:bidi="ar"/>
        </w:rPr>
        <w:t>2.坚持独立、公正、科学、廉洁的原则开展监理工作，对工程项目建设具有高度的责任感。严格按照工程承包合同和工程施工监理合同积极主动、独立自立、公正公平地开展各项监理工作。在项目建设过程中加强质量、安全、进度、投资、信息、环境等方面的管理。</w:t>
      </w:r>
    </w:p>
    <w:p w14:paraId="3630D12D">
      <w:pPr>
        <w:kinsoku w:val="0"/>
        <w:overflowPunct w:val="0"/>
        <w:spacing w:beforeAutospacing="1" w:afterAutospacing="1" w:line="360" w:lineRule="auto"/>
        <w:ind w:firstLine="480" w:firstLineChars="200"/>
        <w:jc w:val="both"/>
        <w:rPr>
          <w:rFonts w:ascii="宋体" w:hAnsi="宋体" w:cs="宋体"/>
          <w:highlight w:val="none"/>
          <w:u w:val="single"/>
        </w:rPr>
      </w:pPr>
      <w:r>
        <w:rPr>
          <w:rFonts w:hint="eastAsia" w:ascii="宋体" w:hAnsi="宋体" w:cs="宋体"/>
          <w:highlight w:val="none"/>
          <w:u w:val="single"/>
          <w:lang w:bidi="ar"/>
        </w:rPr>
        <w:t>3.熟悉监理业务，对有关的合同文件、设计文件、技术规范、施工程序、施工工艺、安全措施、验收规程、材料和工程质量检验、工程质量评定标准等，应认真学习、理解，并能正确操作。</w:t>
      </w:r>
    </w:p>
    <w:p w14:paraId="032D5D0F">
      <w:pPr>
        <w:kinsoku w:val="0"/>
        <w:overflowPunct w:val="0"/>
        <w:spacing w:beforeAutospacing="1" w:afterAutospacing="1" w:line="360" w:lineRule="auto"/>
        <w:ind w:firstLine="480" w:firstLineChars="200"/>
        <w:jc w:val="both"/>
        <w:rPr>
          <w:rFonts w:ascii="宋体" w:hAnsi="宋体" w:cs="宋体"/>
          <w:highlight w:val="none"/>
          <w:u w:val="single"/>
        </w:rPr>
      </w:pPr>
      <w:r>
        <w:rPr>
          <w:rFonts w:hint="eastAsia" w:ascii="宋体" w:hAnsi="宋体" w:cs="宋体"/>
          <w:highlight w:val="none"/>
          <w:u w:val="single"/>
          <w:lang w:bidi="ar"/>
        </w:rPr>
        <w:t>4.不得在本工程的承包人、设备制造和材料供应人任职或兼职。</w:t>
      </w:r>
    </w:p>
    <w:p w14:paraId="10EB1F64">
      <w:pPr>
        <w:kinsoku w:val="0"/>
        <w:overflowPunct w:val="0"/>
        <w:spacing w:beforeAutospacing="1" w:afterAutospacing="1" w:line="360" w:lineRule="auto"/>
        <w:ind w:firstLine="480" w:firstLineChars="200"/>
        <w:jc w:val="both"/>
        <w:rPr>
          <w:rFonts w:ascii="宋体" w:hAnsi="宋体" w:cs="宋体"/>
          <w:highlight w:val="none"/>
          <w:u w:val="single"/>
        </w:rPr>
      </w:pPr>
      <w:r>
        <w:rPr>
          <w:rFonts w:hint="eastAsia" w:ascii="宋体" w:hAnsi="宋体" w:cs="宋体"/>
          <w:highlight w:val="none"/>
          <w:u w:val="single"/>
          <w:lang w:bidi="ar"/>
        </w:rPr>
        <w:t>5.不得指定施工分包单位、设备材料以及建筑构件配件等供应商。</w:t>
      </w:r>
    </w:p>
    <w:p w14:paraId="3AD636F4">
      <w:pPr>
        <w:kinsoku w:val="0"/>
        <w:overflowPunct w:val="0"/>
        <w:spacing w:beforeAutospacing="1" w:afterAutospacing="1" w:line="360" w:lineRule="auto"/>
        <w:ind w:firstLine="480" w:firstLineChars="200"/>
        <w:jc w:val="both"/>
        <w:rPr>
          <w:rFonts w:ascii="宋体" w:hAnsi="宋体" w:cs="宋体"/>
          <w:highlight w:val="none"/>
          <w:u w:val="single"/>
        </w:rPr>
      </w:pPr>
      <w:r>
        <w:rPr>
          <w:rFonts w:hint="eastAsia" w:ascii="宋体" w:hAnsi="宋体" w:cs="宋体"/>
          <w:highlight w:val="none"/>
          <w:u w:val="single"/>
          <w:lang w:bidi="ar"/>
        </w:rPr>
        <w:t>6.不得收受被监理单位的任何酬礼，不得接受可能导致判断不公正的报酬。</w:t>
      </w:r>
    </w:p>
    <w:p w14:paraId="461DAA30">
      <w:pPr>
        <w:kinsoku w:val="0"/>
        <w:overflowPunct w:val="0"/>
        <w:spacing w:beforeAutospacing="1" w:afterAutospacing="1" w:line="360" w:lineRule="auto"/>
        <w:ind w:firstLine="480" w:firstLineChars="200"/>
        <w:jc w:val="both"/>
        <w:rPr>
          <w:rFonts w:ascii="宋体" w:hAnsi="宋体" w:cs="宋体"/>
          <w:highlight w:val="none"/>
          <w:u w:val="single"/>
        </w:rPr>
      </w:pPr>
      <w:r>
        <w:rPr>
          <w:rFonts w:hint="eastAsia" w:ascii="宋体" w:hAnsi="宋体" w:cs="宋体"/>
          <w:highlight w:val="none"/>
          <w:u w:val="single"/>
          <w:lang w:bidi="ar"/>
        </w:rPr>
        <w:t>7.不得泄露本项目各方认为尚需保密的事项。</w:t>
      </w:r>
    </w:p>
    <w:p w14:paraId="79749B16">
      <w:pPr>
        <w:kinsoku w:val="0"/>
        <w:overflowPunct w:val="0"/>
        <w:spacing w:beforeAutospacing="1" w:afterAutospacing="1" w:line="360" w:lineRule="auto"/>
        <w:ind w:firstLine="482" w:firstLineChars="200"/>
        <w:jc w:val="both"/>
        <w:rPr>
          <w:rFonts w:ascii="宋体" w:hAnsi="宋体" w:cs="宋体"/>
          <w:b/>
          <w:highlight w:val="none"/>
          <w:u w:val="single"/>
        </w:rPr>
      </w:pPr>
      <w:r>
        <w:rPr>
          <w:rFonts w:hint="eastAsia" w:ascii="宋体" w:hAnsi="宋体" w:cs="宋体"/>
          <w:b/>
          <w:highlight w:val="none"/>
          <w:u w:val="single"/>
          <w:lang w:bidi="ar"/>
        </w:rPr>
        <w:t>5.4监理管理人员架构要求</w:t>
      </w:r>
    </w:p>
    <w:p w14:paraId="55689E27">
      <w:pPr>
        <w:kinsoku w:val="0"/>
        <w:overflowPunct w:val="0"/>
        <w:spacing w:beforeAutospacing="1" w:afterAutospacing="1" w:line="360" w:lineRule="auto"/>
        <w:ind w:firstLine="480" w:firstLineChars="200"/>
        <w:jc w:val="both"/>
        <w:rPr>
          <w:rFonts w:ascii="宋体" w:hAnsi="宋体" w:cs="宋体"/>
          <w:highlight w:val="none"/>
          <w:u w:val="single"/>
        </w:rPr>
      </w:pPr>
      <w:r>
        <w:rPr>
          <w:rFonts w:hint="eastAsia" w:ascii="宋体" w:hAnsi="宋体" w:cs="宋体"/>
          <w:highlight w:val="none"/>
          <w:u w:val="single"/>
          <w:lang w:bidi="ar"/>
        </w:rPr>
        <w:t>项目监理架构组成人员应符合招投标文件、合同的要求，如因特殊情况部分投标人员不能到位应向建设单位项目管理机构书面提出人员更换申请，得到批准并按合同要求办理相应变更手续后方可进行人员更换；人员的更换应在施工准备阶段完成，经备案后的项目监理架构人员不允许随便变更。</w:t>
      </w:r>
    </w:p>
    <w:p w14:paraId="49DA83AF">
      <w:pPr>
        <w:kinsoku w:val="0"/>
        <w:overflowPunct w:val="0"/>
        <w:spacing w:beforeAutospacing="1" w:afterAutospacing="1" w:line="360" w:lineRule="auto"/>
        <w:ind w:firstLine="482" w:firstLineChars="200"/>
        <w:jc w:val="both"/>
        <w:rPr>
          <w:rFonts w:ascii="宋体" w:hAnsi="宋体" w:cs="宋体"/>
          <w:b/>
          <w:highlight w:val="none"/>
          <w:u w:val="single"/>
        </w:rPr>
      </w:pPr>
      <w:r>
        <w:rPr>
          <w:rFonts w:hint="eastAsia" w:ascii="宋体" w:hAnsi="宋体" w:cs="宋体"/>
          <w:b/>
          <w:highlight w:val="none"/>
          <w:u w:val="single"/>
          <w:lang w:bidi="ar"/>
        </w:rPr>
        <w:t>5.5监理人员考勤管理要点</w:t>
      </w:r>
    </w:p>
    <w:p w14:paraId="33D9D90E">
      <w:pPr>
        <w:kinsoku w:val="0"/>
        <w:overflowPunct w:val="0"/>
        <w:spacing w:beforeAutospacing="1" w:afterAutospacing="1" w:line="360" w:lineRule="auto"/>
        <w:ind w:firstLine="480" w:firstLineChars="200"/>
        <w:jc w:val="both"/>
        <w:rPr>
          <w:rFonts w:ascii="宋体" w:hAnsi="宋体" w:cs="宋体"/>
          <w:highlight w:val="none"/>
          <w:u w:val="single"/>
        </w:rPr>
      </w:pPr>
      <w:r>
        <w:rPr>
          <w:rFonts w:hint="eastAsia" w:ascii="宋体" w:hAnsi="宋体" w:cs="宋体"/>
          <w:highlight w:val="none"/>
          <w:u w:val="single"/>
          <w:lang w:bidi="ar"/>
        </w:rPr>
        <w:t>严格实行请假制度；在非重要部位施工时，需要请假的，监理部人员需向广州市重点公共建设项目管理中心项目负责人书面请假，请假严格按合同、招投标文件进行审批。请假条获得批准后，可不列入缺勤天数。总监理工程师在工程关键部位、关键环节施工时段均不得请假外出。</w:t>
      </w:r>
    </w:p>
    <w:p w14:paraId="0B5E9EEB">
      <w:pPr>
        <w:kinsoku w:val="0"/>
        <w:overflowPunct w:val="0"/>
        <w:spacing w:beforeAutospacing="1" w:afterAutospacing="1" w:line="360" w:lineRule="auto"/>
        <w:ind w:firstLine="480" w:firstLineChars="200"/>
        <w:jc w:val="both"/>
        <w:rPr>
          <w:rFonts w:ascii="宋体" w:hAnsi="宋体" w:cs="宋体"/>
          <w:highlight w:val="none"/>
          <w:u w:val="single"/>
        </w:rPr>
      </w:pPr>
      <w:r>
        <w:rPr>
          <w:rFonts w:hint="eastAsia" w:ascii="宋体" w:hAnsi="宋体" w:cs="宋体"/>
          <w:highlight w:val="none"/>
          <w:u w:val="single"/>
          <w:lang w:bidi="ar"/>
        </w:rPr>
        <w:t>按照相关法律法规规定，在高大模板现场浇注、深基坑和沟槽开挖及按规定其它须在岗的危险源、重点时段、关键环节等重大危险源、施工作业处于重点时段和关键环节的，监理部总监或安全监理工程师（员）等必须保证在岗在位，不得请假离开施工现场。</w:t>
      </w:r>
    </w:p>
    <w:p w14:paraId="2EA30347">
      <w:pPr>
        <w:kinsoku w:val="0"/>
        <w:overflowPunct w:val="0"/>
        <w:spacing w:beforeAutospacing="1" w:afterAutospacing="1" w:line="360" w:lineRule="auto"/>
        <w:ind w:left="480" w:leftChars="200"/>
        <w:outlineLvl w:val="1"/>
        <w:rPr>
          <w:rFonts w:ascii="宋体" w:hAnsi="宋体"/>
          <w:b/>
          <w:highlight w:val="none"/>
        </w:rPr>
      </w:pPr>
      <w:r>
        <w:rPr>
          <w:rFonts w:hint="eastAsia" w:ascii="宋体" w:hAnsi="宋体" w:cs="宋体"/>
          <w:b/>
          <w:highlight w:val="none"/>
        </w:rPr>
        <w:t>二、适用规范标准</w:t>
      </w:r>
    </w:p>
    <w:p w14:paraId="1470AE24">
      <w:pPr>
        <w:kinsoku w:val="0"/>
        <w:overflowPunct w:val="0"/>
        <w:spacing w:beforeAutospacing="1" w:afterAutospacing="1" w:line="360" w:lineRule="auto"/>
        <w:ind w:firstLine="480" w:firstLineChars="200"/>
        <w:jc w:val="both"/>
        <w:rPr>
          <w:rFonts w:ascii="宋体" w:hAnsi="宋体" w:cs="宋体"/>
          <w:highlight w:val="none"/>
          <w:u w:val="single"/>
        </w:rPr>
      </w:pPr>
      <w:r>
        <w:rPr>
          <w:rFonts w:hint="eastAsia" w:ascii="宋体" w:hAnsi="宋体" w:cs="宋体"/>
          <w:highlight w:val="none"/>
          <w:u w:val="single"/>
          <w:lang w:bidi="ar"/>
        </w:rPr>
        <w:t>本工程的监理过程必须符合国家有关工程建设标准强制性条文、现行的标准、规范、规程、定额、办法、示例，以及招标项目所在地关于工程监理方面的文件、规定、规范、标准、规程。</w:t>
      </w:r>
    </w:p>
    <w:p w14:paraId="319BF592">
      <w:pPr>
        <w:kinsoku w:val="0"/>
        <w:overflowPunct w:val="0"/>
        <w:spacing w:beforeAutospacing="1" w:afterAutospacing="1" w:line="360" w:lineRule="auto"/>
        <w:ind w:firstLine="480" w:firstLineChars="200"/>
        <w:jc w:val="both"/>
        <w:rPr>
          <w:rFonts w:ascii="宋体" w:hAnsi="宋体" w:cs="宋体"/>
          <w:highlight w:val="none"/>
          <w:u w:val="single"/>
        </w:rPr>
      </w:pPr>
      <w:r>
        <w:rPr>
          <w:rFonts w:hint="eastAsia" w:ascii="宋体" w:hAnsi="宋体" w:cs="宋体"/>
          <w:highlight w:val="none"/>
          <w:u w:val="single"/>
          <w:lang w:bidi="ar"/>
        </w:rPr>
        <w:t>在监理过程中，如果国家或有关部门颁布了新的技术标准或规范，则监理人应按照新的标准和规范进行监理。</w:t>
      </w:r>
    </w:p>
    <w:p w14:paraId="08B00022">
      <w:pPr>
        <w:rPr>
          <w:rFonts w:ascii="宋体" w:hAnsi="Courier New"/>
          <w:highlight w:val="none"/>
        </w:rPr>
      </w:pPr>
      <w:r>
        <w:rPr>
          <w:rFonts w:hint="eastAsia" w:ascii="宋体" w:hAnsi="Courier New"/>
          <w:highlight w:val="none"/>
          <w:lang w:bidi="ar"/>
        </w:rPr>
        <w:t xml:space="preserve"> </w:t>
      </w:r>
    </w:p>
    <w:p w14:paraId="6EBDD2F6">
      <w:pPr>
        <w:kinsoku w:val="0"/>
        <w:overflowPunct w:val="0"/>
        <w:spacing w:beforeAutospacing="1" w:afterAutospacing="1" w:line="360" w:lineRule="auto"/>
        <w:ind w:left="480" w:leftChars="200"/>
        <w:outlineLvl w:val="1"/>
        <w:rPr>
          <w:rFonts w:ascii="宋体" w:hAnsi="宋体"/>
          <w:b/>
          <w:kern w:val="2"/>
          <w:highlight w:val="none"/>
        </w:rPr>
      </w:pPr>
      <w:r>
        <w:rPr>
          <w:rFonts w:hint="eastAsia" w:ascii="宋体" w:hAnsi="宋体" w:cs="宋体"/>
          <w:b/>
          <w:kern w:val="2"/>
          <w:highlight w:val="none"/>
        </w:rPr>
        <w:t>三、成果文件要求</w:t>
      </w:r>
    </w:p>
    <w:p w14:paraId="5B171902">
      <w:pPr>
        <w:kinsoku w:val="0"/>
        <w:overflowPunct w:val="0"/>
        <w:spacing w:beforeAutospacing="1" w:afterAutospacing="1" w:line="360" w:lineRule="auto"/>
        <w:ind w:firstLine="480" w:firstLineChars="200"/>
        <w:jc w:val="both"/>
        <w:rPr>
          <w:rFonts w:ascii="宋体" w:hAnsi="宋体" w:cs="宋体"/>
          <w:highlight w:val="none"/>
          <w:u w:val="single"/>
          <w:lang w:bidi="ar"/>
        </w:rPr>
      </w:pPr>
      <w:r>
        <w:rPr>
          <w:rFonts w:hint="eastAsia" w:ascii="宋体" w:hAnsi="宋体" w:cs="宋体"/>
          <w:highlight w:val="none"/>
          <w:u w:val="single"/>
          <w:lang w:bidi="ar"/>
        </w:rPr>
        <w:t>各阶段工作成果文件的要求（具体详见监理合同）</w:t>
      </w:r>
    </w:p>
    <w:p w14:paraId="0C23CBD2">
      <w:pPr>
        <w:autoSpaceDE/>
        <w:autoSpaceDN/>
        <w:adjustRightInd/>
        <w:spacing w:line="360" w:lineRule="auto"/>
        <w:ind w:firstLine="480" w:firstLineChars="200"/>
        <w:jc w:val="both"/>
        <w:rPr>
          <w:rFonts w:ascii="宋体" w:hAnsi="宋体" w:cs="宋体"/>
          <w:kern w:val="2"/>
          <w:highlight w:val="none"/>
        </w:rPr>
      </w:pPr>
      <w:r>
        <w:rPr>
          <w:rFonts w:hint="eastAsia" w:ascii="宋体" w:hAnsi="宋体" w:cs="宋体"/>
          <w:kern w:val="2"/>
          <w:highlight w:val="none"/>
        </w:rPr>
        <w:t>1. 成果文件的组成</w:t>
      </w:r>
    </w:p>
    <w:p w14:paraId="0B73C094">
      <w:pPr>
        <w:autoSpaceDE/>
        <w:autoSpaceDN/>
        <w:adjustRightInd/>
        <w:spacing w:line="360" w:lineRule="auto"/>
        <w:ind w:firstLine="480" w:firstLineChars="200"/>
        <w:jc w:val="both"/>
        <w:rPr>
          <w:rFonts w:ascii="宋体" w:hAnsi="宋体" w:cs="宋体"/>
          <w:kern w:val="2"/>
          <w:highlight w:val="none"/>
          <w:u w:val="single"/>
        </w:rPr>
      </w:pPr>
      <w:r>
        <w:rPr>
          <w:rFonts w:hint="eastAsia" w:ascii="宋体" w:hAnsi="宋体" w:cs="宋体"/>
          <w:kern w:val="2"/>
          <w:highlight w:val="none"/>
          <w:u w:val="single"/>
        </w:rPr>
        <w:t>1、勘察设计文件、建设工程监理合同及其他合同文件；</w:t>
      </w:r>
    </w:p>
    <w:p w14:paraId="77AB9020">
      <w:pPr>
        <w:autoSpaceDE/>
        <w:autoSpaceDN/>
        <w:adjustRightInd/>
        <w:spacing w:line="360" w:lineRule="auto"/>
        <w:ind w:firstLine="480" w:firstLineChars="200"/>
        <w:jc w:val="both"/>
        <w:rPr>
          <w:rFonts w:ascii="宋体" w:hAnsi="宋体" w:cs="宋体"/>
          <w:kern w:val="2"/>
          <w:highlight w:val="none"/>
          <w:u w:val="single"/>
        </w:rPr>
      </w:pPr>
      <w:r>
        <w:rPr>
          <w:rFonts w:hint="eastAsia" w:ascii="宋体" w:hAnsi="宋体" w:cs="宋体"/>
          <w:kern w:val="2"/>
          <w:highlight w:val="none"/>
          <w:u w:val="single"/>
        </w:rPr>
        <w:t>2、监理规划、监理实施细则；</w:t>
      </w:r>
    </w:p>
    <w:p w14:paraId="431968A1">
      <w:pPr>
        <w:autoSpaceDE/>
        <w:autoSpaceDN/>
        <w:adjustRightInd/>
        <w:spacing w:line="360" w:lineRule="auto"/>
        <w:ind w:firstLine="480" w:firstLineChars="200"/>
        <w:jc w:val="both"/>
        <w:rPr>
          <w:rFonts w:ascii="宋体" w:hAnsi="宋体" w:cs="宋体"/>
          <w:kern w:val="2"/>
          <w:highlight w:val="none"/>
          <w:u w:val="single"/>
        </w:rPr>
      </w:pPr>
      <w:r>
        <w:rPr>
          <w:rFonts w:hint="eastAsia" w:ascii="宋体" w:hAnsi="宋体" w:cs="宋体"/>
          <w:kern w:val="2"/>
          <w:highlight w:val="none"/>
          <w:u w:val="single"/>
        </w:rPr>
        <w:t>3、设计交底和图纸会审会议纪要；</w:t>
      </w:r>
    </w:p>
    <w:p w14:paraId="165D55C0">
      <w:pPr>
        <w:autoSpaceDE/>
        <w:autoSpaceDN/>
        <w:adjustRightInd/>
        <w:spacing w:line="360" w:lineRule="auto"/>
        <w:ind w:firstLine="480" w:firstLineChars="200"/>
        <w:jc w:val="both"/>
        <w:rPr>
          <w:rFonts w:ascii="宋体" w:hAnsi="宋体" w:cs="宋体"/>
          <w:kern w:val="2"/>
          <w:highlight w:val="none"/>
          <w:u w:val="single"/>
        </w:rPr>
      </w:pPr>
      <w:r>
        <w:rPr>
          <w:rFonts w:hint="eastAsia" w:ascii="宋体" w:hAnsi="宋体" w:cs="宋体"/>
          <w:kern w:val="2"/>
          <w:highlight w:val="none"/>
          <w:u w:val="single"/>
        </w:rPr>
        <w:t>4、施工组织设计、（专项）施工方案、施工进度计划报审文件资料；</w:t>
      </w:r>
    </w:p>
    <w:p w14:paraId="076F9FB0">
      <w:pPr>
        <w:autoSpaceDE/>
        <w:autoSpaceDN/>
        <w:adjustRightInd/>
        <w:spacing w:line="360" w:lineRule="auto"/>
        <w:ind w:firstLine="480" w:firstLineChars="200"/>
        <w:jc w:val="both"/>
        <w:rPr>
          <w:rFonts w:ascii="宋体" w:hAnsi="宋体" w:cs="宋体"/>
          <w:kern w:val="2"/>
          <w:highlight w:val="none"/>
          <w:u w:val="single"/>
        </w:rPr>
      </w:pPr>
      <w:r>
        <w:rPr>
          <w:rFonts w:hint="eastAsia" w:ascii="宋体" w:hAnsi="宋体" w:cs="宋体"/>
          <w:kern w:val="2"/>
          <w:highlight w:val="none"/>
          <w:u w:val="single"/>
        </w:rPr>
        <w:t>5、分包单位资格报审文件资料；</w:t>
      </w:r>
    </w:p>
    <w:p w14:paraId="779EEF09">
      <w:pPr>
        <w:autoSpaceDE/>
        <w:autoSpaceDN/>
        <w:adjustRightInd/>
        <w:spacing w:line="360" w:lineRule="auto"/>
        <w:ind w:firstLine="480" w:firstLineChars="200"/>
        <w:jc w:val="both"/>
        <w:rPr>
          <w:rFonts w:ascii="宋体" w:hAnsi="宋体" w:cs="宋体"/>
          <w:kern w:val="2"/>
          <w:highlight w:val="none"/>
          <w:u w:val="single"/>
        </w:rPr>
      </w:pPr>
      <w:r>
        <w:rPr>
          <w:rFonts w:hint="eastAsia" w:ascii="宋体" w:hAnsi="宋体" w:cs="宋体"/>
          <w:kern w:val="2"/>
          <w:highlight w:val="none"/>
          <w:u w:val="single"/>
        </w:rPr>
        <w:t>6、施工控制测量成果报验文件资料；</w:t>
      </w:r>
    </w:p>
    <w:p w14:paraId="34EA266E">
      <w:pPr>
        <w:autoSpaceDE/>
        <w:autoSpaceDN/>
        <w:adjustRightInd/>
        <w:spacing w:line="360" w:lineRule="auto"/>
        <w:ind w:firstLine="480" w:firstLineChars="200"/>
        <w:jc w:val="both"/>
        <w:rPr>
          <w:rFonts w:ascii="宋体" w:hAnsi="宋体" w:cs="宋体"/>
          <w:kern w:val="2"/>
          <w:highlight w:val="none"/>
          <w:u w:val="single"/>
        </w:rPr>
      </w:pPr>
      <w:r>
        <w:rPr>
          <w:rFonts w:hint="eastAsia" w:ascii="宋体" w:hAnsi="宋体" w:cs="宋体"/>
          <w:kern w:val="2"/>
          <w:highlight w:val="none"/>
          <w:u w:val="single"/>
        </w:rPr>
        <w:t>7、总监理工程师任命书、工程开工令、暂停令、复工令、开工或复工报审文件资料；</w:t>
      </w:r>
    </w:p>
    <w:p w14:paraId="6D3FFED5">
      <w:pPr>
        <w:autoSpaceDE/>
        <w:autoSpaceDN/>
        <w:adjustRightInd/>
        <w:spacing w:line="360" w:lineRule="auto"/>
        <w:ind w:firstLine="480" w:firstLineChars="200"/>
        <w:jc w:val="both"/>
        <w:rPr>
          <w:rFonts w:ascii="宋体" w:hAnsi="宋体" w:cs="宋体"/>
          <w:kern w:val="2"/>
          <w:highlight w:val="none"/>
          <w:u w:val="single"/>
        </w:rPr>
      </w:pPr>
      <w:r>
        <w:rPr>
          <w:rFonts w:hint="eastAsia" w:ascii="宋体" w:hAnsi="宋体" w:cs="宋体"/>
          <w:kern w:val="2"/>
          <w:highlight w:val="none"/>
          <w:u w:val="single"/>
        </w:rPr>
        <w:t>8、工程材料、设备、构配件报验文件资料；</w:t>
      </w:r>
    </w:p>
    <w:p w14:paraId="697B2357">
      <w:pPr>
        <w:autoSpaceDE/>
        <w:autoSpaceDN/>
        <w:adjustRightInd/>
        <w:spacing w:line="360" w:lineRule="auto"/>
        <w:ind w:firstLine="480" w:firstLineChars="200"/>
        <w:jc w:val="both"/>
        <w:rPr>
          <w:rFonts w:ascii="宋体" w:hAnsi="宋体" w:cs="宋体"/>
          <w:kern w:val="2"/>
          <w:highlight w:val="none"/>
          <w:u w:val="single"/>
        </w:rPr>
      </w:pPr>
      <w:r>
        <w:rPr>
          <w:rFonts w:hint="eastAsia" w:ascii="宋体" w:hAnsi="宋体" w:cs="宋体"/>
          <w:kern w:val="2"/>
          <w:highlight w:val="none"/>
          <w:u w:val="single"/>
        </w:rPr>
        <w:t>9、见证取样和平行检验文件资料；</w:t>
      </w:r>
    </w:p>
    <w:p w14:paraId="052AED27">
      <w:pPr>
        <w:autoSpaceDE/>
        <w:autoSpaceDN/>
        <w:adjustRightInd/>
        <w:spacing w:line="360" w:lineRule="auto"/>
        <w:ind w:firstLine="480" w:firstLineChars="200"/>
        <w:jc w:val="both"/>
        <w:rPr>
          <w:rFonts w:ascii="宋体" w:hAnsi="宋体" w:cs="宋体"/>
          <w:kern w:val="2"/>
          <w:highlight w:val="none"/>
          <w:u w:val="single"/>
        </w:rPr>
      </w:pPr>
      <w:r>
        <w:rPr>
          <w:rFonts w:hint="eastAsia" w:ascii="宋体" w:hAnsi="宋体" w:cs="宋体"/>
          <w:kern w:val="2"/>
          <w:highlight w:val="none"/>
          <w:u w:val="single"/>
        </w:rPr>
        <w:t>10、工程质量检查报验资料及工程有关验收资料；</w:t>
      </w:r>
    </w:p>
    <w:p w14:paraId="049CE228">
      <w:pPr>
        <w:autoSpaceDE/>
        <w:autoSpaceDN/>
        <w:adjustRightInd/>
        <w:spacing w:line="360" w:lineRule="auto"/>
        <w:ind w:firstLine="480" w:firstLineChars="200"/>
        <w:jc w:val="both"/>
        <w:rPr>
          <w:rFonts w:ascii="宋体" w:hAnsi="宋体" w:cs="宋体"/>
          <w:kern w:val="2"/>
          <w:highlight w:val="none"/>
          <w:u w:val="single"/>
        </w:rPr>
      </w:pPr>
      <w:r>
        <w:rPr>
          <w:rFonts w:hint="eastAsia" w:ascii="宋体" w:hAnsi="宋体" w:cs="宋体"/>
          <w:kern w:val="2"/>
          <w:highlight w:val="none"/>
          <w:u w:val="single"/>
        </w:rPr>
        <w:t>11、工程变更、费用索赔及工程延期文件资料；</w:t>
      </w:r>
    </w:p>
    <w:p w14:paraId="351C2FF2">
      <w:pPr>
        <w:autoSpaceDE/>
        <w:autoSpaceDN/>
        <w:adjustRightInd/>
        <w:spacing w:line="360" w:lineRule="auto"/>
        <w:ind w:firstLine="480" w:firstLineChars="200"/>
        <w:jc w:val="both"/>
        <w:rPr>
          <w:rFonts w:ascii="宋体" w:hAnsi="宋体" w:cs="宋体"/>
          <w:kern w:val="2"/>
          <w:highlight w:val="none"/>
          <w:u w:val="single"/>
        </w:rPr>
      </w:pPr>
      <w:r>
        <w:rPr>
          <w:rFonts w:hint="eastAsia" w:ascii="宋体" w:hAnsi="宋体" w:cs="宋体"/>
          <w:kern w:val="2"/>
          <w:highlight w:val="none"/>
          <w:u w:val="single"/>
        </w:rPr>
        <w:t>12、工程计量、工程款支付文件资料；</w:t>
      </w:r>
    </w:p>
    <w:p w14:paraId="2CC30050">
      <w:pPr>
        <w:autoSpaceDE/>
        <w:autoSpaceDN/>
        <w:adjustRightInd/>
        <w:spacing w:line="360" w:lineRule="auto"/>
        <w:ind w:firstLine="480" w:firstLineChars="200"/>
        <w:jc w:val="both"/>
        <w:rPr>
          <w:rFonts w:ascii="宋体" w:hAnsi="宋体" w:cs="宋体"/>
          <w:kern w:val="2"/>
          <w:highlight w:val="none"/>
          <w:u w:val="single"/>
        </w:rPr>
      </w:pPr>
      <w:r>
        <w:rPr>
          <w:rFonts w:hint="eastAsia" w:ascii="宋体" w:hAnsi="宋体" w:cs="宋体"/>
          <w:kern w:val="2"/>
          <w:highlight w:val="none"/>
          <w:u w:val="single"/>
        </w:rPr>
        <w:t>13、监理通知单、工作联系单与监理报告；</w:t>
      </w:r>
    </w:p>
    <w:p w14:paraId="284B4191">
      <w:pPr>
        <w:autoSpaceDE/>
        <w:autoSpaceDN/>
        <w:adjustRightInd/>
        <w:spacing w:line="360" w:lineRule="auto"/>
        <w:ind w:firstLine="480" w:firstLineChars="200"/>
        <w:jc w:val="both"/>
        <w:rPr>
          <w:rFonts w:ascii="宋体" w:hAnsi="宋体" w:cs="宋体"/>
          <w:kern w:val="2"/>
          <w:highlight w:val="none"/>
          <w:u w:val="single"/>
        </w:rPr>
      </w:pPr>
      <w:r>
        <w:rPr>
          <w:rFonts w:hint="eastAsia" w:ascii="宋体" w:hAnsi="宋体" w:cs="宋体"/>
          <w:kern w:val="2"/>
          <w:highlight w:val="none"/>
          <w:u w:val="single"/>
        </w:rPr>
        <w:t>14、第一次工地会议、监理例会、专题会议等会议纪要；</w:t>
      </w:r>
    </w:p>
    <w:p w14:paraId="77A0ABE7">
      <w:pPr>
        <w:autoSpaceDE/>
        <w:autoSpaceDN/>
        <w:adjustRightInd/>
        <w:spacing w:line="360" w:lineRule="auto"/>
        <w:ind w:firstLine="480" w:firstLineChars="200"/>
        <w:jc w:val="both"/>
        <w:rPr>
          <w:rFonts w:ascii="宋体" w:hAnsi="宋体" w:cs="宋体"/>
          <w:kern w:val="2"/>
          <w:highlight w:val="none"/>
          <w:u w:val="single"/>
        </w:rPr>
      </w:pPr>
      <w:r>
        <w:rPr>
          <w:rFonts w:hint="eastAsia" w:ascii="宋体" w:hAnsi="宋体" w:cs="宋体"/>
          <w:kern w:val="2"/>
          <w:highlight w:val="none"/>
          <w:u w:val="single"/>
        </w:rPr>
        <w:t>15、监理月报、监理日志、旁站记录；</w:t>
      </w:r>
    </w:p>
    <w:p w14:paraId="0C512B7A">
      <w:pPr>
        <w:autoSpaceDE/>
        <w:autoSpaceDN/>
        <w:adjustRightInd/>
        <w:spacing w:line="360" w:lineRule="auto"/>
        <w:ind w:firstLine="480" w:firstLineChars="200"/>
        <w:jc w:val="both"/>
        <w:rPr>
          <w:rFonts w:ascii="宋体" w:hAnsi="宋体" w:cs="宋体"/>
          <w:kern w:val="2"/>
          <w:highlight w:val="none"/>
          <w:u w:val="single"/>
        </w:rPr>
      </w:pPr>
      <w:r>
        <w:rPr>
          <w:rFonts w:hint="eastAsia" w:ascii="宋体" w:hAnsi="宋体" w:cs="宋体"/>
          <w:kern w:val="2"/>
          <w:highlight w:val="none"/>
          <w:u w:val="single"/>
        </w:rPr>
        <w:t>16、工程质量或生产安全事故处理文件资料；</w:t>
      </w:r>
    </w:p>
    <w:p w14:paraId="1D2133FF">
      <w:pPr>
        <w:autoSpaceDE/>
        <w:autoSpaceDN/>
        <w:adjustRightInd/>
        <w:spacing w:line="360" w:lineRule="auto"/>
        <w:ind w:firstLine="480" w:firstLineChars="200"/>
        <w:jc w:val="both"/>
        <w:rPr>
          <w:rFonts w:ascii="宋体" w:hAnsi="宋体" w:cs="宋体"/>
          <w:kern w:val="2"/>
          <w:highlight w:val="none"/>
          <w:u w:val="single"/>
        </w:rPr>
      </w:pPr>
      <w:r>
        <w:rPr>
          <w:rFonts w:hint="eastAsia" w:ascii="宋体" w:hAnsi="宋体" w:cs="宋体"/>
          <w:kern w:val="2"/>
          <w:highlight w:val="none"/>
          <w:u w:val="single"/>
        </w:rPr>
        <w:t>17、工程质量评估报告及竣工验收监理文件资料；</w:t>
      </w:r>
    </w:p>
    <w:p w14:paraId="4DF12B2E">
      <w:pPr>
        <w:autoSpaceDE/>
        <w:autoSpaceDN/>
        <w:adjustRightInd/>
        <w:spacing w:line="360" w:lineRule="auto"/>
        <w:ind w:firstLine="480" w:firstLineChars="200"/>
        <w:jc w:val="both"/>
        <w:rPr>
          <w:rFonts w:ascii="宋体" w:hAnsi="宋体" w:cs="宋体"/>
          <w:kern w:val="2"/>
          <w:highlight w:val="none"/>
          <w:u w:val="single"/>
        </w:rPr>
      </w:pPr>
      <w:r>
        <w:rPr>
          <w:rFonts w:hint="eastAsia" w:ascii="宋体" w:hAnsi="宋体" w:cs="宋体"/>
          <w:kern w:val="2"/>
          <w:highlight w:val="none"/>
          <w:u w:val="single"/>
        </w:rPr>
        <w:t>18、监理工作总结。</w:t>
      </w:r>
    </w:p>
    <w:p w14:paraId="0DFD6459">
      <w:pPr>
        <w:autoSpaceDE/>
        <w:autoSpaceDN/>
        <w:adjustRightInd/>
        <w:spacing w:line="360" w:lineRule="auto"/>
        <w:ind w:firstLine="480" w:firstLineChars="200"/>
        <w:jc w:val="both"/>
        <w:rPr>
          <w:rFonts w:ascii="宋体" w:hAnsi="宋体" w:cs="宋体"/>
          <w:kern w:val="2"/>
          <w:highlight w:val="none"/>
        </w:rPr>
      </w:pPr>
      <w:r>
        <w:rPr>
          <w:rFonts w:hint="eastAsia" w:ascii="宋体" w:hAnsi="宋体" w:cs="宋体"/>
          <w:kern w:val="2"/>
          <w:highlight w:val="none"/>
        </w:rPr>
        <w:t>2. 成果文件的深度:</w:t>
      </w:r>
      <w:r>
        <w:rPr>
          <w:rFonts w:hint="eastAsia" w:ascii="宋体" w:hAnsi="宋体" w:cs="宋体"/>
          <w:kern w:val="2"/>
          <w:highlight w:val="none"/>
          <w:u w:val="single"/>
        </w:rPr>
        <w:t xml:space="preserve"> 满足本项目监理服务要求。</w:t>
      </w:r>
    </w:p>
    <w:p w14:paraId="1793CF26">
      <w:pPr>
        <w:autoSpaceDE/>
        <w:autoSpaceDN/>
        <w:adjustRightInd/>
        <w:spacing w:line="360" w:lineRule="auto"/>
        <w:ind w:firstLine="480" w:firstLineChars="200"/>
        <w:jc w:val="both"/>
        <w:rPr>
          <w:rFonts w:ascii="宋体" w:hAnsi="宋体" w:cs="宋体"/>
          <w:kern w:val="2"/>
          <w:highlight w:val="none"/>
        </w:rPr>
      </w:pPr>
      <w:r>
        <w:rPr>
          <w:rFonts w:hint="eastAsia" w:ascii="宋体" w:hAnsi="宋体" w:cs="宋体"/>
          <w:kern w:val="2"/>
          <w:highlight w:val="none"/>
        </w:rPr>
        <w:t>3. 成果文件的格式要求:</w:t>
      </w:r>
      <w:r>
        <w:rPr>
          <w:rFonts w:hint="eastAsia" w:ascii="宋体" w:hAnsi="宋体" w:cs="宋体"/>
          <w:kern w:val="2"/>
          <w:highlight w:val="none"/>
          <w:u w:val="single"/>
        </w:rPr>
        <w:t xml:space="preserve"> 满足本项目监理服务要求。</w:t>
      </w:r>
    </w:p>
    <w:p w14:paraId="48A33820">
      <w:pPr>
        <w:autoSpaceDE/>
        <w:autoSpaceDN/>
        <w:adjustRightInd/>
        <w:spacing w:line="360" w:lineRule="auto"/>
        <w:ind w:firstLine="480" w:firstLineChars="200"/>
        <w:jc w:val="both"/>
        <w:rPr>
          <w:rFonts w:ascii="宋体" w:hAnsi="宋体" w:cs="宋体"/>
          <w:kern w:val="2"/>
          <w:highlight w:val="none"/>
        </w:rPr>
      </w:pPr>
      <w:r>
        <w:rPr>
          <w:rFonts w:hint="eastAsia" w:ascii="宋体" w:hAnsi="宋体" w:cs="宋体"/>
          <w:kern w:val="2"/>
          <w:highlight w:val="none"/>
        </w:rPr>
        <w:t>4. 成果文件的份数要求:</w:t>
      </w:r>
      <w:r>
        <w:rPr>
          <w:rFonts w:hint="eastAsia" w:ascii="宋体" w:hAnsi="宋体" w:cs="宋体"/>
          <w:kern w:val="2"/>
          <w:highlight w:val="none"/>
          <w:u w:val="single"/>
        </w:rPr>
        <w:t xml:space="preserve"> 一式六份；</w:t>
      </w:r>
    </w:p>
    <w:p w14:paraId="5EEC9894">
      <w:pPr>
        <w:autoSpaceDE/>
        <w:autoSpaceDN/>
        <w:adjustRightInd/>
        <w:spacing w:line="360" w:lineRule="auto"/>
        <w:ind w:firstLine="480" w:firstLineChars="200"/>
        <w:jc w:val="both"/>
        <w:rPr>
          <w:rFonts w:ascii="宋体" w:hAnsi="宋体" w:cs="宋体"/>
          <w:kern w:val="2"/>
          <w:highlight w:val="none"/>
        </w:rPr>
      </w:pPr>
      <w:r>
        <w:rPr>
          <w:rFonts w:hint="eastAsia" w:ascii="宋体" w:hAnsi="宋体" w:cs="宋体"/>
          <w:kern w:val="2"/>
          <w:highlight w:val="none"/>
        </w:rPr>
        <w:t>5. 成果文件的载体要求</w:t>
      </w:r>
    </w:p>
    <w:p w14:paraId="0BDFDAFF">
      <w:pPr>
        <w:autoSpaceDE/>
        <w:autoSpaceDN/>
        <w:adjustRightInd/>
        <w:spacing w:line="360" w:lineRule="auto"/>
        <w:ind w:firstLine="480" w:firstLineChars="200"/>
        <w:jc w:val="both"/>
        <w:rPr>
          <w:rFonts w:ascii="宋体" w:hAnsi="宋体" w:cs="宋体"/>
          <w:kern w:val="2"/>
          <w:highlight w:val="none"/>
        </w:rPr>
      </w:pPr>
      <w:r>
        <w:rPr>
          <w:rFonts w:hint="eastAsia" w:ascii="宋体" w:hAnsi="宋体" w:cs="宋体"/>
          <w:kern w:val="2"/>
          <w:highlight w:val="none"/>
        </w:rPr>
        <w:t>（1）纸质版的要求：:</w:t>
      </w:r>
      <w:r>
        <w:rPr>
          <w:rFonts w:hint="eastAsia" w:ascii="宋体" w:hAnsi="宋体" w:cs="宋体"/>
          <w:kern w:val="2"/>
          <w:highlight w:val="none"/>
          <w:u w:val="single"/>
        </w:rPr>
        <w:t xml:space="preserve"> 一式六份；</w:t>
      </w:r>
    </w:p>
    <w:p w14:paraId="573A4A19">
      <w:pPr>
        <w:autoSpaceDE/>
        <w:autoSpaceDN/>
        <w:adjustRightInd/>
        <w:spacing w:line="360" w:lineRule="auto"/>
        <w:ind w:firstLine="480" w:firstLineChars="200"/>
        <w:jc w:val="both"/>
        <w:rPr>
          <w:rFonts w:ascii="宋体" w:hAnsi="宋体" w:cs="宋体"/>
          <w:kern w:val="2"/>
          <w:highlight w:val="none"/>
        </w:rPr>
      </w:pPr>
      <w:r>
        <w:rPr>
          <w:rFonts w:hint="eastAsia" w:ascii="宋体" w:hAnsi="宋体" w:cs="宋体"/>
          <w:kern w:val="2"/>
          <w:highlight w:val="none"/>
        </w:rPr>
        <w:t>（2）电子版的要求：:</w:t>
      </w:r>
      <w:r>
        <w:rPr>
          <w:rFonts w:hint="eastAsia" w:ascii="宋体" w:hAnsi="宋体" w:cs="宋体"/>
          <w:kern w:val="2"/>
          <w:highlight w:val="none"/>
          <w:u w:val="single"/>
        </w:rPr>
        <w:t xml:space="preserve"> 与纸质版一致的电子版文件</w:t>
      </w:r>
    </w:p>
    <w:p w14:paraId="512D1398">
      <w:pPr>
        <w:autoSpaceDE/>
        <w:autoSpaceDN/>
        <w:adjustRightInd/>
        <w:spacing w:line="360" w:lineRule="auto"/>
        <w:ind w:firstLine="480" w:firstLineChars="200"/>
        <w:jc w:val="both"/>
        <w:rPr>
          <w:rFonts w:ascii="宋体" w:hAnsi="宋体" w:cs="宋体"/>
          <w:kern w:val="2"/>
          <w:highlight w:val="none"/>
        </w:rPr>
      </w:pPr>
      <w:r>
        <w:rPr>
          <w:rFonts w:hint="eastAsia" w:ascii="宋体" w:hAnsi="宋体" w:cs="宋体"/>
          <w:kern w:val="2"/>
          <w:highlight w:val="none"/>
        </w:rPr>
        <w:t>（3）其他要求。</w:t>
      </w:r>
    </w:p>
    <w:p w14:paraId="71067245">
      <w:pPr>
        <w:kinsoku w:val="0"/>
        <w:overflowPunct w:val="0"/>
        <w:spacing w:beforeAutospacing="1" w:afterAutospacing="1" w:line="360" w:lineRule="auto"/>
        <w:ind w:firstLine="480" w:firstLineChars="200"/>
        <w:jc w:val="both"/>
        <w:rPr>
          <w:rFonts w:ascii="宋体" w:hAnsi="宋体" w:cs="宋体"/>
          <w:highlight w:val="none"/>
          <w:u w:val="single"/>
          <w:lang w:bidi="ar"/>
        </w:rPr>
      </w:pPr>
      <w:r>
        <w:rPr>
          <w:rFonts w:hint="eastAsia" w:ascii="宋体" w:hAnsi="宋体" w:cs="宋体"/>
          <w:kern w:val="2"/>
          <w:highlight w:val="none"/>
        </w:rPr>
        <w:t>6. 成果文件的其他要求:</w:t>
      </w:r>
      <w:r>
        <w:rPr>
          <w:rFonts w:hint="eastAsia" w:ascii="宋体" w:hAnsi="宋体" w:cs="宋体"/>
          <w:kern w:val="2"/>
          <w:highlight w:val="none"/>
          <w:u w:val="single"/>
        </w:rPr>
        <w:t xml:space="preserve"> 满足本项目监理服务要求</w:t>
      </w:r>
    </w:p>
    <w:p w14:paraId="36D698D1">
      <w:pPr>
        <w:keepNext/>
        <w:keepLines/>
        <w:widowControl/>
        <w:autoSpaceDE/>
        <w:autoSpaceDN/>
        <w:adjustRightInd/>
        <w:spacing w:before="260" w:after="260" w:line="410" w:lineRule="auto"/>
        <w:ind w:firstLine="118" w:firstLineChars="49"/>
        <w:jc w:val="both"/>
        <w:outlineLvl w:val="2"/>
        <w:rPr>
          <w:rFonts w:ascii="宋体" w:hAnsi="宋体"/>
          <w:b/>
          <w:kern w:val="2"/>
          <w:highlight w:val="none"/>
        </w:rPr>
      </w:pPr>
      <w:r>
        <w:rPr>
          <w:rFonts w:hint="eastAsia" w:ascii="宋体" w:hAnsi="宋体"/>
          <w:b/>
          <w:kern w:val="2"/>
          <w:highlight w:val="none"/>
        </w:rPr>
        <w:t xml:space="preserve"> </w:t>
      </w:r>
      <w:r>
        <w:rPr>
          <w:rFonts w:hint="eastAsia" w:ascii="宋体" w:hAnsi="宋体" w:cs="宋体"/>
          <w:b/>
          <w:kern w:val="2"/>
          <w:highlight w:val="none"/>
        </w:rPr>
        <w:t>四、委托人财产清单</w:t>
      </w:r>
    </w:p>
    <w:p w14:paraId="04738B5F">
      <w:pPr>
        <w:kinsoku w:val="0"/>
        <w:overflowPunct w:val="0"/>
        <w:spacing w:beforeAutospacing="1" w:afterAutospacing="1" w:line="360" w:lineRule="auto"/>
        <w:jc w:val="both"/>
        <w:outlineLvl w:val="2"/>
        <w:rPr>
          <w:rFonts w:ascii="宋体" w:hAnsi="宋体" w:cs="宋体"/>
          <w:highlight w:val="none"/>
        </w:rPr>
      </w:pPr>
      <w:r>
        <w:rPr>
          <w:rFonts w:hint="eastAsia" w:ascii="宋体" w:hAnsi="宋体" w:cs="宋体"/>
          <w:highlight w:val="none"/>
          <w:lang w:bidi="ar"/>
        </w:rPr>
        <w:t>（一）委托人提供的设备、设施（若有）</w:t>
      </w:r>
    </w:p>
    <w:p w14:paraId="6FE7AC2A">
      <w:pPr>
        <w:spacing w:line="360" w:lineRule="auto"/>
        <w:ind w:firstLine="480" w:firstLineChars="200"/>
        <w:rPr>
          <w:rFonts w:ascii="宋体" w:hAnsi="宋体"/>
          <w:color w:val="000000"/>
          <w:kern w:val="2"/>
          <w:highlight w:val="none"/>
          <w:u w:val="single"/>
        </w:rPr>
      </w:pPr>
      <w:r>
        <w:rPr>
          <w:rFonts w:hint="eastAsia" w:ascii="宋体" w:hAnsi="宋体" w:cs="宋体"/>
          <w:color w:val="000000"/>
          <w:highlight w:val="none"/>
          <w:lang w:bidi="ar"/>
        </w:rPr>
        <w:t>1. 委托人提供的办公房屋及冷暖设施：</w:t>
      </w:r>
      <w:r>
        <w:rPr>
          <w:rFonts w:hint="eastAsia" w:ascii="宋体" w:hAnsi="宋体" w:cs="宋体"/>
          <w:highlight w:val="none"/>
          <w:u w:val="single"/>
          <w:lang w:bidi="ar"/>
        </w:rPr>
        <w:t>根据项目实际情况需求提供</w:t>
      </w:r>
      <w:r>
        <w:rPr>
          <w:rFonts w:hint="eastAsia" w:ascii="宋体" w:hAnsi="宋体" w:cs="宋体"/>
          <w:color w:val="000000"/>
          <w:highlight w:val="none"/>
          <w:u w:val="single"/>
          <w:lang w:bidi="ar"/>
        </w:rPr>
        <w:t>。</w:t>
      </w:r>
    </w:p>
    <w:p w14:paraId="5C737BF9">
      <w:pPr>
        <w:spacing w:line="360" w:lineRule="auto"/>
        <w:ind w:firstLine="480" w:firstLineChars="200"/>
        <w:rPr>
          <w:rFonts w:ascii="宋体" w:hAnsi="宋体"/>
          <w:color w:val="000000"/>
          <w:kern w:val="2"/>
          <w:highlight w:val="none"/>
          <w:u w:val="single"/>
        </w:rPr>
      </w:pPr>
      <w:r>
        <w:rPr>
          <w:rFonts w:hint="eastAsia" w:ascii="宋体" w:hAnsi="宋体" w:cs="宋体"/>
          <w:color w:val="000000"/>
          <w:highlight w:val="none"/>
          <w:lang w:bidi="ar"/>
        </w:rPr>
        <w:t>2. 委托人提供的设备清单：</w:t>
      </w:r>
      <w:r>
        <w:rPr>
          <w:rFonts w:hint="eastAsia" w:ascii="宋体" w:hAnsi="宋体" w:cs="宋体"/>
          <w:color w:val="000000"/>
          <w:highlight w:val="none"/>
          <w:u w:val="single"/>
          <w:lang w:bidi="ar"/>
        </w:rPr>
        <w:t>无。</w:t>
      </w:r>
    </w:p>
    <w:p w14:paraId="41DDF546">
      <w:pPr>
        <w:spacing w:line="360" w:lineRule="auto"/>
        <w:ind w:firstLine="480" w:firstLineChars="200"/>
        <w:rPr>
          <w:rFonts w:ascii="宋体" w:hAnsi="宋体"/>
          <w:color w:val="000000"/>
          <w:kern w:val="2"/>
          <w:highlight w:val="none"/>
          <w:u w:val="single"/>
        </w:rPr>
      </w:pPr>
      <w:r>
        <w:rPr>
          <w:rFonts w:hint="eastAsia" w:ascii="宋体" w:hAnsi="宋体" w:cs="宋体"/>
          <w:color w:val="000000"/>
          <w:highlight w:val="none"/>
          <w:lang w:bidi="ar"/>
        </w:rPr>
        <w:t>3. 委托人提供的设施清单：</w:t>
      </w:r>
      <w:r>
        <w:rPr>
          <w:rFonts w:hint="eastAsia" w:ascii="宋体" w:hAnsi="宋体" w:cs="宋体"/>
          <w:color w:val="000000"/>
          <w:highlight w:val="none"/>
          <w:u w:val="single"/>
          <w:lang w:bidi="ar"/>
        </w:rPr>
        <w:t>无。</w:t>
      </w:r>
    </w:p>
    <w:p w14:paraId="643AECCD">
      <w:pPr>
        <w:kinsoku w:val="0"/>
        <w:overflowPunct w:val="0"/>
        <w:spacing w:beforeAutospacing="1" w:afterAutospacing="1" w:line="360" w:lineRule="auto"/>
        <w:jc w:val="both"/>
        <w:outlineLvl w:val="2"/>
        <w:rPr>
          <w:rFonts w:ascii="宋体" w:hAnsi="宋体" w:cs="宋体"/>
          <w:highlight w:val="none"/>
        </w:rPr>
      </w:pPr>
      <w:r>
        <w:rPr>
          <w:rFonts w:hint="eastAsia" w:ascii="宋体" w:hAnsi="宋体" w:cs="宋体"/>
          <w:highlight w:val="none"/>
          <w:lang w:bidi="ar"/>
        </w:rPr>
        <w:t>（二）委托人提供的资料</w:t>
      </w:r>
    </w:p>
    <w:p w14:paraId="42F09782">
      <w:pPr>
        <w:spacing w:line="360" w:lineRule="auto"/>
        <w:ind w:firstLine="480" w:firstLineChars="200"/>
        <w:rPr>
          <w:rFonts w:ascii="宋体" w:hAnsi="宋体"/>
          <w:color w:val="000000"/>
          <w:kern w:val="2"/>
          <w:highlight w:val="none"/>
          <w:u w:val="single"/>
        </w:rPr>
      </w:pPr>
      <w:r>
        <w:rPr>
          <w:rFonts w:hint="eastAsia" w:ascii="宋体" w:hAnsi="宋体" w:cs="宋体"/>
          <w:color w:val="000000"/>
          <w:highlight w:val="none"/>
          <w:u w:val="single"/>
          <w:lang w:bidi="ar"/>
        </w:rPr>
        <w:t>1. 施工场地及毗邻区域内的供水、排水、供电、供气、供热、通信、广播电视等地下管线资料、气象和水文观测资料，相邻建筑物和构筑物、地下工程的有关资料，以及其他与建设工程有关的原始资料</w:t>
      </w:r>
    </w:p>
    <w:p w14:paraId="252FE83A">
      <w:pPr>
        <w:spacing w:line="360" w:lineRule="auto"/>
        <w:ind w:firstLine="480" w:firstLineChars="200"/>
        <w:rPr>
          <w:rFonts w:ascii="宋体" w:hAnsi="宋体"/>
          <w:color w:val="000000"/>
          <w:kern w:val="2"/>
          <w:highlight w:val="none"/>
          <w:u w:val="single"/>
        </w:rPr>
      </w:pPr>
      <w:r>
        <w:rPr>
          <w:rFonts w:hint="eastAsia" w:ascii="宋体" w:hAnsi="宋体" w:cs="宋体"/>
          <w:color w:val="000000"/>
          <w:highlight w:val="none"/>
          <w:u w:val="single"/>
          <w:lang w:bidi="ar"/>
        </w:rPr>
        <w:t>2. 定位放线的基准点、基准线和基准标高</w:t>
      </w:r>
    </w:p>
    <w:p w14:paraId="4D24F9AA">
      <w:pPr>
        <w:spacing w:line="360" w:lineRule="auto"/>
        <w:ind w:firstLine="480" w:firstLineChars="200"/>
        <w:rPr>
          <w:rFonts w:ascii="宋体" w:hAnsi="宋体"/>
          <w:color w:val="000000"/>
          <w:kern w:val="2"/>
          <w:highlight w:val="none"/>
          <w:u w:val="single"/>
        </w:rPr>
      </w:pPr>
      <w:r>
        <w:rPr>
          <w:rFonts w:hint="eastAsia" w:ascii="宋体" w:hAnsi="宋体" w:cs="宋体"/>
          <w:color w:val="000000"/>
          <w:highlight w:val="none"/>
          <w:u w:val="single"/>
          <w:lang w:bidi="ar"/>
        </w:rPr>
        <w:t>3. 委托人取得的有关审批、核准和备案材料</w:t>
      </w:r>
    </w:p>
    <w:p w14:paraId="6A724B6A">
      <w:pPr>
        <w:spacing w:line="360" w:lineRule="auto"/>
        <w:ind w:firstLine="480" w:firstLineChars="200"/>
        <w:rPr>
          <w:rFonts w:ascii="宋体" w:hAnsi="宋体"/>
          <w:color w:val="000000"/>
          <w:kern w:val="2"/>
          <w:highlight w:val="none"/>
          <w:u w:val="single"/>
        </w:rPr>
      </w:pPr>
      <w:r>
        <w:rPr>
          <w:rFonts w:hint="eastAsia" w:ascii="宋体" w:hAnsi="宋体" w:cs="宋体"/>
          <w:color w:val="000000"/>
          <w:highlight w:val="none"/>
          <w:u w:val="single"/>
          <w:lang w:bidi="ar"/>
        </w:rPr>
        <w:t>4. 勘察文件、设计文件等资料</w:t>
      </w:r>
    </w:p>
    <w:p w14:paraId="78A38E07">
      <w:pPr>
        <w:spacing w:line="360" w:lineRule="auto"/>
        <w:ind w:firstLine="480" w:firstLineChars="200"/>
        <w:rPr>
          <w:rFonts w:ascii="宋体" w:hAnsi="宋体"/>
          <w:color w:val="000000"/>
          <w:kern w:val="2"/>
          <w:highlight w:val="none"/>
          <w:u w:val="single"/>
        </w:rPr>
      </w:pPr>
      <w:r>
        <w:rPr>
          <w:rFonts w:hint="eastAsia" w:ascii="宋体" w:hAnsi="宋体" w:cs="宋体"/>
          <w:color w:val="000000"/>
          <w:highlight w:val="none"/>
          <w:u w:val="single"/>
          <w:lang w:bidi="ar"/>
        </w:rPr>
        <w:t>5. 技术标准、规范</w:t>
      </w:r>
    </w:p>
    <w:p w14:paraId="2F24E235">
      <w:pPr>
        <w:spacing w:line="360" w:lineRule="auto"/>
        <w:ind w:firstLine="480" w:firstLineChars="200"/>
        <w:rPr>
          <w:rFonts w:ascii="宋体" w:hAnsi="宋体"/>
          <w:color w:val="000000"/>
          <w:kern w:val="2"/>
          <w:highlight w:val="none"/>
          <w:u w:val="single"/>
        </w:rPr>
      </w:pPr>
      <w:r>
        <w:rPr>
          <w:rFonts w:hint="eastAsia" w:ascii="宋体" w:hAnsi="宋体" w:cs="宋体"/>
          <w:color w:val="000000"/>
          <w:highlight w:val="none"/>
          <w:u w:val="single"/>
          <w:lang w:bidi="ar"/>
        </w:rPr>
        <w:t>6. 工程承包合同及其他相关合同</w:t>
      </w:r>
    </w:p>
    <w:p w14:paraId="08BF43B1">
      <w:pPr>
        <w:spacing w:line="360" w:lineRule="auto"/>
        <w:ind w:firstLine="480" w:firstLineChars="200"/>
        <w:rPr>
          <w:rFonts w:ascii="宋体" w:hAnsi="宋体"/>
          <w:color w:val="000000"/>
          <w:kern w:val="2"/>
          <w:highlight w:val="none"/>
          <w:u w:val="single"/>
        </w:rPr>
      </w:pPr>
      <w:r>
        <w:rPr>
          <w:rFonts w:hint="eastAsia" w:ascii="宋体" w:hAnsi="宋体" w:cs="宋体"/>
          <w:color w:val="000000"/>
          <w:highlight w:val="none"/>
          <w:u w:val="single"/>
          <w:lang w:bidi="ar"/>
        </w:rPr>
        <w:t>7. 其他资料</w:t>
      </w:r>
    </w:p>
    <w:p w14:paraId="6910B785">
      <w:pPr>
        <w:kinsoku w:val="0"/>
        <w:overflowPunct w:val="0"/>
        <w:spacing w:beforeAutospacing="1" w:afterAutospacing="1" w:line="360" w:lineRule="auto"/>
        <w:jc w:val="both"/>
        <w:outlineLvl w:val="2"/>
        <w:rPr>
          <w:rFonts w:ascii="宋体" w:hAnsi="宋体"/>
          <w:highlight w:val="none"/>
        </w:rPr>
      </w:pPr>
      <w:r>
        <w:rPr>
          <w:rFonts w:hint="eastAsia" w:ascii="宋体" w:hAnsi="宋体" w:cs="宋体"/>
          <w:highlight w:val="none"/>
          <w:lang w:bidi="ar"/>
        </w:rPr>
        <w:t>（三）委托人财产使用要求及退还要求（若有）</w:t>
      </w:r>
    </w:p>
    <w:p w14:paraId="7457A139">
      <w:pPr>
        <w:spacing w:line="360" w:lineRule="auto"/>
        <w:ind w:firstLine="480" w:firstLineChars="200"/>
        <w:rPr>
          <w:kern w:val="2"/>
          <w:highlight w:val="none"/>
        </w:rPr>
      </w:pPr>
      <w:r>
        <w:rPr>
          <w:highlight w:val="none"/>
          <w:lang w:bidi="ar"/>
        </w:rPr>
        <w:t xml:space="preserve">1. </w:t>
      </w:r>
      <w:r>
        <w:rPr>
          <w:rFonts w:hint="eastAsia" w:ascii="宋体" w:hAnsi="宋体" w:cs="宋体"/>
          <w:highlight w:val="none"/>
          <w:lang w:bidi="ar"/>
        </w:rPr>
        <w:t>委托人财产使用要求：</w:t>
      </w:r>
      <w:r>
        <w:rPr>
          <w:rFonts w:hint="eastAsia" w:ascii="宋体" w:hAnsi="宋体" w:cs="宋体"/>
          <w:highlight w:val="none"/>
          <w:u w:val="single"/>
          <w:lang w:bidi="ar"/>
        </w:rPr>
        <w:t>监理人对委托人财产保存完好，避免有损坏或丢失等情况发生；</w:t>
      </w:r>
    </w:p>
    <w:p w14:paraId="38FC0878">
      <w:pPr>
        <w:spacing w:line="360" w:lineRule="auto"/>
        <w:ind w:firstLine="480" w:firstLineChars="200"/>
        <w:rPr>
          <w:kern w:val="2"/>
          <w:highlight w:val="none"/>
        </w:rPr>
      </w:pPr>
      <w:r>
        <w:rPr>
          <w:highlight w:val="none"/>
          <w:lang w:bidi="ar"/>
        </w:rPr>
        <w:t xml:space="preserve">2. </w:t>
      </w:r>
      <w:r>
        <w:rPr>
          <w:rFonts w:hint="eastAsia" w:ascii="宋体" w:hAnsi="宋体" w:cs="宋体"/>
          <w:highlight w:val="none"/>
          <w:lang w:bidi="ar"/>
        </w:rPr>
        <w:t>委托人财产退还要求：</w:t>
      </w:r>
      <w:r>
        <w:rPr>
          <w:rFonts w:hint="eastAsia" w:ascii="宋体" w:hAnsi="宋体" w:cs="宋体"/>
          <w:highlight w:val="none"/>
          <w:u w:val="single"/>
          <w:lang w:bidi="ar"/>
        </w:rPr>
        <w:t>工程完工后监理人将委托人财产全数完好地退还给委托人。</w:t>
      </w:r>
    </w:p>
    <w:p w14:paraId="57359A8F">
      <w:pPr>
        <w:keepNext/>
        <w:keepLines/>
        <w:widowControl/>
        <w:autoSpaceDE/>
        <w:autoSpaceDN/>
        <w:adjustRightInd/>
        <w:spacing w:before="260" w:after="260" w:line="410" w:lineRule="auto"/>
        <w:ind w:firstLine="118" w:firstLineChars="49"/>
        <w:jc w:val="both"/>
        <w:outlineLvl w:val="2"/>
        <w:rPr>
          <w:rFonts w:ascii="宋体" w:hAnsi="宋体"/>
          <w:b/>
          <w:kern w:val="2"/>
          <w:highlight w:val="none"/>
        </w:rPr>
      </w:pPr>
      <w:r>
        <w:rPr>
          <w:rFonts w:hint="eastAsia" w:ascii="宋体" w:hAnsi="宋体" w:cs="宋体"/>
          <w:b/>
          <w:kern w:val="2"/>
          <w:highlight w:val="none"/>
        </w:rPr>
        <w:t>五、委托人提供的便利条件</w:t>
      </w:r>
    </w:p>
    <w:p w14:paraId="58731E53">
      <w:pPr>
        <w:spacing w:line="360" w:lineRule="auto"/>
        <w:ind w:firstLine="480" w:firstLineChars="200"/>
        <w:rPr>
          <w:rFonts w:ascii="宋体" w:hAnsi="宋体"/>
          <w:color w:val="000000"/>
          <w:kern w:val="2"/>
          <w:highlight w:val="none"/>
          <w:u w:val="single"/>
        </w:rPr>
      </w:pPr>
      <w:r>
        <w:rPr>
          <w:rFonts w:hint="eastAsia" w:ascii="宋体" w:hAnsi="宋体" w:cs="宋体"/>
          <w:color w:val="000000"/>
          <w:highlight w:val="none"/>
          <w:lang w:bidi="ar"/>
        </w:rPr>
        <w:t>1. 委托人提供的生活条件：</w:t>
      </w:r>
      <w:r>
        <w:rPr>
          <w:rFonts w:hint="eastAsia" w:ascii="宋体" w:hAnsi="宋体" w:cs="宋体"/>
          <w:highlight w:val="none"/>
          <w:u w:val="single"/>
          <w:lang w:bidi="ar"/>
        </w:rPr>
        <w:t>根据项目实际情况需求提供</w:t>
      </w:r>
      <w:r>
        <w:rPr>
          <w:rFonts w:hint="eastAsia" w:ascii="宋体" w:hAnsi="宋体" w:cs="宋体"/>
          <w:color w:val="000000"/>
          <w:highlight w:val="none"/>
          <w:u w:val="single"/>
          <w:lang w:bidi="ar"/>
        </w:rPr>
        <w:t>。</w:t>
      </w:r>
    </w:p>
    <w:p w14:paraId="26C387D7">
      <w:pPr>
        <w:spacing w:line="360" w:lineRule="auto"/>
        <w:ind w:firstLine="480" w:firstLineChars="200"/>
        <w:rPr>
          <w:rFonts w:ascii="宋体" w:hAnsi="宋体"/>
          <w:color w:val="000000"/>
          <w:kern w:val="2"/>
          <w:highlight w:val="none"/>
          <w:u w:val="single"/>
        </w:rPr>
      </w:pPr>
      <w:r>
        <w:rPr>
          <w:rFonts w:hint="eastAsia" w:ascii="宋体" w:hAnsi="宋体" w:cs="宋体"/>
          <w:color w:val="000000"/>
          <w:highlight w:val="none"/>
          <w:lang w:bidi="ar"/>
        </w:rPr>
        <w:t>2. 委托人提供的交通条件：</w:t>
      </w:r>
      <w:r>
        <w:rPr>
          <w:rFonts w:hint="eastAsia" w:ascii="宋体" w:hAnsi="宋体" w:cs="宋体"/>
          <w:color w:val="000000"/>
          <w:highlight w:val="none"/>
          <w:u w:val="single"/>
          <w:lang w:bidi="ar"/>
        </w:rPr>
        <w:t>无</w:t>
      </w:r>
    </w:p>
    <w:p w14:paraId="45367F66">
      <w:pPr>
        <w:spacing w:line="360" w:lineRule="auto"/>
        <w:ind w:firstLine="480" w:firstLineChars="200"/>
        <w:rPr>
          <w:rFonts w:ascii="宋体" w:hAnsi="宋体"/>
          <w:color w:val="000000"/>
          <w:kern w:val="2"/>
          <w:highlight w:val="none"/>
          <w:u w:val="single"/>
        </w:rPr>
      </w:pPr>
      <w:r>
        <w:rPr>
          <w:rFonts w:hint="eastAsia" w:ascii="宋体" w:hAnsi="宋体" w:cs="宋体"/>
          <w:color w:val="000000"/>
          <w:highlight w:val="none"/>
          <w:lang w:bidi="ar"/>
        </w:rPr>
        <w:t>3. 委托人提供的网络、通讯条件：</w:t>
      </w:r>
      <w:r>
        <w:rPr>
          <w:rFonts w:hint="eastAsia" w:ascii="宋体" w:hAnsi="宋体" w:cs="宋体"/>
          <w:color w:val="000000"/>
          <w:highlight w:val="none"/>
          <w:u w:val="single"/>
          <w:lang w:bidi="ar"/>
        </w:rPr>
        <w:t>无</w:t>
      </w:r>
    </w:p>
    <w:p w14:paraId="1A7EB3CB">
      <w:pPr>
        <w:spacing w:line="360" w:lineRule="auto"/>
        <w:ind w:firstLine="480" w:firstLineChars="200"/>
        <w:rPr>
          <w:rFonts w:ascii="宋体" w:hAnsi="宋体"/>
          <w:color w:val="000000"/>
          <w:kern w:val="2"/>
          <w:highlight w:val="none"/>
          <w:u w:val="single"/>
        </w:rPr>
      </w:pPr>
      <w:r>
        <w:rPr>
          <w:rFonts w:hint="eastAsia" w:ascii="宋体" w:hAnsi="宋体" w:cs="宋体"/>
          <w:color w:val="000000"/>
          <w:highlight w:val="none"/>
          <w:lang w:bidi="ar"/>
        </w:rPr>
        <w:t>4. 委托人提供的协助人员：</w:t>
      </w:r>
      <w:r>
        <w:rPr>
          <w:rFonts w:hint="eastAsia" w:ascii="宋体" w:hAnsi="宋体" w:cs="宋体"/>
          <w:color w:val="000000"/>
          <w:highlight w:val="none"/>
          <w:u w:val="single"/>
          <w:lang w:bidi="ar"/>
        </w:rPr>
        <w:t>无</w:t>
      </w:r>
    </w:p>
    <w:p w14:paraId="1F009469">
      <w:pPr>
        <w:keepNext/>
        <w:keepLines/>
        <w:widowControl/>
        <w:autoSpaceDE/>
        <w:autoSpaceDN/>
        <w:adjustRightInd/>
        <w:spacing w:before="260" w:after="260" w:line="410" w:lineRule="auto"/>
        <w:ind w:firstLine="118" w:firstLineChars="49"/>
        <w:jc w:val="both"/>
        <w:outlineLvl w:val="2"/>
        <w:rPr>
          <w:rFonts w:ascii="宋体" w:hAnsi="宋体"/>
          <w:b/>
          <w:kern w:val="2"/>
          <w:highlight w:val="none"/>
        </w:rPr>
      </w:pPr>
      <w:r>
        <w:rPr>
          <w:rFonts w:hint="eastAsia" w:ascii="宋体" w:hAnsi="宋体" w:cs="宋体"/>
          <w:b/>
          <w:kern w:val="2"/>
          <w:highlight w:val="none"/>
        </w:rPr>
        <w:t>六、监理人需要自备的工作条件</w:t>
      </w:r>
    </w:p>
    <w:p w14:paraId="1BB02F25">
      <w:pPr>
        <w:spacing w:line="360" w:lineRule="auto"/>
        <w:ind w:firstLine="480" w:firstLineChars="200"/>
        <w:rPr>
          <w:kern w:val="2"/>
          <w:highlight w:val="none"/>
        </w:rPr>
      </w:pPr>
      <w:r>
        <w:rPr>
          <w:highlight w:val="none"/>
          <w:lang w:bidi="ar"/>
        </w:rPr>
        <w:t xml:space="preserve">1. </w:t>
      </w:r>
      <w:r>
        <w:rPr>
          <w:rFonts w:hint="eastAsia" w:ascii="宋体" w:hAnsi="宋体" w:cs="宋体"/>
          <w:highlight w:val="none"/>
          <w:lang w:bidi="ar"/>
        </w:rPr>
        <w:t>监理人自备的工作手册：</w:t>
      </w:r>
      <w:r>
        <w:rPr>
          <w:rFonts w:hint="eastAsia" w:ascii="宋体" w:hAnsi="宋体" w:cs="宋体"/>
          <w:highlight w:val="none"/>
          <w:u w:val="single"/>
          <w:lang w:bidi="ar"/>
        </w:rPr>
        <w:t>本项目必备的规范标准、图集等。</w:t>
      </w:r>
    </w:p>
    <w:p w14:paraId="1BCD4E37">
      <w:pPr>
        <w:spacing w:line="360" w:lineRule="auto"/>
        <w:ind w:firstLine="480" w:firstLineChars="200"/>
        <w:rPr>
          <w:kern w:val="2"/>
          <w:highlight w:val="none"/>
        </w:rPr>
      </w:pPr>
      <w:r>
        <w:rPr>
          <w:highlight w:val="none"/>
          <w:lang w:bidi="ar"/>
        </w:rPr>
        <w:t xml:space="preserve">2. </w:t>
      </w:r>
      <w:r>
        <w:rPr>
          <w:rFonts w:hint="eastAsia" w:ascii="宋体" w:hAnsi="宋体" w:cs="宋体"/>
          <w:highlight w:val="none"/>
          <w:lang w:bidi="ar"/>
        </w:rPr>
        <w:t>监理人自备的办公设备：</w:t>
      </w:r>
      <w:r>
        <w:rPr>
          <w:rFonts w:hint="eastAsia" w:ascii="宋体" w:hAnsi="宋体" w:cs="宋体"/>
          <w:highlight w:val="none"/>
          <w:u w:val="single"/>
          <w:lang w:bidi="ar"/>
        </w:rPr>
        <w:t>电脑、软件、投影、打印机、复印机、照相机等。</w:t>
      </w:r>
    </w:p>
    <w:p w14:paraId="523D9ADF">
      <w:pPr>
        <w:spacing w:line="360" w:lineRule="auto"/>
        <w:ind w:firstLine="480" w:firstLineChars="200"/>
        <w:rPr>
          <w:kern w:val="2"/>
          <w:highlight w:val="none"/>
        </w:rPr>
      </w:pPr>
      <w:r>
        <w:rPr>
          <w:highlight w:val="none"/>
          <w:lang w:bidi="ar"/>
        </w:rPr>
        <w:t xml:space="preserve">3. </w:t>
      </w:r>
      <w:r>
        <w:rPr>
          <w:rFonts w:hint="eastAsia" w:ascii="宋体" w:hAnsi="宋体" w:cs="宋体"/>
          <w:highlight w:val="none"/>
          <w:lang w:bidi="ar"/>
        </w:rPr>
        <w:t>监理人自备的交通工具：</w:t>
      </w:r>
      <w:r>
        <w:rPr>
          <w:rFonts w:hint="eastAsia" w:ascii="宋体" w:hAnsi="宋体" w:cs="宋体"/>
          <w:highlight w:val="none"/>
          <w:u w:val="single"/>
          <w:lang w:bidi="ar"/>
        </w:rPr>
        <w:t>出行车辆等。</w:t>
      </w:r>
    </w:p>
    <w:p w14:paraId="0DEEBB53">
      <w:pPr>
        <w:spacing w:line="360" w:lineRule="auto"/>
        <w:ind w:firstLine="480" w:firstLineChars="200"/>
        <w:rPr>
          <w:kern w:val="2"/>
          <w:highlight w:val="none"/>
        </w:rPr>
      </w:pPr>
      <w:r>
        <w:rPr>
          <w:highlight w:val="none"/>
          <w:lang w:bidi="ar"/>
        </w:rPr>
        <w:t xml:space="preserve">4. </w:t>
      </w:r>
      <w:r>
        <w:rPr>
          <w:rFonts w:hint="eastAsia" w:ascii="宋体" w:hAnsi="宋体" w:cs="宋体"/>
          <w:highlight w:val="none"/>
          <w:lang w:bidi="ar"/>
        </w:rPr>
        <w:t>监理人自备的现场办公设施：</w:t>
      </w:r>
      <w:r>
        <w:rPr>
          <w:rFonts w:hint="eastAsia" w:ascii="宋体" w:hAnsi="宋体" w:cs="宋体"/>
          <w:highlight w:val="none"/>
          <w:u w:val="single"/>
          <w:lang w:bidi="ar"/>
        </w:rPr>
        <w:t>办公桌椅、文件柜等。</w:t>
      </w:r>
    </w:p>
    <w:p w14:paraId="09599655">
      <w:pPr>
        <w:spacing w:line="360" w:lineRule="auto"/>
        <w:ind w:firstLine="480" w:firstLineChars="200"/>
        <w:rPr>
          <w:kern w:val="2"/>
          <w:highlight w:val="none"/>
        </w:rPr>
      </w:pPr>
      <w:r>
        <w:rPr>
          <w:highlight w:val="none"/>
          <w:lang w:bidi="ar"/>
        </w:rPr>
        <w:t xml:space="preserve">5. </w:t>
      </w:r>
      <w:r>
        <w:rPr>
          <w:rFonts w:hint="eastAsia" w:ascii="宋体" w:hAnsi="宋体" w:cs="宋体"/>
          <w:highlight w:val="none"/>
          <w:lang w:bidi="ar"/>
        </w:rPr>
        <w:t>监理人自备的安全设施：</w:t>
      </w:r>
      <w:r>
        <w:rPr>
          <w:rFonts w:hint="eastAsia" w:ascii="宋体" w:hAnsi="宋体" w:cs="宋体"/>
          <w:highlight w:val="none"/>
          <w:u w:val="single"/>
          <w:lang w:bidi="ar"/>
        </w:rPr>
        <w:t>安全帽、安全鞋、手电筒等。</w:t>
      </w:r>
    </w:p>
    <w:p w14:paraId="24252140">
      <w:pPr>
        <w:spacing w:line="360" w:lineRule="auto"/>
        <w:ind w:firstLine="480" w:firstLineChars="200"/>
        <w:rPr>
          <w:kern w:val="2"/>
          <w:highlight w:val="none"/>
        </w:rPr>
      </w:pPr>
      <w:r>
        <w:rPr>
          <w:highlight w:val="none"/>
          <w:lang w:bidi="ar"/>
        </w:rPr>
        <w:t xml:space="preserve">6. </w:t>
      </w:r>
      <w:r>
        <w:rPr>
          <w:rFonts w:hint="eastAsia" w:ascii="宋体" w:hAnsi="宋体" w:cs="宋体"/>
          <w:highlight w:val="none"/>
          <w:lang w:bidi="ar"/>
        </w:rPr>
        <w:t>监理人自备的试验检测仪器、设备、工具：</w:t>
      </w:r>
      <w:r>
        <w:rPr>
          <w:rFonts w:hint="eastAsia" w:ascii="宋体" w:hAnsi="宋体" w:cs="宋体"/>
          <w:highlight w:val="none"/>
          <w:u w:val="single"/>
          <w:lang w:bidi="ar"/>
        </w:rPr>
        <w:t>满足本项目监理服务要求。</w:t>
      </w:r>
    </w:p>
    <w:p w14:paraId="610528A0">
      <w:pPr>
        <w:spacing w:line="360" w:lineRule="auto"/>
        <w:ind w:firstLine="480" w:firstLineChars="200"/>
        <w:rPr>
          <w:kern w:val="2"/>
          <w:highlight w:val="none"/>
        </w:rPr>
      </w:pPr>
      <w:r>
        <w:rPr>
          <w:highlight w:val="none"/>
          <w:lang w:bidi="ar"/>
        </w:rPr>
        <w:t xml:space="preserve">7. </w:t>
      </w:r>
      <w:r>
        <w:rPr>
          <w:rFonts w:hint="eastAsia" w:ascii="宋体" w:hAnsi="宋体" w:cs="宋体"/>
          <w:highlight w:val="none"/>
          <w:lang w:bidi="ar"/>
        </w:rPr>
        <w:t>监理人自备的试验用房、样品用房：</w:t>
      </w:r>
      <w:r>
        <w:rPr>
          <w:rFonts w:hint="eastAsia" w:ascii="宋体" w:hAnsi="宋体" w:cs="宋体"/>
          <w:highlight w:val="none"/>
          <w:u w:val="single"/>
          <w:lang w:bidi="ar"/>
        </w:rPr>
        <w:t>监理人根据现场实际情况自行准备。</w:t>
      </w:r>
    </w:p>
    <w:p w14:paraId="32D0649E">
      <w:pPr>
        <w:keepNext/>
        <w:keepLines/>
        <w:widowControl/>
        <w:autoSpaceDE/>
        <w:autoSpaceDN/>
        <w:adjustRightInd/>
        <w:spacing w:before="260" w:after="260" w:line="410" w:lineRule="auto"/>
        <w:ind w:firstLine="118" w:firstLineChars="49"/>
        <w:jc w:val="both"/>
        <w:outlineLvl w:val="2"/>
        <w:rPr>
          <w:rFonts w:ascii="宋体" w:hAnsi="宋体"/>
          <w:b/>
          <w:kern w:val="2"/>
          <w:highlight w:val="none"/>
        </w:rPr>
      </w:pPr>
      <w:r>
        <w:rPr>
          <w:rFonts w:hint="eastAsia" w:ascii="宋体" w:hAnsi="宋体" w:cs="宋体"/>
          <w:b/>
          <w:kern w:val="2"/>
          <w:highlight w:val="none"/>
        </w:rPr>
        <w:t>七、委托人的其他要求</w:t>
      </w:r>
    </w:p>
    <w:p w14:paraId="31BE8E03">
      <w:pPr>
        <w:kinsoku w:val="0"/>
        <w:overflowPunct w:val="0"/>
        <w:spacing w:before="8" w:afterAutospacing="1"/>
        <w:ind w:firstLine="400"/>
        <w:rPr>
          <w:rFonts w:ascii="Calibri" w:hAnsi="Calibri"/>
          <w:kern w:val="2"/>
          <w:sz w:val="21"/>
          <w:szCs w:val="22"/>
          <w:highlight w:val="none"/>
        </w:rPr>
      </w:pPr>
      <w:r>
        <w:rPr>
          <w:rFonts w:hint="eastAsia" w:ascii="宋体" w:hAnsi="宋体"/>
          <w:sz w:val="20"/>
          <w:szCs w:val="20"/>
          <w:highlight w:val="none"/>
          <w:lang w:bidi="ar"/>
        </w:rPr>
        <w:t xml:space="preserve"> </w:t>
      </w:r>
      <w:r>
        <w:rPr>
          <w:rFonts w:hint="eastAsia" w:ascii="宋体" w:hAnsi="宋体" w:cs="宋体"/>
          <w:highlight w:val="none"/>
          <w:lang w:bidi="ar"/>
        </w:rPr>
        <w:t>委托人的其他要求：</w:t>
      </w:r>
      <w:r>
        <w:rPr>
          <w:rFonts w:hint="eastAsia" w:ascii="宋体" w:hAnsi="宋体" w:cs="宋体"/>
          <w:highlight w:val="none"/>
          <w:u w:val="single"/>
          <w:lang w:bidi="ar"/>
        </w:rPr>
        <w:t>其他要求详见监理合同</w:t>
      </w:r>
    </w:p>
    <w:p w14:paraId="2A624ACC">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sz w:val="24"/>
          <w:highlight w:val="none"/>
        </w:rPr>
        <w:sectPr>
          <w:pgSz w:w="11905" w:h="16838"/>
          <w:pgMar w:top="1417" w:right="1417" w:bottom="1417" w:left="1417" w:header="992" w:footer="992" w:gutter="0"/>
          <w:cols w:space="720" w:num="1"/>
        </w:sectPr>
      </w:pPr>
      <w:bookmarkStart w:id="198" w:name="bookmark169"/>
      <w:bookmarkEnd w:id="198"/>
      <w:bookmarkStart w:id="199" w:name="bookmark167"/>
      <w:bookmarkEnd w:id="199"/>
      <w:bookmarkStart w:id="200" w:name="bookmark172"/>
      <w:bookmarkEnd w:id="200"/>
      <w:bookmarkStart w:id="201" w:name="bookmark165"/>
      <w:bookmarkEnd w:id="201"/>
      <w:bookmarkStart w:id="202" w:name="bookmark166"/>
      <w:bookmarkEnd w:id="202"/>
      <w:bookmarkStart w:id="203" w:name="bookmark168"/>
      <w:bookmarkEnd w:id="203"/>
      <w:bookmarkStart w:id="204" w:name="bookmark164"/>
      <w:bookmarkEnd w:id="204"/>
      <w:bookmarkStart w:id="205" w:name="bookmark170"/>
      <w:bookmarkEnd w:id="205"/>
      <w:bookmarkStart w:id="206" w:name="bookmark171"/>
      <w:bookmarkEnd w:id="206"/>
    </w:p>
    <w:p w14:paraId="742A7540">
      <w:pPr>
        <w:pStyle w:val="3"/>
        <w:spacing w:before="5280" w:beforeLines="2200"/>
        <w:ind w:left="6"/>
        <w:rPr>
          <w:rFonts w:hint="default"/>
          <w:sz w:val="52"/>
          <w:szCs w:val="52"/>
          <w:highlight w:val="none"/>
        </w:rPr>
      </w:pPr>
      <w:bookmarkStart w:id="207" w:name="bookmark173"/>
      <w:bookmarkEnd w:id="207"/>
      <w:bookmarkStart w:id="208" w:name="_Toc9855"/>
      <w:r>
        <w:rPr>
          <w:sz w:val="52"/>
          <w:szCs w:val="52"/>
          <w:highlight w:val="none"/>
        </w:rPr>
        <w:t>第三卷</w:t>
      </w:r>
      <w:bookmarkEnd w:id="208"/>
    </w:p>
    <w:p w14:paraId="524CE757">
      <w:pPr>
        <w:pStyle w:val="3"/>
        <w:spacing w:before="5280" w:beforeLines="2200"/>
        <w:ind w:left="6"/>
        <w:rPr>
          <w:rFonts w:hint="default"/>
          <w:sz w:val="52"/>
          <w:szCs w:val="52"/>
          <w:highlight w:val="none"/>
        </w:rPr>
        <w:sectPr>
          <w:pgSz w:w="11905" w:h="16838"/>
          <w:pgMar w:top="1417" w:right="1417" w:bottom="1417" w:left="1417" w:header="992" w:footer="992" w:gutter="0"/>
          <w:cols w:space="720" w:num="1"/>
        </w:sectPr>
      </w:pPr>
    </w:p>
    <w:p w14:paraId="773E2468">
      <w:pPr>
        <w:pStyle w:val="5"/>
        <w:rPr>
          <w:sz w:val="44"/>
          <w:highlight w:val="none"/>
        </w:rPr>
      </w:pPr>
      <w:bookmarkStart w:id="209" w:name="bookmark174"/>
      <w:bookmarkEnd w:id="209"/>
      <w:bookmarkStart w:id="210" w:name="_Toc1895"/>
      <w:r>
        <w:rPr>
          <w:sz w:val="44"/>
          <w:highlight w:val="none"/>
        </w:rPr>
        <w:t>第六章 投标文件格式</w:t>
      </w:r>
      <w:bookmarkEnd w:id="210"/>
    </w:p>
    <w:p w14:paraId="31FC3FBC">
      <w:pPr>
        <w:pStyle w:val="5"/>
        <w:rPr>
          <w:highlight w:val="none"/>
        </w:rPr>
        <w:sectPr>
          <w:pgSz w:w="11905" w:h="16838"/>
          <w:pgMar w:top="1417" w:right="1417" w:bottom="1417" w:left="1417" w:header="992" w:footer="992" w:gutter="0"/>
          <w:cols w:space="720" w:num="1"/>
        </w:sectPr>
      </w:pPr>
    </w:p>
    <w:p w14:paraId="284C39E8">
      <w:pPr>
        <w:pStyle w:val="12"/>
        <w:kinsoku w:val="0"/>
        <w:overflowPunct w:val="0"/>
        <w:ind w:left="0"/>
        <w:rPr>
          <w:rFonts w:ascii="Microsoft JhengHei" w:hAnsi="Microsoft JhengHei" w:eastAsia="Microsoft JhengHei"/>
          <w:b/>
          <w:sz w:val="20"/>
          <w:highlight w:val="none"/>
        </w:rPr>
      </w:pPr>
    </w:p>
    <w:p w14:paraId="377EF0DB">
      <w:pPr>
        <w:pStyle w:val="12"/>
        <w:kinsoku w:val="0"/>
        <w:overflowPunct w:val="0"/>
        <w:ind w:left="0"/>
        <w:rPr>
          <w:rFonts w:ascii="Microsoft JhengHei" w:hAnsi="Microsoft JhengHei" w:eastAsia="Microsoft JhengHei"/>
          <w:b/>
          <w:sz w:val="20"/>
          <w:highlight w:val="none"/>
        </w:rPr>
      </w:pPr>
    </w:p>
    <w:p w14:paraId="1E8D9DB5">
      <w:pPr>
        <w:pStyle w:val="12"/>
        <w:kinsoku w:val="0"/>
        <w:overflowPunct w:val="0"/>
        <w:spacing w:before="1"/>
        <w:ind w:left="0"/>
        <w:rPr>
          <w:rFonts w:ascii="Microsoft JhengHei" w:hAnsi="Microsoft JhengHei" w:eastAsia="Microsoft JhengHei"/>
          <w:b/>
          <w:sz w:val="22"/>
          <w:highlight w:val="none"/>
        </w:rPr>
      </w:pPr>
    </w:p>
    <w:p w14:paraId="1B94C9B9">
      <w:pPr>
        <w:jc w:val="center"/>
        <w:rPr>
          <w:rFonts w:ascii="宋体"/>
          <w:sz w:val="36"/>
          <w:highlight w:val="none"/>
        </w:rPr>
      </w:pPr>
      <w:r>
        <w:rPr>
          <w:sz w:val="36"/>
          <w:highlight w:val="none"/>
          <w:u w:val="single"/>
        </w:rPr>
        <w:t xml:space="preserve">                 </w:t>
      </w:r>
      <w:r>
        <w:rPr>
          <w:rFonts w:ascii="宋体"/>
          <w:sz w:val="36"/>
          <w:highlight w:val="none"/>
          <w:u w:val="single"/>
        </w:rPr>
        <w:t>（项目名称）</w:t>
      </w:r>
      <w:r>
        <w:rPr>
          <w:rFonts w:ascii="宋体"/>
          <w:sz w:val="36"/>
          <w:highlight w:val="none"/>
        </w:rPr>
        <w:t xml:space="preserve"> </w:t>
      </w:r>
    </w:p>
    <w:p w14:paraId="0AACA6D7">
      <w:pPr>
        <w:pStyle w:val="12"/>
        <w:kinsoku w:val="0"/>
        <w:overflowPunct w:val="0"/>
        <w:ind w:left="0"/>
        <w:rPr>
          <w:sz w:val="20"/>
          <w:highlight w:val="none"/>
        </w:rPr>
      </w:pPr>
    </w:p>
    <w:p w14:paraId="6CF38599">
      <w:pPr>
        <w:pStyle w:val="12"/>
        <w:kinsoku w:val="0"/>
        <w:overflowPunct w:val="0"/>
        <w:spacing w:before="9"/>
        <w:ind w:left="0"/>
        <w:rPr>
          <w:sz w:val="15"/>
          <w:highlight w:val="none"/>
        </w:rPr>
      </w:pPr>
    </w:p>
    <w:p w14:paraId="5006C1FC">
      <w:pPr>
        <w:pStyle w:val="12"/>
        <w:kinsoku w:val="0"/>
        <w:overflowPunct w:val="0"/>
        <w:spacing w:line="539" w:lineRule="exact"/>
        <w:ind w:left="3" w:right="1"/>
        <w:jc w:val="center"/>
        <w:rPr>
          <w:sz w:val="44"/>
          <w:highlight w:val="none"/>
        </w:rPr>
      </w:pPr>
    </w:p>
    <w:p w14:paraId="1E90C6DF">
      <w:pPr>
        <w:pStyle w:val="12"/>
        <w:kinsoku w:val="0"/>
        <w:overflowPunct w:val="0"/>
        <w:spacing w:line="539" w:lineRule="exact"/>
        <w:ind w:left="3" w:right="1"/>
        <w:jc w:val="center"/>
        <w:rPr>
          <w:sz w:val="44"/>
          <w:highlight w:val="none"/>
        </w:rPr>
      </w:pPr>
    </w:p>
    <w:p w14:paraId="2CDF8732">
      <w:pPr>
        <w:pStyle w:val="12"/>
        <w:kinsoku w:val="0"/>
        <w:overflowPunct w:val="0"/>
        <w:ind w:left="0"/>
        <w:jc w:val="center"/>
        <w:rPr>
          <w:sz w:val="44"/>
          <w:highlight w:val="none"/>
        </w:rPr>
      </w:pPr>
      <w:r>
        <w:rPr>
          <w:rFonts w:cs="宋体"/>
          <w:sz w:val="84"/>
          <w:szCs w:val="84"/>
          <w:highlight w:val="none"/>
        </w:rPr>
        <w:t>投标文件</w:t>
      </w:r>
    </w:p>
    <w:p w14:paraId="517111F8">
      <w:pPr>
        <w:pStyle w:val="12"/>
        <w:kinsoku w:val="0"/>
        <w:overflowPunct w:val="0"/>
        <w:ind w:left="0"/>
        <w:rPr>
          <w:sz w:val="44"/>
          <w:highlight w:val="none"/>
        </w:rPr>
      </w:pPr>
    </w:p>
    <w:p w14:paraId="06F43247">
      <w:pPr>
        <w:pStyle w:val="12"/>
        <w:kinsoku w:val="0"/>
        <w:overflowPunct w:val="0"/>
        <w:ind w:left="0"/>
        <w:rPr>
          <w:sz w:val="44"/>
          <w:highlight w:val="none"/>
        </w:rPr>
      </w:pPr>
    </w:p>
    <w:p w14:paraId="284D1615">
      <w:pPr>
        <w:pStyle w:val="12"/>
        <w:kinsoku w:val="0"/>
        <w:overflowPunct w:val="0"/>
        <w:ind w:left="0"/>
        <w:rPr>
          <w:sz w:val="44"/>
          <w:highlight w:val="none"/>
        </w:rPr>
      </w:pPr>
    </w:p>
    <w:p w14:paraId="67602471">
      <w:pPr>
        <w:pStyle w:val="12"/>
        <w:kinsoku w:val="0"/>
        <w:overflowPunct w:val="0"/>
        <w:ind w:left="0"/>
        <w:rPr>
          <w:sz w:val="44"/>
          <w:highlight w:val="none"/>
        </w:rPr>
      </w:pPr>
    </w:p>
    <w:p w14:paraId="7F01E7FC">
      <w:pPr>
        <w:pStyle w:val="12"/>
        <w:kinsoku w:val="0"/>
        <w:overflowPunct w:val="0"/>
        <w:ind w:left="0"/>
        <w:rPr>
          <w:sz w:val="44"/>
          <w:highlight w:val="none"/>
        </w:rPr>
      </w:pPr>
    </w:p>
    <w:p w14:paraId="3383CCC8">
      <w:pPr>
        <w:pStyle w:val="12"/>
        <w:kinsoku w:val="0"/>
        <w:overflowPunct w:val="0"/>
        <w:ind w:left="0"/>
        <w:rPr>
          <w:sz w:val="44"/>
          <w:highlight w:val="none"/>
        </w:rPr>
      </w:pPr>
    </w:p>
    <w:p w14:paraId="32A49C10">
      <w:pPr>
        <w:pStyle w:val="12"/>
        <w:kinsoku w:val="0"/>
        <w:overflowPunct w:val="0"/>
        <w:ind w:left="0"/>
        <w:rPr>
          <w:sz w:val="44"/>
          <w:highlight w:val="none"/>
        </w:rPr>
      </w:pPr>
    </w:p>
    <w:p w14:paraId="6CC856B5">
      <w:pPr>
        <w:pStyle w:val="12"/>
        <w:kinsoku w:val="0"/>
        <w:overflowPunct w:val="0"/>
        <w:ind w:left="0"/>
        <w:rPr>
          <w:sz w:val="44"/>
          <w:highlight w:val="none"/>
        </w:rPr>
      </w:pPr>
    </w:p>
    <w:p w14:paraId="3573FAB4">
      <w:pPr>
        <w:pStyle w:val="12"/>
        <w:kinsoku w:val="0"/>
        <w:overflowPunct w:val="0"/>
        <w:ind w:left="0"/>
        <w:rPr>
          <w:sz w:val="44"/>
          <w:highlight w:val="none"/>
        </w:rPr>
      </w:pPr>
    </w:p>
    <w:p w14:paraId="18A4EF78">
      <w:pPr>
        <w:pStyle w:val="12"/>
        <w:kinsoku w:val="0"/>
        <w:overflowPunct w:val="0"/>
        <w:spacing w:before="3"/>
        <w:ind w:left="0"/>
        <w:rPr>
          <w:sz w:val="41"/>
          <w:highlight w:val="none"/>
        </w:rPr>
      </w:pPr>
    </w:p>
    <w:p w14:paraId="4FF01EBF">
      <w:pPr>
        <w:pStyle w:val="12"/>
        <w:tabs>
          <w:tab w:val="left" w:pos="5577"/>
          <w:tab w:val="left" w:pos="6942"/>
        </w:tabs>
        <w:kinsoku w:val="0"/>
        <w:overflowPunct w:val="0"/>
        <w:spacing w:line="357" w:lineRule="auto"/>
        <w:ind w:left="1201" w:right="175"/>
        <w:rPr>
          <w:spacing w:val="-1"/>
          <w:sz w:val="28"/>
          <w:highlight w:val="none"/>
        </w:rPr>
      </w:pPr>
      <w:r>
        <w:rPr>
          <w:sz w:val="28"/>
          <w:highlight w:val="none"/>
        </w:rPr>
        <w:t>投标人：</w:t>
      </w:r>
      <w:r>
        <w:rPr>
          <w:rFonts w:hint="eastAsia" w:ascii="Times New Roman" w:hAnsi="Times New Roman" w:eastAsia="Times New Roman"/>
          <w:sz w:val="28"/>
          <w:highlight w:val="none"/>
          <w:u w:val="single"/>
        </w:rPr>
        <w:tab/>
      </w:r>
      <w:r>
        <w:rPr>
          <w:rFonts w:hint="eastAsia" w:ascii="Times New Roman" w:hAnsi="Times New Roman" w:eastAsia="Times New Roman"/>
          <w:sz w:val="28"/>
          <w:highlight w:val="none"/>
          <w:u w:val="single"/>
        </w:rPr>
        <w:tab/>
      </w:r>
      <w:r>
        <w:rPr>
          <w:spacing w:val="-1"/>
          <w:sz w:val="28"/>
          <w:highlight w:val="none"/>
        </w:rPr>
        <w:t>（盖单位章）</w:t>
      </w:r>
      <w:r>
        <w:rPr>
          <w:spacing w:val="-136"/>
          <w:sz w:val="28"/>
          <w:highlight w:val="none"/>
        </w:rPr>
        <w:t xml:space="preserve"> </w:t>
      </w:r>
      <w:r>
        <w:rPr>
          <w:spacing w:val="-1"/>
          <w:sz w:val="28"/>
          <w:highlight w:val="none"/>
        </w:rPr>
        <w:t>法定代表人或其委托代理人：</w:t>
      </w:r>
      <w:r>
        <w:rPr>
          <w:rFonts w:hint="eastAsia" w:ascii="Times New Roman" w:hAnsi="Times New Roman" w:eastAsia="Times New Roman"/>
          <w:spacing w:val="-1"/>
          <w:sz w:val="28"/>
          <w:highlight w:val="none"/>
          <w:u w:val="single"/>
        </w:rPr>
        <w:tab/>
      </w:r>
      <w:r>
        <w:rPr>
          <w:spacing w:val="-1"/>
          <w:sz w:val="28"/>
          <w:highlight w:val="none"/>
        </w:rPr>
        <w:t>（签字）</w:t>
      </w:r>
    </w:p>
    <w:p w14:paraId="6701281E">
      <w:pPr>
        <w:pStyle w:val="12"/>
        <w:kinsoku w:val="0"/>
        <w:overflowPunct w:val="0"/>
        <w:spacing w:before="10"/>
        <w:ind w:left="0"/>
        <w:rPr>
          <w:sz w:val="29"/>
          <w:highlight w:val="none"/>
        </w:rPr>
      </w:pPr>
    </w:p>
    <w:p w14:paraId="2DF1E79F">
      <w:pPr>
        <w:pStyle w:val="12"/>
        <w:tabs>
          <w:tab w:val="left" w:pos="3611"/>
          <w:tab w:val="left" w:pos="4626"/>
          <w:tab w:val="left" w:pos="5642"/>
        </w:tabs>
        <w:kinsoku w:val="0"/>
        <w:overflowPunct w:val="0"/>
        <w:spacing w:before="14"/>
        <w:ind w:left="2877" w:right="175"/>
        <w:rPr>
          <w:sz w:val="28"/>
          <w:highlight w:val="none"/>
        </w:rPr>
      </w:pPr>
      <w:r>
        <w:rPr>
          <w:rFonts w:hint="eastAsia" w:ascii="Times New Roman" w:hAnsi="Times New Roman" w:eastAsia="Times New Roman"/>
          <w:sz w:val="28"/>
          <w:highlight w:val="none"/>
          <w:u w:val="single"/>
        </w:rPr>
        <w:t xml:space="preserve"> </w:t>
      </w:r>
      <w:r>
        <w:rPr>
          <w:rFonts w:hint="eastAsia" w:ascii="Times New Roman" w:hAnsi="Times New Roman" w:eastAsia="Times New Roman"/>
          <w:sz w:val="28"/>
          <w:highlight w:val="none"/>
          <w:u w:val="single"/>
        </w:rPr>
        <w:tab/>
      </w:r>
      <w:r>
        <w:rPr>
          <w:sz w:val="28"/>
          <w:highlight w:val="none"/>
        </w:rPr>
        <w:t>年</w:t>
      </w:r>
      <w:r>
        <w:rPr>
          <w:rFonts w:hint="eastAsia" w:ascii="Times New Roman" w:hAnsi="Times New Roman" w:eastAsia="Times New Roman"/>
          <w:sz w:val="28"/>
          <w:highlight w:val="none"/>
          <w:u w:val="single"/>
        </w:rPr>
        <w:tab/>
      </w:r>
      <w:r>
        <w:rPr>
          <w:sz w:val="28"/>
          <w:highlight w:val="none"/>
        </w:rPr>
        <w:t>月</w:t>
      </w:r>
      <w:r>
        <w:rPr>
          <w:rFonts w:hint="eastAsia" w:ascii="Times New Roman" w:hAnsi="Times New Roman" w:eastAsia="Times New Roman"/>
          <w:sz w:val="28"/>
          <w:highlight w:val="none"/>
          <w:u w:val="single"/>
        </w:rPr>
        <w:tab/>
      </w:r>
      <w:r>
        <w:rPr>
          <w:sz w:val="28"/>
          <w:highlight w:val="none"/>
        </w:rPr>
        <w:t>日</w:t>
      </w:r>
    </w:p>
    <w:p w14:paraId="69896F69">
      <w:pPr>
        <w:pStyle w:val="12"/>
        <w:tabs>
          <w:tab w:val="left" w:pos="3611"/>
          <w:tab w:val="left" w:pos="4626"/>
          <w:tab w:val="left" w:pos="5642"/>
        </w:tabs>
        <w:kinsoku w:val="0"/>
        <w:overflowPunct w:val="0"/>
        <w:spacing w:before="14"/>
        <w:ind w:left="2877" w:right="175"/>
        <w:rPr>
          <w:sz w:val="28"/>
          <w:highlight w:val="none"/>
        </w:rPr>
        <w:sectPr>
          <w:pgSz w:w="11905" w:h="16838"/>
          <w:pgMar w:top="1417" w:right="1417" w:bottom="1417" w:left="1417" w:header="992" w:footer="992" w:gutter="0"/>
          <w:cols w:space="720" w:num="1"/>
        </w:sectPr>
      </w:pPr>
    </w:p>
    <w:p w14:paraId="42714B93">
      <w:pPr>
        <w:pStyle w:val="12"/>
        <w:kinsoku w:val="0"/>
        <w:overflowPunct w:val="0"/>
        <w:spacing w:line="443" w:lineRule="exact"/>
        <w:ind w:left="1244" w:right="1222"/>
        <w:jc w:val="center"/>
        <w:rPr>
          <w:rFonts w:ascii="Microsoft JhengHei" w:hAnsi="Microsoft JhengHei" w:eastAsia="Microsoft JhengHei"/>
          <w:sz w:val="32"/>
          <w:highlight w:val="none"/>
        </w:rPr>
      </w:pPr>
      <w:bookmarkStart w:id="211" w:name="bookmark175"/>
      <w:bookmarkEnd w:id="211"/>
      <w:r>
        <w:rPr>
          <w:rFonts w:hint="eastAsia" w:ascii="Microsoft JhengHei" w:hAnsi="Microsoft JhengHei" w:eastAsia="Microsoft JhengHei"/>
          <w:b/>
          <w:sz w:val="32"/>
          <w:highlight w:val="none"/>
        </w:rPr>
        <w:t>目录</w:t>
      </w:r>
    </w:p>
    <w:p w14:paraId="42A89D7A">
      <w:pPr>
        <w:pStyle w:val="12"/>
        <w:kinsoku w:val="0"/>
        <w:overflowPunct w:val="0"/>
        <w:ind w:left="0"/>
        <w:rPr>
          <w:rFonts w:ascii="Microsoft JhengHei" w:hAnsi="Microsoft JhengHei" w:eastAsia="Microsoft JhengHei"/>
          <w:b/>
          <w:sz w:val="20"/>
          <w:highlight w:val="none"/>
        </w:rPr>
      </w:pPr>
    </w:p>
    <w:p w14:paraId="44BC3D60">
      <w:pPr>
        <w:pStyle w:val="12"/>
        <w:kinsoku w:val="0"/>
        <w:overflowPunct w:val="0"/>
        <w:ind w:left="0"/>
        <w:rPr>
          <w:rFonts w:ascii="Microsoft JhengHei" w:hAnsi="Microsoft JhengHei" w:eastAsia="Microsoft JhengHei"/>
          <w:b/>
          <w:sz w:val="20"/>
          <w:highlight w:val="none"/>
        </w:rPr>
      </w:pPr>
    </w:p>
    <w:p w14:paraId="48CC34E3">
      <w:pPr>
        <w:pStyle w:val="12"/>
        <w:kinsoku w:val="0"/>
        <w:overflowPunct w:val="0"/>
        <w:ind w:left="0"/>
        <w:rPr>
          <w:rFonts w:ascii="Microsoft JhengHei" w:hAnsi="Microsoft JhengHei" w:eastAsia="Microsoft JhengHei"/>
          <w:b/>
          <w:sz w:val="20"/>
          <w:highlight w:val="none"/>
        </w:rPr>
      </w:pPr>
    </w:p>
    <w:p w14:paraId="5C6A9680">
      <w:pPr>
        <w:pStyle w:val="12"/>
        <w:kinsoku w:val="0"/>
        <w:overflowPunct w:val="0"/>
        <w:spacing w:before="6"/>
        <w:ind w:left="0"/>
        <w:rPr>
          <w:rFonts w:ascii="Microsoft JhengHei" w:hAnsi="Microsoft JhengHei" w:eastAsia="Microsoft JhengHei"/>
          <w:b/>
          <w:sz w:val="24"/>
          <w:highlight w:val="none"/>
        </w:rPr>
      </w:pPr>
    </w:p>
    <w:p w14:paraId="3A664371">
      <w:pPr>
        <w:pStyle w:val="12"/>
        <w:kinsoku w:val="0"/>
        <w:overflowPunct w:val="0"/>
        <w:spacing w:before="36" w:line="472" w:lineRule="auto"/>
        <w:ind w:left="0" w:right="2650"/>
        <w:rPr>
          <w:sz w:val="24"/>
          <w:highlight w:val="none"/>
        </w:rPr>
      </w:pPr>
      <w:r>
        <w:rPr>
          <w:sz w:val="24"/>
          <w:highlight w:val="none"/>
        </w:rPr>
        <w:t>一、投标函及投标函附录</w:t>
      </w:r>
    </w:p>
    <w:p w14:paraId="04A44B48">
      <w:pPr>
        <w:pStyle w:val="12"/>
        <w:kinsoku w:val="0"/>
        <w:overflowPunct w:val="0"/>
        <w:spacing w:before="36" w:line="472" w:lineRule="auto"/>
        <w:ind w:left="0" w:right="2650"/>
        <w:rPr>
          <w:sz w:val="24"/>
          <w:highlight w:val="none"/>
        </w:rPr>
      </w:pPr>
      <w:r>
        <w:rPr>
          <w:spacing w:val="-2"/>
          <w:sz w:val="24"/>
          <w:highlight w:val="none"/>
        </w:rPr>
        <w:t>二、法定代表人身份证明</w:t>
      </w:r>
    </w:p>
    <w:p w14:paraId="2110FB19">
      <w:pPr>
        <w:pStyle w:val="12"/>
        <w:kinsoku w:val="0"/>
        <w:overflowPunct w:val="0"/>
        <w:spacing w:before="36" w:line="472" w:lineRule="auto"/>
        <w:ind w:left="0" w:right="2650"/>
        <w:rPr>
          <w:sz w:val="24"/>
          <w:highlight w:val="none"/>
        </w:rPr>
      </w:pPr>
      <w:r>
        <w:rPr>
          <w:sz w:val="24"/>
          <w:highlight w:val="none"/>
        </w:rPr>
        <w:t>二、授权委托书（适用于有委托代理人的情况）</w:t>
      </w:r>
    </w:p>
    <w:p w14:paraId="3C8D24AC">
      <w:pPr>
        <w:pStyle w:val="12"/>
        <w:kinsoku w:val="0"/>
        <w:overflowPunct w:val="0"/>
        <w:spacing w:before="36" w:line="472" w:lineRule="auto"/>
        <w:ind w:left="0" w:right="2650"/>
        <w:rPr>
          <w:strike/>
          <w:sz w:val="24"/>
          <w:highlight w:val="none"/>
        </w:rPr>
      </w:pPr>
      <w:r>
        <w:rPr>
          <w:strike/>
          <w:sz w:val="24"/>
          <w:highlight w:val="none"/>
        </w:rPr>
        <w:t>三、联合体协议书（若有）</w:t>
      </w:r>
    </w:p>
    <w:p w14:paraId="0722180D">
      <w:pPr>
        <w:pStyle w:val="12"/>
        <w:kinsoku w:val="0"/>
        <w:overflowPunct w:val="0"/>
        <w:spacing w:before="61" w:line="472" w:lineRule="auto"/>
        <w:ind w:left="0" w:right="6220"/>
        <w:rPr>
          <w:strike/>
          <w:sz w:val="24"/>
          <w:highlight w:val="none"/>
        </w:rPr>
      </w:pPr>
      <w:r>
        <w:rPr>
          <w:strike/>
          <w:sz w:val="24"/>
          <w:highlight w:val="none"/>
        </w:rPr>
        <w:t>四、投标保证金（若有）</w:t>
      </w:r>
    </w:p>
    <w:p w14:paraId="651DB458">
      <w:pPr>
        <w:pStyle w:val="12"/>
        <w:kinsoku w:val="0"/>
        <w:overflowPunct w:val="0"/>
        <w:spacing w:before="61" w:line="472" w:lineRule="auto"/>
        <w:ind w:left="0" w:right="6220"/>
        <w:rPr>
          <w:sz w:val="24"/>
          <w:highlight w:val="none"/>
        </w:rPr>
      </w:pPr>
      <w:r>
        <w:rPr>
          <w:spacing w:val="-2"/>
          <w:sz w:val="24"/>
          <w:highlight w:val="none"/>
        </w:rPr>
        <w:t>五、监理报酬清单</w:t>
      </w:r>
    </w:p>
    <w:p w14:paraId="53120451">
      <w:pPr>
        <w:pStyle w:val="12"/>
        <w:kinsoku w:val="0"/>
        <w:overflowPunct w:val="0"/>
        <w:spacing w:before="61" w:line="472" w:lineRule="auto"/>
        <w:ind w:left="0" w:right="6220"/>
        <w:rPr>
          <w:sz w:val="24"/>
          <w:highlight w:val="none"/>
        </w:rPr>
      </w:pPr>
      <w:r>
        <w:rPr>
          <w:spacing w:val="-90"/>
          <w:sz w:val="24"/>
          <w:highlight w:val="none"/>
        </w:rPr>
        <w:t xml:space="preserve"> </w:t>
      </w:r>
      <w:r>
        <w:rPr>
          <w:spacing w:val="-2"/>
          <w:sz w:val="24"/>
          <w:highlight w:val="none"/>
        </w:rPr>
        <w:t>六、资格审查资料</w:t>
      </w:r>
    </w:p>
    <w:p w14:paraId="6C2B55F7">
      <w:pPr>
        <w:pStyle w:val="12"/>
        <w:kinsoku w:val="0"/>
        <w:overflowPunct w:val="0"/>
        <w:spacing w:before="61" w:line="472" w:lineRule="auto"/>
        <w:ind w:left="0" w:right="6220"/>
        <w:rPr>
          <w:sz w:val="24"/>
          <w:highlight w:val="none"/>
        </w:rPr>
      </w:pPr>
      <w:r>
        <w:rPr>
          <w:spacing w:val="-90"/>
          <w:sz w:val="24"/>
          <w:highlight w:val="none"/>
        </w:rPr>
        <w:t xml:space="preserve"> </w:t>
      </w:r>
      <w:r>
        <w:rPr>
          <w:sz w:val="24"/>
          <w:highlight w:val="none"/>
        </w:rPr>
        <w:t xml:space="preserve">七、监理大纲 </w:t>
      </w:r>
    </w:p>
    <w:p w14:paraId="2556196F">
      <w:pPr>
        <w:pStyle w:val="12"/>
        <w:kinsoku w:val="0"/>
        <w:overflowPunct w:val="0"/>
        <w:spacing w:before="61" w:line="472" w:lineRule="auto"/>
        <w:ind w:left="0" w:right="6220"/>
        <w:rPr>
          <w:sz w:val="24"/>
          <w:highlight w:val="none"/>
        </w:rPr>
      </w:pPr>
      <w:r>
        <w:rPr>
          <w:sz w:val="24"/>
          <w:highlight w:val="none"/>
        </w:rPr>
        <w:t>八、其他资料</w:t>
      </w:r>
    </w:p>
    <w:p w14:paraId="00D03C0A">
      <w:pPr>
        <w:pStyle w:val="12"/>
        <w:kinsoku w:val="0"/>
        <w:overflowPunct w:val="0"/>
        <w:spacing w:before="61" w:line="472" w:lineRule="auto"/>
        <w:ind w:left="100" w:right="6220"/>
        <w:rPr>
          <w:sz w:val="24"/>
          <w:highlight w:val="none"/>
        </w:rPr>
        <w:sectPr>
          <w:pgSz w:w="11905" w:h="16838"/>
          <w:pgMar w:top="1417" w:right="1417" w:bottom="1417" w:left="1417" w:header="992" w:footer="992" w:gutter="0"/>
          <w:cols w:space="720" w:num="1"/>
        </w:sectPr>
      </w:pPr>
    </w:p>
    <w:p w14:paraId="0DB98AA2">
      <w:pPr>
        <w:pStyle w:val="6"/>
        <w:spacing w:before="120" w:after="120"/>
        <w:jc w:val="center"/>
        <w:rPr>
          <w:sz w:val="28"/>
          <w:highlight w:val="none"/>
        </w:rPr>
      </w:pPr>
      <w:bookmarkStart w:id="212" w:name="bookmark176"/>
      <w:bookmarkEnd w:id="212"/>
      <w:bookmarkStart w:id="213" w:name="_Toc6180"/>
      <w:r>
        <w:rPr>
          <w:sz w:val="28"/>
          <w:highlight w:val="none"/>
        </w:rPr>
        <w:t>一、投标函及投标函附录</w:t>
      </w:r>
      <w:bookmarkEnd w:id="213"/>
    </w:p>
    <w:p w14:paraId="4181023E">
      <w:pPr>
        <w:pStyle w:val="7"/>
        <w:rPr>
          <w:b/>
          <w:highlight w:val="none"/>
        </w:rPr>
      </w:pPr>
      <w:bookmarkStart w:id="214" w:name="bookmark177"/>
      <w:bookmarkEnd w:id="214"/>
      <w:bookmarkStart w:id="215" w:name="_Toc13758"/>
      <w:r>
        <w:rPr>
          <w:b/>
          <w:highlight w:val="none"/>
        </w:rPr>
        <w:t>（一）投标函</w:t>
      </w:r>
      <w:bookmarkEnd w:id="215"/>
    </w:p>
    <w:p w14:paraId="3189D840">
      <w:pPr>
        <w:pStyle w:val="12"/>
        <w:kinsoku w:val="0"/>
        <w:overflowPunct w:val="0"/>
        <w:spacing w:before="1"/>
        <w:ind w:left="0"/>
        <w:rPr>
          <w:sz w:val="23"/>
          <w:highlight w:val="none"/>
        </w:rPr>
      </w:pPr>
    </w:p>
    <w:p w14:paraId="0D760B03">
      <w:pPr>
        <w:pStyle w:val="12"/>
        <w:tabs>
          <w:tab w:val="left" w:pos="1991"/>
        </w:tabs>
        <w:kinsoku w:val="0"/>
        <w:overflowPunct w:val="0"/>
        <w:ind w:left="100" w:right="113"/>
        <w:rPr>
          <w:spacing w:val="-15"/>
          <w:highlight w:val="none"/>
        </w:rPr>
      </w:pPr>
      <w:r>
        <w:rPr>
          <w:rFonts w:hint="eastAsia" w:ascii="Times New Roman" w:hAnsi="Times New Roman" w:eastAsia="Times New Roman"/>
          <w:highlight w:val="none"/>
          <w:u w:val="single"/>
        </w:rPr>
        <w:t xml:space="preserve"> </w:t>
      </w:r>
      <w:r>
        <w:rPr>
          <w:rFonts w:hint="eastAsia" w:ascii="Times New Roman" w:hAnsi="Times New Roman" w:eastAsia="Times New Roman"/>
          <w:highlight w:val="none"/>
          <w:u w:val="single"/>
        </w:rPr>
        <w:tab/>
      </w:r>
      <w:r>
        <w:rPr>
          <w:spacing w:val="-15"/>
          <w:highlight w:val="none"/>
        </w:rPr>
        <w:t>（招标人名称）：</w:t>
      </w:r>
    </w:p>
    <w:p w14:paraId="6DD37243">
      <w:pPr>
        <w:pStyle w:val="12"/>
        <w:kinsoku w:val="0"/>
        <w:overflowPunct w:val="0"/>
        <w:spacing w:before="13"/>
        <w:ind w:left="0"/>
        <w:rPr>
          <w:highlight w:val="none"/>
        </w:rPr>
      </w:pPr>
    </w:p>
    <w:p w14:paraId="6CC33E7B">
      <w:pPr>
        <w:autoSpaceDE/>
        <w:autoSpaceDN/>
        <w:adjustRightInd/>
        <w:spacing w:line="360" w:lineRule="auto"/>
        <w:ind w:firstLine="420" w:firstLineChars="200"/>
        <w:jc w:val="both"/>
        <w:rPr>
          <w:rFonts w:ascii="宋体" w:hAnsi="宋体" w:cs="宋体"/>
          <w:kern w:val="2"/>
          <w:sz w:val="21"/>
          <w:szCs w:val="21"/>
          <w:highlight w:val="none"/>
        </w:rPr>
      </w:pPr>
      <w:r>
        <w:rPr>
          <w:rFonts w:ascii="宋体" w:hAnsi="宋体" w:cs="宋体"/>
          <w:kern w:val="2"/>
          <w:sz w:val="21"/>
          <w:szCs w:val="21"/>
          <w:highlight w:val="none"/>
        </w:rPr>
        <w:t>1．我方已仔细研究了</w:t>
      </w:r>
      <w:r>
        <w:rPr>
          <w:rFonts w:ascii="宋体" w:hAnsi="宋体" w:cs="宋体"/>
          <w:kern w:val="2"/>
          <w:sz w:val="21"/>
          <w:szCs w:val="21"/>
          <w:highlight w:val="none"/>
          <w:u w:val="single"/>
        </w:rPr>
        <w:tab/>
      </w:r>
      <w:r>
        <w:rPr>
          <w:rFonts w:ascii="宋体" w:hAnsi="宋体" w:cs="宋体"/>
          <w:kern w:val="2"/>
          <w:sz w:val="21"/>
          <w:szCs w:val="21"/>
          <w:highlight w:val="none"/>
          <w:u w:val="single"/>
        </w:rPr>
        <w:tab/>
      </w:r>
      <w:r>
        <w:rPr>
          <w:rFonts w:ascii="宋体" w:hAnsi="宋体" w:cs="宋体"/>
          <w:kern w:val="2"/>
          <w:sz w:val="21"/>
          <w:szCs w:val="21"/>
          <w:highlight w:val="none"/>
          <w:u w:val="single"/>
        </w:rPr>
        <w:t xml:space="preserve">（项目名称）  </w:t>
      </w:r>
      <w:r>
        <w:rPr>
          <w:rFonts w:ascii="宋体" w:hAnsi="宋体" w:cs="宋体"/>
          <w:kern w:val="2"/>
          <w:sz w:val="21"/>
          <w:szCs w:val="21"/>
          <w:highlight w:val="none"/>
        </w:rPr>
        <w:t xml:space="preserve"> 招标项目招标文件的全部内容， 愿意以人民币（大写）</w:t>
      </w:r>
      <w:r>
        <w:rPr>
          <w:rFonts w:ascii="宋体" w:hAnsi="宋体" w:cs="宋体"/>
          <w:kern w:val="2"/>
          <w:sz w:val="21"/>
          <w:szCs w:val="21"/>
          <w:highlight w:val="none"/>
          <w:u w:val="single"/>
        </w:rPr>
        <w:tab/>
      </w:r>
      <w:r>
        <w:rPr>
          <w:rFonts w:ascii="宋体" w:hAnsi="宋体" w:cs="宋体"/>
          <w:kern w:val="2"/>
          <w:sz w:val="21"/>
          <w:szCs w:val="21"/>
          <w:highlight w:val="none"/>
          <w:u w:val="single"/>
        </w:rPr>
        <w:t xml:space="preserve">   </w:t>
      </w:r>
      <w:r>
        <w:rPr>
          <w:rFonts w:ascii="宋体" w:hAnsi="宋体" w:cs="宋体"/>
          <w:kern w:val="2"/>
          <w:sz w:val="21"/>
          <w:szCs w:val="21"/>
          <w:highlight w:val="none"/>
        </w:rPr>
        <w:t>（¥</w:t>
      </w:r>
      <w:r>
        <w:rPr>
          <w:rFonts w:ascii="宋体" w:hAnsi="宋体" w:cs="宋体"/>
          <w:kern w:val="2"/>
          <w:sz w:val="21"/>
          <w:szCs w:val="21"/>
          <w:highlight w:val="none"/>
          <w:u w:val="single"/>
        </w:rPr>
        <w:tab/>
      </w:r>
      <w:r>
        <w:rPr>
          <w:rFonts w:ascii="宋体" w:hAnsi="宋体" w:cs="宋体"/>
          <w:kern w:val="2"/>
          <w:sz w:val="21"/>
          <w:szCs w:val="21"/>
          <w:highlight w:val="none"/>
          <w:u w:val="single"/>
        </w:rPr>
        <w:tab/>
      </w:r>
      <w:r>
        <w:rPr>
          <w:rFonts w:ascii="宋体" w:hAnsi="宋体" w:cs="宋体"/>
          <w:kern w:val="2"/>
          <w:sz w:val="21"/>
          <w:szCs w:val="21"/>
          <w:highlight w:val="none"/>
        </w:rPr>
        <w:t>）的投标总报价，监理服务期限：</w:t>
      </w:r>
      <w:r>
        <w:rPr>
          <w:rFonts w:hint="eastAsia" w:ascii="宋体" w:hAnsi="宋体" w:cs="宋体"/>
          <w:kern w:val="2"/>
          <w:sz w:val="21"/>
          <w:szCs w:val="21"/>
          <w:highlight w:val="none"/>
          <w:lang w:eastAsia="zh-CN"/>
        </w:rPr>
        <w:t>按照招标文件要求。</w:t>
      </w:r>
      <w:r>
        <w:rPr>
          <w:rFonts w:ascii="宋体" w:hAnsi="宋体" w:cs="宋体"/>
          <w:kern w:val="2"/>
          <w:sz w:val="21"/>
          <w:szCs w:val="21"/>
          <w:highlight w:val="none"/>
        </w:rPr>
        <w:t>按合同约定完成监理工作。</w:t>
      </w:r>
    </w:p>
    <w:p w14:paraId="18A60A4A">
      <w:pPr>
        <w:autoSpaceDE/>
        <w:autoSpaceDN/>
        <w:adjustRightInd/>
        <w:spacing w:line="360" w:lineRule="auto"/>
        <w:ind w:firstLine="420" w:firstLineChars="200"/>
        <w:jc w:val="both"/>
        <w:rPr>
          <w:rFonts w:ascii="宋体" w:hAnsi="宋体" w:cs="宋体"/>
          <w:kern w:val="2"/>
          <w:sz w:val="21"/>
          <w:szCs w:val="21"/>
          <w:highlight w:val="none"/>
        </w:rPr>
      </w:pPr>
      <w:r>
        <w:rPr>
          <w:rFonts w:ascii="宋体" w:hAnsi="宋体" w:cs="宋体"/>
          <w:kern w:val="2"/>
          <w:sz w:val="21"/>
          <w:szCs w:val="21"/>
          <w:highlight w:val="none"/>
        </w:rPr>
        <w:t>2. 我方的投标文件包括下列内容：</w:t>
      </w:r>
    </w:p>
    <w:p w14:paraId="3D6356A3">
      <w:pPr>
        <w:autoSpaceDE/>
        <w:autoSpaceDN/>
        <w:adjustRightInd/>
        <w:spacing w:line="360" w:lineRule="auto"/>
        <w:ind w:left="585" w:leftChars="200" w:hanging="105" w:hangingChars="50"/>
        <w:jc w:val="both"/>
        <w:rPr>
          <w:rFonts w:ascii="宋体" w:hAnsi="宋体" w:cs="宋体"/>
          <w:kern w:val="2"/>
          <w:sz w:val="21"/>
          <w:szCs w:val="21"/>
          <w:highlight w:val="none"/>
        </w:rPr>
      </w:pPr>
      <w:r>
        <w:rPr>
          <w:rFonts w:ascii="宋体" w:hAnsi="宋体" w:cs="宋体"/>
          <w:kern w:val="2"/>
          <w:sz w:val="21"/>
          <w:szCs w:val="21"/>
          <w:highlight w:val="none"/>
        </w:rPr>
        <w:t>（1）投标函及投标函附录；</w:t>
      </w:r>
    </w:p>
    <w:p w14:paraId="0B780420">
      <w:pPr>
        <w:autoSpaceDE/>
        <w:autoSpaceDN/>
        <w:adjustRightInd/>
        <w:spacing w:line="360" w:lineRule="auto"/>
        <w:ind w:left="585" w:leftChars="200" w:hanging="105" w:hangingChars="50"/>
        <w:jc w:val="both"/>
        <w:rPr>
          <w:rFonts w:ascii="宋体" w:hAnsi="宋体" w:cs="宋体"/>
          <w:kern w:val="2"/>
          <w:sz w:val="21"/>
          <w:szCs w:val="21"/>
          <w:highlight w:val="none"/>
        </w:rPr>
      </w:pPr>
      <w:r>
        <w:rPr>
          <w:rFonts w:ascii="宋体" w:hAnsi="宋体" w:cs="宋体"/>
          <w:kern w:val="2"/>
          <w:sz w:val="21"/>
          <w:szCs w:val="21"/>
          <w:highlight w:val="none"/>
        </w:rPr>
        <w:t>（2）法定代表人身份证明</w:t>
      </w:r>
      <w:r>
        <w:rPr>
          <w:rFonts w:ascii="宋体" w:hAnsi="宋体" w:cs="宋体"/>
          <w:spacing w:val="8"/>
          <w:sz w:val="21"/>
          <w:szCs w:val="21"/>
          <w:highlight w:val="none"/>
        </w:rPr>
        <w:t>或附有法定代表人身份证明的授权委托书</w:t>
      </w:r>
      <w:r>
        <w:rPr>
          <w:rFonts w:ascii="宋体" w:hAnsi="宋体" w:cs="宋体"/>
          <w:kern w:val="2"/>
          <w:sz w:val="21"/>
          <w:szCs w:val="21"/>
          <w:highlight w:val="none"/>
        </w:rPr>
        <w:t>；</w:t>
      </w:r>
    </w:p>
    <w:p w14:paraId="2E45212E">
      <w:pPr>
        <w:autoSpaceDE/>
        <w:autoSpaceDN/>
        <w:adjustRightInd/>
        <w:spacing w:line="360" w:lineRule="auto"/>
        <w:ind w:left="585" w:leftChars="200" w:hanging="105" w:hangingChars="50"/>
        <w:jc w:val="both"/>
        <w:rPr>
          <w:rFonts w:ascii="宋体" w:hAnsi="宋体" w:cs="宋体"/>
          <w:strike/>
          <w:kern w:val="2"/>
          <w:sz w:val="21"/>
          <w:szCs w:val="21"/>
          <w:highlight w:val="none"/>
        </w:rPr>
      </w:pPr>
      <w:r>
        <w:rPr>
          <w:rFonts w:ascii="宋体" w:hAnsi="宋体" w:cs="宋体"/>
          <w:strike/>
          <w:kern w:val="2"/>
          <w:sz w:val="21"/>
          <w:szCs w:val="21"/>
          <w:highlight w:val="none"/>
        </w:rPr>
        <w:t>（3）联合体协议书（如有）；</w:t>
      </w:r>
    </w:p>
    <w:p w14:paraId="485BF38D">
      <w:pPr>
        <w:autoSpaceDE/>
        <w:autoSpaceDN/>
        <w:adjustRightInd/>
        <w:spacing w:line="360" w:lineRule="auto"/>
        <w:ind w:left="585" w:leftChars="200" w:hanging="105" w:hangingChars="50"/>
        <w:jc w:val="both"/>
        <w:rPr>
          <w:rFonts w:ascii="宋体" w:hAnsi="宋体" w:cs="宋体"/>
          <w:strike/>
          <w:kern w:val="2"/>
          <w:sz w:val="21"/>
          <w:szCs w:val="21"/>
          <w:highlight w:val="none"/>
        </w:rPr>
      </w:pPr>
      <w:r>
        <w:rPr>
          <w:rFonts w:ascii="宋体" w:hAnsi="宋体" w:cs="宋体"/>
          <w:strike/>
          <w:kern w:val="2"/>
          <w:sz w:val="21"/>
          <w:szCs w:val="21"/>
          <w:highlight w:val="none"/>
        </w:rPr>
        <w:t>（4）投标保证金（如有）；</w:t>
      </w:r>
    </w:p>
    <w:p w14:paraId="6498C56D">
      <w:pPr>
        <w:autoSpaceDE/>
        <w:autoSpaceDN/>
        <w:adjustRightInd/>
        <w:spacing w:line="360" w:lineRule="auto"/>
        <w:ind w:left="585" w:leftChars="200" w:hanging="105" w:hangingChars="50"/>
        <w:jc w:val="both"/>
        <w:rPr>
          <w:rFonts w:ascii="宋体" w:hAnsi="宋体" w:cs="宋体"/>
          <w:kern w:val="2"/>
          <w:sz w:val="21"/>
          <w:szCs w:val="21"/>
          <w:highlight w:val="none"/>
        </w:rPr>
      </w:pPr>
      <w:r>
        <w:rPr>
          <w:rFonts w:ascii="宋体" w:hAnsi="宋体" w:cs="宋体"/>
          <w:kern w:val="2"/>
          <w:sz w:val="21"/>
          <w:szCs w:val="21"/>
          <w:highlight w:val="none"/>
        </w:rPr>
        <w:t>（5）监理报酬清单；</w:t>
      </w:r>
    </w:p>
    <w:p w14:paraId="1B30DF0E">
      <w:pPr>
        <w:autoSpaceDE/>
        <w:autoSpaceDN/>
        <w:adjustRightInd/>
        <w:spacing w:line="360" w:lineRule="auto"/>
        <w:ind w:left="585" w:leftChars="200" w:hanging="105" w:hangingChars="50"/>
        <w:jc w:val="both"/>
        <w:rPr>
          <w:rFonts w:ascii="宋体" w:hAnsi="宋体" w:cs="宋体"/>
          <w:kern w:val="2"/>
          <w:sz w:val="21"/>
          <w:szCs w:val="21"/>
          <w:highlight w:val="none"/>
        </w:rPr>
      </w:pPr>
      <w:r>
        <w:rPr>
          <w:rFonts w:ascii="宋体" w:hAnsi="宋体" w:cs="宋体"/>
          <w:kern w:val="2"/>
          <w:sz w:val="21"/>
          <w:szCs w:val="21"/>
          <w:highlight w:val="none"/>
        </w:rPr>
        <w:t>（6）资格审查资料；</w:t>
      </w:r>
    </w:p>
    <w:p w14:paraId="1B536DA0">
      <w:pPr>
        <w:autoSpaceDE/>
        <w:autoSpaceDN/>
        <w:adjustRightInd/>
        <w:spacing w:line="360" w:lineRule="auto"/>
        <w:ind w:left="585" w:leftChars="200" w:hanging="105" w:hangingChars="50"/>
        <w:jc w:val="both"/>
        <w:rPr>
          <w:rFonts w:ascii="宋体" w:hAnsi="宋体" w:cs="宋体"/>
          <w:kern w:val="2"/>
          <w:sz w:val="21"/>
          <w:szCs w:val="21"/>
          <w:highlight w:val="none"/>
        </w:rPr>
      </w:pPr>
      <w:r>
        <w:rPr>
          <w:rFonts w:ascii="宋体" w:hAnsi="宋体" w:cs="宋体"/>
          <w:kern w:val="2"/>
          <w:sz w:val="21"/>
          <w:szCs w:val="21"/>
          <w:highlight w:val="none"/>
        </w:rPr>
        <w:t>（7）监理大纲；</w:t>
      </w:r>
    </w:p>
    <w:p w14:paraId="072DBC43">
      <w:pPr>
        <w:autoSpaceDE/>
        <w:autoSpaceDN/>
        <w:adjustRightInd/>
        <w:spacing w:line="360" w:lineRule="auto"/>
        <w:ind w:left="585" w:leftChars="200" w:hanging="105" w:hangingChars="50"/>
        <w:rPr>
          <w:rFonts w:ascii="宋体" w:hAnsi="宋体" w:cs="宋体"/>
          <w:kern w:val="2"/>
          <w:sz w:val="21"/>
          <w:szCs w:val="21"/>
          <w:highlight w:val="none"/>
        </w:rPr>
      </w:pPr>
      <w:r>
        <w:rPr>
          <w:rFonts w:ascii="宋体" w:hAnsi="宋体" w:cs="宋体"/>
          <w:kern w:val="2"/>
          <w:sz w:val="21"/>
          <w:szCs w:val="21"/>
          <w:highlight w:val="none"/>
        </w:rPr>
        <w:t>（8）其他资料。</w:t>
      </w:r>
    </w:p>
    <w:p w14:paraId="3050FBC5">
      <w:pPr>
        <w:pStyle w:val="12"/>
        <w:kinsoku w:val="0"/>
        <w:overflowPunct w:val="0"/>
        <w:spacing w:line="360" w:lineRule="auto"/>
        <w:ind w:left="522" w:right="2132" w:hanging="17"/>
        <w:rPr>
          <w:spacing w:val="-2"/>
          <w:highlight w:val="none"/>
        </w:rPr>
      </w:pPr>
      <w:r>
        <w:rPr>
          <w:spacing w:val="-2"/>
          <w:highlight w:val="none"/>
        </w:rPr>
        <w:t>投标文件的上述组成部分如存在内容不一致的，以投标函为准。</w:t>
      </w:r>
    </w:p>
    <w:p w14:paraId="413B844E">
      <w:pPr>
        <w:autoSpaceDE/>
        <w:autoSpaceDN/>
        <w:adjustRightInd/>
        <w:spacing w:line="360" w:lineRule="auto"/>
        <w:ind w:firstLine="420" w:firstLineChars="200"/>
        <w:jc w:val="both"/>
        <w:rPr>
          <w:rFonts w:ascii="宋体" w:hAnsi="宋体" w:cs="宋体"/>
          <w:kern w:val="2"/>
          <w:sz w:val="21"/>
          <w:szCs w:val="21"/>
          <w:highlight w:val="none"/>
        </w:rPr>
      </w:pPr>
      <w:r>
        <w:rPr>
          <w:rFonts w:ascii="宋体" w:hAnsi="宋体" w:cs="宋体"/>
          <w:kern w:val="2"/>
          <w:sz w:val="21"/>
          <w:szCs w:val="21"/>
          <w:highlight w:val="none"/>
        </w:rPr>
        <w:t>3．我方承诺在招标文件规定的投标有效期内不撤销投标文件。</w:t>
      </w:r>
    </w:p>
    <w:p w14:paraId="1DF94A26">
      <w:pPr>
        <w:autoSpaceDE/>
        <w:autoSpaceDN/>
        <w:adjustRightInd/>
        <w:spacing w:line="360" w:lineRule="auto"/>
        <w:ind w:firstLine="420" w:firstLineChars="200"/>
        <w:jc w:val="both"/>
        <w:rPr>
          <w:rFonts w:ascii="宋体" w:hAnsi="宋体" w:cs="宋体"/>
          <w:kern w:val="2"/>
          <w:sz w:val="21"/>
          <w:szCs w:val="21"/>
          <w:highlight w:val="none"/>
        </w:rPr>
      </w:pPr>
      <w:r>
        <w:rPr>
          <w:rFonts w:ascii="宋体" w:hAnsi="宋体" w:cs="宋体"/>
          <w:kern w:val="2"/>
          <w:sz w:val="21"/>
          <w:szCs w:val="21"/>
          <w:highlight w:val="none"/>
        </w:rPr>
        <w:t>4．如我方中标，我方承诺：</w:t>
      </w:r>
    </w:p>
    <w:p w14:paraId="33F07F7A">
      <w:pPr>
        <w:autoSpaceDE/>
        <w:autoSpaceDN/>
        <w:adjustRightInd/>
        <w:spacing w:line="360" w:lineRule="auto"/>
        <w:ind w:left="585" w:leftChars="200" w:hanging="105" w:hangingChars="50"/>
        <w:jc w:val="both"/>
        <w:rPr>
          <w:rFonts w:ascii="宋体" w:hAnsi="宋体" w:cs="宋体"/>
          <w:kern w:val="2"/>
          <w:sz w:val="21"/>
          <w:szCs w:val="21"/>
          <w:highlight w:val="none"/>
        </w:rPr>
      </w:pPr>
      <w:r>
        <w:rPr>
          <w:rFonts w:ascii="宋体" w:hAnsi="宋体" w:cs="宋体"/>
          <w:kern w:val="2"/>
          <w:sz w:val="21"/>
          <w:szCs w:val="21"/>
          <w:highlight w:val="none"/>
        </w:rPr>
        <w:t>（1）在收到中标通知书后，在中标通知书规定的期限内与你方签订合同；</w:t>
      </w:r>
    </w:p>
    <w:p w14:paraId="040F9F49">
      <w:pPr>
        <w:autoSpaceDE/>
        <w:autoSpaceDN/>
        <w:adjustRightInd/>
        <w:spacing w:line="360" w:lineRule="auto"/>
        <w:ind w:left="585" w:leftChars="200" w:hanging="105" w:hangingChars="50"/>
        <w:jc w:val="both"/>
        <w:rPr>
          <w:rFonts w:ascii="宋体" w:hAnsi="宋体" w:cs="宋体"/>
          <w:kern w:val="2"/>
          <w:sz w:val="21"/>
          <w:szCs w:val="21"/>
          <w:highlight w:val="none"/>
        </w:rPr>
      </w:pPr>
      <w:r>
        <w:rPr>
          <w:rFonts w:ascii="宋体" w:hAnsi="宋体" w:cs="宋体"/>
          <w:kern w:val="2"/>
          <w:sz w:val="21"/>
          <w:szCs w:val="21"/>
          <w:highlight w:val="none"/>
        </w:rPr>
        <w:t>（2）在签订合同时不向你方提出附加条件；</w:t>
      </w:r>
    </w:p>
    <w:p w14:paraId="1327A74B">
      <w:pPr>
        <w:autoSpaceDE/>
        <w:autoSpaceDN/>
        <w:adjustRightInd/>
        <w:spacing w:line="360" w:lineRule="auto"/>
        <w:ind w:left="585" w:leftChars="200" w:hanging="105" w:hangingChars="50"/>
        <w:jc w:val="both"/>
        <w:rPr>
          <w:rFonts w:ascii="宋体" w:hAnsi="宋体" w:cs="宋体"/>
          <w:kern w:val="2"/>
          <w:sz w:val="21"/>
          <w:szCs w:val="21"/>
          <w:highlight w:val="none"/>
        </w:rPr>
      </w:pPr>
      <w:r>
        <w:rPr>
          <w:rFonts w:ascii="宋体" w:hAnsi="宋体" w:cs="宋体"/>
          <w:kern w:val="2"/>
          <w:sz w:val="21"/>
          <w:szCs w:val="21"/>
          <w:highlight w:val="none"/>
        </w:rPr>
        <w:t>（3）按照招标文件要求提交履约保证金；</w:t>
      </w:r>
    </w:p>
    <w:p w14:paraId="099C8F21">
      <w:pPr>
        <w:autoSpaceDE/>
        <w:autoSpaceDN/>
        <w:adjustRightInd/>
        <w:spacing w:line="360" w:lineRule="auto"/>
        <w:ind w:left="585" w:leftChars="200" w:hanging="105" w:hangingChars="50"/>
        <w:jc w:val="both"/>
        <w:rPr>
          <w:rFonts w:ascii="宋体" w:hAnsi="宋体" w:cs="宋体"/>
          <w:kern w:val="2"/>
          <w:sz w:val="21"/>
          <w:szCs w:val="21"/>
          <w:highlight w:val="none"/>
        </w:rPr>
      </w:pPr>
      <w:r>
        <w:rPr>
          <w:rFonts w:ascii="宋体" w:hAnsi="宋体" w:cs="宋体"/>
          <w:kern w:val="2"/>
          <w:sz w:val="21"/>
          <w:szCs w:val="21"/>
          <w:highlight w:val="none"/>
        </w:rPr>
        <w:t>（4）在合同约定的期限内完成合同规定的全部义务。</w:t>
      </w:r>
    </w:p>
    <w:p w14:paraId="04A46453">
      <w:pPr>
        <w:autoSpaceDE/>
        <w:autoSpaceDN/>
        <w:adjustRightInd/>
        <w:spacing w:line="360" w:lineRule="auto"/>
        <w:ind w:firstLine="420" w:firstLineChars="200"/>
        <w:jc w:val="both"/>
        <w:rPr>
          <w:rFonts w:ascii="宋体" w:hAnsi="宋体" w:cs="宋体"/>
          <w:kern w:val="2"/>
          <w:sz w:val="21"/>
          <w:szCs w:val="21"/>
          <w:highlight w:val="none"/>
        </w:rPr>
      </w:pPr>
      <w:r>
        <w:rPr>
          <w:rFonts w:ascii="宋体" w:hAnsi="宋体" w:cs="宋体"/>
          <w:kern w:val="2"/>
          <w:sz w:val="21"/>
          <w:szCs w:val="21"/>
          <w:highlight w:val="none"/>
        </w:rPr>
        <w:t>5．我方在此声明，所递交的投标文件及有关资料内容完整、真实和准确，且不存在第二章 “投标人须知”第 1.4.3 项规定的任何一种情形。</w:t>
      </w:r>
    </w:p>
    <w:p w14:paraId="1102777A">
      <w:pPr>
        <w:autoSpaceDE/>
        <w:autoSpaceDN/>
        <w:adjustRightInd/>
        <w:spacing w:line="360" w:lineRule="auto"/>
        <w:ind w:firstLine="420" w:firstLineChars="200"/>
        <w:jc w:val="both"/>
        <w:rPr>
          <w:rFonts w:ascii="宋体" w:hAnsi="宋体" w:cs="宋体"/>
          <w:kern w:val="2"/>
          <w:sz w:val="21"/>
          <w:szCs w:val="21"/>
          <w:highlight w:val="none"/>
        </w:rPr>
      </w:pPr>
      <w:r>
        <w:rPr>
          <w:rFonts w:ascii="宋体" w:hAnsi="宋体" w:cs="宋体"/>
          <w:kern w:val="2"/>
          <w:sz w:val="21"/>
          <w:szCs w:val="21"/>
          <w:highlight w:val="none"/>
        </w:rPr>
        <w:t>6．</w:t>
      </w:r>
      <w:r>
        <w:rPr>
          <w:rFonts w:hint="eastAsia" w:ascii="宋体" w:hAnsi="宋体" w:cs="宋体"/>
          <w:kern w:val="2"/>
          <w:sz w:val="21"/>
          <w:szCs w:val="21"/>
          <w:highlight w:val="none"/>
        </w:rPr>
        <w:t>如我方中标，我方承诺：我司提交的所有投标资料真实可靠，并在中标通知书发放之前，如招标人、建设行政管理部门、工程招标监督机构等提出复查投标资料原件的，我方在</w:t>
      </w:r>
      <w:r>
        <w:rPr>
          <w:rFonts w:ascii="宋体" w:hAnsi="宋体" w:cs="宋体"/>
          <w:kern w:val="2"/>
          <w:sz w:val="21"/>
          <w:szCs w:val="21"/>
          <w:highlight w:val="none"/>
        </w:rPr>
        <w:t>3个工作日之内提供。如未能及时提供或提供核查的原件不齐全或者投标资料弄虚作假的，我方将承担与此有关的一切责任，包括但不限于取消投标资格或中标资格（如果已取得中标）、接受行政监督部门的行政处罚等。</w:t>
      </w:r>
    </w:p>
    <w:p w14:paraId="614B64D7">
      <w:pPr>
        <w:pStyle w:val="12"/>
        <w:tabs>
          <w:tab w:val="left" w:pos="7241"/>
        </w:tabs>
        <w:kinsoku w:val="0"/>
        <w:overflowPunct w:val="0"/>
        <w:spacing w:before="36" w:line="360" w:lineRule="auto"/>
        <w:ind w:left="2621" w:right="113" w:firstLine="1260" w:firstLineChars="600"/>
        <w:rPr>
          <w:highlight w:val="none"/>
        </w:rPr>
      </w:pPr>
    </w:p>
    <w:p w14:paraId="0A46AD5C">
      <w:pPr>
        <w:pStyle w:val="12"/>
        <w:tabs>
          <w:tab w:val="left" w:pos="7241"/>
        </w:tabs>
        <w:kinsoku w:val="0"/>
        <w:overflowPunct w:val="0"/>
        <w:spacing w:before="36" w:line="360" w:lineRule="auto"/>
        <w:ind w:left="2621" w:right="113" w:firstLine="1260" w:firstLineChars="600"/>
        <w:rPr>
          <w:highlight w:val="none"/>
        </w:rPr>
      </w:pPr>
      <w:r>
        <w:rPr>
          <w:highlight w:val="none"/>
        </w:rPr>
        <w:t>投 标</w:t>
      </w:r>
      <w:r>
        <w:rPr>
          <w:spacing w:val="-1"/>
          <w:highlight w:val="none"/>
        </w:rPr>
        <w:t xml:space="preserve"> </w:t>
      </w:r>
      <w:r>
        <w:rPr>
          <w:highlight w:val="none"/>
        </w:rPr>
        <w:t>人：</w:t>
      </w:r>
      <w:r>
        <w:rPr>
          <w:highlight w:val="none"/>
          <w:u w:val="single"/>
        </w:rPr>
        <w:t xml:space="preserve">                 </w:t>
      </w:r>
      <w:r>
        <w:rPr>
          <w:rFonts w:hAnsi="Times New Roman"/>
          <w:highlight w:val="none"/>
          <w:u w:val="single"/>
        </w:rPr>
        <w:t xml:space="preserve">       </w:t>
      </w:r>
      <w:r>
        <w:rPr>
          <w:highlight w:val="none"/>
        </w:rPr>
        <w:t>（盖单位章）</w:t>
      </w:r>
    </w:p>
    <w:p w14:paraId="44CB8D13">
      <w:pPr>
        <w:widowControl/>
        <w:kinsoku w:val="0"/>
        <w:snapToGrid w:val="0"/>
        <w:spacing w:line="360" w:lineRule="auto"/>
        <w:ind w:left="3840" w:leftChars="1600" w:right="253"/>
        <w:textAlignment w:val="baseline"/>
        <w:rPr>
          <w:rFonts w:ascii="宋体" w:hAnsi="宋体" w:cs="宋体"/>
          <w:spacing w:val="-4"/>
          <w:sz w:val="21"/>
          <w:szCs w:val="21"/>
          <w:highlight w:val="none"/>
        </w:rPr>
      </w:pPr>
      <w:r>
        <w:rPr>
          <w:rFonts w:ascii="宋体" w:hAnsi="宋体" w:cs="宋体"/>
          <w:spacing w:val="-8"/>
          <w:sz w:val="21"/>
          <w:szCs w:val="21"/>
          <w:highlight w:val="none"/>
        </w:rPr>
        <w:t>法定</w:t>
      </w:r>
      <w:r>
        <w:rPr>
          <w:rFonts w:ascii="宋体" w:hAnsi="宋体" w:cs="宋体"/>
          <w:spacing w:val="-4"/>
          <w:sz w:val="21"/>
          <w:szCs w:val="21"/>
          <w:highlight w:val="none"/>
        </w:rPr>
        <w:t>代表人：</w:t>
      </w:r>
      <w:r>
        <w:rPr>
          <w:rFonts w:ascii="宋体" w:hAnsi="宋体" w:cs="宋体"/>
          <w:spacing w:val="-4"/>
          <w:sz w:val="21"/>
          <w:szCs w:val="21"/>
          <w:highlight w:val="none"/>
          <w:u w:val="single"/>
        </w:rPr>
        <w:t xml:space="preserve">            </w:t>
      </w:r>
      <w:r>
        <w:rPr>
          <w:rFonts w:ascii="宋体" w:hAnsi="宋体" w:cs="宋体"/>
          <w:spacing w:val="-4"/>
          <w:sz w:val="21"/>
          <w:szCs w:val="21"/>
          <w:highlight w:val="none"/>
        </w:rPr>
        <w:t>(签字或盖章)</w:t>
      </w:r>
    </w:p>
    <w:p w14:paraId="10077500">
      <w:pPr>
        <w:widowControl/>
        <w:kinsoku w:val="0"/>
        <w:snapToGrid w:val="0"/>
        <w:spacing w:line="360" w:lineRule="auto"/>
        <w:ind w:left="3840" w:leftChars="1600" w:right="253"/>
        <w:textAlignment w:val="baseline"/>
        <w:rPr>
          <w:rFonts w:ascii="宋体" w:hAnsi="宋体" w:cs="宋体"/>
          <w:spacing w:val="-4"/>
          <w:sz w:val="21"/>
          <w:szCs w:val="21"/>
          <w:highlight w:val="none"/>
        </w:rPr>
      </w:pPr>
      <w:r>
        <w:rPr>
          <w:rFonts w:ascii="宋体" w:hAnsi="宋体" w:cs="宋体"/>
          <w:spacing w:val="-4"/>
          <w:sz w:val="21"/>
          <w:szCs w:val="21"/>
          <w:highlight w:val="none"/>
        </w:rPr>
        <w:t>委托代理人：</w:t>
      </w:r>
      <w:r>
        <w:rPr>
          <w:rFonts w:ascii="宋体" w:hAnsi="宋体" w:cs="宋体"/>
          <w:spacing w:val="-4"/>
          <w:sz w:val="21"/>
          <w:szCs w:val="21"/>
          <w:highlight w:val="none"/>
          <w:u w:val="single"/>
        </w:rPr>
        <w:t xml:space="preserve">            </w:t>
      </w:r>
      <w:r>
        <w:rPr>
          <w:rFonts w:ascii="宋体" w:hAnsi="宋体" w:cs="宋体"/>
          <w:spacing w:val="-4"/>
          <w:sz w:val="21"/>
          <w:szCs w:val="21"/>
          <w:highlight w:val="none"/>
        </w:rPr>
        <w:t>(签字)</w:t>
      </w:r>
    </w:p>
    <w:p w14:paraId="08B6F27F">
      <w:pPr>
        <w:pStyle w:val="39"/>
        <w:widowControl/>
        <w:kinsoku w:val="0"/>
        <w:snapToGrid w:val="0"/>
        <w:spacing w:line="360" w:lineRule="auto"/>
        <w:ind w:left="3840" w:leftChars="1600"/>
        <w:jc w:val="left"/>
        <w:textAlignment w:val="baseline"/>
        <w:rPr>
          <w:rFonts w:ascii="宋体" w:hAnsi="宋体" w:cs="宋体"/>
          <w:b w:val="0"/>
          <w:snapToGrid w:val="0"/>
          <w:spacing w:val="-4"/>
          <w:sz w:val="21"/>
          <w:szCs w:val="21"/>
          <w:highlight w:val="none"/>
        </w:rPr>
      </w:pPr>
      <w:r>
        <w:rPr>
          <w:rFonts w:ascii="宋体" w:hAnsi="宋体" w:cs="宋体"/>
          <w:b w:val="0"/>
          <w:snapToGrid w:val="0"/>
          <w:spacing w:val="-4"/>
          <w:sz w:val="21"/>
          <w:szCs w:val="21"/>
          <w:highlight w:val="none"/>
        </w:rPr>
        <w:t>项目负责人</w:t>
      </w:r>
      <w:r>
        <w:rPr>
          <w:rFonts w:hint="eastAsia" w:ascii="宋体" w:hAnsi="宋体" w:cs="宋体"/>
          <w:b w:val="0"/>
          <w:snapToGrid w:val="0"/>
          <w:spacing w:val="-4"/>
          <w:sz w:val="21"/>
          <w:szCs w:val="21"/>
          <w:highlight w:val="none"/>
        </w:rPr>
        <w:t>（总监理工程师）</w:t>
      </w:r>
      <w:r>
        <w:rPr>
          <w:rFonts w:ascii="宋体" w:hAnsi="宋体" w:cs="宋体"/>
          <w:b w:val="0"/>
          <w:snapToGrid w:val="0"/>
          <w:spacing w:val="-4"/>
          <w:sz w:val="21"/>
          <w:szCs w:val="21"/>
          <w:highlight w:val="none"/>
        </w:rPr>
        <w:t>：</w:t>
      </w:r>
      <w:r>
        <w:rPr>
          <w:rFonts w:ascii="宋体" w:hAnsi="宋体" w:cs="宋体"/>
          <w:spacing w:val="-4"/>
          <w:sz w:val="21"/>
          <w:szCs w:val="21"/>
          <w:highlight w:val="none"/>
          <w:u w:val="single"/>
        </w:rPr>
        <w:t xml:space="preserve">           </w:t>
      </w:r>
      <w:r>
        <w:rPr>
          <w:rFonts w:ascii="宋体" w:hAnsi="宋体" w:cs="宋体"/>
          <w:b w:val="0"/>
          <w:spacing w:val="-4"/>
          <w:sz w:val="21"/>
          <w:szCs w:val="21"/>
          <w:highlight w:val="none"/>
        </w:rPr>
        <w:t>(签字)</w:t>
      </w:r>
    </w:p>
    <w:p w14:paraId="56CF3531">
      <w:pPr>
        <w:pStyle w:val="12"/>
        <w:tabs>
          <w:tab w:val="left" w:pos="3232"/>
          <w:tab w:val="left" w:pos="8529"/>
        </w:tabs>
        <w:kinsoku w:val="0"/>
        <w:overflowPunct w:val="0"/>
        <w:spacing w:before="36" w:line="360" w:lineRule="auto"/>
        <w:ind w:left="2601" w:firstLine="1260" w:firstLineChars="600"/>
        <w:rPr>
          <w:rFonts w:ascii="Times New Roman" w:hAnsi="Times New Roman" w:eastAsia="Times New Roman"/>
          <w:highlight w:val="none"/>
        </w:rPr>
      </w:pPr>
      <w:r>
        <w:rPr>
          <w:highlight w:val="none"/>
        </w:rPr>
        <w:t>地    址：</w:t>
      </w:r>
      <w:r>
        <w:rPr>
          <w:rFonts w:hint="eastAsia" w:ascii="Times New Roman" w:hAnsi="Times New Roman" w:eastAsia="Times New Roman"/>
          <w:highlight w:val="none"/>
          <w:u w:val="single"/>
        </w:rPr>
        <w:t xml:space="preserve"> </w:t>
      </w:r>
      <w:r>
        <w:rPr>
          <w:rFonts w:hAnsi="Times New Roman"/>
          <w:highlight w:val="none"/>
          <w:u w:val="single"/>
        </w:rPr>
        <w:t xml:space="preserve">                                                  </w:t>
      </w:r>
    </w:p>
    <w:p w14:paraId="52F4E609">
      <w:pPr>
        <w:pStyle w:val="12"/>
        <w:tabs>
          <w:tab w:val="left" w:pos="3232"/>
          <w:tab w:val="left" w:pos="8529"/>
        </w:tabs>
        <w:kinsoku w:val="0"/>
        <w:overflowPunct w:val="0"/>
        <w:spacing w:before="36" w:line="360" w:lineRule="auto"/>
        <w:ind w:firstLine="3360" w:firstLineChars="1600"/>
        <w:rPr>
          <w:rFonts w:ascii="Times New Roman" w:hAnsi="Times New Roman" w:eastAsia="Times New Roman"/>
          <w:highlight w:val="none"/>
        </w:rPr>
      </w:pPr>
      <w:r>
        <w:rPr>
          <w:highlight w:val="none"/>
        </w:rPr>
        <w:t>网    址：</w:t>
      </w:r>
      <w:r>
        <w:rPr>
          <w:rFonts w:hint="eastAsia" w:ascii="Times New Roman" w:hAnsi="Times New Roman" w:eastAsia="Times New Roman"/>
          <w:highlight w:val="none"/>
          <w:u w:val="single"/>
        </w:rPr>
        <w:t xml:space="preserve"> </w:t>
      </w:r>
      <w:r>
        <w:rPr>
          <w:rFonts w:hAnsi="Times New Roman"/>
          <w:highlight w:val="none"/>
          <w:u w:val="single"/>
        </w:rPr>
        <w:t xml:space="preserve">                                                   </w:t>
      </w:r>
    </w:p>
    <w:p w14:paraId="78D53C3C">
      <w:pPr>
        <w:pStyle w:val="12"/>
        <w:tabs>
          <w:tab w:val="left" w:pos="3232"/>
          <w:tab w:val="left" w:pos="8529"/>
        </w:tabs>
        <w:kinsoku w:val="0"/>
        <w:overflowPunct w:val="0"/>
        <w:spacing w:before="36" w:line="360" w:lineRule="auto"/>
        <w:ind w:firstLine="3360" w:firstLineChars="1600"/>
        <w:rPr>
          <w:rFonts w:ascii="Times New Roman" w:hAnsi="Times New Roman" w:eastAsia="Times New Roman"/>
          <w:highlight w:val="none"/>
          <w:u w:val="single"/>
        </w:rPr>
      </w:pPr>
      <w:r>
        <w:rPr>
          <w:highlight w:val="none"/>
        </w:rPr>
        <w:t>电    话：</w:t>
      </w:r>
      <w:r>
        <w:rPr>
          <w:highlight w:val="none"/>
          <w:u w:val="single"/>
        </w:rPr>
        <w:t xml:space="preserve">                          </w:t>
      </w:r>
    </w:p>
    <w:p w14:paraId="490F4364">
      <w:pPr>
        <w:pStyle w:val="12"/>
        <w:tabs>
          <w:tab w:val="left" w:pos="3232"/>
          <w:tab w:val="left" w:pos="8529"/>
        </w:tabs>
        <w:kinsoku w:val="0"/>
        <w:overflowPunct w:val="0"/>
        <w:spacing w:before="36" w:line="360" w:lineRule="auto"/>
        <w:ind w:firstLine="3360" w:firstLineChars="1600"/>
        <w:rPr>
          <w:rFonts w:ascii="Times New Roman" w:hAnsi="Times New Roman" w:eastAsia="Times New Roman"/>
          <w:highlight w:val="none"/>
          <w:u w:val="single"/>
        </w:rPr>
      </w:pPr>
      <w:r>
        <w:rPr>
          <w:highlight w:val="none"/>
        </w:rPr>
        <w:t>传    真：</w:t>
      </w:r>
      <w:r>
        <w:rPr>
          <w:highlight w:val="none"/>
          <w:u w:val="single"/>
        </w:rPr>
        <w:t xml:space="preserve">                          </w:t>
      </w:r>
    </w:p>
    <w:p w14:paraId="6DE042D3">
      <w:pPr>
        <w:pStyle w:val="12"/>
        <w:tabs>
          <w:tab w:val="left" w:pos="8529"/>
        </w:tabs>
        <w:kinsoku w:val="0"/>
        <w:overflowPunct w:val="0"/>
        <w:spacing w:before="36" w:line="360" w:lineRule="auto"/>
        <w:ind w:left="2601" w:firstLine="1260" w:firstLineChars="600"/>
        <w:rPr>
          <w:rFonts w:ascii="Times New Roman" w:hAnsi="Times New Roman" w:eastAsia="Times New Roman"/>
          <w:highlight w:val="none"/>
          <w:u w:val="single"/>
        </w:rPr>
      </w:pPr>
      <w:r>
        <w:rPr>
          <w:highlight w:val="none"/>
        </w:rPr>
        <w:t>邮政编码：</w:t>
      </w:r>
      <w:r>
        <w:rPr>
          <w:rFonts w:hint="eastAsia" w:ascii="Times New Roman" w:hAnsi="Times New Roman" w:eastAsia="Times New Roman"/>
          <w:highlight w:val="none"/>
          <w:u w:val="single"/>
        </w:rPr>
        <w:t xml:space="preserve"> </w:t>
      </w:r>
      <w:r>
        <w:rPr>
          <w:rFonts w:hAnsi="Times New Roman"/>
          <w:highlight w:val="none"/>
          <w:u w:val="single"/>
        </w:rPr>
        <w:t xml:space="preserve">                                                   </w:t>
      </w:r>
    </w:p>
    <w:p w14:paraId="5E3A1D5E">
      <w:pPr>
        <w:pStyle w:val="12"/>
        <w:tabs>
          <w:tab w:val="left" w:pos="8529"/>
        </w:tabs>
        <w:kinsoku w:val="0"/>
        <w:overflowPunct w:val="0"/>
        <w:spacing w:before="36" w:line="360" w:lineRule="auto"/>
        <w:ind w:left="2601"/>
        <w:rPr>
          <w:rFonts w:ascii="Times New Roman" w:hAnsi="Times New Roman" w:eastAsia="Times New Roman"/>
          <w:highlight w:val="none"/>
          <w:u w:val="single"/>
        </w:rPr>
      </w:pPr>
      <w:r>
        <w:rPr>
          <w:rFonts w:hAnsi="Times New Roman"/>
          <w:highlight w:val="none"/>
        </w:rPr>
        <w:t xml:space="preserve">                  </w:t>
      </w:r>
      <w:r>
        <w:rPr>
          <w:rFonts w:hAnsi="Times New Roman"/>
          <w:highlight w:val="none"/>
          <w:u w:val="single"/>
        </w:rPr>
        <w:t xml:space="preserve">       </w:t>
      </w:r>
      <w:r>
        <w:rPr>
          <w:rFonts w:hAnsi="Times New Roman"/>
          <w:highlight w:val="none"/>
        </w:rPr>
        <w:t>年</w:t>
      </w:r>
      <w:r>
        <w:rPr>
          <w:rFonts w:hAnsi="Times New Roman"/>
          <w:highlight w:val="none"/>
          <w:u w:val="single"/>
        </w:rPr>
        <w:t xml:space="preserve">       </w:t>
      </w:r>
      <w:r>
        <w:rPr>
          <w:rFonts w:hAnsi="Times New Roman"/>
          <w:highlight w:val="none"/>
        </w:rPr>
        <w:t>月</w:t>
      </w:r>
      <w:r>
        <w:rPr>
          <w:rFonts w:hAnsi="Times New Roman"/>
          <w:highlight w:val="none"/>
          <w:u w:val="single"/>
        </w:rPr>
        <w:t xml:space="preserve">      </w:t>
      </w:r>
      <w:r>
        <w:rPr>
          <w:rFonts w:hAnsi="Times New Roman"/>
          <w:highlight w:val="none"/>
        </w:rPr>
        <w:t>日</w:t>
      </w:r>
    </w:p>
    <w:p w14:paraId="3B36D3EA">
      <w:pPr>
        <w:pStyle w:val="12"/>
        <w:tabs>
          <w:tab w:val="left" w:pos="631"/>
          <w:tab w:val="left" w:pos="1471"/>
          <w:tab w:val="left" w:pos="2311"/>
        </w:tabs>
        <w:kinsoku w:val="0"/>
        <w:overflowPunct w:val="0"/>
        <w:spacing w:before="36" w:line="360" w:lineRule="auto"/>
        <w:ind w:left="0" w:right="117"/>
        <w:jc w:val="right"/>
        <w:rPr>
          <w:highlight w:val="none"/>
        </w:rPr>
        <w:sectPr>
          <w:footerReference r:id="rId11" w:type="default"/>
          <w:pgSz w:w="11905" w:h="16838"/>
          <w:pgMar w:top="1417" w:right="1417" w:bottom="1417" w:left="1417" w:header="992" w:footer="992" w:gutter="0"/>
          <w:cols w:space="720" w:num="1"/>
        </w:sectPr>
      </w:pPr>
    </w:p>
    <w:p w14:paraId="538B422E">
      <w:pPr>
        <w:pStyle w:val="7"/>
        <w:jc w:val="center"/>
        <w:rPr>
          <w:b/>
          <w:highlight w:val="none"/>
        </w:rPr>
      </w:pPr>
      <w:bookmarkStart w:id="216" w:name="bookmark178"/>
      <w:bookmarkEnd w:id="216"/>
      <w:bookmarkStart w:id="217" w:name="_Toc28395"/>
      <w:r>
        <w:rPr>
          <w:b/>
          <w:highlight w:val="none"/>
        </w:rPr>
        <w:t>（二）投标函附录</w:t>
      </w:r>
      <w:bookmarkEnd w:id="217"/>
    </w:p>
    <w:p w14:paraId="2A8A78BD">
      <w:pPr>
        <w:pStyle w:val="12"/>
        <w:kinsoku w:val="0"/>
        <w:overflowPunct w:val="0"/>
        <w:ind w:left="0"/>
        <w:rPr>
          <w:sz w:val="20"/>
          <w:highlight w:val="none"/>
        </w:rPr>
      </w:pPr>
    </w:p>
    <w:tbl>
      <w:tblPr>
        <w:tblStyle w:val="24"/>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592"/>
        <w:gridCol w:w="1317"/>
        <w:gridCol w:w="3637"/>
        <w:gridCol w:w="1008"/>
      </w:tblGrid>
      <w:tr w14:paraId="17D1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0133DA2F">
            <w:pPr>
              <w:autoSpaceDE/>
              <w:autoSpaceDN/>
              <w:adjustRightInd/>
              <w:jc w:val="center"/>
              <w:rPr>
                <w:rFonts w:ascii="宋体" w:hAnsi="宋体" w:cs="宋体"/>
                <w:b/>
                <w:kern w:val="2"/>
                <w:sz w:val="21"/>
                <w:szCs w:val="22"/>
                <w:highlight w:val="none"/>
              </w:rPr>
            </w:pPr>
            <w:r>
              <w:rPr>
                <w:rFonts w:hint="eastAsia" w:ascii="宋体" w:hAnsi="宋体" w:cs="宋体"/>
                <w:b/>
                <w:kern w:val="2"/>
                <w:sz w:val="21"/>
                <w:szCs w:val="22"/>
                <w:highlight w:val="none"/>
              </w:rPr>
              <w:t>序号</w:t>
            </w:r>
          </w:p>
        </w:tc>
        <w:tc>
          <w:tcPr>
            <w:tcW w:w="2592" w:type="dxa"/>
            <w:tcBorders>
              <w:top w:val="single" w:color="auto" w:sz="4" w:space="0"/>
              <w:left w:val="single" w:color="auto" w:sz="4" w:space="0"/>
              <w:bottom w:val="single" w:color="auto" w:sz="4" w:space="0"/>
              <w:right w:val="single" w:color="auto" w:sz="4" w:space="0"/>
            </w:tcBorders>
            <w:vAlign w:val="center"/>
          </w:tcPr>
          <w:p w14:paraId="6A97FDE4">
            <w:pPr>
              <w:autoSpaceDE/>
              <w:autoSpaceDN/>
              <w:adjustRightInd/>
              <w:jc w:val="center"/>
              <w:rPr>
                <w:rFonts w:ascii="宋体" w:hAnsi="宋体" w:cs="宋体"/>
                <w:b/>
                <w:kern w:val="2"/>
                <w:sz w:val="21"/>
                <w:szCs w:val="22"/>
                <w:highlight w:val="none"/>
              </w:rPr>
            </w:pPr>
            <w:r>
              <w:rPr>
                <w:rFonts w:hint="eastAsia" w:ascii="宋体" w:hAnsi="宋体" w:cs="宋体"/>
                <w:b/>
                <w:kern w:val="2"/>
                <w:sz w:val="21"/>
                <w:szCs w:val="22"/>
                <w:highlight w:val="none"/>
              </w:rPr>
              <w:t>条款名称</w:t>
            </w:r>
          </w:p>
        </w:tc>
        <w:tc>
          <w:tcPr>
            <w:tcW w:w="1317" w:type="dxa"/>
            <w:tcBorders>
              <w:top w:val="single" w:color="auto" w:sz="4" w:space="0"/>
              <w:left w:val="single" w:color="auto" w:sz="4" w:space="0"/>
              <w:bottom w:val="single" w:color="auto" w:sz="4" w:space="0"/>
              <w:right w:val="single" w:color="auto" w:sz="4" w:space="0"/>
            </w:tcBorders>
            <w:vAlign w:val="center"/>
          </w:tcPr>
          <w:p w14:paraId="4C015F4B">
            <w:pPr>
              <w:autoSpaceDE/>
              <w:autoSpaceDN/>
              <w:adjustRightInd/>
              <w:jc w:val="center"/>
              <w:rPr>
                <w:rFonts w:ascii="宋体" w:hAnsi="宋体" w:cs="宋体"/>
                <w:b/>
                <w:kern w:val="2"/>
                <w:sz w:val="21"/>
                <w:szCs w:val="22"/>
                <w:highlight w:val="none"/>
              </w:rPr>
            </w:pPr>
            <w:r>
              <w:rPr>
                <w:rFonts w:hint="eastAsia" w:ascii="宋体" w:hAnsi="宋体" w:cs="宋体"/>
                <w:b/>
                <w:kern w:val="2"/>
                <w:sz w:val="21"/>
                <w:szCs w:val="22"/>
                <w:highlight w:val="none"/>
              </w:rPr>
              <w:t>合同条款号</w:t>
            </w:r>
          </w:p>
        </w:tc>
        <w:tc>
          <w:tcPr>
            <w:tcW w:w="3637" w:type="dxa"/>
            <w:tcBorders>
              <w:top w:val="single" w:color="auto" w:sz="4" w:space="0"/>
              <w:left w:val="single" w:color="auto" w:sz="4" w:space="0"/>
              <w:bottom w:val="single" w:color="auto" w:sz="4" w:space="0"/>
              <w:right w:val="single" w:color="auto" w:sz="4" w:space="0"/>
            </w:tcBorders>
            <w:vAlign w:val="center"/>
          </w:tcPr>
          <w:p w14:paraId="651B8EFF">
            <w:pPr>
              <w:autoSpaceDE/>
              <w:autoSpaceDN/>
              <w:adjustRightInd/>
              <w:jc w:val="center"/>
              <w:rPr>
                <w:rFonts w:ascii="宋体" w:hAnsi="宋体" w:cs="宋体"/>
                <w:b/>
                <w:kern w:val="2"/>
                <w:sz w:val="21"/>
                <w:szCs w:val="22"/>
                <w:highlight w:val="none"/>
              </w:rPr>
            </w:pPr>
            <w:r>
              <w:rPr>
                <w:rFonts w:hint="eastAsia" w:ascii="宋体" w:hAnsi="宋体" w:cs="宋体"/>
                <w:b/>
                <w:kern w:val="2"/>
                <w:sz w:val="21"/>
                <w:szCs w:val="22"/>
                <w:highlight w:val="none"/>
              </w:rPr>
              <w:t>约定内容</w:t>
            </w:r>
          </w:p>
        </w:tc>
        <w:tc>
          <w:tcPr>
            <w:tcW w:w="1008" w:type="dxa"/>
            <w:tcBorders>
              <w:top w:val="single" w:color="auto" w:sz="4" w:space="0"/>
              <w:left w:val="single" w:color="auto" w:sz="4" w:space="0"/>
              <w:bottom w:val="single" w:color="auto" w:sz="4" w:space="0"/>
              <w:right w:val="single" w:color="auto" w:sz="4" w:space="0"/>
            </w:tcBorders>
            <w:vAlign w:val="center"/>
          </w:tcPr>
          <w:p w14:paraId="7EA3E9EC">
            <w:pPr>
              <w:autoSpaceDE/>
              <w:autoSpaceDN/>
              <w:adjustRightInd/>
              <w:jc w:val="center"/>
              <w:rPr>
                <w:rFonts w:ascii="宋体" w:hAnsi="宋体" w:cs="宋体"/>
                <w:b/>
                <w:kern w:val="2"/>
                <w:sz w:val="21"/>
                <w:szCs w:val="22"/>
                <w:highlight w:val="none"/>
              </w:rPr>
            </w:pPr>
            <w:r>
              <w:rPr>
                <w:rFonts w:hint="eastAsia" w:ascii="宋体" w:hAnsi="宋体" w:cs="宋体"/>
                <w:b/>
                <w:kern w:val="2"/>
                <w:sz w:val="21"/>
                <w:szCs w:val="22"/>
                <w:highlight w:val="none"/>
              </w:rPr>
              <w:t>备注</w:t>
            </w:r>
          </w:p>
        </w:tc>
      </w:tr>
      <w:tr w14:paraId="1925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6706D339">
            <w:pPr>
              <w:autoSpaceDE/>
              <w:autoSpaceDN/>
              <w:adjustRightInd/>
              <w:jc w:val="center"/>
              <w:rPr>
                <w:rFonts w:ascii="宋体" w:hAnsi="宋体" w:cs="宋体"/>
                <w:b/>
                <w:kern w:val="2"/>
                <w:sz w:val="21"/>
                <w:szCs w:val="22"/>
                <w:highlight w:val="none"/>
              </w:rPr>
            </w:pPr>
            <w:r>
              <w:rPr>
                <w:rFonts w:hint="eastAsia" w:ascii="宋体" w:hAnsi="宋体" w:cs="宋体"/>
                <w:b/>
                <w:kern w:val="2"/>
                <w:sz w:val="21"/>
                <w:szCs w:val="22"/>
                <w:highlight w:val="none"/>
              </w:rPr>
              <w:t>1</w:t>
            </w:r>
          </w:p>
        </w:tc>
        <w:tc>
          <w:tcPr>
            <w:tcW w:w="2592" w:type="dxa"/>
            <w:tcBorders>
              <w:top w:val="single" w:color="auto" w:sz="4" w:space="0"/>
              <w:left w:val="single" w:color="auto" w:sz="4" w:space="0"/>
              <w:bottom w:val="single" w:color="auto" w:sz="4" w:space="0"/>
              <w:right w:val="single" w:color="auto" w:sz="4" w:space="0"/>
            </w:tcBorders>
            <w:vAlign w:val="center"/>
          </w:tcPr>
          <w:p w14:paraId="223049EF">
            <w:pPr>
              <w:autoSpaceDE/>
              <w:autoSpaceDN/>
              <w:adjustRightInd/>
              <w:jc w:val="center"/>
              <w:rPr>
                <w:rFonts w:ascii="宋体" w:hAnsi="宋体" w:cs="宋体"/>
                <w:b/>
                <w:kern w:val="2"/>
                <w:sz w:val="21"/>
                <w:szCs w:val="22"/>
                <w:highlight w:val="none"/>
              </w:rPr>
            </w:pPr>
            <w:r>
              <w:rPr>
                <w:rFonts w:hint="eastAsia" w:ascii="宋体" w:hAnsi="宋体" w:cs="宋体"/>
                <w:b/>
                <w:kern w:val="2"/>
                <w:sz w:val="21"/>
                <w:szCs w:val="22"/>
                <w:highlight w:val="none"/>
              </w:rPr>
              <w:t>总监理工程师</w:t>
            </w:r>
          </w:p>
        </w:tc>
        <w:tc>
          <w:tcPr>
            <w:tcW w:w="1317" w:type="dxa"/>
            <w:tcBorders>
              <w:top w:val="single" w:color="auto" w:sz="4" w:space="0"/>
              <w:left w:val="single" w:color="auto" w:sz="4" w:space="0"/>
              <w:bottom w:val="single" w:color="auto" w:sz="4" w:space="0"/>
              <w:right w:val="single" w:color="auto" w:sz="4" w:space="0"/>
            </w:tcBorders>
            <w:vAlign w:val="center"/>
          </w:tcPr>
          <w:p w14:paraId="039A7104">
            <w:pPr>
              <w:autoSpaceDE/>
              <w:autoSpaceDN/>
              <w:adjustRightInd/>
              <w:jc w:val="center"/>
              <w:rPr>
                <w:rFonts w:ascii="宋体" w:hAnsi="宋体" w:cs="宋体"/>
                <w:b/>
                <w:kern w:val="2"/>
                <w:sz w:val="21"/>
                <w:szCs w:val="22"/>
                <w:highlight w:val="none"/>
              </w:rPr>
            </w:pPr>
            <w:r>
              <w:rPr>
                <w:rFonts w:hint="eastAsia" w:ascii="宋体" w:hAnsi="宋体" w:cs="宋体"/>
                <w:spacing w:val="-16"/>
                <w:kern w:val="2"/>
                <w:szCs w:val="22"/>
                <w:highlight w:val="none"/>
              </w:rPr>
              <w:t>/</w:t>
            </w:r>
          </w:p>
        </w:tc>
        <w:tc>
          <w:tcPr>
            <w:tcW w:w="3637" w:type="dxa"/>
            <w:tcBorders>
              <w:top w:val="single" w:color="auto" w:sz="4" w:space="0"/>
              <w:left w:val="single" w:color="auto" w:sz="4" w:space="0"/>
              <w:bottom w:val="single" w:color="auto" w:sz="4" w:space="0"/>
              <w:right w:val="single" w:color="auto" w:sz="4" w:space="0"/>
            </w:tcBorders>
            <w:vAlign w:val="center"/>
          </w:tcPr>
          <w:p w14:paraId="0E0B2DBC">
            <w:pPr>
              <w:autoSpaceDE/>
              <w:autoSpaceDN/>
              <w:adjustRightInd/>
              <w:rPr>
                <w:rFonts w:ascii="宋体" w:hAnsi="宋体" w:cs="宋体"/>
                <w:b/>
                <w:kern w:val="2"/>
                <w:sz w:val="21"/>
                <w:szCs w:val="22"/>
                <w:highlight w:val="none"/>
              </w:rPr>
            </w:pPr>
            <w:r>
              <w:rPr>
                <w:rFonts w:hint="eastAsia" w:ascii="宋体" w:hAnsi="宋体" w:cs="宋体"/>
                <w:b/>
                <w:kern w:val="2"/>
                <w:sz w:val="21"/>
                <w:szCs w:val="22"/>
                <w:highlight w:val="none"/>
              </w:rPr>
              <w:t xml:space="preserve">姓名： </w:t>
            </w:r>
          </w:p>
          <w:p w14:paraId="21D77E97">
            <w:pPr>
              <w:autoSpaceDE/>
              <w:autoSpaceDN/>
              <w:adjustRightInd/>
              <w:rPr>
                <w:rFonts w:ascii="宋体" w:hAnsi="宋体" w:cs="宋体"/>
                <w:b/>
                <w:kern w:val="2"/>
                <w:sz w:val="21"/>
                <w:szCs w:val="22"/>
                <w:highlight w:val="none"/>
              </w:rPr>
            </w:pPr>
            <w:r>
              <w:rPr>
                <w:rFonts w:hint="eastAsia" w:ascii="宋体" w:hAnsi="宋体" w:cs="宋体"/>
                <w:b/>
                <w:kern w:val="2"/>
                <w:sz w:val="21"/>
                <w:szCs w:val="22"/>
                <w:highlight w:val="none"/>
              </w:rPr>
              <w:t>技术职称：</w:t>
            </w:r>
          </w:p>
          <w:p w14:paraId="4D6F5C34">
            <w:pPr>
              <w:autoSpaceDE/>
              <w:autoSpaceDN/>
              <w:adjustRightInd/>
              <w:rPr>
                <w:rFonts w:ascii="宋体" w:hAnsi="宋体" w:cs="宋体"/>
                <w:b/>
                <w:kern w:val="2"/>
                <w:sz w:val="21"/>
                <w:szCs w:val="22"/>
                <w:highlight w:val="none"/>
              </w:rPr>
            </w:pPr>
            <w:r>
              <w:rPr>
                <w:rFonts w:hint="eastAsia" w:ascii="宋体" w:hAnsi="宋体" w:cs="宋体"/>
                <w:b/>
                <w:kern w:val="2"/>
                <w:sz w:val="21"/>
                <w:szCs w:val="22"/>
                <w:highlight w:val="none"/>
              </w:rPr>
              <w:t>证书编号：</w:t>
            </w:r>
          </w:p>
        </w:tc>
        <w:tc>
          <w:tcPr>
            <w:tcW w:w="1008" w:type="dxa"/>
            <w:tcBorders>
              <w:top w:val="single" w:color="auto" w:sz="4" w:space="0"/>
              <w:left w:val="single" w:color="auto" w:sz="4" w:space="0"/>
              <w:bottom w:val="single" w:color="auto" w:sz="4" w:space="0"/>
              <w:right w:val="single" w:color="auto" w:sz="4" w:space="0"/>
            </w:tcBorders>
            <w:vAlign w:val="center"/>
          </w:tcPr>
          <w:p w14:paraId="7FB53870">
            <w:pPr>
              <w:autoSpaceDE/>
              <w:autoSpaceDN/>
              <w:adjustRightInd/>
              <w:jc w:val="center"/>
              <w:rPr>
                <w:rFonts w:ascii="宋体" w:hAnsi="宋体" w:cs="宋体"/>
                <w:b/>
                <w:kern w:val="2"/>
                <w:sz w:val="21"/>
                <w:szCs w:val="22"/>
                <w:highlight w:val="none"/>
              </w:rPr>
            </w:pPr>
          </w:p>
        </w:tc>
      </w:tr>
      <w:tr w14:paraId="052D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5114DB9F">
            <w:pPr>
              <w:autoSpaceDE/>
              <w:autoSpaceDN/>
              <w:adjustRightInd/>
              <w:jc w:val="center"/>
              <w:rPr>
                <w:rFonts w:ascii="宋体" w:hAnsi="宋体" w:cs="宋体"/>
                <w:b/>
                <w:kern w:val="2"/>
                <w:sz w:val="21"/>
                <w:szCs w:val="22"/>
                <w:highlight w:val="none"/>
              </w:rPr>
            </w:pPr>
            <w:r>
              <w:rPr>
                <w:rFonts w:hint="eastAsia" w:ascii="宋体" w:hAnsi="宋体" w:cs="宋体"/>
                <w:b/>
                <w:kern w:val="2"/>
                <w:sz w:val="21"/>
                <w:szCs w:val="22"/>
                <w:highlight w:val="none"/>
              </w:rPr>
              <w:t>2</w:t>
            </w:r>
          </w:p>
        </w:tc>
        <w:tc>
          <w:tcPr>
            <w:tcW w:w="2592" w:type="dxa"/>
            <w:tcBorders>
              <w:top w:val="single" w:color="auto" w:sz="4" w:space="0"/>
              <w:left w:val="single" w:color="auto" w:sz="4" w:space="0"/>
              <w:bottom w:val="single" w:color="auto" w:sz="4" w:space="0"/>
              <w:right w:val="single" w:color="auto" w:sz="4" w:space="0"/>
            </w:tcBorders>
            <w:vAlign w:val="center"/>
          </w:tcPr>
          <w:p w14:paraId="74DC2016">
            <w:pPr>
              <w:autoSpaceDE/>
              <w:autoSpaceDN/>
              <w:adjustRightInd/>
              <w:jc w:val="center"/>
              <w:rPr>
                <w:rFonts w:ascii="宋体" w:hAnsi="宋体" w:cs="宋体"/>
                <w:b/>
                <w:kern w:val="2"/>
                <w:sz w:val="21"/>
                <w:szCs w:val="22"/>
                <w:highlight w:val="none"/>
              </w:rPr>
            </w:pPr>
            <w:r>
              <w:rPr>
                <w:rFonts w:hint="eastAsia" w:ascii="宋体" w:hAnsi="宋体" w:cs="宋体"/>
                <w:b/>
                <w:kern w:val="2"/>
                <w:sz w:val="21"/>
                <w:szCs w:val="22"/>
                <w:highlight w:val="none"/>
              </w:rPr>
              <w:t>监理服务期限</w:t>
            </w:r>
          </w:p>
        </w:tc>
        <w:tc>
          <w:tcPr>
            <w:tcW w:w="1317" w:type="dxa"/>
            <w:tcBorders>
              <w:top w:val="single" w:color="auto" w:sz="4" w:space="0"/>
              <w:left w:val="single" w:color="auto" w:sz="4" w:space="0"/>
              <w:bottom w:val="single" w:color="auto" w:sz="4" w:space="0"/>
              <w:right w:val="single" w:color="auto" w:sz="4" w:space="0"/>
            </w:tcBorders>
            <w:vAlign w:val="center"/>
          </w:tcPr>
          <w:p w14:paraId="0163B484">
            <w:pPr>
              <w:autoSpaceDE/>
              <w:autoSpaceDN/>
              <w:adjustRightInd/>
              <w:jc w:val="center"/>
              <w:rPr>
                <w:rFonts w:ascii="宋体" w:hAnsi="宋体" w:cs="宋体"/>
                <w:b/>
                <w:kern w:val="2"/>
                <w:sz w:val="21"/>
                <w:szCs w:val="22"/>
                <w:highlight w:val="none"/>
              </w:rPr>
            </w:pPr>
            <w:r>
              <w:rPr>
                <w:rFonts w:hint="eastAsia" w:ascii="宋体" w:hAnsi="宋体" w:cs="宋体"/>
                <w:spacing w:val="-16"/>
                <w:kern w:val="2"/>
                <w:szCs w:val="22"/>
                <w:highlight w:val="none"/>
              </w:rPr>
              <w:t>/</w:t>
            </w:r>
          </w:p>
        </w:tc>
        <w:tc>
          <w:tcPr>
            <w:tcW w:w="3637" w:type="dxa"/>
            <w:tcBorders>
              <w:top w:val="single" w:color="auto" w:sz="4" w:space="0"/>
              <w:left w:val="single" w:color="auto" w:sz="4" w:space="0"/>
              <w:bottom w:val="single" w:color="auto" w:sz="4" w:space="0"/>
              <w:right w:val="single" w:color="auto" w:sz="4" w:space="0"/>
            </w:tcBorders>
            <w:vAlign w:val="center"/>
          </w:tcPr>
          <w:p w14:paraId="6528796A">
            <w:pPr>
              <w:autoSpaceDE/>
              <w:autoSpaceDN/>
              <w:adjustRightInd/>
              <w:rPr>
                <w:rFonts w:ascii="宋体" w:hAnsi="宋体" w:cs="宋体"/>
                <w:b/>
                <w:kern w:val="2"/>
                <w:sz w:val="21"/>
                <w:szCs w:val="22"/>
                <w:highlight w:val="none"/>
              </w:rPr>
            </w:pPr>
            <w:r>
              <w:rPr>
                <w:rFonts w:hint="eastAsia" w:ascii="宋体" w:hAnsi="宋体" w:cs="宋体"/>
                <w:b/>
                <w:kern w:val="2"/>
                <w:sz w:val="21"/>
                <w:szCs w:val="22"/>
                <w:highlight w:val="none"/>
              </w:rPr>
              <w:t>按招标文件要求</w:t>
            </w:r>
          </w:p>
        </w:tc>
        <w:tc>
          <w:tcPr>
            <w:tcW w:w="1008" w:type="dxa"/>
            <w:tcBorders>
              <w:top w:val="single" w:color="auto" w:sz="4" w:space="0"/>
              <w:left w:val="single" w:color="auto" w:sz="4" w:space="0"/>
              <w:bottom w:val="single" w:color="auto" w:sz="4" w:space="0"/>
              <w:right w:val="single" w:color="auto" w:sz="4" w:space="0"/>
            </w:tcBorders>
            <w:vAlign w:val="center"/>
          </w:tcPr>
          <w:p w14:paraId="689D59B7">
            <w:pPr>
              <w:autoSpaceDE/>
              <w:autoSpaceDN/>
              <w:adjustRightInd/>
              <w:jc w:val="center"/>
              <w:rPr>
                <w:rFonts w:ascii="宋体" w:hAnsi="宋体" w:cs="宋体"/>
                <w:kern w:val="2"/>
                <w:sz w:val="21"/>
                <w:szCs w:val="21"/>
                <w:highlight w:val="none"/>
                <w:u w:val="single"/>
              </w:rPr>
            </w:pPr>
          </w:p>
        </w:tc>
      </w:tr>
      <w:tr w14:paraId="35FF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35D9CCAF">
            <w:pPr>
              <w:autoSpaceDE/>
              <w:autoSpaceDN/>
              <w:adjustRightInd/>
              <w:jc w:val="center"/>
              <w:rPr>
                <w:rFonts w:ascii="宋体" w:hAnsi="宋体" w:cs="宋体"/>
                <w:b/>
                <w:kern w:val="2"/>
                <w:sz w:val="21"/>
                <w:szCs w:val="22"/>
                <w:highlight w:val="none"/>
              </w:rPr>
            </w:pPr>
            <w:r>
              <w:rPr>
                <w:rFonts w:hint="eastAsia" w:ascii="宋体" w:hAnsi="宋体" w:cs="宋体"/>
                <w:b/>
                <w:kern w:val="2"/>
                <w:sz w:val="21"/>
                <w:szCs w:val="22"/>
                <w:highlight w:val="none"/>
              </w:rPr>
              <w:t>3</w:t>
            </w:r>
          </w:p>
        </w:tc>
        <w:tc>
          <w:tcPr>
            <w:tcW w:w="2592" w:type="dxa"/>
            <w:tcBorders>
              <w:top w:val="single" w:color="auto" w:sz="4" w:space="0"/>
              <w:left w:val="single" w:color="auto" w:sz="4" w:space="0"/>
              <w:bottom w:val="single" w:color="auto" w:sz="4" w:space="0"/>
              <w:right w:val="single" w:color="auto" w:sz="4" w:space="0"/>
            </w:tcBorders>
            <w:vAlign w:val="center"/>
          </w:tcPr>
          <w:p w14:paraId="2E8F303B">
            <w:pPr>
              <w:autoSpaceDE/>
              <w:autoSpaceDN/>
              <w:adjustRightInd/>
              <w:jc w:val="center"/>
              <w:rPr>
                <w:rFonts w:ascii="宋体" w:hAnsi="宋体" w:cs="宋体"/>
                <w:b/>
                <w:kern w:val="2"/>
                <w:sz w:val="21"/>
                <w:szCs w:val="22"/>
                <w:highlight w:val="none"/>
              </w:rPr>
            </w:pPr>
            <w:r>
              <w:rPr>
                <w:rFonts w:hint="eastAsia" w:ascii="宋体" w:hAnsi="宋体" w:cs="宋体"/>
                <w:b/>
                <w:kern w:val="2"/>
                <w:sz w:val="21"/>
                <w:szCs w:val="22"/>
                <w:highlight w:val="none"/>
              </w:rPr>
              <w:t>投标内容</w:t>
            </w:r>
          </w:p>
        </w:tc>
        <w:tc>
          <w:tcPr>
            <w:tcW w:w="1317" w:type="dxa"/>
            <w:tcBorders>
              <w:top w:val="single" w:color="auto" w:sz="4" w:space="0"/>
              <w:left w:val="single" w:color="auto" w:sz="4" w:space="0"/>
              <w:bottom w:val="single" w:color="auto" w:sz="4" w:space="0"/>
              <w:right w:val="single" w:color="auto" w:sz="4" w:space="0"/>
            </w:tcBorders>
            <w:vAlign w:val="center"/>
          </w:tcPr>
          <w:p w14:paraId="01108034">
            <w:pPr>
              <w:autoSpaceDE/>
              <w:autoSpaceDN/>
              <w:adjustRightInd/>
              <w:jc w:val="center"/>
              <w:rPr>
                <w:rFonts w:ascii="宋体" w:hAnsi="宋体" w:cs="宋体"/>
                <w:b/>
                <w:kern w:val="2"/>
                <w:sz w:val="21"/>
                <w:szCs w:val="22"/>
                <w:highlight w:val="none"/>
              </w:rPr>
            </w:pPr>
            <w:r>
              <w:rPr>
                <w:rFonts w:hint="eastAsia" w:ascii="宋体" w:hAnsi="宋体" w:cs="宋体"/>
                <w:spacing w:val="-16"/>
                <w:kern w:val="2"/>
                <w:szCs w:val="22"/>
                <w:highlight w:val="none"/>
              </w:rPr>
              <w:t>/</w:t>
            </w:r>
          </w:p>
        </w:tc>
        <w:tc>
          <w:tcPr>
            <w:tcW w:w="3637" w:type="dxa"/>
            <w:tcBorders>
              <w:top w:val="single" w:color="auto" w:sz="4" w:space="0"/>
              <w:left w:val="single" w:color="auto" w:sz="4" w:space="0"/>
              <w:bottom w:val="single" w:color="auto" w:sz="4" w:space="0"/>
              <w:right w:val="single" w:color="auto" w:sz="4" w:space="0"/>
            </w:tcBorders>
            <w:vAlign w:val="center"/>
          </w:tcPr>
          <w:p w14:paraId="7772AD46">
            <w:pPr>
              <w:autoSpaceDE/>
              <w:autoSpaceDN/>
              <w:adjustRightInd/>
              <w:rPr>
                <w:rFonts w:ascii="宋体" w:hAnsi="宋体" w:cs="宋体"/>
                <w:b/>
                <w:kern w:val="2"/>
                <w:sz w:val="21"/>
                <w:szCs w:val="22"/>
                <w:highlight w:val="none"/>
              </w:rPr>
            </w:pPr>
            <w:r>
              <w:rPr>
                <w:rFonts w:hint="eastAsia" w:ascii="宋体" w:hAnsi="宋体" w:cs="宋体"/>
                <w:b/>
                <w:kern w:val="2"/>
                <w:sz w:val="21"/>
                <w:szCs w:val="22"/>
                <w:highlight w:val="none"/>
              </w:rPr>
              <w:t>按招标文件要求</w:t>
            </w:r>
          </w:p>
        </w:tc>
        <w:tc>
          <w:tcPr>
            <w:tcW w:w="1008" w:type="dxa"/>
            <w:tcBorders>
              <w:top w:val="single" w:color="auto" w:sz="4" w:space="0"/>
              <w:left w:val="single" w:color="auto" w:sz="4" w:space="0"/>
              <w:bottom w:val="single" w:color="auto" w:sz="4" w:space="0"/>
              <w:right w:val="single" w:color="auto" w:sz="4" w:space="0"/>
            </w:tcBorders>
            <w:vAlign w:val="center"/>
          </w:tcPr>
          <w:p w14:paraId="6634C777">
            <w:pPr>
              <w:autoSpaceDE/>
              <w:autoSpaceDN/>
              <w:adjustRightInd/>
              <w:jc w:val="center"/>
              <w:rPr>
                <w:rFonts w:ascii="宋体" w:hAnsi="宋体" w:cs="宋体"/>
                <w:b/>
                <w:kern w:val="2"/>
                <w:sz w:val="21"/>
                <w:szCs w:val="22"/>
                <w:highlight w:val="none"/>
              </w:rPr>
            </w:pPr>
          </w:p>
        </w:tc>
      </w:tr>
      <w:tr w14:paraId="6AC1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5EE5B786">
            <w:pPr>
              <w:autoSpaceDE/>
              <w:autoSpaceDN/>
              <w:adjustRightInd/>
              <w:jc w:val="center"/>
              <w:rPr>
                <w:rFonts w:ascii="宋体" w:hAnsi="宋体" w:cs="宋体"/>
                <w:b/>
                <w:kern w:val="2"/>
                <w:sz w:val="21"/>
                <w:szCs w:val="22"/>
                <w:highlight w:val="none"/>
              </w:rPr>
            </w:pPr>
            <w:r>
              <w:rPr>
                <w:rFonts w:hint="eastAsia" w:ascii="宋体" w:hAnsi="宋体" w:cs="宋体"/>
                <w:b/>
                <w:kern w:val="2"/>
                <w:sz w:val="21"/>
                <w:szCs w:val="22"/>
                <w:highlight w:val="none"/>
              </w:rPr>
              <w:t>4</w:t>
            </w:r>
          </w:p>
        </w:tc>
        <w:tc>
          <w:tcPr>
            <w:tcW w:w="2592" w:type="dxa"/>
            <w:tcBorders>
              <w:top w:val="single" w:color="auto" w:sz="4" w:space="0"/>
              <w:left w:val="single" w:color="auto" w:sz="4" w:space="0"/>
              <w:bottom w:val="single" w:color="auto" w:sz="4" w:space="0"/>
              <w:right w:val="single" w:color="auto" w:sz="4" w:space="0"/>
            </w:tcBorders>
            <w:vAlign w:val="center"/>
          </w:tcPr>
          <w:p w14:paraId="62AD6459">
            <w:pPr>
              <w:autoSpaceDE/>
              <w:autoSpaceDN/>
              <w:adjustRightInd/>
              <w:jc w:val="center"/>
              <w:rPr>
                <w:rFonts w:ascii="宋体" w:hAnsi="宋体" w:cs="宋体"/>
                <w:b/>
                <w:kern w:val="2"/>
                <w:sz w:val="21"/>
                <w:szCs w:val="22"/>
                <w:highlight w:val="none"/>
              </w:rPr>
            </w:pPr>
            <w:r>
              <w:rPr>
                <w:rFonts w:hint="eastAsia" w:ascii="宋体" w:hAnsi="宋体" w:cs="宋体"/>
                <w:b/>
                <w:kern w:val="2"/>
                <w:sz w:val="21"/>
                <w:szCs w:val="22"/>
                <w:highlight w:val="none"/>
              </w:rPr>
              <w:t>质量标准</w:t>
            </w:r>
          </w:p>
        </w:tc>
        <w:tc>
          <w:tcPr>
            <w:tcW w:w="1317" w:type="dxa"/>
            <w:tcBorders>
              <w:top w:val="single" w:color="auto" w:sz="4" w:space="0"/>
              <w:left w:val="single" w:color="auto" w:sz="4" w:space="0"/>
              <w:bottom w:val="single" w:color="auto" w:sz="4" w:space="0"/>
              <w:right w:val="single" w:color="auto" w:sz="4" w:space="0"/>
            </w:tcBorders>
            <w:vAlign w:val="center"/>
          </w:tcPr>
          <w:p w14:paraId="1157035A">
            <w:pPr>
              <w:autoSpaceDE/>
              <w:autoSpaceDN/>
              <w:adjustRightInd/>
              <w:jc w:val="center"/>
              <w:rPr>
                <w:rFonts w:ascii="宋体" w:hAnsi="宋体" w:cs="宋体"/>
                <w:b/>
                <w:kern w:val="2"/>
                <w:sz w:val="21"/>
                <w:szCs w:val="22"/>
                <w:highlight w:val="none"/>
              </w:rPr>
            </w:pPr>
            <w:r>
              <w:rPr>
                <w:rFonts w:hint="eastAsia" w:ascii="宋体" w:hAnsi="宋体" w:cs="宋体"/>
                <w:spacing w:val="-16"/>
                <w:kern w:val="2"/>
                <w:szCs w:val="22"/>
                <w:highlight w:val="none"/>
              </w:rPr>
              <w:t>/</w:t>
            </w:r>
          </w:p>
        </w:tc>
        <w:tc>
          <w:tcPr>
            <w:tcW w:w="3637" w:type="dxa"/>
            <w:tcBorders>
              <w:top w:val="single" w:color="auto" w:sz="4" w:space="0"/>
              <w:left w:val="single" w:color="auto" w:sz="4" w:space="0"/>
              <w:bottom w:val="single" w:color="auto" w:sz="4" w:space="0"/>
              <w:right w:val="single" w:color="auto" w:sz="4" w:space="0"/>
            </w:tcBorders>
            <w:vAlign w:val="center"/>
          </w:tcPr>
          <w:p w14:paraId="39954009">
            <w:pPr>
              <w:autoSpaceDE/>
              <w:autoSpaceDN/>
              <w:adjustRightInd/>
              <w:rPr>
                <w:rFonts w:ascii="宋体" w:hAnsi="宋体" w:cs="宋体"/>
                <w:b/>
                <w:kern w:val="2"/>
                <w:sz w:val="21"/>
                <w:szCs w:val="22"/>
                <w:highlight w:val="none"/>
              </w:rPr>
            </w:pPr>
            <w:r>
              <w:rPr>
                <w:rFonts w:hint="eastAsia" w:ascii="宋体" w:hAnsi="宋体" w:cs="宋体"/>
                <w:b/>
                <w:kern w:val="2"/>
                <w:sz w:val="21"/>
                <w:szCs w:val="22"/>
                <w:highlight w:val="none"/>
              </w:rPr>
              <w:t>按招标文件要求</w:t>
            </w:r>
          </w:p>
        </w:tc>
        <w:tc>
          <w:tcPr>
            <w:tcW w:w="1008" w:type="dxa"/>
            <w:tcBorders>
              <w:top w:val="single" w:color="auto" w:sz="4" w:space="0"/>
              <w:left w:val="single" w:color="auto" w:sz="4" w:space="0"/>
              <w:bottom w:val="single" w:color="auto" w:sz="4" w:space="0"/>
              <w:right w:val="single" w:color="auto" w:sz="4" w:space="0"/>
            </w:tcBorders>
            <w:vAlign w:val="center"/>
          </w:tcPr>
          <w:p w14:paraId="7B0A96DF">
            <w:pPr>
              <w:autoSpaceDE/>
              <w:autoSpaceDN/>
              <w:adjustRightInd/>
              <w:jc w:val="center"/>
              <w:rPr>
                <w:rFonts w:ascii="宋体" w:hAnsi="宋体" w:cs="宋体"/>
                <w:b/>
                <w:kern w:val="2"/>
                <w:sz w:val="21"/>
                <w:szCs w:val="22"/>
                <w:highlight w:val="none"/>
              </w:rPr>
            </w:pPr>
          </w:p>
        </w:tc>
      </w:tr>
      <w:tr w14:paraId="2A15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2E16A48F">
            <w:pPr>
              <w:autoSpaceDE/>
              <w:autoSpaceDN/>
              <w:adjustRightInd/>
              <w:jc w:val="center"/>
              <w:rPr>
                <w:rFonts w:ascii="宋体" w:hAnsi="宋体" w:cs="宋体"/>
                <w:b/>
                <w:kern w:val="2"/>
                <w:sz w:val="21"/>
                <w:szCs w:val="22"/>
                <w:highlight w:val="none"/>
              </w:rPr>
            </w:pPr>
            <w:r>
              <w:rPr>
                <w:rFonts w:hint="eastAsia" w:ascii="宋体" w:hAnsi="宋体" w:cs="宋体"/>
                <w:b/>
                <w:kern w:val="2"/>
                <w:sz w:val="21"/>
                <w:szCs w:val="22"/>
                <w:highlight w:val="none"/>
              </w:rPr>
              <w:t>5</w:t>
            </w:r>
          </w:p>
        </w:tc>
        <w:tc>
          <w:tcPr>
            <w:tcW w:w="2592" w:type="dxa"/>
            <w:tcBorders>
              <w:top w:val="single" w:color="auto" w:sz="4" w:space="0"/>
              <w:left w:val="single" w:color="auto" w:sz="4" w:space="0"/>
              <w:bottom w:val="single" w:color="auto" w:sz="4" w:space="0"/>
              <w:right w:val="single" w:color="auto" w:sz="4" w:space="0"/>
            </w:tcBorders>
            <w:vAlign w:val="center"/>
          </w:tcPr>
          <w:p w14:paraId="184140F9">
            <w:pPr>
              <w:autoSpaceDE/>
              <w:autoSpaceDN/>
              <w:adjustRightInd/>
              <w:jc w:val="center"/>
              <w:rPr>
                <w:rFonts w:ascii="宋体" w:hAnsi="宋体" w:cs="宋体"/>
                <w:b/>
                <w:kern w:val="2"/>
                <w:sz w:val="21"/>
                <w:szCs w:val="22"/>
                <w:highlight w:val="none"/>
              </w:rPr>
            </w:pPr>
            <w:r>
              <w:rPr>
                <w:rFonts w:hint="eastAsia" w:ascii="宋体" w:hAnsi="宋体" w:cs="宋体"/>
                <w:b/>
                <w:kern w:val="2"/>
                <w:sz w:val="21"/>
                <w:szCs w:val="22"/>
                <w:highlight w:val="none"/>
              </w:rPr>
              <w:t>投标总报价（监理报价）</w:t>
            </w:r>
          </w:p>
        </w:tc>
        <w:tc>
          <w:tcPr>
            <w:tcW w:w="1317" w:type="dxa"/>
            <w:tcBorders>
              <w:top w:val="single" w:color="auto" w:sz="4" w:space="0"/>
              <w:left w:val="single" w:color="auto" w:sz="4" w:space="0"/>
              <w:bottom w:val="single" w:color="auto" w:sz="4" w:space="0"/>
              <w:right w:val="single" w:color="auto" w:sz="4" w:space="0"/>
            </w:tcBorders>
            <w:vAlign w:val="center"/>
          </w:tcPr>
          <w:p w14:paraId="7EF21661">
            <w:pPr>
              <w:autoSpaceDE/>
              <w:autoSpaceDN/>
              <w:adjustRightInd/>
              <w:jc w:val="center"/>
              <w:rPr>
                <w:rFonts w:ascii="宋体" w:hAnsi="宋体" w:cs="宋体"/>
                <w:b/>
                <w:kern w:val="2"/>
                <w:sz w:val="21"/>
                <w:szCs w:val="22"/>
                <w:highlight w:val="none"/>
              </w:rPr>
            </w:pPr>
            <w:r>
              <w:rPr>
                <w:rFonts w:hint="eastAsia" w:ascii="宋体" w:hAnsi="宋体" w:cs="宋体"/>
                <w:spacing w:val="-16"/>
                <w:kern w:val="2"/>
                <w:szCs w:val="22"/>
                <w:highlight w:val="none"/>
              </w:rPr>
              <w:t>/</w:t>
            </w:r>
          </w:p>
        </w:tc>
        <w:tc>
          <w:tcPr>
            <w:tcW w:w="3637" w:type="dxa"/>
            <w:tcBorders>
              <w:top w:val="single" w:color="auto" w:sz="4" w:space="0"/>
              <w:left w:val="single" w:color="auto" w:sz="4" w:space="0"/>
              <w:bottom w:val="single" w:color="auto" w:sz="4" w:space="0"/>
              <w:right w:val="single" w:color="auto" w:sz="4" w:space="0"/>
            </w:tcBorders>
            <w:vAlign w:val="center"/>
          </w:tcPr>
          <w:p w14:paraId="71CB0BC5">
            <w:pPr>
              <w:autoSpaceDE/>
              <w:autoSpaceDN/>
              <w:adjustRightInd/>
              <w:rPr>
                <w:rFonts w:ascii="宋体" w:hAnsi="宋体" w:cs="宋体"/>
                <w:b/>
                <w:kern w:val="2"/>
                <w:sz w:val="21"/>
                <w:szCs w:val="22"/>
                <w:highlight w:val="none"/>
              </w:rPr>
            </w:pPr>
            <w:r>
              <w:rPr>
                <w:rFonts w:hint="eastAsia" w:ascii="宋体" w:hAnsi="宋体" w:cs="宋体"/>
                <w:b/>
                <w:kern w:val="2"/>
                <w:sz w:val="21"/>
                <w:szCs w:val="22"/>
                <w:highlight w:val="none"/>
              </w:rPr>
              <w:t>监理报价（元）：</w:t>
            </w:r>
          </w:p>
        </w:tc>
        <w:tc>
          <w:tcPr>
            <w:tcW w:w="1008" w:type="dxa"/>
            <w:tcBorders>
              <w:top w:val="single" w:color="auto" w:sz="4" w:space="0"/>
              <w:left w:val="single" w:color="auto" w:sz="4" w:space="0"/>
              <w:bottom w:val="single" w:color="auto" w:sz="4" w:space="0"/>
              <w:right w:val="single" w:color="auto" w:sz="4" w:space="0"/>
            </w:tcBorders>
            <w:vAlign w:val="center"/>
          </w:tcPr>
          <w:p w14:paraId="0429C5F8">
            <w:pPr>
              <w:autoSpaceDE/>
              <w:autoSpaceDN/>
              <w:adjustRightInd/>
              <w:jc w:val="center"/>
              <w:rPr>
                <w:rFonts w:ascii="宋体" w:hAnsi="宋体" w:cs="宋体"/>
                <w:b/>
                <w:kern w:val="2"/>
                <w:sz w:val="21"/>
                <w:szCs w:val="22"/>
                <w:highlight w:val="none"/>
              </w:rPr>
            </w:pPr>
          </w:p>
        </w:tc>
      </w:tr>
      <w:tr w14:paraId="0BE8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3299425A">
            <w:pPr>
              <w:autoSpaceDE/>
              <w:autoSpaceDN/>
              <w:adjustRightInd/>
              <w:jc w:val="center"/>
              <w:rPr>
                <w:rFonts w:ascii="宋体" w:hAnsi="宋体" w:cs="宋体"/>
                <w:b/>
                <w:kern w:val="2"/>
                <w:sz w:val="21"/>
                <w:szCs w:val="22"/>
                <w:highlight w:val="none"/>
              </w:rPr>
            </w:pPr>
            <w:r>
              <w:rPr>
                <w:rFonts w:hint="eastAsia" w:ascii="宋体" w:hAnsi="宋体" w:cs="宋体"/>
                <w:b/>
                <w:kern w:val="2"/>
                <w:sz w:val="21"/>
                <w:szCs w:val="22"/>
                <w:highlight w:val="none"/>
              </w:rPr>
              <w:t>6</w:t>
            </w:r>
          </w:p>
        </w:tc>
        <w:tc>
          <w:tcPr>
            <w:tcW w:w="2592" w:type="dxa"/>
            <w:tcBorders>
              <w:top w:val="single" w:color="auto" w:sz="4" w:space="0"/>
              <w:left w:val="single" w:color="auto" w:sz="4" w:space="0"/>
              <w:bottom w:val="single" w:color="auto" w:sz="4" w:space="0"/>
              <w:right w:val="single" w:color="auto" w:sz="4" w:space="0"/>
            </w:tcBorders>
            <w:vAlign w:val="center"/>
          </w:tcPr>
          <w:p w14:paraId="1735D776">
            <w:pPr>
              <w:autoSpaceDE/>
              <w:autoSpaceDN/>
              <w:adjustRightInd/>
              <w:jc w:val="center"/>
              <w:rPr>
                <w:rFonts w:ascii="宋体" w:hAnsi="宋体" w:cs="宋体"/>
                <w:b/>
                <w:kern w:val="2"/>
                <w:sz w:val="21"/>
                <w:szCs w:val="22"/>
                <w:highlight w:val="none"/>
              </w:rPr>
            </w:pPr>
            <w:r>
              <w:rPr>
                <w:rFonts w:hint="eastAsia" w:ascii="宋体" w:hAnsi="宋体" w:cs="宋体"/>
                <w:b/>
                <w:kern w:val="2"/>
                <w:sz w:val="21"/>
                <w:szCs w:val="22"/>
                <w:highlight w:val="none"/>
              </w:rPr>
              <w:t>投标下浮率</w:t>
            </w:r>
          </w:p>
        </w:tc>
        <w:tc>
          <w:tcPr>
            <w:tcW w:w="1317" w:type="dxa"/>
            <w:tcBorders>
              <w:top w:val="single" w:color="auto" w:sz="4" w:space="0"/>
              <w:left w:val="single" w:color="auto" w:sz="4" w:space="0"/>
              <w:bottom w:val="single" w:color="auto" w:sz="4" w:space="0"/>
              <w:right w:val="single" w:color="auto" w:sz="4" w:space="0"/>
            </w:tcBorders>
            <w:vAlign w:val="center"/>
          </w:tcPr>
          <w:p w14:paraId="4B899DA8">
            <w:pPr>
              <w:autoSpaceDE/>
              <w:autoSpaceDN/>
              <w:adjustRightInd/>
              <w:jc w:val="center"/>
              <w:rPr>
                <w:rFonts w:ascii="宋体" w:hAnsi="宋体" w:cs="宋体"/>
                <w:spacing w:val="-16"/>
                <w:kern w:val="2"/>
                <w:szCs w:val="22"/>
                <w:highlight w:val="none"/>
              </w:rPr>
            </w:pPr>
            <w:r>
              <w:rPr>
                <w:rFonts w:hint="eastAsia" w:ascii="宋体" w:hAnsi="宋体" w:cs="宋体"/>
                <w:spacing w:val="-16"/>
                <w:kern w:val="2"/>
                <w:szCs w:val="22"/>
                <w:highlight w:val="none"/>
              </w:rPr>
              <w:t>/</w:t>
            </w:r>
          </w:p>
        </w:tc>
        <w:tc>
          <w:tcPr>
            <w:tcW w:w="3637" w:type="dxa"/>
            <w:tcBorders>
              <w:top w:val="single" w:color="auto" w:sz="4" w:space="0"/>
              <w:left w:val="single" w:color="auto" w:sz="4" w:space="0"/>
              <w:bottom w:val="single" w:color="auto" w:sz="4" w:space="0"/>
              <w:right w:val="single" w:color="auto" w:sz="4" w:space="0"/>
            </w:tcBorders>
            <w:vAlign w:val="center"/>
          </w:tcPr>
          <w:p w14:paraId="6AAD4245">
            <w:pPr>
              <w:autoSpaceDE/>
              <w:autoSpaceDN/>
              <w:adjustRightInd/>
              <w:rPr>
                <w:rFonts w:ascii="宋体" w:hAnsi="宋体" w:cs="宋体"/>
                <w:b/>
                <w:kern w:val="2"/>
                <w:sz w:val="21"/>
                <w:szCs w:val="22"/>
                <w:highlight w:val="none"/>
              </w:rPr>
            </w:pPr>
            <w:r>
              <w:rPr>
                <w:rFonts w:hint="eastAsia" w:ascii="宋体" w:hAnsi="宋体" w:cs="宋体"/>
                <w:b/>
                <w:kern w:val="2"/>
                <w:sz w:val="21"/>
                <w:szCs w:val="22"/>
                <w:highlight w:val="none"/>
              </w:rPr>
              <w:t>投标下浮率：</w:t>
            </w:r>
            <w:r>
              <w:rPr>
                <w:rFonts w:hint="eastAsia" w:ascii="宋体" w:hAnsi="宋体" w:cs="宋体"/>
                <w:b/>
                <w:kern w:val="2"/>
                <w:sz w:val="21"/>
                <w:szCs w:val="22"/>
                <w:highlight w:val="none"/>
                <w:u w:val="single"/>
              </w:rPr>
              <w:t xml:space="preserve">     %</w:t>
            </w:r>
          </w:p>
        </w:tc>
        <w:tc>
          <w:tcPr>
            <w:tcW w:w="1008" w:type="dxa"/>
            <w:tcBorders>
              <w:top w:val="single" w:color="auto" w:sz="4" w:space="0"/>
              <w:left w:val="single" w:color="auto" w:sz="4" w:space="0"/>
              <w:bottom w:val="single" w:color="auto" w:sz="4" w:space="0"/>
              <w:right w:val="single" w:color="auto" w:sz="4" w:space="0"/>
            </w:tcBorders>
            <w:vAlign w:val="center"/>
          </w:tcPr>
          <w:p w14:paraId="51045859">
            <w:pPr>
              <w:autoSpaceDE/>
              <w:autoSpaceDN/>
              <w:adjustRightInd/>
              <w:jc w:val="center"/>
              <w:rPr>
                <w:rFonts w:ascii="宋体" w:hAnsi="宋体" w:cs="宋体"/>
                <w:b/>
                <w:kern w:val="2"/>
                <w:sz w:val="21"/>
                <w:szCs w:val="22"/>
                <w:highlight w:val="none"/>
              </w:rPr>
            </w:pPr>
          </w:p>
        </w:tc>
      </w:tr>
      <w:tr w14:paraId="6346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0639FFB3">
            <w:pPr>
              <w:autoSpaceDE/>
              <w:autoSpaceDN/>
              <w:adjustRightInd/>
              <w:jc w:val="center"/>
              <w:rPr>
                <w:rFonts w:ascii="宋体" w:hAnsi="宋体" w:cs="宋体"/>
                <w:b/>
                <w:kern w:val="2"/>
                <w:sz w:val="21"/>
                <w:szCs w:val="22"/>
                <w:highlight w:val="none"/>
              </w:rPr>
            </w:pPr>
            <w:r>
              <w:rPr>
                <w:rFonts w:hint="eastAsia" w:ascii="宋体" w:hAnsi="宋体" w:cs="宋体"/>
                <w:b/>
                <w:kern w:val="2"/>
                <w:sz w:val="21"/>
                <w:szCs w:val="22"/>
                <w:highlight w:val="none"/>
              </w:rPr>
              <w:t>7</w:t>
            </w:r>
          </w:p>
        </w:tc>
        <w:tc>
          <w:tcPr>
            <w:tcW w:w="2592" w:type="dxa"/>
            <w:tcBorders>
              <w:top w:val="single" w:color="auto" w:sz="4" w:space="0"/>
              <w:left w:val="single" w:color="auto" w:sz="4" w:space="0"/>
              <w:bottom w:val="single" w:color="auto" w:sz="4" w:space="0"/>
              <w:right w:val="single" w:color="auto" w:sz="4" w:space="0"/>
            </w:tcBorders>
            <w:vAlign w:val="center"/>
          </w:tcPr>
          <w:p w14:paraId="39DF2201">
            <w:pPr>
              <w:autoSpaceDE/>
              <w:autoSpaceDN/>
              <w:adjustRightInd/>
              <w:jc w:val="center"/>
              <w:rPr>
                <w:rFonts w:ascii="宋体" w:hAnsi="宋体" w:cs="宋体"/>
                <w:b/>
                <w:kern w:val="2"/>
                <w:sz w:val="21"/>
                <w:szCs w:val="22"/>
                <w:highlight w:val="none"/>
              </w:rPr>
            </w:pPr>
            <w:r>
              <w:rPr>
                <w:rFonts w:hint="eastAsia" w:ascii="宋体" w:hAnsi="宋体" w:cs="宋体"/>
                <w:b/>
                <w:kern w:val="2"/>
                <w:sz w:val="21"/>
                <w:szCs w:val="22"/>
                <w:highlight w:val="none"/>
              </w:rPr>
              <w:t>投标有效期</w:t>
            </w:r>
          </w:p>
        </w:tc>
        <w:tc>
          <w:tcPr>
            <w:tcW w:w="1317" w:type="dxa"/>
            <w:tcBorders>
              <w:top w:val="single" w:color="auto" w:sz="4" w:space="0"/>
              <w:left w:val="single" w:color="auto" w:sz="4" w:space="0"/>
              <w:bottom w:val="single" w:color="auto" w:sz="4" w:space="0"/>
              <w:right w:val="single" w:color="auto" w:sz="4" w:space="0"/>
            </w:tcBorders>
            <w:vAlign w:val="center"/>
          </w:tcPr>
          <w:p w14:paraId="48A4CC24">
            <w:pPr>
              <w:autoSpaceDE/>
              <w:autoSpaceDN/>
              <w:adjustRightInd/>
              <w:jc w:val="center"/>
              <w:rPr>
                <w:rFonts w:ascii="宋体" w:hAnsi="宋体" w:cs="宋体"/>
                <w:spacing w:val="-16"/>
                <w:kern w:val="2"/>
                <w:szCs w:val="22"/>
                <w:highlight w:val="none"/>
              </w:rPr>
            </w:pPr>
            <w:r>
              <w:rPr>
                <w:rFonts w:hint="eastAsia" w:ascii="宋体" w:hAnsi="宋体" w:cs="宋体"/>
                <w:spacing w:val="-16"/>
                <w:kern w:val="2"/>
                <w:szCs w:val="22"/>
                <w:highlight w:val="none"/>
              </w:rPr>
              <w:t>/</w:t>
            </w:r>
          </w:p>
        </w:tc>
        <w:tc>
          <w:tcPr>
            <w:tcW w:w="3637" w:type="dxa"/>
            <w:tcBorders>
              <w:top w:val="single" w:color="auto" w:sz="4" w:space="0"/>
              <w:left w:val="single" w:color="auto" w:sz="4" w:space="0"/>
              <w:bottom w:val="single" w:color="auto" w:sz="4" w:space="0"/>
              <w:right w:val="single" w:color="auto" w:sz="4" w:space="0"/>
            </w:tcBorders>
            <w:vAlign w:val="center"/>
          </w:tcPr>
          <w:p w14:paraId="7A016EC6">
            <w:pPr>
              <w:autoSpaceDE/>
              <w:autoSpaceDN/>
              <w:adjustRightInd/>
              <w:rPr>
                <w:rFonts w:ascii="宋体" w:hAnsi="宋体" w:cs="宋体"/>
                <w:b/>
                <w:kern w:val="2"/>
                <w:sz w:val="21"/>
                <w:szCs w:val="22"/>
                <w:highlight w:val="none"/>
              </w:rPr>
            </w:pPr>
            <w:r>
              <w:rPr>
                <w:rFonts w:hint="eastAsia" w:ascii="宋体" w:hAnsi="宋体" w:cs="宋体"/>
                <w:b/>
                <w:kern w:val="2"/>
                <w:sz w:val="21"/>
                <w:szCs w:val="22"/>
                <w:highlight w:val="none"/>
              </w:rPr>
              <w:t>按招标文件要求</w:t>
            </w:r>
          </w:p>
        </w:tc>
        <w:tc>
          <w:tcPr>
            <w:tcW w:w="1008" w:type="dxa"/>
            <w:tcBorders>
              <w:top w:val="single" w:color="auto" w:sz="4" w:space="0"/>
              <w:left w:val="single" w:color="auto" w:sz="4" w:space="0"/>
              <w:bottom w:val="single" w:color="auto" w:sz="4" w:space="0"/>
              <w:right w:val="single" w:color="auto" w:sz="4" w:space="0"/>
            </w:tcBorders>
            <w:vAlign w:val="center"/>
          </w:tcPr>
          <w:p w14:paraId="3FCB42AF">
            <w:pPr>
              <w:autoSpaceDE/>
              <w:autoSpaceDN/>
              <w:adjustRightInd/>
              <w:jc w:val="center"/>
              <w:rPr>
                <w:rFonts w:ascii="宋体" w:hAnsi="宋体" w:cs="宋体"/>
                <w:b/>
                <w:kern w:val="2"/>
                <w:sz w:val="21"/>
                <w:szCs w:val="22"/>
                <w:highlight w:val="none"/>
              </w:rPr>
            </w:pPr>
          </w:p>
        </w:tc>
      </w:tr>
    </w:tbl>
    <w:p w14:paraId="6EB28BE3">
      <w:pPr>
        <w:pStyle w:val="12"/>
        <w:kinsoku w:val="0"/>
        <w:overflowPunct w:val="0"/>
        <w:spacing w:before="11"/>
        <w:ind w:left="0"/>
        <w:rPr>
          <w:sz w:val="22"/>
          <w:highlight w:val="none"/>
        </w:rPr>
      </w:pPr>
    </w:p>
    <w:p w14:paraId="15539E4E">
      <w:pPr>
        <w:autoSpaceDE/>
        <w:autoSpaceDN/>
        <w:adjustRightInd/>
        <w:spacing w:line="440" w:lineRule="exact"/>
        <w:ind w:firstLine="420" w:firstLineChars="200"/>
        <w:rPr>
          <w:rFonts w:ascii="宋体" w:hAnsi="宋体" w:cs="宋体"/>
          <w:kern w:val="2"/>
          <w:highlight w:val="none"/>
        </w:rPr>
      </w:pPr>
      <w:r>
        <w:rPr>
          <w:rFonts w:hint="eastAsia" w:ascii="宋体" w:hAnsi="宋体" w:cs="宋体"/>
          <w:kern w:val="2"/>
          <w:sz w:val="21"/>
          <w:szCs w:val="21"/>
          <w:highlight w:val="none"/>
          <w:lang w:bidi="ar"/>
        </w:rPr>
        <w:t>注：1.投标人根据企业自身情况进行报价，</w:t>
      </w:r>
      <w:r>
        <w:rPr>
          <w:rFonts w:hint="eastAsia" w:ascii="宋体" w:hAnsi="宋体" w:cs="宋体"/>
          <w:bCs/>
          <w:kern w:val="2"/>
          <w:sz w:val="21"/>
          <w:szCs w:val="21"/>
          <w:highlight w:val="none"/>
          <w:lang w:bidi="ar"/>
        </w:rPr>
        <w:t>投标报价不得超过最高投标限价。</w:t>
      </w:r>
      <w:r>
        <w:rPr>
          <w:rFonts w:hint="eastAsia" w:ascii="宋体" w:hAnsi="宋体" w:cs="宋体"/>
          <w:kern w:val="2"/>
          <w:sz w:val="21"/>
          <w:szCs w:val="21"/>
          <w:highlight w:val="none"/>
          <w:lang w:bidi="ar"/>
        </w:rPr>
        <w:t>小数点后保留两位小数，第三位小数四舍五入。</w:t>
      </w:r>
    </w:p>
    <w:p w14:paraId="1EB0BAB0">
      <w:pPr>
        <w:pStyle w:val="12"/>
        <w:kinsoku w:val="0"/>
        <w:overflowPunct w:val="0"/>
        <w:ind w:left="0"/>
        <w:rPr>
          <w:sz w:val="20"/>
          <w:highlight w:val="none"/>
        </w:rPr>
      </w:pPr>
    </w:p>
    <w:p w14:paraId="023CF840">
      <w:pPr>
        <w:pStyle w:val="12"/>
        <w:kinsoku w:val="0"/>
        <w:overflowPunct w:val="0"/>
        <w:ind w:left="0"/>
        <w:rPr>
          <w:sz w:val="20"/>
          <w:highlight w:val="none"/>
        </w:rPr>
      </w:pPr>
    </w:p>
    <w:p w14:paraId="47631F5B">
      <w:pPr>
        <w:pStyle w:val="12"/>
        <w:kinsoku w:val="0"/>
        <w:overflowPunct w:val="0"/>
        <w:ind w:left="0"/>
        <w:rPr>
          <w:sz w:val="20"/>
          <w:highlight w:val="none"/>
        </w:rPr>
      </w:pPr>
    </w:p>
    <w:p w14:paraId="709700F7">
      <w:pPr>
        <w:autoSpaceDE/>
        <w:autoSpaceDN/>
        <w:adjustRightInd/>
        <w:spacing w:line="440" w:lineRule="exact"/>
        <w:ind w:firstLine="2520" w:firstLineChars="1200"/>
        <w:rPr>
          <w:rFonts w:ascii="宋体" w:hAnsi="宋体" w:cs="宋体"/>
          <w:kern w:val="2"/>
          <w:sz w:val="21"/>
          <w:szCs w:val="21"/>
          <w:highlight w:val="none"/>
        </w:rPr>
      </w:pPr>
      <w:r>
        <w:rPr>
          <w:rFonts w:hint="eastAsia" w:ascii="宋体" w:hAnsi="宋体" w:cs="宋体"/>
          <w:kern w:val="2"/>
          <w:sz w:val="21"/>
          <w:szCs w:val="21"/>
          <w:highlight w:val="none"/>
        </w:rPr>
        <w:t>投 标 人：</w:t>
      </w:r>
      <w:r>
        <w:rPr>
          <w:rFonts w:hint="eastAsia" w:ascii="宋体" w:hAnsi="宋体" w:cs="宋体"/>
          <w:kern w:val="2"/>
          <w:sz w:val="21"/>
          <w:szCs w:val="21"/>
          <w:highlight w:val="none"/>
          <w:u w:val="single"/>
        </w:rPr>
        <w:t xml:space="preserve">                                  </w:t>
      </w:r>
      <w:r>
        <w:rPr>
          <w:rFonts w:hint="eastAsia" w:ascii="宋体" w:hAnsi="宋体" w:cs="宋体"/>
          <w:kern w:val="2"/>
          <w:sz w:val="21"/>
          <w:szCs w:val="21"/>
          <w:highlight w:val="none"/>
        </w:rPr>
        <w:t>（盖单位章）</w:t>
      </w:r>
    </w:p>
    <w:p w14:paraId="57ED4E69">
      <w:pPr>
        <w:autoSpaceDE/>
        <w:autoSpaceDN/>
        <w:adjustRightInd/>
        <w:spacing w:line="440" w:lineRule="exact"/>
        <w:ind w:firstLine="2520" w:firstLineChars="1200"/>
        <w:rPr>
          <w:rFonts w:ascii="宋体" w:hAnsi="宋体" w:cs="宋体"/>
          <w:kern w:val="2"/>
          <w:sz w:val="21"/>
          <w:szCs w:val="21"/>
          <w:highlight w:val="none"/>
        </w:rPr>
      </w:pPr>
      <w:r>
        <w:rPr>
          <w:rFonts w:hint="eastAsia" w:ascii="宋体" w:hAnsi="宋体" w:cs="宋体"/>
          <w:kern w:val="2"/>
          <w:sz w:val="21"/>
          <w:szCs w:val="22"/>
          <w:highlight w:val="none"/>
        </w:rPr>
        <w:t>法定代表人</w:t>
      </w:r>
      <w:r>
        <w:rPr>
          <w:rFonts w:hint="eastAsia" w:ascii="宋体" w:hAnsi="宋体" w:cs="宋体"/>
          <w:kern w:val="2"/>
          <w:sz w:val="21"/>
          <w:szCs w:val="21"/>
          <w:highlight w:val="none"/>
        </w:rPr>
        <w:t>或其委托代理人：</w:t>
      </w:r>
      <w:r>
        <w:rPr>
          <w:rFonts w:hint="eastAsia" w:ascii="宋体" w:hAnsi="宋体" w:cs="宋体"/>
          <w:kern w:val="2"/>
          <w:sz w:val="21"/>
          <w:szCs w:val="21"/>
          <w:highlight w:val="none"/>
          <w:u w:val="single"/>
        </w:rPr>
        <w:t xml:space="preserve">                   </w:t>
      </w:r>
      <w:r>
        <w:rPr>
          <w:rFonts w:hint="eastAsia" w:ascii="宋体" w:hAnsi="宋体" w:cs="宋体"/>
          <w:kern w:val="2"/>
          <w:sz w:val="21"/>
          <w:szCs w:val="21"/>
          <w:highlight w:val="none"/>
        </w:rPr>
        <w:t>（签字）</w:t>
      </w:r>
    </w:p>
    <w:p w14:paraId="30F008A8">
      <w:pPr>
        <w:autoSpaceDE/>
        <w:autoSpaceDN/>
        <w:adjustRightInd/>
        <w:spacing w:line="440" w:lineRule="exact"/>
        <w:ind w:firstLine="4725" w:firstLineChars="2250"/>
        <w:jc w:val="right"/>
        <w:rPr>
          <w:rFonts w:ascii="宋体" w:hAnsi="宋体" w:cs="宋体"/>
          <w:kern w:val="2"/>
          <w:sz w:val="21"/>
          <w:szCs w:val="21"/>
          <w:highlight w:val="none"/>
        </w:rPr>
      </w:pPr>
      <w:r>
        <w:rPr>
          <w:rFonts w:hint="eastAsia" w:ascii="宋体" w:hAnsi="宋体" w:cs="宋体"/>
          <w:kern w:val="2"/>
          <w:sz w:val="21"/>
          <w:szCs w:val="22"/>
          <w:highlight w:val="none"/>
          <w:u w:val="single"/>
        </w:rPr>
        <w:t xml:space="preserve">      </w:t>
      </w:r>
      <w:r>
        <w:rPr>
          <w:rFonts w:hint="eastAsia" w:ascii="宋体" w:hAnsi="宋体" w:cs="宋体"/>
          <w:kern w:val="2"/>
          <w:sz w:val="21"/>
          <w:szCs w:val="21"/>
          <w:highlight w:val="none"/>
        </w:rPr>
        <w:t>年</w:t>
      </w:r>
      <w:r>
        <w:rPr>
          <w:rFonts w:hint="eastAsia" w:ascii="宋体" w:hAnsi="宋体" w:cs="宋体"/>
          <w:kern w:val="2"/>
          <w:sz w:val="21"/>
          <w:szCs w:val="22"/>
          <w:highlight w:val="none"/>
          <w:u w:val="single"/>
        </w:rPr>
        <w:t xml:space="preserve">      </w:t>
      </w:r>
      <w:r>
        <w:rPr>
          <w:rFonts w:hint="eastAsia" w:ascii="宋体" w:hAnsi="宋体" w:cs="宋体"/>
          <w:kern w:val="2"/>
          <w:sz w:val="21"/>
          <w:szCs w:val="21"/>
          <w:highlight w:val="none"/>
        </w:rPr>
        <w:t>月</w:t>
      </w:r>
      <w:r>
        <w:rPr>
          <w:rFonts w:hint="eastAsia" w:ascii="宋体" w:hAnsi="宋体" w:cs="宋体"/>
          <w:kern w:val="2"/>
          <w:sz w:val="21"/>
          <w:szCs w:val="22"/>
          <w:highlight w:val="none"/>
          <w:u w:val="single"/>
        </w:rPr>
        <w:t xml:space="preserve">      </w:t>
      </w:r>
      <w:r>
        <w:rPr>
          <w:rFonts w:hint="eastAsia" w:ascii="宋体" w:hAnsi="宋体" w:cs="宋体"/>
          <w:kern w:val="2"/>
          <w:sz w:val="21"/>
          <w:szCs w:val="21"/>
          <w:highlight w:val="none"/>
        </w:rPr>
        <w:t>日</w:t>
      </w:r>
    </w:p>
    <w:p w14:paraId="7C1930A0">
      <w:pPr>
        <w:pStyle w:val="12"/>
        <w:kinsoku w:val="0"/>
        <w:overflowPunct w:val="0"/>
        <w:ind w:left="0"/>
        <w:rPr>
          <w:sz w:val="19"/>
          <w:highlight w:val="none"/>
        </w:rPr>
      </w:pPr>
    </w:p>
    <w:p w14:paraId="2498EE83">
      <w:pPr>
        <w:pStyle w:val="12"/>
        <w:kinsoku w:val="0"/>
        <w:overflowPunct w:val="0"/>
        <w:spacing w:before="10"/>
        <w:ind w:left="0"/>
        <w:rPr>
          <w:sz w:val="24"/>
          <w:highlight w:val="none"/>
        </w:rPr>
      </w:pPr>
    </w:p>
    <w:p w14:paraId="29B7CE8C">
      <w:pPr>
        <w:pStyle w:val="12"/>
        <w:tabs>
          <w:tab w:val="left" w:pos="631"/>
          <w:tab w:val="left" w:pos="1471"/>
          <w:tab w:val="left" w:pos="2311"/>
        </w:tabs>
        <w:kinsoku w:val="0"/>
        <w:overflowPunct w:val="0"/>
        <w:spacing w:before="36"/>
        <w:ind w:left="0" w:right="177"/>
        <w:jc w:val="right"/>
        <w:rPr>
          <w:highlight w:val="none"/>
        </w:rPr>
      </w:pPr>
      <w:r>
        <w:rPr>
          <w:rFonts w:hint="eastAsia" w:ascii="Times New Roman" w:hAnsi="Times New Roman" w:eastAsia="Times New Roman"/>
          <w:sz w:val="24"/>
          <w:highlight w:val="none"/>
          <w:u w:val="single"/>
        </w:rPr>
        <w:t xml:space="preserve"> </w:t>
      </w:r>
    </w:p>
    <w:p w14:paraId="7E4A155D">
      <w:pPr>
        <w:pStyle w:val="12"/>
        <w:tabs>
          <w:tab w:val="left" w:pos="631"/>
          <w:tab w:val="left" w:pos="1471"/>
          <w:tab w:val="left" w:pos="2311"/>
        </w:tabs>
        <w:kinsoku w:val="0"/>
        <w:overflowPunct w:val="0"/>
        <w:spacing w:before="36"/>
        <w:ind w:left="0" w:right="177"/>
        <w:jc w:val="right"/>
        <w:rPr>
          <w:highlight w:val="none"/>
        </w:rPr>
        <w:sectPr>
          <w:pgSz w:w="11905" w:h="16838"/>
          <w:pgMar w:top="1417" w:right="1417" w:bottom="1417" w:left="1417" w:header="992" w:footer="992" w:gutter="0"/>
          <w:cols w:space="720" w:num="1"/>
        </w:sectPr>
      </w:pPr>
    </w:p>
    <w:p w14:paraId="2818909E">
      <w:pPr>
        <w:pStyle w:val="6"/>
        <w:spacing w:before="120" w:after="120"/>
        <w:jc w:val="center"/>
        <w:rPr>
          <w:sz w:val="28"/>
          <w:highlight w:val="none"/>
        </w:rPr>
      </w:pPr>
      <w:bookmarkStart w:id="218" w:name="bookmark179"/>
      <w:bookmarkEnd w:id="218"/>
      <w:bookmarkStart w:id="219" w:name="_Toc18723"/>
      <w:r>
        <w:rPr>
          <w:sz w:val="28"/>
          <w:highlight w:val="none"/>
        </w:rPr>
        <w:t>二、法定代表人身份证明</w:t>
      </w:r>
      <w:bookmarkEnd w:id="219"/>
    </w:p>
    <w:p w14:paraId="59E72BBA">
      <w:pPr>
        <w:pStyle w:val="12"/>
        <w:kinsoku w:val="0"/>
        <w:overflowPunct w:val="0"/>
        <w:ind w:left="0"/>
        <w:rPr>
          <w:rFonts w:ascii="Microsoft JhengHei" w:hAnsi="Microsoft JhengHei" w:eastAsia="Microsoft JhengHei"/>
          <w:b/>
          <w:sz w:val="32"/>
          <w:highlight w:val="none"/>
        </w:rPr>
      </w:pPr>
    </w:p>
    <w:p w14:paraId="655A240D">
      <w:pPr>
        <w:pStyle w:val="12"/>
        <w:kinsoku w:val="0"/>
        <w:overflowPunct w:val="0"/>
        <w:ind w:left="0"/>
        <w:rPr>
          <w:rFonts w:ascii="Microsoft JhengHei" w:hAnsi="Microsoft JhengHei" w:eastAsia="Microsoft JhengHei"/>
          <w:b/>
          <w:sz w:val="32"/>
          <w:highlight w:val="none"/>
        </w:rPr>
      </w:pPr>
    </w:p>
    <w:p w14:paraId="1F9142CB">
      <w:pPr>
        <w:pStyle w:val="12"/>
        <w:kinsoku w:val="0"/>
        <w:overflowPunct w:val="0"/>
        <w:spacing w:before="8"/>
        <w:ind w:left="0"/>
        <w:rPr>
          <w:rFonts w:ascii="Microsoft JhengHei" w:hAnsi="Microsoft JhengHei" w:eastAsia="Microsoft JhengHei"/>
          <w:b/>
          <w:sz w:val="25"/>
          <w:highlight w:val="none"/>
        </w:rPr>
      </w:pPr>
    </w:p>
    <w:p w14:paraId="304D47A7">
      <w:pPr>
        <w:pStyle w:val="12"/>
        <w:tabs>
          <w:tab w:val="left" w:pos="3928"/>
        </w:tabs>
        <w:kinsoku w:val="0"/>
        <w:overflowPunct w:val="0"/>
        <w:ind w:left="100"/>
        <w:rPr>
          <w:rFonts w:ascii="Times New Roman" w:hAnsi="Times New Roman" w:eastAsia="Times New Roman"/>
          <w:sz w:val="24"/>
          <w:highlight w:val="none"/>
        </w:rPr>
      </w:pPr>
      <w:r>
        <w:rPr>
          <w:sz w:val="24"/>
          <w:highlight w:val="none"/>
        </w:rPr>
        <w:t>投标人名称：</w:t>
      </w:r>
      <w:r>
        <w:rPr>
          <w:rFonts w:hint="eastAsia" w:ascii="Times New Roman" w:hAnsi="Times New Roman" w:eastAsia="Times New Roman"/>
          <w:sz w:val="24"/>
          <w:highlight w:val="none"/>
          <w:u w:val="single"/>
        </w:rPr>
        <w:t xml:space="preserve"> </w:t>
      </w:r>
      <w:r>
        <w:rPr>
          <w:rFonts w:hint="eastAsia" w:ascii="Times New Roman" w:hAnsi="Times New Roman" w:eastAsia="Times New Roman"/>
          <w:sz w:val="24"/>
          <w:highlight w:val="none"/>
          <w:u w:val="single"/>
        </w:rPr>
        <w:tab/>
      </w:r>
    </w:p>
    <w:p w14:paraId="5BF86F2D">
      <w:pPr>
        <w:pStyle w:val="12"/>
        <w:kinsoku w:val="0"/>
        <w:overflowPunct w:val="0"/>
        <w:spacing w:before="2"/>
        <w:ind w:left="0"/>
        <w:rPr>
          <w:rFonts w:ascii="Times New Roman" w:hAnsi="Times New Roman" w:eastAsia="Times New Roman"/>
          <w:sz w:val="24"/>
          <w:highlight w:val="none"/>
        </w:rPr>
      </w:pPr>
    </w:p>
    <w:p w14:paraId="31916302">
      <w:pPr>
        <w:pStyle w:val="12"/>
        <w:tabs>
          <w:tab w:val="left" w:pos="2412"/>
          <w:tab w:val="left" w:pos="3883"/>
          <w:tab w:val="left" w:pos="5352"/>
          <w:tab w:val="left" w:pos="6869"/>
        </w:tabs>
        <w:kinsoku w:val="0"/>
        <w:overflowPunct w:val="0"/>
        <w:spacing w:before="36"/>
        <w:ind w:left="100"/>
        <w:rPr>
          <w:rFonts w:ascii="Times New Roman" w:hAnsi="Times New Roman" w:eastAsia="Times New Roman"/>
          <w:sz w:val="24"/>
          <w:highlight w:val="none"/>
        </w:rPr>
      </w:pPr>
      <w:r>
        <w:rPr>
          <w:spacing w:val="-1"/>
          <w:sz w:val="24"/>
          <w:highlight w:val="none"/>
        </w:rPr>
        <w:t>姓名：</w:t>
      </w:r>
      <w:r>
        <w:rPr>
          <w:rFonts w:hint="eastAsia" w:ascii="Times New Roman" w:hAnsi="Times New Roman" w:eastAsia="Times New Roman"/>
          <w:spacing w:val="-1"/>
          <w:sz w:val="24"/>
          <w:highlight w:val="none"/>
          <w:u w:val="single"/>
        </w:rPr>
        <w:tab/>
      </w:r>
      <w:r>
        <w:rPr>
          <w:spacing w:val="-1"/>
          <w:sz w:val="24"/>
          <w:highlight w:val="none"/>
        </w:rPr>
        <w:t>性别：</w:t>
      </w:r>
      <w:r>
        <w:rPr>
          <w:rFonts w:hint="eastAsia" w:ascii="Times New Roman" w:hAnsi="Times New Roman" w:eastAsia="Times New Roman"/>
          <w:spacing w:val="-1"/>
          <w:sz w:val="24"/>
          <w:highlight w:val="none"/>
          <w:u w:val="single"/>
        </w:rPr>
        <w:tab/>
      </w:r>
      <w:r>
        <w:rPr>
          <w:spacing w:val="-2"/>
          <w:sz w:val="24"/>
          <w:highlight w:val="none"/>
        </w:rPr>
        <w:t>年龄：</w:t>
      </w:r>
      <w:r>
        <w:rPr>
          <w:rFonts w:hint="eastAsia" w:ascii="Times New Roman" w:hAnsi="Times New Roman" w:eastAsia="Times New Roman"/>
          <w:spacing w:val="-2"/>
          <w:sz w:val="24"/>
          <w:highlight w:val="none"/>
          <w:u w:val="single"/>
        </w:rPr>
        <w:tab/>
      </w:r>
      <w:r>
        <w:rPr>
          <w:spacing w:val="-2"/>
          <w:sz w:val="24"/>
          <w:highlight w:val="none"/>
        </w:rPr>
        <w:t>职务：</w:t>
      </w:r>
      <w:r>
        <w:rPr>
          <w:rFonts w:hint="eastAsia" w:ascii="Times New Roman" w:hAnsi="Times New Roman" w:eastAsia="Times New Roman"/>
          <w:sz w:val="24"/>
          <w:highlight w:val="none"/>
          <w:u w:val="single"/>
        </w:rPr>
        <w:t xml:space="preserve"> </w:t>
      </w:r>
      <w:r>
        <w:rPr>
          <w:rFonts w:hint="eastAsia" w:ascii="Times New Roman" w:hAnsi="Times New Roman" w:eastAsia="Times New Roman"/>
          <w:sz w:val="24"/>
          <w:highlight w:val="none"/>
          <w:u w:val="single"/>
        </w:rPr>
        <w:tab/>
      </w:r>
    </w:p>
    <w:p w14:paraId="6A5FC787">
      <w:pPr>
        <w:pStyle w:val="12"/>
        <w:kinsoku w:val="0"/>
        <w:overflowPunct w:val="0"/>
        <w:spacing w:before="5"/>
        <w:ind w:left="0"/>
        <w:rPr>
          <w:rFonts w:ascii="Times New Roman" w:hAnsi="Times New Roman" w:eastAsia="Times New Roman"/>
          <w:sz w:val="24"/>
          <w:highlight w:val="none"/>
        </w:rPr>
      </w:pPr>
    </w:p>
    <w:p w14:paraId="06FFC4F0">
      <w:pPr>
        <w:pStyle w:val="12"/>
        <w:tabs>
          <w:tab w:val="left" w:pos="2832"/>
        </w:tabs>
        <w:kinsoku w:val="0"/>
        <w:overflowPunct w:val="0"/>
        <w:spacing w:before="36"/>
        <w:ind w:left="100"/>
        <w:rPr>
          <w:spacing w:val="-2"/>
          <w:sz w:val="24"/>
          <w:highlight w:val="none"/>
        </w:rPr>
      </w:pPr>
      <w:r>
        <w:rPr>
          <w:spacing w:val="-1"/>
          <w:sz w:val="24"/>
          <w:highlight w:val="none"/>
        </w:rPr>
        <w:t>系</w:t>
      </w:r>
      <w:r>
        <w:rPr>
          <w:rFonts w:hint="eastAsia" w:ascii="Times New Roman" w:hAnsi="Times New Roman" w:eastAsia="Times New Roman"/>
          <w:spacing w:val="-1"/>
          <w:sz w:val="24"/>
          <w:highlight w:val="none"/>
          <w:u w:val="single"/>
        </w:rPr>
        <w:tab/>
      </w:r>
      <w:r>
        <w:rPr>
          <w:spacing w:val="-2"/>
          <w:sz w:val="24"/>
          <w:highlight w:val="none"/>
        </w:rPr>
        <w:t>（投标人名称）的法定代表人。</w:t>
      </w:r>
    </w:p>
    <w:p w14:paraId="38F0EF87">
      <w:pPr>
        <w:pStyle w:val="12"/>
        <w:kinsoku w:val="0"/>
        <w:overflowPunct w:val="0"/>
        <w:spacing w:before="10"/>
        <w:ind w:left="0"/>
        <w:rPr>
          <w:sz w:val="24"/>
          <w:highlight w:val="none"/>
        </w:rPr>
      </w:pPr>
    </w:p>
    <w:p w14:paraId="401B2998">
      <w:pPr>
        <w:pStyle w:val="12"/>
        <w:kinsoku w:val="0"/>
        <w:overflowPunct w:val="0"/>
        <w:spacing w:before="36"/>
        <w:ind w:left="100" w:firstLine="419"/>
        <w:rPr>
          <w:sz w:val="24"/>
          <w:highlight w:val="none"/>
        </w:rPr>
      </w:pPr>
      <w:r>
        <w:rPr>
          <w:sz w:val="24"/>
          <w:highlight w:val="none"/>
        </w:rPr>
        <w:t>特此证明。</w:t>
      </w:r>
    </w:p>
    <w:p w14:paraId="314EC47D">
      <w:pPr>
        <w:pStyle w:val="12"/>
        <w:kinsoku w:val="0"/>
        <w:overflowPunct w:val="0"/>
        <w:ind w:left="0"/>
        <w:rPr>
          <w:sz w:val="24"/>
          <w:highlight w:val="none"/>
        </w:rPr>
      </w:pPr>
    </w:p>
    <w:p w14:paraId="5C176B55">
      <w:pPr>
        <w:pStyle w:val="12"/>
        <w:kinsoku w:val="0"/>
        <w:overflowPunct w:val="0"/>
        <w:spacing w:before="4"/>
        <w:ind w:left="0"/>
        <w:rPr>
          <w:sz w:val="24"/>
          <w:highlight w:val="none"/>
        </w:rPr>
      </w:pPr>
    </w:p>
    <w:p w14:paraId="76054EF9">
      <w:pPr>
        <w:pStyle w:val="12"/>
        <w:kinsoku w:val="0"/>
        <w:overflowPunct w:val="0"/>
        <w:ind w:left="100"/>
        <w:rPr>
          <w:sz w:val="24"/>
          <w:highlight w:val="none"/>
        </w:rPr>
      </w:pPr>
      <w:r>
        <w:rPr>
          <w:sz w:val="24"/>
          <w:highlight w:val="none"/>
        </w:rPr>
        <w:t>附：法定代表人身份证正反面扫描件。</w:t>
      </w:r>
    </w:p>
    <w:p w14:paraId="358FEEE9">
      <w:pPr>
        <w:pStyle w:val="12"/>
        <w:kinsoku w:val="0"/>
        <w:overflowPunct w:val="0"/>
        <w:ind w:left="0"/>
        <w:rPr>
          <w:sz w:val="24"/>
          <w:highlight w:val="none"/>
        </w:rPr>
      </w:pPr>
    </w:p>
    <w:p w14:paraId="7D5133A9">
      <w:pPr>
        <w:pStyle w:val="12"/>
        <w:kinsoku w:val="0"/>
        <w:overflowPunct w:val="0"/>
        <w:spacing w:before="2"/>
        <w:ind w:left="0"/>
        <w:rPr>
          <w:sz w:val="24"/>
          <w:highlight w:val="none"/>
        </w:rPr>
      </w:pPr>
    </w:p>
    <w:p w14:paraId="02B97D1A">
      <w:pPr>
        <w:pStyle w:val="12"/>
        <w:kinsoku w:val="0"/>
        <w:overflowPunct w:val="0"/>
        <w:ind w:left="0"/>
        <w:rPr>
          <w:sz w:val="24"/>
          <w:highlight w:val="none"/>
        </w:rPr>
      </w:pPr>
    </w:p>
    <w:p w14:paraId="71227E70">
      <w:pPr>
        <w:pStyle w:val="12"/>
        <w:kinsoku w:val="0"/>
        <w:overflowPunct w:val="0"/>
        <w:ind w:left="0"/>
        <w:rPr>
          <w:sz w:val="24"/>
          <w:highlight w:val="none"/>
        </w:rPr>
      </w:pPr>
    </w:p>
    <w:p w14:paraId="59CF5DDF">
      <w:pPr>
        <w:pStyle w:val="12"/>
        <w:kinsoku w:val="0"/>
        <w:overflowPunct w:val="0"/>
        <w:ind w:left="0"/>
        <w:rPr>
          <w:sz w:val="24"/>
          <w:highlight w:val="none"/>
        </w:rPr>
      </w:pPr>
    </w:p>
    <w:p w14:paraId="31B42C56">
      <w:pPr>
        <w:pStyle w:val="12"/>
        <w:kinsoku w:val="0"/>
        <w:overflowPunct w:val="0"/>
        <w:spacing w:before="2"/>
        <w:ind w:left="0"/>
        <w:rPr>
          <w:sz w:val="24"/>
          <w:highlight w:val="none"/>
        </w:rPr>
      </w:pPr>
    </w:p>
    <w:p w14:paraId="409B7C93">
      <w:pPr>
        <w:pStyle w:val="12"/>
        <w:tabs>
          <w:tab w:val="left" w:pos="6521"/>
        </w:tabs>
        <w:kinsoku w:val="0"/>
        <w:overflowPunct w:val="0"/>
        <w:spacing w:before="36"/>
        <w:ind w:left="4212"/>
        <w:rPr>
          <w:spacing w:val="-1"/>
          <w:sz w:val="24"/>
          <w:highlight w:val="none"/>
        </w:rPr>
      </w:pPr>
      <w:r>
        <w:rPr>
          <w:spacing w:val="-2"/>
          <w:sz w:val="24"/>
          <w:highlight w:val="none"/>
        </w:rPr>
        <w:t>投标人：</w:t>
      </w:r>
      <w:r>
        <w:rPr>
          <w:rFonts w:hint="eastAsia" w:ascii="Times New Roman" w:hAnsi="Times New Roman" w:eastAsia="Times New Roman"/>
          <w:spacing w:val="-2"/>
          <w:sz w:val="24"/>
          <w:highlight w:val="none"/>
          <w:u w:val="single"/>
        </w:rPr>
        <w:tab/>
      </w:r>
      <w:r>
        <w:rPr>
          <w:spacing w:val="-1"/>
          <w:sz w:val="24"/>
          <w:highlight w:val="none"/>
        </w:rPr>
        <w:t>（盖单位章）</w:t>
      </w:r>
    </w:p>
    <w:p w14:paraId="630F599F">
      <w:pPr>
        <w:pStyle w:val="12"/>
        <w:kinsoku w:val="0"/>
        <w:overflowPunct w:val="0"/>
        <w:ind w:left="0"/>
        <w:rPr>
          <w:sz w:val="24"/>
          <w:highlight w:val="none"/>
        </w:rPr>
      </w:pPr>
    </w:p>
    <w:p w14:paraId="4F21E6D2">
      <w:pPr>
        <w:pStyle w:val="12"/>
        <w:kinsoku w:val="0"/>
        <w:overflowPunct w:val="0"/>
        <w:spacing w:before="7"/>
        <w:ind w:left="0"/>
        <w:rPr>
          <w:sz w:val="24"/>
          <w:highlight w:val="none"/>
        </w:rPr>
      </w:pPr>
    </w:p>
    <w:p w14:paraId="02279AF4">
      <w:pPr>
        <w:pStyle w:val="12"/>
        <w:tabs>
          <w:tab w:val="left" w:pos="5352"/>
          <w:tab w:val="left" w:pos="6192"/>
          <w:tab w:val="left" w:pos="7032"/>
        </w:tabs>
        <w:kinsoku w:val="0"/>
        <w:overflowPunct w:val="0"/>
        <w:spacing w:before="36"/>
        <w:ind w:left="4721"/>
        <w:rPr>
          <w:sz w:val="24"/>
          <w:highlight w:val="none"/>
        </w:rPr>
      </w:pPr>
      <w:r>
        <w:rPr>
          <w:rFonts w:hint="eastAsia" w:ascii="Times New Roman" w:hAnsi="Times New Roman" w:eastAsia="Times New Roman"/>
          <w:sz w:val="24"/>
          <w:highlight w:val="none"/>
          <w:u w:val="single"/>
        </w:rPr>
        <w:t xml:space="preserve"> </w:t>
      </w:r>
      <w:r>
        <w:rPr>
          <w:rFonts w:hint="eastAsia" w:ascii="Times New Roman" w:hAnsi="Times New Roman" w:eastAsia="Times New Roman"/>
          <w:sz w:val="24"/>
          <w:highlight w:val="none"/>
          <w:u w:val="single"/>
        </w:rPr>
        <w:tab/>
      </w:r>
      <w:r>
        <w:rPr>
          <w:sz w:val="24"/>
          <w:highlight w:val="none"/>
        </w:rPr>
        <w:t>年</w:t>
      </w:r>
      <w:r>
        <w:rPr>
          <w:rFonts w:hint="eastAsia" w:ascii="Times New Roman" w:hAnsi="Times New Roman" w:eastAsia="Times New Roman"/>
          <w:sz w:val="24"/>
          <w:highlight w:val="none"/>
          <w:u w:val="single"/>
        </w:rPr>
        <w:tab/>
      </w:r>
      <w:r>
        <w:rPr>
          <w:sz w:val="24"/>
          <w:highlight w:val="none"/>
        </w:rPr>
        <w:t>月</w:t>
      </w:r>
      <w:r>
        <w:rPr>
          <w:rFonts w:hint="eastAsia" w:ascii="Times New Roman" w:hAnsi="Times New Roman" w:eastAsia="Times New Roman"/>
          <w:sz w:val="24"/>
          <w:highlight w:val="none"/>
          <w:u w:val="single"/>
        </w:rPr>
        <w:tab/>
      </w:r>
      <w:r>
        <w:rPr>
          <w:sz w:val="24"/>
          <w:highlight w:val="none"/>
        </w:rPr>
        <w:t>日</w:t>
      </w:r>
    </w:p>
    <w:p w14:paraId="3FBF2DA7">
      <w:pPr>
        <w:pStyle w:val="12"/>
        <w:tabs>
          <w:tab w:val="left" w:pos="5352"/>
          <w:tab w:val="left" w:pos="6192"/>
          <w:tab w:val="left" w:pos="7032"/>
        </w:tabs>
        <w:kinsoku w:val="0"/>
        <w:overflowPunct w:val="0"/>
        <w:spacing w:before="36"/>
        <w:ind w:left="4721"/>
        <w:rPr>
          <w:sz w:val="24"/>
          <w:highlight w:val="none"/>
        </w:rPr>
        <w:sectPr>
          <w:pgSz w:w="11905" w:h="16838"/>
          <w:pgMar w:top="1417" w:right="1417" w:bottom="1417" w:left="1417" w:header="992" w:footer="992" w:gutter="0"/>
          <w:cols w:space="720" w:num="1"/>
        </w:sectPr>
      </w:pPr>
    </w:p>
    <w:p w14:paraId="5DAEF87C">
      <w:pPr>
        <w:pStyle w:val="6"/>
        <w:spacing w:before="120" w:after="120"/>
        <w:jc w:val="center"/>
        <w:rPr>
          <w:sz w:val="28"/>
          <w:highlight w:val="none"/>
        </w:rPr>
      </w:pPr>
      <w:bookmarkStart w:id="220" w:name="bookmark180"/>
      <w:bookmarkEnd w:id="220"/>
      <w:bookmarkStart w:id="221" w:name="_Toc13873"/>
      <w:r>
        <w:rPr>
          <w:rFonts w:hint="eastAsia"/>
          <w:sz w:val="28"/>
          <w:highlight w:val="none"/>
        </w:rPr>
        <w:t>三</w:t>
      </w:r>
      <w:r>
        <w:rPr>
          <w:sz w:val="28"/>
          <w:highlight w:val="none"/>
        </w:rPr>
        <w:t>、授权委托书</w:t>
      </w:r>
      <w:bookmarkEnd w:id="221"/>
    </w:p>
    <w:p w14:paraId="3188007F">
      <w:pPr>
        <w:pStyle w:val="12"/>
        <w:kinsoku w:val="0"/>
        <w:overflowPunct w:val="0"/>
        <w:ind w:left="0"/>
        <w:rPr>
          <w:rFonts w:ascii="Microsoft JhengHei" w:hAnsi="Microsoft JhengHei" w:eastAsia="Microsoft JhengHei"/>
          <w:b/>
          <w:sz w:val="32"/>
          <w:highlight w:val="none"/>
        </w:rPr>
      </w:pPr>
    </w:p>
    <w:p w14:paraId="0C2A34BE">
      <w:pPr>
        <w:pStyle w:val="12"/>
        <w:kinsoku w:val="0"/>
        <w:overflowPunct w:val="0"/>
        <w:spacing w:before="4"/>
        <w:ind w:left="0"/>
        <w:rPr>
          <w:rFonts w:ascii="Microsoft JhengHei" w:hAnsi="Microsoft JhengHei" w:eastAsia="Microsoft JhengHei"/>
          <w:b/>
          <w:sz w:val="32"/>
          <w:highlight w:val="none"/>
        </w:rPr>
      </w:pPr>
    </w:p>
    <w:p w14:paraId="56B2326B">
      <w:pPr>
        <w:pStyle w:val="12"/>
        <w:tabs>
          <w:tab w:val="left" w:pos="3928"/>
        </w:tabs>
        <w:kinsoku w:val="0"/>
        <w:overflowPunct w:val="0"/>
        <w:spacing w:line="360" w:lineRule="auto"/>
        <w:ind w:left="0" w:firstLine="480" w:firstLineChars="200"/>
        <w:rPr>
          <w:sz w:val="24"/>
          <w:highlight w:val="none"/>
        </w:rPr>
      </w:pPr>
      <w:r>
        <w:rPr>
          <w:sz w:val="24"/>
          <w:highlight w:val="none"/>
        </w:rPr>
        <w:t>本人</w:t>
      </w:r>
      <w:r>
        <w:rPr>
          <w:sz w:val="24"/>
          <w:highlight w:val="none"/>
          <w:u w:val="single"/>
        </w:rPr>
        <w:t xml:space="preserve">   </w:t>
      </w:r>
      <w:r>
        <w:rPr>
          <w:sz w:val="24"/>
          <w:highlight w:val="none"/>
        </w:rPr>
        <w:t xml:space="preserve">（姓名）系 </w:t>
      </w:r>
      <w:r>
        <w:rPr>
          <w:sz w:val="24"/>
          <w:highlight w:val="none"/>
          <w:u w:val="single"/>
        </w:rPr>
        <w:t xml:space="preserve">    </w:t>
      </w:r>
      <w:r>
        <w:rPr>
          <w:sz w:val="24"/>
          <w:highlight w:val="none"/>
        </w:rPr>
        <w:t>（投标人名称）的法定代表人，现委托</w:t>
      </w:r>
      <w:r>
        <w:rPr>
          <w:sz w:val="24"/>
          <w:highlight w:val="none"/>
          <w:u w:val="single"/>
        </w:rPr>
        <w:tab/>
      </w:r>
      <w:r>
        <w:rPr>
          <w:sz w:val="24"/>
          <w:highlight w:val="none"/>
          <w:u w:val="single"/>
        </w:rPr>
        <w:t xml:space="preserve"> </w:t>
      </w:r>
      <w:r>
        <w:rPr>
          <w:sz w:val="24"/>
          <w:highlight w:val="none"/>
        </w:rPr>
        <w:t xml:space="preserve">（姓名）为我方代理人。代理人根据授权，以我方名义签署、澄清确认、递交、撤回、修改监理招标项目投标文件、签订合同和处理有关事宜，其法律后果由我方承担。 </w:t>
      </w:r>
    </w:p>
    <w:p w14:paraId="4BE15DEB">
      <w:pPr>
        <w:pStyle w:val="12"/>
        <w:tabs>
          <w:tab w:val="left" w:pos="3928"/>
        </w:tabs>
        <w:kinsoku w:val="0"/>
        <w:overflowPunct w:val="0"/>
        <w:spacing w:line="360" w:lineRule="auto"/>
        <w:ind w:left="0"/>
        <w:rPr>
          <w:sz w:val="24"/>
          <w:highlight w:val="none"/>
        </w:rPr>
      </w:pPr>
      <w:r>
        <w:rPr>
          <w:sz w:val="24"/>
          <w:highlight w:val="none"/>
        </w:rPr>
        <w:t>委托期限：</w:t>
      </w:r>
      <w:r>
        <w:rPr>
          <w:sz w:val="24"/>
          <w:highlight w:val="none"/>
          <w:u w:val="single"/>
        </w:rPr>
        <w:tab/>
      </w:r>
      <w:r>
        <w:rPr>
          <w:sz w:val="24"/>
          <w:highlight w:val="none"/>
        </w:rPr>
        <w:t>。</w:t>
      </w:r>
    </w:p>
    <w:p w14:paraId="45C42B89">
      <w:pPr>
        <w:pStyle w:val="12"/>
        <w:tabs>
          <w:tab w:val="left" w:pos="3928"/>
        </w:tabs>
        <w:kinsoku w:val="0"/>
        <w:overflowPunct w:val="0"/>
        <w:spacing w:line="360" w:lineRule="auto"/>
        <w:ind w:left="0" w:firstLine="480" w:firstLineChars="200"/>
        <w:rPr>
          <w:sz w:val="24"/>
          <w:highlight w:val="none"/>
        </w:rPr>
      </w:pPr>
      <w:r>
        <w:rPr>
          <w:sz w:val="24"/>
          <w:highlight w:val="none"/>
        </w:rPr>
        <w:t>代理人无转委托权。代理人为投标人正式职工</w:t>
      </w:r>
      <w:r>
        <w:rPr>
          <w:rFonts w:hint="eastAsia"/>
          <w:sz w:val="24"/>
          <w:highlight w:val="none"/>
        </w:rPr>
        <w:t>，必须具有离投标截止时间最近的至少1个月（202</w:t>
      </w:r>
      <w:r>
        <w:rPr>
          <w:rFonts w:hint="eastAsia"/>
          <w:sz w:val="24"/>
          <w:highlight w:val="none"/>
          <w:lang w:val="en-US" w:eastAsia="zh-CN"/>
        </w:rPr>
        <w:t>5</w:t>
      </w:r>
      <w:r>
        <w:rPr>
          <w:rFonts w:hint="eastAsia"/>
          <w:sz w:val="24"/>
          <w:highlight w:val="none"/>
        </w:rPr>
        <w:t>年</w:t>
      </w:r>
      <w:r>
        <w:rPr>
          <w:rFonts w:hint="eastAsia"/>
          <w:sz w:val="24"/>
          <w:highlight w:val="none"/>
          <w:lang w:val="en-US" w:eastAsia="zh-CN"/>
        </w:rPr>
        <w:t>5</w:t>
      </w:r>
      <w:r>
        <w:rPr>
          <w:rFonts w:hint="eastAsia"/>
          <w:sz w:val="24"/>
          <w:highlight w:val="none"/>
        </w:rPr>
        <w:t>月）在本单位缴纳的社保证明文件。</w:t>
      </w:r>
    </w:p>
    <w:p w14:paraId="513B697A">
      <w:pPr>
        <w:pStyle w:val="12"/>
        <w:tabs>
          <w:tab w:val="left" w:pos="3928"/>
        </w:tabs>
        <w:kinsoku w:val="0"/>
        <w:overflowPunct w:val="0"/>
        <w:spacing w:line="360" w:lineRule="auto"/>
        <w:ind w:left="100"/>
        <w:rPr>
          <w:sz w:val="24"/>
          <w:highlight w:val="none"/>
        </w:rPr>
      </w:pPr>
    </w:p>
    <w:p w14:paraId="068F5AD9">
      <w:pPr>
        <w:pStyle w:val="12"/>
        <w:kinsoku w:val="0"/>
        <w:overflowPunct w:val="0"/>
        <w:spacing w:before="4"/>
        <w:ind w:left="0"/>
        <w:rPr>
          <w:sz w:val="24"/>
          <w:highlight w:val="none"/>
        </w:rPr>
      </w:pPr>
    </w:p>
    <w:p w14:paraId="5E874FDF">
      <w:pPr>
        <w:pStyle w:val="12"/>
        <w:kinsoku w:val="0"/>
        <w:overflowPunct w:val="0"/>
        <w:ind w:left="100" w:right="113"/>
        <w:rPr>
          <w:sz w:val="24"/>
          <w:highlight w:val="none"/>
        </w:rPr>
      </w:pPr>
      <w:r>
        <w:rPr>
          <w:sz w:val="24"/>
          <w:highlight w:val="none"/>
        </w:rPr>
        <w:t>附：委托代理人身份证正反面和社保证明扫描件。</w:t>
      </w:r>
    </w:p>
    <w:p w14:paraId="6C12C572">
      <w:pPr>
        <w:pStyle w:val="12"/>
        <w:kinsoku w:val="0"/>
        <w:overflowPunct w:val="0"/>
        <w:ind w:left="0"/>
        <w:rPr>
          <w:sz w:val="24"/>
          <w:highlight w:val="none"/>
        </w:rPr>
      </w:pPr>
    </w:p>
    <w:p w14:paraId="68662A85">
      <w:pPr>
        <w:pStyle w:val="12"/>
        <w:kinsoku w:val="0"/>
        <w:overflowPunct w:val="0"/>
        <w:spacing w:before="2"/>
        <w:ind w:left="0"/>
        <w:rPr>
          <w:sz w:val="24"/>
          <w:highlight w:val="none"/>
        </w:rPr>
      </w:pPr>
    </w:p>
    <w:p w14:paraId="5872A16B">
      <w:pPr>
        <w:pStyle w:val="12"/>
        <w:kinsoku w:val="0"/>
        <w:overflowPunct w:val="0"/>
        <w:ind w:left="0"/>
        <w:rPr>
          <w:sz w:val="24"/>
          <w:highlight w:val="none"/>
        </w:rPr>
      </w:pPr>
    </w:p>
    <w:p w14:paraId="6C3BCC6A">
      <w:pPr>
        <w:pStyle w:val="12"/>
        <w:kinsoku w:val="0"/>
        <w:overflowPunct w:val="0"/>
        <w:spacing w:before="4"/>
        <w:ind w:left="0"/>
        <w:rPr>
          <w:sz w:val="24"/>
          <w:highlight w:val="none"/>
        </w:rPr>
      </w:pPr>
    </w:p>
    <w:p w14:paraId="25D2685A">
      <w:pPr>
        <w:pStyle w:val="12"/>
        <w:tabs>
          <w:tab w:val="left" w:pos="3216"/>
          <w:tab w:val="left" w:pos="3636"/>
          <w:tab w:val="left" w:pos="7241"/>
        </w:tabs>
        <w:kinsoku w:val="0"/>
        <w:overflowPunct w:val="0"/>
        <w:ind w:left="2793" w:right="113"/>
        <w:rPr>
          <w:sz w:val="24"/>
          <w:highlight w:val="none"/>
        </w:rPr>
      </w:pPr>
      <w:r>
        <w:rPr>
          <w:sz w:val="24"/>
          <w:highlight w:val="none"/>
        </w:rPr>
        <w:t>投</w:t>
      </w:r>
      <w:r>
        <w:rPr>
          <w:sz w:val="24"/>
          <w:highlight w:val="none"/>
        </w:rPr>
        <w:tab/>
      </w:r>
      <w:r>
        <w:rPr>
          <w:sz w:val="24"/>
          <w:highlight w:val="none"/>
        </w:rPr>
        <w:t>标</w:t>
      </w:r>
      <w:r>
        <w:rPr>
          <w:sz w:val="24"/>
          <w:highlight w:val="none"/>
        </w:rPr>
        <w:tab/>
      </w:r>
      <w:r>
        <w:rPr>
          <w:spacing w:val="-3"/>
          <w:sz w:val="24"/>
          <w:highlight w:val="none"/>
        </w:rPr>
        <w:t>人：</w:t>
      </w:r>
      <w:r>
        <w:rPr>
          <w:rFonts w:hAnsi="Times New Roman"/>
          <w:spacing w:val="-3"/>
          <w:sz w:val="24"/>
          <w:highlight w:val="none"/>
          <w:u w:val="single"/>
        </w:rPr>
        <w:t xml:space="preserve">                       </w:t>
      </w:r>
      <w:r>
        <w:rPr>
          <w:sz w:val="24"/>
          <w:highlight w:val="none"/>
        </w:rPr>
        <w:t>（盖单位章）</w:t>
      </w:r>
    </w:p>
    <w:p w14:paraId="5C4B0484">
      <w:pPr>
        <w:pStyle w:val="12"/>
        <w:kinsoku w:val="0"/>
        <w:overflowPunct w:val="0"/>
        <w:ind w:left="0"/>
        <w:rPr>
          <w:sz w:val="24"/>
          <w:highlight w:val="none"/>
        </w:rPr>
      </w:pPr>
    </w:p>
    <w:p w14:paraId="4AE529AE">
      <w:pPr>
        <w:pStyle w:val="12"/>
        <w:tabs>
          <w:tab w:val="left" w:pos="6401"/>
        </w:tabs>
        <w:kinsoku w:val="0"/>
        <w:overflowPunct w:val="0"/>
        <w:spacing w:before="36"/>
        <w:ind w:left="2791" w:right="113"/>
        <w:rPr>
          <w:spacing w:val="-1"/>
          <w:sz w:val="24"/>
          <w:highlight w:val="none"/>
        </w:rPr>
      </w:pPr>
      <w:r>
        <w:rPr>
          <w:spacing w:val="-2"/>
          <w:sz w:val="24"/>
          <w:highlight w:val="none"/>
        </w:rPr>
        <w:t>法定代表人：</w:t>
      </w:r>
      <w:r>
        <w:rPr>
          <w:rFonts w:hint="eastAsia" w:ascii="Times New Roman" w:hAnsi="Times New Roman" w:eastAsia="Times New Roman"/>
          <w:spacing w:val="-2"/>
          <w:sz w:val="24"/>
          <w:highlight w:val="none"/>
          <w:u w:val="single"/>
        </w:rPr>
        <w:tab/>
      </w:r>
      <w:r>
        <w:rPr>
          <w:rFonts w:hAnsi="Times New Roman"/>
          <w:spacing w:val="-2"/>
          <w:sz w:val="24"/>
          <w:highlight w:val="none"/>
          <w:u w:val="single"/>
        </w:rPr>
        <w:t xml:space="preserve">    </w:t>
      </w:r>
      <w:r>
        <w:rPr>
          <w:spacing w:val="-1"/>
          <w:sz w:val="24"/>
          <w:highlight w:val="none"/>
        </w:rPr>
        <w:t>（签字）</w:t>
      </w:r>
    </w:p>
    <w:p w14:paraId="33689D16">
      <w:pPr>
        <w:pStyle w:val="12"/>
        <w:kinsoku w:val="0"/>
        <w:overflowPunct w:val="0"/>
        <w:ind w:left="0"/>
        <w:rPr>
          <w:sz w:val="24"/>
          <w:highlight w:val="none"/>
        </w:rPr>
      </w:pPr>
    </w:p>
    <w:p w14:paraId="50957F0F">
      <w:pPr>
        <w:pStyle w:val="12"/>
        <w:tabs>
          <w:tab w:val="left" w:pos="8549"/>
        </w:tabs>
        <w:kinsoku w:val="0"/>
        <w:overflowPunct w:val="0"/>
        <w:spacing w:before="36"/>
        <w:ind w:left="2793" w:right="113"/>
        <w:rPr>
          <w:rFonts w:ascii="Times New Roman" w:hAnsi="Times New Roman" w:eastAsia="Times New Roman"/>
          <w:sz w:val="24"/>
          <w:highlight w:val="none"/>
        </w:rPr>
      </w:pPr>
      <w:r>
        <w:rPr>
          <w:sz w:val="24"/>
          <w:highlight w:val="none"/>
        </w:rPr>
        <w:t>身份证号码：</w:t>
      </w:r>
      <w:r>
        <w:rPr>
          <w:rFonts w:hint="eastAsia" w:ascii="Times New Roman" w:hAnsi="Times New Roman" w:eastAsia="Times New Roman"/>
          <w:sz w:val="24"/>
          <w:highlight w:val="none"/>
          <w:u w:val="single"/>
        </w:rPr>
        <w:t xml:space="preserve"> </w:t>
      </w:r>
      <w:r>
        <w:rPr>
          <w:rFonts w:hAnsi="Times New Roman"/>
          <w:sz w:val="24"/>
          <w:highlight w:val="none"/>
          <w:u w:val="single"/>
        </w:rPr>
        <w:t xml:space="preserve">                        </w:t>
      </w:r>
      <w:r>
        <w:rPr>
          <w:rFonts w:hAnsi="Times New Roman"/>
          <w:sz w:val="24"/>
          <w:highlight w:val="none"/>
        </w:rPr>
        <w:t xml:space="preserve">               </w:t>
      </w:r>
    </w:p>
    <w:p w14:paraId="04DC1E6B">
      <w:pPr>
        <w:pStyle w:val="12"/>
        <w:kinsoku w:val="0"/>
        <w:overflowPunct w:val="0"/>
        <w:ind w:left="0"/>
        <w:rPr>
          <w:rFonts w:ascii="Times New Roman" w:hAnsi="Times New Roman" w:eastAsia="Times New Roman"/>
          <w:sz w:val="24"/>
          <w:highlight w:val="none"/>
        </w:rPr>
      </w:pPr>
    </w:p>
    <w:p w14:paraId="74E539A6">
      <w:pPr>
        <w:pStyle w:val="12"/>
        <w:tabs>
          <w:tab w:val="left" w:pos="7661"/>
        </w:tabs>
        <w:kinsoku w:val="0"/>
        <w:overflowPunct w:val="0"/>
        <w:spacing w:before="36"/>
        <w:ind w:left="2793" w:right="113"/>
        <w:rPr>
          <w:spacing w:val="-1"/>
          <w:sz w:val="24"/>
          <w:highlight w:val="none"/>
        </w:rPr>
      </w:pPr>
      <w:r>
        <w:rPr>
          <w:spacing w:val="-2"/>
          <w:sz w:val="24"/>
          <w:highlight w:val="none"/>
        </w:rPr>
        <w:t>委托代理人：</w:t>
      </w:r>
      <w:r>
        <w:rPr>
          <w:spacing w:val="-2"/>
          <w:sz w:val="24"/>
          <w:highlight w:val="none"/>
          <w:u w:val="single"/>
        </w:rPr>
        <w:t xml:space="preserve">                         </w:t>
      </w:r>
      <w:r>
        <w:rPr>
          <w:spacing w:val="-1"/>
          <w:sz w:val="24"/>
          <w:highlight w:val="none"/>
        </w:rPr>
        <w:t>（签字）</w:t>
      </w:r>
    </w:p>
    <w:p w14:paraId="3B6340D9">
      <w:pPr>
        <w:pStyle w:val="12"/>
        <w:kinsoku w:val="0"/>
        <w:overflowPunct w:val="0"/>
        <w:ind w:left="0"/>
        <w:rPr>
          <w:sz w:val="24"/>
          <w:highlight w:val="none"/>
        </w:rPr>
      </w:pPr>
    </w:p>
    <w:p w14:paraId="79A09C5A">
      <w:pPr>
        <w:pStyle w:val="12"/>
        <w:tabs>
          <w:tab w:val="left" w:pos="8549"/>
        </w:tabs>
        <w:kinsoku w:val="0"/>
        <w:overflowPunct w:val="0"/>
        <w:spacing w:before="36"/>
        <w:ind w:left="2793" w:right="113"/>
        <w:rPr>
          <w:rFonts w:ascii="Times New Roman" w:hAnsi="Times New Roman" w:eastAsia="Times New Roman"/>
          <w:sz w:val="24"/>
          <w:highlight w:val="none"/>
          <w:u w:val="single"/>
        </w:rPr>
      </w:pPr>
      <w:r>
        <w:rPr>
          <w:sz w:val="24"/>
          <w:highlight w:val="none"/>
        </w:rPr>
        <w:t>身份证号码：</w:t>
      </w:r>
      <w:r>
        <w:rPr>
          <w:rFonts w:hint="eastAsia" w:ascii="Times New Roman" w:hAnsi="Times New Roman" w:eastAsia="Times New Roman"/>
          <w:sz w:val="24"/>
          <w:highlight w:val="none"/>
          <w:u w:val="single"/>
        </w:rPr>
        <w:t xml:space="preserve"> </w:t>
      </w:r>
      <w:r>
        <w:rPr>
          <w:rFonts w:hAnsi="Times New Roman"/>
          <w:sz w:val="24"/>
          <w:highlight w:val="none"/>
          <w:u w:val="single"/>
        </w:rPr>
        <w:t xml:space="preserve">                        </w:t>
      </w:r>
      <w:r>
        <w:rPr>
          <w:rFonts w:hAnsi="Times New Roman"/>
          <w:sz w:val="24"/>
          <w:highlight w:val="none"/>
        </w:rPr>
        <w:t xml:space="preserve">               </w:t>
      </w:r>
    </w:p>
    <w:p w14:paraId="69F44064">
      <w:pPr>
        <w:pStyle w:val="12"/>
        <w:kinsoku w:val="0"/>
        <w:overflowPunct w:val="0"/>
        <w:spacing w:before="9"/>
        <w:ind w:left="0"/>
        <w:rPr>
          <w:rFonts w:ascii="Times New Roman" w:hAnsi="Times New Roman" w:eastAsia="Times New Roman"/>
          <w:sz w:val="24"/>
          <w:highlight w:val="none"/>
        </w:rPr>
      </w:pPr>
    </w:p>
    <w:p w14:paraId="67223526">
      <w:pPr>
        <w:pStyle w:val="12"/>
        <w:tabs>
          <w:tab w:val="left" w:pos="736"/>
          <w:tab w:val="left" w:pos="1682"/>
          <w:tab w:val="left" w:pos="2626"/>
        </w:tabs>
        <w:kinsoku w:val="0"/>
        <w:overflowPunct w:val="0"/>
        <w:spacing w:before="36"/>
        <w:ind w:left="0" w:right="113"/>
        <w:jc w:val="both"/>
        <w:rPr>
          <w:sz w:val="24"/>
          <w:highlight w:val="none"/>
          <w:u w:val="single"/>
        </w:rPr>
      </w:pPr>
      <w:r>
        <w:rPr>
          <w:sz w:val="24"/>
          <w:highlight w:val="none"/>
        </w:rPr>
        <w:t xml:space="preserve">                                  </w:t>
      </w:r>
      <w:r>
        <w:rPr>
          <w:sz w:val="24"/>
          <w:highlight w:val="none"/>
          <w:u w:val="single"/>
        </w:rPr>
        <w:t xml:space="preserve">        </w:t>
      </w:r>
      <w:r>
        <w:rPr>
          <w:sz w:val="24"/>
          <w:highlight w:val="none"/>
        </w:rPr>
        <w:t>年</w:t>
      </w:r>
      <w:r>
        <w:rPr>
          <w:sz w:val="24"/>
          <w:highlight w:val="none"/>
          <w:u w:val="single"/>
        </w:rPr>
        <w:t xml:space="preserve">     </w:t>
      </w:r>
      <w:r>
        <w:rPr>
          <w:sz w:val="24"/>
          <w:highlight w:val="none"/>
        </w:rPr>
        <w:t>月</w:t>
      </w:r>
      <w:r>
        <w:rPr>
          <w:sz w:val="24"/>
          <w:highlight w:val="none"/>
          <w:u w:val="single"/>
        </w:rPr>
        <w:t xml:space="preserve">     </w:t>
      </w:r>
      <w:r>
        <w:rPr>
          <w:sz w:val="24"/>
          <w:highlight w:val="none"/>
        </w:rPr>
        <w:t>日</w:t>
      </w:r>
    </w:p>
    <w:p w14:paraId="147FDC69">
      <w:pPr>
        <w:pStyle w:val="12"/>
        <w:tabs>
          <w:tab w:val="left" w:pos="736"/>
          <w:tab w:val="left" w:pos="1682"/>
          <w:tab w:val="left" w:pos="2626"/>
        </w:tabs>
        <w:kinsoku w:val="0"/>
        <w:overflowPunct w:val="0"/>
        <w:spacing w:before="36"/>
        <w:ind w:left="0"/>
        <w:jc w:val="right"/>
        <w:rPr>
          <w:sz w:val="24"/>
          <w:highlight w:val="none"/>
        </w:rPr>
        <w:sectPr>
          <w:pgSz w:w="11905" w:h="16838"/>
          <w:pgMar w:top="1417" w:right="1417" w:bottom="1417" w:left="1417" w:header="992" w:footer="992" w:gutter="0"/>
          <w:cols w:space="720" w:num="1"/>
        </w:sectPr>
      </w:pPr>
    </w:p>
    <w:p w14:paraId="0E218CBC">
      <w:pPr>
        <w:pStyle w:val="6"/>
        <w:spacing w:before="120" w:after="120"/>
        <w:jc w:val="center"/>
        <w:rPr>
          <w:strike/>
          <w:sz w:val="28"/>
          <w:highlight w:val="none"/>
        </w:rPr>
      </w:pPr>
      <w:bookmarkStart w:id="222" w:name="bookmark181"/>
      <w:bookmarkEnd w:id="222"/>
      <w:bookmarkStart w:id="223" w:name="_Toc5401"/>
      <w:r>
        <w:rPr>
          <w:strike/>
          <w:sz w:val="28"/>
          <w:highlight w:val="none"/>
        </w:rPr>
        <w:t>三、联合体协议书</w:t>
      </w:r>
      <w:bookmarkEnd w:id="223"/>
    </w:p>
    <w:p w14:paraId="7FFD12DA">
      <w:pPr>
        <w:pStyle w:val="12"/>
        <w:tabs>
          <w:tab w:val="left" w:pos="2202"/>
          <w:tab w:val="left" w:pos="6000"/>
        </w:tabs>
        <w:kinsoku w:val="0"/>
        <w:overflowPunct w:val="0"/>
        <w:spacing w:line="360" w:lineRule="auto"/>
        <w:ind w:left="0" w:firstLine="420" w:firstLineChars="200"/>
        <w:rPr>
          <w:strike/>
          <w:spacing w:val="-1"/>
          <w:highlight w:val="none"/>
        </w:rPr>
      </w:pPr>
      <w:r>
        <w:rPr>
          <w:rFonts w:ascii="Times New Roman" w:hAnsi="Times New Roman" w:eastAsia="Times New Roman"/>
          <w:strike/>
          <w:highlight w:val="none"/>
          <w:u w:val="single"/>
        </w:rPr>
        <w:t xml:space="preserve"> </w:t>
      </w:r>
      <w:r>
        <w:rPr>
          <w:rFonts w:ascii="Times New Roman" w:hAnsi="Times New Roman" w:eastAsia="Times New Roman"/>
          <w:strike/>
          <w:highlight w:val="none"/>
          <w:u w:val="single"/>
        </w:rPr>
        <w:tab/>
      </w:r>
      <w:r>
        <w:rPr>
          <w:strike/>
          <w:spacing w:val="-1"/>
          <w:highlight w:val="none"/>
        </w:rPr>
        <w:t>（所有成员单位名称）自愿组成</w:t>
      </w:r>
      <w:r>
        <w:rPr>
          <w:rFonts w:ascii="Times New Roman" w:hAnsi="Times New Roman" w:eastAsia="Times New Roman"/>
          <w:strike/>
          <w:spacing w:val="-1"/>
          <w:highlight w:val="none"/>
          <w:u w:val="single"/>
        </w:rPr>
        <w:tab/>
      </w:r>
      <w:r>
        <w:rPr>
          <w:strike/>
          <w:highlight w:val="none"/>
        </w:rPr>
        <w:t>（联合体名称）联合体，共同</w:t>
      </w:r>
      <w:r>
        <w:rPr>
          <w:strike/>
          <w:spacing w:val="-1"/>
          <w:highlight w:val="none"/>
        </w:rPr>
        <w:t>参加</w:t>
      </w:r>
      <w:r>
        <w:rPr>
          <w:rFonts w:ascii="Times New Roman" w:hAnsi="Times New Roman" w:eastAsia="Times New Roman"/>
          <w:strike/>
          <w:spacing w:val="-1"/>
          <w:highlight w:val="none"/>
          <w:u w:val="single"/>
        </w:rPr>
        <w:tab/>
      </w:r>
      <w:r>
        <w:rPr>
          <w:strike/>
          <w:spacing w:val="-1"/>
          <w:highlight w:val="none"/>
        </w:rPr>
        <w:t>（项目名称）监理招标项目投标。现就联合体投标事宜订立如下协议。</w:t>
      </w:r>
    </w:p>
    <w:p w14:paraId="36B401CF">
      <w:pPr>
        <w:pStyle w:val="12"/>
        <w:tabs>
          <w:tab w:val="left" w:pos="2673"/>
          <w:tab w:val="left" w:pos="5614"/>
        </w:tabs>
        <w:kinsoku w:val="0"/>
        <w:overflowPunct w:val="0"/>
        <w:spacing w:before="36" w:line="360" w:lineRule="auto"/>
        <w:rPr>
          <w:strike/>
          <w:spacing w:val="-2"/>
          <w:highlight w:val="none"/>
        </w:rPr>
      </w:pPr>
      <w:r>
        <w:rPr>
          <w:rFonts w:ascii="Times New Roman" w:hAnsi="Times New Roman" w:eastAsia="Times New Roman"/>
          <w:strike/>
          <w:highlight w:val="none"/>
        </w:rPr>
        <w:t>1.</w:t>
      </w:r>
      <w:r>
        <w:rPr>
          <w:rFonts w:ascii="Times New Roman" w:hAnsi="Times New Roman" w:eastAsia="Times New Roman"/>
          <w:strike/>
          <w:highlight w:val="none"/>
          <w:u w:val="single"/>
        </w:rPr>
        <w:tab/>
      </w:r>
      <w:r>
        <w:rPr>
          <w:strike/>
          <w:spacing w:val="-2"/>
          <w:highlight w:val="none"/>
        </w:rPr>
        <w:t>（某成员单位名称）为</w:t>
      </w:r>
      <w:r>
        <w:rPr>
          <w:rFonts w:ascii="Times New Roman" w:hAnsi="Times New Roman" w:eastAsia="Times New Roman"/>
          <w:strike/>
          <w:spacing w:val="-2"/>
          <w:highlight w:val="none"/>
          <w:u w:val="single"/>
        </w:rPr>
        <w:tab/>
      </w:r>
      <w:r>
        <w:rPr>
          <w:strike/>
          <w:spacing w:val="-2"/>
          <w:highlight w:val="none"/>
        </w:rPr>
        <w:t>（联合体名称）主办方。</w:t>
      </w:r>
    </w:p>
    <w:p w14:paraId="69547E0B">
      <w:pPr>
        <w:pStyle w:val="12"/>
        <w:kinsoku w:val="0"/>
        <w:overflowPunct w:val="0"/>
        <w:spacing w:before="148" w:line="360" w:lineRule="auto"/>
        <w:ind w:left="100" w:firstLine="419"/>
        <w:rPr>
          <w:strike/>
          <w:highlight w:val="none"/>
        </w:rPr>
      </w:pPr>
      <w:r>
        <w:rPr>
          <w:rFonts w:ascii="Times New Roman" w:hAnsi="Times New Roman" w:eastAsia="Times New Roman"/>
          <w:strike/>
          <w:highlight w:val="none"/>
        </w:rPr>
        <w:t>2.</w:t>
      </w:r>
      <w:r>
        <w:rPr>
          <w:rFonts w:ascii="Times New Roman" w:hAnsi="Times New Roman" w:eastAsia="Times New Roman"/>
          <w:strike/>
          <w:spacing w:val="50"/>
          <w:highlight w:val="none"/>
        </w:rPr>
        <w:t xml:space="preserve"> </w:t>
      </w:r>
      <w:r>
        <w:rPr>
          <w:strike/>
          <w:spacing w:val="-5"/>
          <w:highlight w:val="none"/>
        </w:rPr>
        <w:t>联合体各成员授权</w:t>
      </w:r>
      <w:r>
        <w:rPr>
          <w:strike/>
          <w:spacing w:val="-2"/>
          <w:highlight w:val="none"/>
        </w:rPr>
        <w:t>主办方</w:t>
      </w:r>
      <w:r>
        <w:rPr>
          <w:strike/>
          <w:spacing w:val="-5"/>
          <w:highlight w:val="none"/>
        </w:rPr>
        <w:t>代表联合体参加投标活动，签署文件，提交和接收相关的资料、</w:t>
      </w:r>
      <w:r>
        <w:rPr>
          <w:strike/>
          <w:highlight w:val="none"/>
        </w:rPr>
        <w:t xml:space="preserve"> 信息及指示，进行合同谈判活动，负责合同实施阶段的组织和协调工作，以及处理与本招标项</w:t>
      </w:r>
      <w:r>
        <w:rPr>
          <w:strike/>
          <w:spacing w:val="-78"/>
          <w:highlight w:val="none"/>
        </w:rPr>
        <w:t xml:space="preserve"> </w:t>
      </w:r>
      <w:r>
        <w:rPr>
          <w:strike/>
          <w:highlight w:val="none"/>
        </w:rPr>
        <w:t>目有关的一切事宜。</w:t>
      </w:r>
    </w:p>
    <w:p w14:paraId="7E95A79C">
      <w:pPr>
        <w:pStyle w:val="12"/>
        <w:kinsoku w:val="0"/>
        <w:overflowPunct w:val="0"/>
        <w:spacing w:before="46" w:line="360" w:lineRule="auto"/>
        <w:ind w:left="100" w:firstLine="419"/>
        <w:rPr>
          <w:strike/>
          <w:highlight w:val="none"/>
        </w:rPr>
      </w:pPr>
      <w:r>
        <w:rPr>
          <w:rFonts w:ascii="Times New Roman" w:hAnsi="Times New Roman" w:eastAsia="Times New Roman"/>
          <w:strike/>
          <w:highlight w:val="none"/>
        </w:rPr>
        <w:t>3.</w:t>
      </w:r>
      <w:r>
        <w:rPr>
          <w:rFonts w:ascii="Times New Roman" w:hAnsi="Times New Roman" w:eastAsia="Times New Roman"/>
          <w:strike/>
          <w:spacing w:val="20"/>
          <w:highlight w:val="none"/>
        </w:rPr>
        <w:t xml:space="preserve"> </w:t>
      </w:r>
      <w:r>
        <w:rPr>
          <w:strike/>
          <w:spacing w:val="-3"/>
          <w:highlight w:val="none"/>
        </w:rPr>
        <w:t>联合体</w:t>
      </w:r>
      <w:r>
        <w:rPr>
          <w:strike/>
          <w:spacing w:val="-2"/>
          <w:highlight w:val="none"/>
        </w:rPr>
        <w:t>主办方</w:t>
      </w:r>
      <w:r>
        <w:rPr>
          <w:strike/>
          <w:spacing w:val="-3"/>
          <w:highlight w:val="none"/>
        </w:rPr>
        <w:t>在本项目中签署的一切文件和处理的一切事宜，联合体各成员均予以承认。</w:t>
      </w:r>
      <w:r>
        <w:rPr>
          <w:strike/>
          <w:highlight w:val="none"/>
        </w:rPr>
        <w:t xml:space="preserve"> 联合体各成员将严格按照招标文件、投标文件和合同的要求全面履行义务，并向招标人承担连</w:t>
      </w:r>
      <w:r>
        <w:rPr>
          <w:strike/>
          <w:spacing w:val="-77"/>
          <w:highlight w:val="none"/>
        </w:rPr>
        <w:t xml:space="preserve"> </w:t>
      </w:r>
      <w:r>
        <w:rPr>
          <w:strike/>
          <w:highlight w:val="none"/>
        </w:rPr>
        <w:t>带责任。</w:t>
      </w:r>
    </w:p>
    <w:p w14:paraId="780969D8">
      <w:pPr>
        <w:pStyle w:val="12"/>
        <w:tabs>
          <w:tab w:val="left" w:pos="8741"/>
        </w:tabs>
        <w:kinsoku w:val="0"/>
        <w:overflowPunct w:val="0"/>
        <w:spacing w:before="46" w:line="360" w:lineRule="auto"/>
        <w:outlineLvl w:val="2"/>
        <w:rPr>
          <w:strike/>
          <w:highlight w:val="none"/>
        </w:rPr>
      </w:pPr>
      <w:bookmarkStart w:id="224" w:name="_Toc29760"/>
      <w:bookmarkStart w:id="225" w:name="_Toc31387"/>
      <w:r>
        <w:rPr>
          <w:rFonts w:ascii="Times New Roman" w:hAnsi="Times New Roman" w:eastAsia="Times New Roman"/>
          <w:strike/>
          <w:highlight w:val="none"/>
        </w:rPr>
        <w:t xml:space="preserve">4. </w:t>
      </w:r>
      <w:r>
        <w:rPr>
          <w:rFonts w:ascii="Times New Roman" w:hAnsi="Times New Roman" w:eastAsia="Times New Roman"/>
          <w:strike/>
          <w:spacing w:val="24"/>
          <w:highlight w:val="none"/>
        </w:rPr>
        <w:t xml:space="preserve"> </w:t>
      </w:r>
      <w:r>
        <w:rPr>
          <w:strike/>
          <w:spacing w:val="-3"/>
          <w:highlight w:val="none"/>
        </w:rPr>
        <w:t>联合体各成员单位内部的职责分工如下：</w:t>
      </w:r>
      <w:r>
        <w:rPr>
          <w:rFonts w:ascii="Times New Roman" w:hAnsi="Times New Roman" w:eastAsia="Times New Roman"/>
          <w:strike/>
          <w:spacing w:val="-3"/>
          <w:highlight w:val="none"/>
          <w:u w:val="single"/>
        </w:rPr>
        <w:tab/>
      </w:r>
      <w:r>
        <w:rPr>
          <w:strike/>
          <w:highlight w:val="none"/>
        </w:rPr>
        <w:t>。</w:t>
      </w:r>
      <w:bookmarkEnd w:id="224"/>
      <w:bookmarkEnd w:id="225"/>
    </w:p>
    <w:p w14:paraId="4FF5A4EF">
      <w:pPr>
        <w:pStyle w:val="12"/>
        <w:kinsoku w:val="0"/>
        <w:overflowPunct w:val="0"/>
        <w:spacing w:before="151" w:line="360" w:lineRule="auto"/>
        <w:ind w:left="100" w:firstLine="419"/>
        <w:rPr>
          <w:strike/>
          <w:highlight w:val="none"/>
        </w:rPr>
      </w:pPr>
      <w:r>
        <w:rPr>
          <w:rFonts w:ascii="Times New Roman" w:hAnsi="Times New Roman" w:eastAsia="Times New Roman"/>
          <w:strike/>
          <w:highlight w:val="none"/>
        </w:rPr>
        <w:t>5.</w:t>
      </w:r>
      <w:r>
        <w:rPr>
          <w:rFonts w:ascii="Times New Roman" w:hAnsi="Times New Roman" w:eastAsia="Times New Roman"/>
          <w:strike/>
          <w:spacing w:val="27"/>
          <w:highlight w:val="none"/>
        </w:rPr>
        <w:t xml:space="preserve"> </w:t>
      </w:r>
      <w:r>
        <w:rPr>
          <w:strike/>
          <w:highlight w:val="none"/>
        </w:rPr>
        <w:t>本协议书自所有成员单位法定代表人或其委托代理人签字或盖单位章之日起生效，合同 履行完毕后自动失效。</w:t>
      </w:r>
    </w:p>
    <w:p w14:paraId="493DBCF0">
      <w:pPr>
        <w:pStyle w:val="12"/>
        <w:tabs>
          <w:tab w:val="left" w:pos="2464"/>
        </w:tabs>
        <w:kinsoku w:val="0"/>
        <w:overflowPunct w:val="0"/>
        <w:spacing w:before="57" w:line="360" w:lineRule="auto"/>
        <w:rPr>
          <w:strike/>
          <w:highlight w:val="none"/>
        </w:rPr>
      </w:pPr>
      <w:r>
        <w:rPr>
          <w:rFonts w:ascii="Times New Roman" w:hAnsi="Times New Roman" w:eastAsia="Times New Roman"/>
          <w:strike/>
          <w:highlight w:val="none"/>
        </w:rPr>
        <w:t>6.</w:t>
      </w:r>
      <w:r>
        <w:rPr>
          <w:rFonts w:ascii="Times New Roman" w:hAnsi="Times New Roman" w:eastAsia="Times New Roman"/>
          <w:strike/>
          <w:spacing w:val="50"/>
          <w:highlight w:val="none"/>
        </w:rPr>
        <w:t xml:space="preserve"> </w:t>
      </w:r>
      <w:r>
        <w:rPr>
          <w:strike/>
          <w:highlight w:val="none"/>
        </w:rPr>
        <w:t>本协议书一式</w:t>
      </w:r>
      <w:r>
        <w:rPr>
          <w:rFonts w:ascii="Times New Roman" w:hAnsi="Times New Roman" w:eastAsia="Times New Roman"/>
          <w:strike/>
          <w:highlight w:val="none"/>
          <w:u w:val="single"/>
        </w:rPr>
        <w:tab/>
      </w:r>
      <w:r>
        <w:rPr>
          <w:rFonts w:hAnsi="Times New Roman"/>
          <w:strike/>
          <w:highlight w:val="none"/>
          <w:u w:val="single"/>
        </w:rPr>
        <w:t xml:space="preserve">     </w:t>
      </w:r>
      <w:r>
        <w:rPr>
          <w:strike/>
          <w:highlight w:val="none"/>
        </w:rPr>
        <w:t>份，联合体成员和招标人各执一份。</w:t>
      </w:r>
    </w:p>
    <w:p w14:paraId="3732866E">
      <w:pPr>
        <w:pStyle w:val="12"/>
        <w:kinsoku w:val="0"/>
        <w:overflowPunct w:val="0"/>
        <w:spacing w:before="36" w:line="360" w:lineRule="auto"/>
        <w:ind w:left="100" w:firstLine="419"/>
        <w:rPr>
          <w:strike/>
          <w:highlight w:val="none"/>
        </w:rPr>
      </w:pPr>
      <w:r>
        <w:rPr>
          <w:strike/>
          <w:spacing w:val="-1"/>
          <w:highlight w:val="none"/>
        </w:rPr>
        <w:t>注：本协议书由法定代表人签字的，应附法定代表人身份证明；由委托代理人签字的，应附法定代表人身份证明和</w:t>
      </w:r>
      <w:r>
        <w:rPr>
          <w:strike/>
          <w:highlight w:val="none"/>
        </w:rPr>
        <w:t>授权委托书。</w:t>
      </w:r>
    </w:p>
    <w:p w14:paraId="2D0822DF">
      <w:pPr>
        <w:pStyle w:val="12"/>
        <w:kinsoku w:val="0"/>
        <w:overflowPunct w:val="0"/>
        <w:spacing w:before="36" w:line="360" w:lineRule="auto"/>
        <w:ind w:left="100" w:firstLine="419"/>
        <w:rPr>
          <w:strike/>
          <w:highlight w:val="none"/>
        </w:rPr>
      </w:pPr>
    </w:p>
    <w:p w14:paraId="3EEFC4B1">
      <w:pPr>
        <w:pStyle w:val="12"/>
        <w:tabs>
          <w:tab w:val="left" w:pos="7241"/>
        </w:tabs>
        <w:kinsoku w:val="0"/>
        <w:overflowPunct w:val="0"/>
        <w:spacing w:line="360" w:lineRule="auto"/>
        <w:ind w:left="2510"/>
        <w:rPr>
          <w:strike/>
          <w:highlight w:val="none"/>
        </w:rPr>
      </w:pPr>
      <w:r>
        <w:rPr>
          <w:strike/>
          <w:spacing w:val="-2"/>
          <w:highlight w:val="none"/>
        </w:rPr>
        <w:t>联合体主办方名称：</w:t>
      </w:r>
      <w:r>
        <w:rPr>
          <w:rFonts w:ascii="Times New Roman" w:hAnsi="Times New Roman" w:eastAsia="Times New Roman"/>
          <w:strike/>
          <w:spacing w:val="-2"/>
          <w:highlight w:val="none"/>
          <w:u w:val="single"/>
        </w:rPr>
        <w:tab/>
      </w:r>
      <w:r>
        <w:rPr>
          <w:strike/>
          <w:spacing w:val="-1"/>
          <w:highlight w:val="none"/>
        </w:rPr>
        <w:t>（盖单位章）</w:t>
      </w:r>
    </w:p>
    <w:p w14:paraId="058E342B">
      <w:pPr>
        <w:pStyle w:val="12"/>
        <w:tabs>
          <w:tab w:val="left" w:pos="6401"/>
        </w:tabs>
        <w:kinsoku w:val="0"/>
        <w:overflowPunct w:val="0"/>
        <w:spacing w:before="36" w:line="360" w:lineRule="auto"/>
        <w:ind w:left="2510"/>
        <w:rPr>
          <w:strike/>
          <w:highlight w:val="none"/>
        </w:rPr>
      </w:pPr>
      <w:r>
        <w:rPr>
          <w:strike/>
          <w:spacing w:val="-2"/>
          <w:highlight w:val="none"/>
        </w:rPr>
        <w:t>法定代表人或其委托代理人：</w:t>
      </w:r>
      <w:r>
        <w:rPr>
          <w:rFonts w:ascii="Times New Roman" w:hAnsi="Times New Roman" w:eastAsia="Times New Roman"/>
          <w:strike/>
          <w:spacing w:val="-2"/>
          <w:highlight w:val="none"/>
          <w:u w:val="single"/>
        </w:rPr>
        <w:tab/>
      </w:r>
      <w:r>
        <w:rPr>
          <w:rFonts w:hAnsi="Times New Roman"/>
          <w:strike/>
          <w:spacing w:val="-2"/>
          <w:highlight w:val="none"/>
          <w:u w:val="single"/>
        </w:rPr>
        <w:t xml:space="preserve">       </w:t>
      </w:r>
      <w:r>
        <w:rPr>
          <w:strike/>
          <w:spacing w:val="-1"/>
          <w:highlight w:val="none"/>
        </w:rPr>
        <w:t>（签字）</w:t>
      </w:r>
    </w:p>
    <w:p w14:paraId="5BADEEA5">
      <w:pPr>
        <w:pStyle w:val="12"/>
        <w:tabs>
          <w:tab w:val="left" w:pos="7241"/>
        </w:tabs>
        <w:kinsoku w:val="0"/>
        <w:overflowPunct w:val="0"/>
        <w:spacing w:before="36" w:line="360" w:lineRule="auto"/>
        <w:ind w:left="2510"/>
        <w:rPr>
          <w:strike/>
          <w:highlight w:val="none"/>
        </w:rPr>
      </w:pPr>
      <w:r>
        <w:rPr>
          <w:strike/>
          <w:spacing w:val="-2"/>
          <w:highlight w:val="none"/>
        </w:rPr>
        <w:t>联合体成员名称：</w:t>
      </w:r>
      <w:r>
        <w:rPr>
          <w:rFonts w:ascii="Times New Roman" w:hAnsi="Times New Roman" w:eastAsia="Times New Roman"/>
          <w:strike/>
          <w:spacing w:val="-2"/>
          <w:highlight w:val="none"/>
          <w:u w:val="single"/>
        </w:rPr>
        <w:tab/>
      </w:r>
      <w:r>
        <w:rPr>
          <w:strike/>
          <w:spacing w:val="-1"/>
          <w:highlight w:val="none"/>
        </w:rPr>
        <w:t>（盖单位章）</w:t>
      </w:r>
    </w:p>
    <w:p w14:paraId="777F79A8">
      <w:pPr>
        <w:pStyle w:val="12"/>
        <w:tabs>
          <w:tab w:val="left" w:pos="6187"/>
        </w:tabs>
        <w:kinsoku w:val="0"/>
        <w:overflowPunct w:val="0"/>
        <w:spacing w:before="36" w:line="360" w:lineRule="auto"/>
        <w:ind w:left="2510"/>
        <w:rPr>
          <w:strike/>
          <w:highlight w:val="none"/>
        </w:rPr>
      </w:pPr>
      <w:r>
        <w:rPr>
          <w:strike/>
          <w:spacing w:val="-2"/>
          <w:highlight w:val="none"/>
        </w:rPr>
        <w:t>法定代表人或其委托代理人：</w:t>
      </w:r>
      <w:r>
        <w:rPr>
          <w:rFonts w:ascii="Times New Roman" w:hAnsi="Times New Roman" w:eastAsia="Times New Roman"/>
          <w:strike/>
          <w:spacing w:val="-2"/>
          <w:highlight w:val="none"/>
          <w:u w:val="single"/>
        </w:rPr>
        <w:tab/>
      </w:r>
      <w:r>
        <w:rPr>
          <w:rFonts w:hAnsi="Times New Roman"/>
          <w:strike/>
          <w:spacing w:val="-2"/>
          <w:highlight w:val="none"/>
          <w:u w:val="single"/>
        </w:rPr>
        <w:t xml:space="preserve">         </w:t>
      </w:r>
      <w:r>
        <w:rPr>
          <w:strike/>
          <w:spacing w:val="-1"/>
          <w:highlight w:val="none"/>
        </w:rPr>
        <w:t>（签字）</w:t>
      </w:r>
    </w:p>
    <w:p w14:paraId="01F6831E">
      <w:pPr>
        <w:pStyle w:val="12"/>
        <w:tabs>
          <w:tab w:val="left" w:pos="7241"/>
        </w:tabs>
        <w:kinsoku w:val="0"/>
        <w:overflowPunct w:val="0"/>
        <w:spacing w:before="36" w:line="360" w:lineRule="auto"/>
        <w:ind w:left="2510"/>
        <w:rPr>
          <w:strike/>
          <w:highlight w:val="none"/>
        </w:rPr>
      </w:pPr>
      <w:r>
        <w:rPr>
          <w:strike/>
          <w:spacing w:val="-2"/>
          <w:highlight w:val="none"/>
        </w:rPr>
        <w:t>联合体成员名称：</w:t>
      </w:r>
      <w:r>
        <w:rPr>
          <w:rFonts w:ascii="Times New Roman" w:hAnsi="Times New Roman" w:eastAsia="Times New Roman"/>
          <w:strike/>
          <w:spacing w:val="-2"/>
          <w:highlight w:val="none"/>
          <w:u w:val="single"/>
        </w:rPr>
        <w:tab/>
      </w:r>
      <w:r>
        <w:rPr>
          <w:strike/>
          <w:spacing w:val="-1"/>
          <w:highlight w:val="none"/>
        </w:rPr>
        <w:t>（盖单位章）</w:t>
      </w:r>
    </w:p>
    <w:p w14:paraId="27EA4429">
      <w:pPr>
        <w:pStyle w:val="12"/>
        <w:tabs>
          <w:tab w:val="left" w:pos="6187"/>
        </w:tabs>
        <w:kinsoku w:val="0"/>
        <w:overflowPunct w:val="0"/>
        <w:spacing w:before="36" w:line="360" w:lineRule="auto"/>
        <w:ind w:left="2510"/>
        <w:rPr>
          <w:strike/>
          <w:spacing w:val="-1"/>
          <w:highlight w:val="none"/>
        </w:rPr>
      </w:pPr>
      <w:r>
        <w:rPr>
          <w:strike/>
          <w:spacing w:val="-2"/>
          <w:highlight w:val="none"/>
        </w:rPr>
        <w:t>法定代表人或其委托代理人：</w:t>
      </w:r>
      <w:r>
        <w:rPr>
          <w:rFonts w:ascii="Times New Roman" w:hAnsi="Times New Roman" w:eastAsia="Times New Roman"/>
          <w:strike/>
          <w:spacing w:val="-2"/>
          <w:highlight w:val="none"/>
          <w:u w:val="single"/>
        </w:rPr>
        <w:tab/>
      </w:r>
      <w:r>
        <w:rPr>
          <w:rFonts w:hAnsi="Times New Roman"/>
          <w:strike/>
          <w:spacing w:val="-2"/>
          <w:highlight w:val="none"/>
          <w:u w:val="single"/>
        </w:rPr>
        <w:t xml:space="preserve">         </w:t>
      </w:r>
      <w:r>
        <w:rPr>
          <w:strike/>
          <w:spacing w:val="-1"/>
          <w:highlight w:val="none"/>
        </w:rPr>
        <w:t>（签字）</w:t>
      </w:r>
    </w:p>
    <w:p w14:paraId="49E2268F">
      <w:pPr>
        <w:pStyle w:val="12"/>
        <w:kinsoku w:val="0"/>
        <w:overflowPunct w:val="0"/>
        <w:spacing w:before="12"/>
        <w:ind w:left="0"/>
        <w:rPr>
          <w:strike/>
          <w:highlight w:val="none"/>
        </w:rPr>
      </w:pPr>
    </w:p>
    <w:p w14:paraId="5FBCE77F">
      <w:pPr>
        <w:pStyle w:val="12"/>
        <w:tabs>
          <w:tab w:val="left" w:pos="4538"/>
          <w:tab w:val="left" w:pos="5484"/>
          <w:tab w:val="left" w:pos="6427"/>
        </w:tabs>
        <w:kinsoku w:val="0"/>
        <w:overflowPunct w:val="0"/>
        <w:spacing w:before="36"/>
        <w:ind w:left="3801"/>
        <w:rPr>
          <w:strike/>
          <w:highlight w:val="none"/>
        </w:rPr>
      </w:pPr>
      <w:r>
        <w:rPr>
          <w:rFonts w:ascii="Times New Roman" w:hAnsi="Times New Roman" w:eastAsia="Times New Roman"/>
          <w:strike/>
          <w:highlight w:val="none"/>
          <w:u w:val="single"/>
        </w:rPr>
        <w:t xml:space="preserve"> </w:t>
      </w:r>
      <w:r>
        <w:rPr>
          <w:rFonts w:ascii="Times New Roman" w:hAnsi="Times New Roman" w:eastAsia="Times New Roman"/>
          <w:strike/>
          <w:highlight w:val="none"/>
          <w:u w:val="single"/>
        </w:rPr>
        <w:tab/>
      </w:r>
      <w:r>
        <w:rPr>
          <w:strike/>
          <w:highlight w:val="none"/>
        </w:rPr>
        <w:t>年</w:t>
      </w:r>
      <w:r>
        <w:rPr>
          <w:rFonts w:ascii="Times New Roman" w:hAnsi="Times New Roman" w:eastAsia="Times New Roman"/>
          <w:strike/>
          <w:highlight w:val="none"/>
          <w:u w:val="single"/>
        </w:rPr>
        <w:tab/>
      </w:r>
      <w:r>
        <w:rPr>
          <w:strike/>
          <w:spacing w:val="-3"/>
          <w:highlight w:val="none"/>
        </w:rPr>
        <w:t>月</w:t>
      </w:r>
      <w:r>
        <w:rPr>
          <w:rFonts w:ascii="Times New Roman" w:hAnsi="Times New Roman" w:eastAsia="Times New Roman"/>
          <w:strike/>
          <w:spacing w:val="-3"/>
          <w:highlight w:val="none"/>
          <w:u w:val="single"/>
        </w:rPr>
        <w:tab/>
      </w:r>
      <w:r>
        <w:rPr>
          <w:strike/>
          <w:highlight w:val="none"/>
        </w:rPr>
        <w:t>日</w:t>
      </w:r>
    </w:p>
    <w:p w14:paraId="37F2627F">
      <w:pPr>
        <w:pStyle w:val="12"/>
        <w:tabs>
          <w:tab w:val="left" w:pos="4538"/>
          <w:tab w:val="left" w:pos="5484"/>
          <w:tab w:val="left" w:pos="6427"/>
        </w:tabs>
        <w:kinsoku w:val="0"/>
        <w:overflowPunct w:val="0"/>
        <w:spacing w:before="36"/>
        <w:ind w:left="3801"/>
        <w:rPr>
          <w:highlight w:val="none"/>
        </w:rPr>
        <w:sectPr>
          <w:pgSz w:w="11905" w:h="16838"/>
          <w:pgMar w:top="1417" w:right="1417" w:bottom="1417" w:left="1417" w:header="992" w:footer="992" w:gutter="0"/>
          <w:cols w:space="720" w:num="1"/>
        </w:sectPr>
      </w:pPr>
    </w:p>
    <w:p w14:paraId="73271EBF">
      <w:pPr>
        <w:pStyle w:val="6"/>
        <w:spacing w:before="120" w:after="120"/>
        <w:jc w:val="center"/>
        <w:rPr>
          <w:strike/>
          <w:sz w:val="28"/>
          <w:highlight w:val="none"/>
        </w:rPr>
      </w:pPr>
      <w:bookmarkStart w:id="226" w:name="bookmark182"/>
      <w:bookmarkEnd w:id="226"/>
      <w:bookmarkStart w:id="227" w:name="_Toc9753"/>
      <w:r>
        <w:rPr>
          <w:strike/>
          <w:sz w:val="28"/>
          <w:highlight w:val="none"/>
        </w:rPr>
        <w:t>四、投标保证金</w:t>
      </w:r>
      <w:bookmarkEnd w:id="227"/>
    </w:p>
    <w:p w14:paraId="28374AA6">
      <w:pPr>
        <w:pStyle w:val="12"/>
        <w:kinsoku w:val="0"/>
        <w:overflowPunct w:val="0"/>
        <w:spacing w:before="15" w:line="360" w:lineRule="auto"/>
        <w:ind w:left="0"/>
        <w:rPr>
          <w:rFonts w:cs="宋体"/>
          <w:b/>
          <w:szCs w:val="21"/>
          <w:highlight w:val="none"/>
        </w:rPr>
      </w:pPr>
    </w:p>
    <w:p w14:paraId="1FE38032">
      <w:pPr>
        <w:pStyle w:val="6"/>
        <w:spacing w:before="120" w:after="120"/>
        <w:jc w:val="center"/>
        <w:rPr>
          <w:highlight w:val="none"/>
        </w:rPr>
        <w:sectPr>
          <w:pgSz w:w="11905" w:h="16838"/>
          <w:pgMar w:top="1417" w:right="1417" w:bottom="1417" w:left="1417" w:header="992" w:footer="992" w:gutter="0"/>
          <w:cols w:space="720" w:num="1"/>
        </w:sectPr>
      </w:pPr>
      <w:bookmarkStart w:id="228" w:name="bookmark183"/>
      <w:bookmarkEnd w:id="228"/>
    </w:p>
    <w:p w14:paraId="5146322A">
      <w:pPr>
        <w:pStyle w:val="6"/>
        <w:spacing w:before="120" w:after="120"/>
        <w:jc w:val="center"/>
        <w:rPr>
          <w:sz w:val="28"/>
          <w:highlight w:val="none"/>
        </w:rPr>
      </w:pPr>
      <w:bookmarkStart w:id="229" w:name="_Toc10111"/>
      <w:r>
        <w:rPr>
          <w:sz w:val="28"/>
          <w:highlight w:val="none"/>
        </w:rPr>
        <w:t>五、监理报酬清单</w:t>
      </w:r>
      <w:bookmarkEnd w:id="229"/>
      <w:r>
        <w:rPr>
          <w:rFonts w:hint="eastAsia"/>
          <w:sz w:val="28"/>
          <w:highlight w:val="none"/>
        </w:rPr>
        <w:t>（格式仅供参考）</w:t>
      </w:r>
    </w:p>
    <w:p w14:paraId="2DCCA9BC">
      <w:pPr>
        <w:pStyle w:val="12"/>
        <w:kinsoku w:val="0"/>
        <w:overflowPunct w:val="0"/>
        <w:ind w:left="0"/>
        <w:rPr>
          <w:sz w:val="20"/>
          <w:highlight w:val="none"/>
        </w:rPr>
      </w:pPr>
    </w:p>
    <w:p w14:paraId="327E3C06">
      <w:pPr>
        <w:spacing w:line="440" w:lineRule="exact"/>
        <w:rPr>
          <w:rFonts w:ascii="宋体" w:hAnsi="宋体" w:cs="宋体"/>
          <w:sz w:val="21"/>
          <w:szCs w:val="21"/>
          <w:highlight w:val="none"/>
        </w:rPr>
      </w:pPr>
      <w:r>
        <w:rPr>
          <w:rFonts w:ascii="宋体" w:hAnsi="宋体" w:cs="宋体"/>
          <w:sz w:val="21"/>
          <w:szCs w:val="21"/>
          <w:highlight w:val="none"/>
        </w:rPr>
        <w:t>项目名称：</w:t>
      </w:r>
      <w:r>
        <w:rPr>
          <w:rFonts w:ascii="宋体" w:hAnsi="宋体" w:cs="宋体"/>
          <w:sz w:val="21"/>
          <w:szCs w:val="21"/>
          <w:highlight w:val="none"/>
          <w:u w:val="single"/>
        </w:rPr>
        <w:t xml:space="preserve">                 </w:t>
      </w:r>
      <w:r>
        <w:rPr>
          <w:rFonts w:ascii="宋体" w:hAnsi="宋体" w:cs="宋体"/>
          <w:sz w:val="21"/>
          <w:szCs w:val="21"/>
          <w:highlight w:val="none"/>
        </w:rPr>
        <w:t xml:space="preserve"> </w:t>
      </w:r>
    </w:p>
    <w:tbl>
      <w:tblPr>
        <w:tblStyle w:val="24"/>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65"/>
        <w:gridCol w:w="1822"/>
        <w:gridCol w:w="1822"/>
        <w:gridCol w:w="992"/>
      </w:tblGrid>
      <w:tr w14:paraId="1A9A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14:paraId="5B545E6D">
            <w:pPr>
              <w:jc w:val="center"/>
              <w:rPr>
                <w:rFonts w:ascii="宋体" w:hAnsi="宋体" w:cs="宋体"/>
                <w:b/>
                <w:sz w:val="21"/>
                <w:szCs w:val="21"/>
                <w:highlight w:val="none"/>
              </w:rPr>
            </w:pPr>
            <w:r>
              <w:rPr>
                <w:rFonts w:ascii="宋体" w:hAnsi="宋体" w:cs="宋体"/>
                <w:b/>
                <w:sz w:val="21"/>
                <w:szCs w:val="21"/>
                <w:highlight w:val="none"/>
              </w:rPr>
              <w:t>序号</w:t>
            </w:r>
          </w:p>
        </w:tc>
        <w:tc>
          <w:tcPr>
            <w:tcW w:w="3565" w:type="dxa"/>
            <w:tcBorders>
              <w:top w:val="single" w:color="auto" w:sz="4" w:space="0"/>
              <w:left w:val="single" w:color="auto" w:sz="4" w:space="0"/>
              <w:bottom w:val="single" w:color="auto" w:sz="4" w:space="0"/>
              <w:right w:val="single" w:color="auto" w:sz="4" w:space="0"/>
              <w:tl2br w:val="nil"/>
              <w:tr2bl w:val="nil"/>
            </w:tcBorders>
            <w:vAlign w:val="center"/>
          </w:tcPr>
          <w:p w14:paraId="604B1880">
            <w:pPr>
              <w:jc w:val="center"/>
              <w:rPr>
                <w:rFonts w:ascii="宋体" w:hAnsi="宋体" w:cs="宋体"/>
                <w:sz w:val="21"/>
                <w:szCs w:val="21"/>
                <w:highlight w:val="none"/>
              </w:rPr>
            </w:pPr>
            <w:r>
              <w:rPr>
                <w:rFonts w:ascii="宋体" w:hAnsi="宋体" w:cs="宋体"/>
                <w:b/>
                <w:sz w:val="21"/>
                <w:szCs w:val="21"/>
                <w:highlight w:val="none"/>
              </w:rPr>
              <w:t>监理子项目名称</w:t>
            </w: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14:paraId="344A4642">
            <w:pPr>
              <w:jc w:val="center"/>
              <w:rPr>
                <w:rFonts w:ascii="宋体" w:hAnsi="宋体" w:cs="宋体"/>
                <w:b/>
                <w:sz w:val="21"/>
                <w:szCs w:val="21"/>
                <w:highlight w:val="none"/>
              </w:rPr>
            </w:pPr>
            <w:r>
              <w:rPr>
                <w:rFonts w:ascii="宋体" w:hAnsi="宋体" w:cs="宋体"/>
                <w:b/>
                <w:sz w:val="21"/>
                <w:szCs w:val="21"/>
                <w:highlight w:val="none"/>
              </w:rPr>
              <w:t>投标下浮率(%)</w:t>
            </w: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14:paraId="2EEDDDE8">
            <w:pPr>
              <w:jc w:val="center"/>
              <w:rPr>
                <w:rFonts w:ascii="宋体" w:hAnsi="宋体" w:cs="宋体"/>
                <w:b/>
                <w:sz w:val="21"/>
                <w:szCs w:val="21"/>
                <w:highlight w:val="none"/>
              </w:rPr>
            </w:pPr>
            <w:r>
              <w:rPr>
                <w:rFonts w:ascii="宋体" w:hAnsi="宋体" w:cs="宋体"/>
                <w:b/>
                <w:sz w:val="21"/>
                <w:szCs w:val="21"/>
                <w:highlight w:val="none"/>
              </w:rPr>
              <w:t>投标报价（元）</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1AD14451">
            <w:pPr>
              <w:jc w:val="center"/>
              <w:rPr>
                <w:rFonts w:ascii="宋体" w:hAnsi="宋体" w:cs="宋体"/>
                <w:b/>
                <w:sz w:val="21"/>
                <w:szCs w:val="21"/>
                <w:highlight w:val="none"/>
              </w:rPr>
            </w:pPr>
            <w:r>
              <w:rPr>
                <w:rFonts w:ascii="宋体" w:hAnsi="宋体" w:cs="宋体"/>
                <w:b/>
                <w:sz w:val="21"/>
                <w:szCs w:val="21"/>
                <w:highlight w:val="none"/>
              </w:rPr>
              <w:t>备注</w:t>
            </w:r>
          </w:p>
        </w:tc>
      </w:tr>
      <w:tr w14:paraId="21C3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14:paraId="56E57907">
            <w:pPr>
              <w:spacing w:line="360" w:lineRule="auto"/>
              <w:jc w:val="center"/>
              <w:rPr>
                <w:rFonts w:ascii="宋体" w:hAnsi="宋体" w:cs="宋体"/>
                <w:sz w:val="21"/>
                <w:szCs w:val="21"/>
                <w:highlight w:val="none"/>
              </w:rPr>
            </w:pPr>
          </w:p>
        </w:tc>
        <w:tc>
          <w:tcPr>
            <w:tcW w:w="3565" w:type="dxa"/>
            <w:tcBorders>
              <w:top w:val="single" w:color="auto" w:sz="4" w:space="0"/>
              <w:left w:val="single" w:color="auto" w:sz="4" w:space="0"/>
              <w:bottom w:val="single" w:color="auto" w:sz="4" w:space="0"/>
              <w:right w:val="single" w:color="auto" w:sz="4" w:space="0"/>
              <w:tl2br w:val="nil"/>
              <w:tr2bl w:val="nil"/>
            </w:tcBorders>
            <w:vAlign w:val="center"/>
          </w:tcPr>
          <w:p w14:paraId="69D02B31">
            <w:pPr>
              <w:rPr>
                <w:rFonts w:ascii="宋体" w:hAnsi="宋体" w:cs="宋体"/>
                <w:sz w:val="21"/>
                <w:szCs w:val="21"/>
                <w:highlight w:val="none"/>
              </w:rPr>
            </w:pPr>
          </w:p>
        </w:tc>
        <w:tc>
          <w:tcPr>
            <w:tcW w:w="182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A439039">
            <w:pPr>
              <w:spacing w:line="360" w:lineRule="auto"/>
              <w:jc w:val="center"/>
              <w:rPr>
                <w:rFonts w:ascii="宋体" w:hAnsi="宋体" w:cs="宋体"/>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14:paraId="571D21FD">
            <w:pPr>
              <w:spacing w:line="360" w:lineRule="auto"/>
              <w:jc w:val="center"/>
              <w:rPr>
                <w:rFonts w:ascii="宋体" w:hAnsi="宋体" w:cs="宋体"/>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2F1FD24A">
            <w:pPr>
              <w:spacing w:line="360" w:lineRule="auto"/>
              <w:jc w:val="center"/>
              <w:rPr>
                <w:rFonts w:ascii="宋体" w:hAnsi="宋体" w:cs="宋体"/>
                <w:sz w:val="21"/>
                <w:szCs w:val="21"/>
                <w:highlight w:val="none"/>
              </w:rPr>
            </w:pPr>
          </w:p>
        </w:tc>
      </w:tr>
      <w:tr w14:paraId="19F4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14:paraId="51DDEDC3">
            <w:pPr>
              <w:spacing w:line="360" w:lineRule="auto"/>
              <w:jc w:val="center"/>
              <w:rPr>
                <w:rFonts w:ascii="宋体" w:hAnsi="宋体" w:cs="宋体"/>
                <w:sz w:val="21"/>
                <w:szCs w:val="21"/>
                <w:highlight w:val="none"/>
              </w:rPr>
            </w:pPr>
          </w:p>
        </w:tc>
        <w:tc>
          <w:tcPr>
            <w:tcW w:w="3565" w:type="dxa"/>
            <w:tcBorders>
              <w:top w:val="single" w:color="auto" w:sz="4" w:space="0"/>
              <w:left w:val="single" w:color="auto" w:sz="4" w:space="0"/>
              <w:bottom w:val="single" w:color="auto" w:sz="4" w:space="0"/>
              <w:right w:val="single" w:color="auto" w:sz="4" w:space="0"/>
              <w:tl2br w:val="nil"/>
              <w:tr2bl w:val="nil"/>
            </w:tcBorders>
            <w:vAlign w:val="center"/>
          </w:tcPr>
          <w:p w14:paraId="447EA4D7">
            <w:pPr>
              <w:rPr>
                <w:rFonts w:ascii="宋体" w:hAnsi="宋体" w:cs="宋体"/>
                <w:sz w:val="21"/>
                <w:szCs w:val="21"/>
                <w:highlight w:val="none"/>
              </w:rPr>
            </w:pPr>
          </w:p>
        </w:tc>
        <w:tc>
          <w:tcPr>
            <w:tcW w:w="182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0963C1F">
            <w:pPr>
              <w:spacing w:line="360" w:lineRule="auto"/>
              <w:jc w:val="center"/>
              <w:rPr>
                <w:rFonts w:ascii="宋体" w:hAnsi="宋体" w:cs="宋体"/>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14:paraId="4F25118B">
            <w:pPr>
              <w:spacing w:line="360" w:lineRule="auto"/>
              <w:jc w:val="center"/>
              <w:rPr>
                <w:rFonts w:ascii="宋体" w:hAnsi="宋体" w:cs="宋体"/>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4145940F">
            <w:pPr>
              <w:spacing w:line="360" w:lineRule="auto"/>
              <w:jc w:val="center"/>
              <w:rPr>
                <w:rFonts w:ascii="宋体" w:hAnsi="宋体" w:cs="宋体"/>
                <w:sz w:val="21"/>
                <w:szCs w:val="21"/>
                <w:highlight w:val="none"/>
              </w:rPr>
            </w:pPr>
          </w:p>
        </w:tc>
      </w:tr>
      <w:tr w14:paraId="63E4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38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F02D74C">
            <w:pPr>
              <w:jc w:val="center"/>
              <w:rPr>
                <w:rFonts w:ascii="宋体" w:hAnsi="宋体" w:cs="宋体"/>
                <w:b/>
                <w:sz w:val="21"/>
                <w:szCs w:val="21"/>
                <w:highlight w:val="none"/>
              </w:rPr>
            </w:pPr>
            <w:r>
              <w:rPr>
                <w:rFonts w:ascii="宋体" w:hAnsi="宋体" w:cs="宋体"/>
                <w:b/>
                <w:sz w:val="21"/>
                <w:szCs w:val="21"/>
                <w:highlight w:val="none"/>
              </w:rPr>
              <w:t>合计报价</w:t>
            </w: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14:paraId="5D005760">
            <w:pPr>
              <w:spacing w:line="360" w:lineRule="auto"/>
              <w:jc w:val="center"/>
              <w:rPr>
                <w:rFonts w:ascii="宋体" w:hAnsi="宋体" w:cs="宋体"/>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14:paraId="46E9B05A">
            <w:pPr>
              <w:spacing w:line="360" w:lineRule="auto"/>
              <w:jc w:val="center"/>
              <w:rPr>
                <w:rFonts w:ascii="宋体" w:hAnsi="宋体" w:cs="宋体"/>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420027A8">
            <w:pPr>
              <w:spacing w:line="360" w:lineRule="auto"/>
              <w:jc w:val="center"/>
              <w:rPr>
                <w:rFonts w:ascii="宋体" w:hAnsi="宋体" w:cs="宋体"/>
                <w:sz w:val="21"/>
                <w:szCs w:val="21"/>
                <w:highlight w:val="none"/>
              </w:rPr>
            </w:pPr>
          </w:p>
        </w:tc>
      </w:tr>
    </w:tbl>
    <w:p w14:paraId="7D08AE51">
      <w:pPr>
        <w:pStyle w:val="38"/>
        <w:spacing w:line="240" w:lineRule="auto"/>
        <w:ind w:firstLine="0" w:firstLineChars="0"/>
        <w:rPr>
          <w:rFonts w:ascii="宋体" w:hAnsi="宋体" w:cs="宋体"/>
          <w:sz w:val="21"/>
          <w:szCs w:val="21"/>
          <w:highlight w:val="none"/>
        </w:rPr>
      </w:pPr>
    </w:p>
    <w:p w14:paraId="0989D7DA">
      <w:pPr>
        <w:pStyle w:val="38"/>
        <w:spacing w:line="240" w:lineRule="auto"/>
        <w:ind w:firstLine="0" w:firstLineChars="0"/>
        <w:rPr>
          <w:rFonts w:ascii="宋体" w:hAnsi="宋体" w:cs="宋体"/>
          <w:sz w:val="21"/>
          <w:szCs w:val="21"/>
          <w:highlight w:val="none"/>
        </w:rPr>
      </w:pPr>
      <w:r>
        <w:rPr>
          <w:rFonts w:ascii="宋体" w:hAnsi="宋体" w:cs="宋体"/>
          <w:sz w:val="21"/>
          <w:szCs w:val="21"/>
          <w:highlight w:val="none"/>
        </w:rPr>
        <w:t>注：</w:t>
      </w:r>
    </w:p>
    <w:p w14:paraId="645C5A33">
      <w:pPr>
        <w:pStyle w:val="38"/>
        <w:ind w:firstLine="428"/>
        <w:rPr>
          <w:rFonts w:ascii="宋体" w:hAnsi="宋体" w:cs="宋体"/>
          <w:sz w:val="21"/>
          <w:szCs w:val="21"/>
          <w:highlight w:val="none"/>
        </w:rPr>
      </w:pPr>
      <w:r>
        <w:rPr>
          <w:rFonts w:ascii="宋体" w:hAnsi="宋体" w:cs="宋体"/>
          <w:sz w:val="21"/>
          <w:szCs w:val="21"/>
          <w:highlight w:val="none"/>
        </w:rPr>
        <w:t>1、</w:t>
      </w:r>
      <w:r>
        <w:rPr>
          <w:rFonts w:ascii="宋体" w:hAnsi="宋体" w:cs="宋体"/>
          <w:sz w:val="21"/>
          <w:szCs w:val="21"/>
          <w:highlight w:val="none"/>
          <w:lang w:val="zh-CN"/>
        </w:rPr>
        <w:t>投标下浮率以百分比为单位，保留到小数点后</w:t>
      </w:r>
      <w:r>
        <w:rPr>
          <w:rFonts w:ascii="宋体" w:hAnsi="宋体" w:cs="宋体"/>
          <w:sz w:val="21"/>
          <w:szCs w:val="21"/>
          <w:highlight w:val="none"/>
        </w:rPr>
        <w:t>2</w:t>
      </w:r>
      <w:r>
        <w:rPr>
          <w:rFonts w:ascii="宋体" w:hAnsi="宋体" w:cs="宋体"/>
          <w:sz w:val="21"/>
          <w:szCs w:val="21"/>
          <w:highlight w:val="none"/>
          <w:lang w:val="zh-CN"/>
        </w:rPr>
        <w:t>位</w:t>
      </w:r>
      <w:r>
        <w:rPr>
          <w:rFonts w:ascii="宋体" w:hAnsi="宋体" w:cs="宋体"/>
          <w:sz w:val="21"/>
          <w:szCs w:val="21"/>
          <w:highlight w:val="none"/>
        </w:rPr>
        <w:t>，投标报价填报保留小数点后2位。</w:t>
      </w:r>
    </w:p>
    <w:p w14:paraId="566D9C79">
      <w:pPr>
        <w:pStyle w:val="38"/>
        <w:ind w:firstLine="428"/>
        <w:rPr>
          <w:rFonts w:ascii="宋体" w:hAnsi="宋体" w:cs="宋体"/>
          <w:sz w:val="21"/>
          <w:szCs w:val="21"/>
          <w:highlight w:val="none"/>
        </w:rPr>
      </w:pPr>
      <w:r>
        <w:rPr>
          <w:rFonts w:ascii="宋体" w:hAnsi="宋体" w:cs="宋体"/>
          <w:sz w:val="21"/>
          <w:szCs w:val="21"/>
          <w:highlight w:val="none"/>
        </w:rPr>
        <w:t>2、监理费投标下浮率=（监理费最高投标限价-监理费投标报价）/监理费最高投标限价*100%。</w:t>
      </w:r>
    </w:p>
    <w:p w14:paraId="078536C7">
      <w:pPr>
        <w:pStyle w:val="38"/>
        <w:ind w:firstLine="428"/>
        <w:outlineLvl w:val="2"/>
        <w:rPr>
          <w:rFonts w:ascii="宋体" w:hAnsi="宋体" w:cs="宋体"/>
          <w:sz w:val="21"/>
          <w:szCs w:val="21"/>
          <w:highlight w:val="none"/>
        </w:rPr>
      </w:pPr>
      <w:bookmarkStart w:id="230" w:name="_Toc6894"/>
      <w:bookmarkStart w:id="231" w:name="_Toc4060"/>
      <w:r>
        <w:rPr>
          <w:rFonts w:ascii="宋体" w:hAnsi="宋体" w:cs="宋体"/>
          <w:sz w:val="21"/>
          <w:szCs w:val="21"/>
          <w:highlight w:val="none"/>
        </w:rPr>
        <w:t>3、投标报价与投标下浮率不符时，以投标下浮率为准修正总价。</w:t>
      </w:r>
      <w:bookmarkEnd w:id="230"/>
      <w:bookmarkEnd w:id="231"/>
    </w:p>
    <w:p w14:paraId="45CDA0F2">
      <w:pPr>
        <w:pStyle w:val="38"/>
        <w:ind w:firstLine="428"/>
        <w:outlineLvl w:val="2"/>
        <w:rPr>
          <w:rFonts w:ascii="宋体" w:hAnsi="宋体" w:cs="宋体"/>
          <w:sz w:val="21"/>
          <w:szCs w:val="21"/>
          <w:highlight w:val="none"/>
        </w:rPr>
      </w:pPr>
      <w:r>
        <w:rPr>
          <w:rFonts w:hint="eastAsia" w:ascii="宋体" w:hAnsi="宋体" w:cs="宋体"/>
          <w:sz w:val="21"/>
          <w:szCs w:val="21"/>
          <w:highlight w:val="none"/>
        </w:rPr>
        <w:t>4、合计费用应与投标函的监理费报价一致。</w:t>
      </w:r>
    </w:p>
    <w:p w14:paraId="0D461658">
      <w:pPr>
        <w:rPr>
          <w:highlight w:val="none"/>
        </w:rPr>
        <w:sectPr>
          <w:pgSz w:w="11905" w:h="16838"/>
          <w:pgMar w:top="1417" w:right="1417" w:bottom="1417" w:left="1417" w:header="992" w:footer="992" w:gutter="0"/>
          <w:cols w:space="720" w:num="1"/>
        </w:sectPr>
      </w:pPr>
    </w:p>
    <w:p w14:paraId="36317B86">
      <w:pPr>
        <w:pStyle w:val="6"/>
        <w:kinsoku w:val="0"/>
        <w:overflowPunct w:val="0"/>
        <w:spacing w:before="120" w:after="120" w:line="456" w:lineRule="exact"/>
        <w:ind w:right="1"/>
        <w:jc w:val="center"/>
        <w:rPr>
          <w:b w:val="0"/>
          <w:sz w:val="28"/>
          <w:highlight w:val="none"/>
        </w:rPr>
      </w:pPr>
      <w:bookmarkStart w:id="232" w:name="bookmark184"/>
      <w:bookmarkEnd w:id="232"/>
      <w:bookmarkStart w:id="233" w:name="_Toc26761"/>
      <w:r>
        <w:rPr>
          <w:sz w:val="28"/>
          <w:highlight w:val="none"/>
        </w:rPr>
        <w:t>六、资格审查资料</w:t>
      </w:r>
      <w:bookmarkEnd w:id="233"/>
    </w:p>
    <w:p w14:paraId="52C7646B">
      <w:pPr>
        <w:pStyle w:val="12"/>
        <w:kinsoku w:val="0"/>
        <w:overflowPunct w:val="0"/>
        <w:spacing w:before="10"/>
        <w:ind w:left="0"/>
        <w:rPr>
          <w:rFonts w:ascii="Microsoft JhengHei" w:hAnsi="Microsoft JhengHei" w:eastAsia="Microsoft JhengHei"/>
          <w:b/>
          <w:sz w:val="15"/>
          <w:highlight w:val="none"/>
        </w:rPr>
      </w:pPr>
    </w:p>
    <w:p w14:paraId="30EC8E42">
      <w:pPr>
        <w:pStyle w:val="7"/>
        <w:rPr>
          <w:b/>
          <w:sz w:val="24"/>
          <w:highlight w:val="none"/>
        </w:rPr>
      </w:pPr>
      <w:bookmarkStart w:id="234" w:name="bookmark185"/>
      <w:bookmarkEnd w:id="234"/>
      <w:bookmarkStart w:id="235" w:name="_Toc25320"/>
      <w:r>
        <w:rPr>
          <w:b/>
          <w:sz w:val="24"/>
          <w:highlight w:val="none"/>
        </w:rPr>
        <w:t>（一）基本情况表</w:t>
      </w:r>
      <w:bookmarkEnd w:id="235"/>
    </w:p>
    <w:p w14:paraId="5CE53B99">
      <w:pPr>
        <w:pStyle w:val="12"/>
        <w:kinsoku w:val="0"/>
        <w:overflowPunct w:val="0"/>
        <w:ind w:left="0"/>
        <w:rPr>
          <w:sz w:val="23"/>
          <w:highlight w:val="none"/>
        </w:rPr>
      </w:pPr>
    </w:p>
    <w:tbl>
      <w:tblPr>
        <w:tblStyle w:val="24"/>
        <w:tblW w:w="9212" w:type="dxa"/>
        <w:tblInd w:w="-104" w:type="dxa"/>
        <w:tblLayout w:type="fixed"/>
        <w:tblCellMar>
          <w:top w:w="0" w:type="dxa"/>
          <w:left w:w="108" w:type="dxa"/>
          <w:bottom w:w="0" w:type="dxa"/>
          <w:right w:w="108" w:type="dxa"/>
        </w:tblCellMar>
      </w:tblPr>
      <w:tblGrid>
        <w:gridCol w:w="2370"/>
        <w:gridCol w:w="898"/>
        <w:gridCol w:w="1027"/>
        <w:gridCol w:w="1287"/>
        <w:gridCol w:w="415"/>
        <w:gridCol w:w="872"/>
        <w:gridCol w:w="669"/>
        <w:gridCol w:w="444"/>
        <w:gridCol w:w="1230"/>
      </w:tblGrid>
      <w:tr w14:paraId="45B5B2DB">
        <w:tblPrEx>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6601349A">
            <w:pPr>
              <w:pStyle w:val="34"/>
              <w:kinsoku w:val="0"/>
              <w:overflowPunct w:val="0"/>
              <w:jc w:val="center"/>
              <w:rPr>
                <w:rFonts w:ascii="宋体" w:hAnsi="宋体" w:cs="宋体"/>
                <w:sz w:val="21"/>
                <w:szCs w:val="21"/>
                <w:highlight w:val="none"/>
              </w:rPr>
            </w:pPr>
            <w:r>
              <w:rPr>
                <w:rFonts w:ascii="宋体" w:hAnsi="宋体" w:cs="宋体"/>
                <w:sz w:val="21"/>
                <w:szCs w:val="21"/>
                <w:highlight w:val="none"/>
              </w:rPr>
              <w:t>投标人名称</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tcPr>
          <w:p w14:paraId="62A32598">
            <w:pPr>
              <w:rPr>
                <w:rFonts w:ascii="宋体" w:hAnsi="宋体" w:cs="宋体"/>
                <w:sz w:val="21"/>
                <w:szCs w:val="21"/>
                <w:highlight w:val="none"/>
              </w:rPr>
            </w:pPr>
          </w:p>
        </w:tc>
      </w:tr>
      <w:tr w14:paraId="538B0F97">
        <w:tblPrEx>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2DC6E44A">
            <w:pPr>
              <w:pStyle w:val="34"/>
              <w:kinsoku w:val="0"/>
              <w:overflowPunct w:val="0"/>
              <w:jc w:val="center"/>
              <w:rPr>
                <w:rFonts w:ascii="宋体" w:hAnsi="宋体" w:cs="宋体"/>
                <w:sz w:val="21"/>
                <w:szCs w:val="21"/>
                <w:highlight w:val="none"/>
              </w:rPr>
            </w:pPr>
            <w:r>
              <w:rPr>
                <w:rFonts w:ascii="宋体" w:hAnsi="宋体" w:cs="宋体"/>
                <w:sz w:val="21"/>
                <w:szCs w:val="21"/>
                <w:highlight w:val="none"/>
              </w:rPr>
              <w:t>注册地址</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tcPr>
          <w:p w14:paraId="59C103A5">
            <w:pPr>
              <w:rPr>
                <w:rFonts w:ascii="宋体" w:hAnsi="宋体" w:cs="宋体"/>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tcPr>
          <w:p w14:paraId="506FBE03">
            <w:pPr>
              <w:pStyle w:val="34"/>
              <w:kinsoku w:val="0"/>
              <w:overflowPunct w:val="0"/>
              <w:spacing w:before="107"/>
              <w:ind w:left="218"/>
              <w:rPr>
                <w:rFonts w:ascii="宋体" w:hAnsi="宋体" w:cs="宋体"/>
                <w:sz w:val="21"/>
                <w:szCs w:val="21"/>
                <w:highlight w:val="none"/>
              </w:rPr>
            </w:pPr>
            <w:r>
              <w:rPr>
                <w:rFonts w:ascii="宋体" w:hAnsi="宋体" w:cs="宋体"/>
                <w:sz w:val="21"/>
                <w:szCs w:val="21"/>
                <w:highlight w:val="none"/>
              </w:rPr>
              <w:t>邮政编码</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tcPr>
          <w:p w14:paraId="1BB37553">
            <w:pPr>
              <w:rPr>
                <w:rFonts w:ascii="宋体" w:hAnsi="宋体" w:cs="宋体"/>
                <w:sz w:val="21"/>
                <w:szCs w:val="21"/>
                <w:highlight w:val="none"/>
              </w:rPr>
            </w:pPr>
          </w:p>
        </w:tc>
      </w:tr>
      <w:tr w14:paraId="587AFB4A">
        <w:tblPrEx>
          <w:tblCellMar>
            <w:top w:w="0" w:type="dxa"/>
            <w:left w:w="108" w:type="dxa"/>
            <w:bottom w:w="0" w:type="dxa"/>
            <w:right w:w="108" w:type="dxa"/>
          </w:tblCellMar>
        </w:tblPrEx>
        <w:trPr>
          <w:trHeight w:val="451" w:hRule="exact"/>
        </w:trPr>
        <w:tc>
          <w:tcPr>
            <w:tcW w:w="237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577F5F0C">
            <w:pPr>
              <w:pStyle w:val="34"/>
              <w:kinsoku w:val="0"/>
              <w:overflowPunct w:val="0"/>
              <w:jc w:val="center"/>
              <w:rPr>
                <w:rFonts w:ascii="宋体" w:hAnsi="宋体" w:cs="宋体"/>
                <w:sz w:val="21"/>
                <w:szCs w:val="21"/>
                <w:highlight w:val="none"/>
              </w:rPr>
            </w:pPr>
          </w:p>
          <w:p w14:paraId="6593576E">
            <w:pPr>
              <w:pStyle w:val="34"/>
              <w:kinsoku w:val="0"/>
              <w:overflowPunct w:val="0"/>
              <w:jc w:val="center"/>
              <w:rPr>
                <w:rFonts w:ascii="宋体" w:hAnsi="宋体" w:cs="宋体"/>
                <w:sz w:val="21"/>
                <w:szCs w:val="21"/>
                <w:highlight w:val="none"/>
              </w:rPr>
            </w:pPr>
            <w:r>
              <w:rPr>
                <w:rFonts w:ascii="宋体" w:hAnsi="宋体" w:cs="宋体"/>
                <w:sz w:val="21"/>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l2br w:val="nil"/>
              <w:tr2bl w:val="nil"/>
            </w:tcBorders>
          </w:tcPr>
          <w:p w14:paraId="4BB3195E">
            <w:pPr>
              <w:pStyle w:val="34"/>
              <w:kinsoku w:val="0"/>
              <w:overflowPunct w:val="0"/>
              <w:spacing w:before="107"/>
              <w:jc w:val="center"/>
              <w:rPr>
                <w:rFonts w:ascii="宋体" w:hAnsi="宋体" w:cs="宋体"/>
                <w:sz w:val="21"/>
                <w:szCs w:val="21"/>
                <w:highlight w:val="none"/>
              </w:rPr>
            </w:pPr>
            <w:r>
              <w:rPr>
                <w:rFonts w:ascii="宋体" w:hAnsi="宋体" w:cs="宋体"/>
                <w:sz w:val="21"/>
                <w:szCs w:val="21"/>
                <w:highlight w:val="none"/>
              </w:rPr>
              <w:t>联系人</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tcPr>
          <w:p w14:paraId="747DF231">
            <w:pPr>
              <w:rPr>
                <w:rFonts w:ascii="宋体" w:hAnsi="宋体" w:cs="宋体"/>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tcPr>
          <w:p w14:paraId="64ED84A7">
            <w:pPr>
              <w:pStyle w:val="34"/>
              <w:kinsoku w:val="0"/>
              <w:overflowPunct w:val="0"/>
              <w:spacing w:before="107"/>
              <w:ind w:left="374"/>
              <w:rPr>
                <w:rFonts w:ascii="宋体" w:hAnsi="宋体" w:cs="宋体"/>
                <w:sz w:val="21"/>
                <w:szCs w:val="21"/>
                <w:highlight w:val="none"/>
              </w:rPr>
            </w:pPr>
            <w:r>
              <w:rPr>
                <w:rFonts w:ascii="宋体" w:hAnsi="宋体" w:cs="宋体"/>
                <w:sz w:val="21"/>
                <w:szCs w:val="21"/>
                <w:highlight w:val="none"/>
              </w:rPr>
              <w:t>电</w:t>
            </w:r>
            <w:r>
              <w:rPr>
                <w:rFonts w:ascii="宋体" w:hAnsi="宋体" w:cs="宋体"/>
                <w:spacing w:val="2"/>
                <w:sz w:val="21"/>
                <w:szCs w:val="21"/>
                <w:highlight w:val="none"/>
              </w:rPr>
              <w:t xml:space="preserve"> </w:t>
            </w:r>
            <w:r>
              <w:rPr>
                <w:rFonts w:ascii="宋体" w:hAnsi="宋体" w:cs="宋体"/>
                <w:sz w:val="21"/>
                <w:szCs w:val="21"/>
                <w:highlight w:val="none"/>
              </w:rPr>
              <w:t>话</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tcPr>
          <w:p w14:paraId="50D9426C">
            <w:pPr>
              <w:rPr>
                <w:rFonts w:ascii="宋体" w:hAnsi="宋体" w:cs="宋体"/>
                <w:sz w:val="21"/>
                <w:szCs w:val="21"/>
                <w:highlight w:val="none"/>
              </w:rPr>
            </w:pPr>
          </w:p>
        </w:tc>
      </w:tr>
      <w:tr w14:paraId="610DECC6">
        <w:tblPrEx>
          <w:tblCellMar>
            <w:top w:w="0" w:type="dxa"/>
            <w:left w:w="108" w:type="dxa"/>
            <w:bottom w:w="0" w:type="dxa"/>
            <w:right w:w="108" w:type="dxa"/>
          </w:tblCellMar>
        </w:tblPrEx>
        <w:trPr>
          <w:trHeight w:val="449" w:hRule="exact"/>
        </w:trPr>
        <w:tc>
          <w:tcPr>
            <w:tcW w:w="237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E262C41">
            <w:pPr>
              <w:jc w:val="center"/>
              <w:rPr>
                <w:rFonts w:ascii="宋体" w:hAnsi="宋体" w:cs="宋体"/>
                <w:sz w:val="21"/>
                <w:szCs w:val="21"/>
                <w:highlight w:val="none"/>
              </w:rPr>
            </w:pPr>
          </w:p>
        </w:tc>
        <w:tc>
          <w:tcPr>
            <w:tcW w:w="898" w:type="dxa"/>
            <w:tcBorders>
              <w:top w:val="single" w:color="000000" w:sz="4" w:space="0"/>
              <w:left w:val="single" w:color="000000" w:sz="4" w:space="0"/>
              <w:bottom w:val="single" w:color="000000" w:sz="4" w:space="0"/>
              <w:right w:val="single" w:color="000000" w:sz="4" w:space="0"/>
              <w:tl2br w:val="nil"/>
              <w:tr2bl w:val="nil"/>
            </w:tcBorders>
          </w:tcPr>
          <w:p w14:paraId="489ADC7E">
            <w:pPr>
              <w:pStyle w:val="34"/>
              <w:tabs>
                <w:tab w:val="left" w:pos="550"/>
              </w:tabs>
              <w:kinsoku w:val="0"/>
              <w:overflowPunct w:val="0"/>
              <w:spacing w:before="108"/>
              <w:jc w:val="center"/>
              <w:rPr>
                <w:rFonts w:ascii="宋体" w:hAnsi="宋体" w:cs="宋体"/>
                <w:sz w:val="21"/>
                <w:szCs w:val="21"/>
                <w:highlight w:val="none"/>
              </w:rPr>
            </w:pPr>
            <w:r>
              <w:rPr>
                <w:rFonts w:ascii="宋体" w:hAnsi="宋体" w:cs="宋体"/>
                <w:sz w:val="21"/>
                <w:szCs w:val="21"/>
                <w:highlight w:val="none"/>
              </w:rPr>
              <w:t>传真</w:t>
            </w:r>
            <w:r>
              <w:rPr>
                <w:rFonts w:ascii="宋体" w:hAnsi="宋体" w:cs="宋体"/>
                <w:sz w:val="21"/>
                <w:szCs w:val="21"/>
                <w:highlight w:val="none"/>
              </w:rPr>
              <w:tab/>
            </w:r>
            <w:r>
              <w:rPr>
                <w:rFonts w:ascii="宋体" w:hAnsi="宋体" w:cs="宋体"/>
                <w:sz w:val="21"/>
                <w:szCs w:val="21"/>
                <w:highlight w:val="none"/>
              </w:rPr>
              <w:t>真</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tcPr>
          <w:p w14:paraId="6BA59951">
            <w:pPr>
              <w:rPr>
                <w:rFonts w:ascii="宋体" w:hAnsi="宋体" w:cs="宋体"/>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tcPr>
          <w:p w14:paraId="7914CC5C">
            <w:pPr>
              <w:pStyle w:val="34"/>
              <w:kinsoku w:val="0"/>
              <w:overflowPunct w:val="0"/>
              <w:spacing w:before="108"/>
              <w:ind w:left="374"/>
              <w:rPr>
                <w:rFonts w:ascii="宋体" w:hAnsi="宋体" w:cs="宋体"/>
                <w:sz w:val="21"/>
                <w:szCs w:val="21"/>
                <w:highlight w:val="none"/>
              </w:rPr>
            </w:pPr>
            <w:r>
              <w:rPr>
                <w:rFonts w:ascii="宋体" w:hAnsi="宋体" w:cs="宋体"/>
                <w:sz w:val="21"/>
                <w:szCs w:val="21"/>
                <w:highlight w:val="none"/>
              </w:rPr>
              <w:t>网</w:t>
            </w:r>
            <w:r>
              <w:rPr>
                <w:rFonts w:ascii="宋体" w:hAnsi="宋体" w:cs="宋体"/>
                <w:spacing w:val="2"/>
                <w:sz w:val="21"/>
                <w:szCs w:val="21"/>
                <w:highlight w:val="none"/>
              </w:rPr>
              <w:t xml:space="preserve"> </w:t>
            </w:r>
            <w:r>
              <w:rPr>
                <w:rFonts w:ascii="宋体" w:hAnsi="宋体" w:cs="宋体"/>
                <w:sz w:val="21"/>
                <w:szCs w:val="21"/>
                <w:highlight w:val="none"/>
              </w:rPr>
              <w:t>址</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tcPr>
          <w:p w14:paraId="60341444">
            <w:pPr>
              <w:rPr>
                <w:rFonts w:ascii="宋体" w:hAnsi="宋体" w:cs="宋体"/>
                <w:sz w:val="21"/>
                <w:szCs w:val="21"/>
                <w:highlight w:val="none"/>
              </w:rPr>
            </w:pPr>
          </w:p>
        </w:tc>
      </w:tr>
      <w:tr w14:paraId="26B38F2D">
        <w:tblPrEx>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2B5EDB9D">
            <w:pPr>
              <w:pStyle w:val="34"/>
              <w:kinsoku w:val="0"/>
              <w:overflowPunct w:val="0"/>
              <w:jc w:val="center"/>
              <w:rPr>
                <w:rFonts w:ascii="宋体" w:hAnsi="宋体" w:cs="宋体"/>
                <w:sz w:val="21"/>
                <w:szCs w:val="21"/>
                <w:highlight w:val="none"/>
              </w:rPr>
            </w:pPr>
            <w:r>
              <w:rPr>
                <w:rFonts w:ascii="宋体" w:hAnsi="宋体" w:cs="宋体"/>
                <w:sz w:val="21"/>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l2br w:val="nil"/>
              <w:tr2bl w:val="nil"/>
            </w:tcBorders>
          </w:tcPr>
          <w:p w14:paraId="4ED5AA56">
            <w:pPr>
              <w:pStyle w:val="34"/>
              <w:kinsoku w:val="0"/>
              <w:overflowPunct w:val="0"/>
              <w:spacing w:before="107"/>
              <w:jc w:val="center"/>
              <w:rPr>
                <w:rFonts w:ascii="宋体" w:hAnsi="宋体" w:cs="宋体"/>
                <w:sz w:val="21"/>
                <w:szCs w:val="21"/>
                <w:highlight w:val="none"/>
              </w:rPr>
            </w:pPr>
            <w:r>
              <w:rPr>
                <w:rFonts w:ascii="宋体" w:hAnsi="宋体" w:cs="宋体"/>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tcPr>
          <w:p w14:paraId="3DB25B98">
            <w:pPr>
              <w:rPr>
                <w:rFonts w:ascii="宋体" w:hAnsi="宋体" w:cs="宋体"/>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tcPr>
          <w:p w14:paraId="4CFF0B23">
            <w:pPr>
              <w:pStyle w:val="34"/>
              <w:kinsoku w:val="0"/>
              <w:overflowPunct w:val="0"/>
              <w:spacing w:before="107"/>
              <w:rPr>
                <w:rFonts w:ascii="宋体" w:hAnsi="宋体" w:cs="宋体"/>
                <w:sz w:val="21"/>
                <w:szCs w:val="21"/>
                <w:highlight w:val="none"/>
              </w:rPr>
            </w:pPr>
            <w:r>
              <w:rPr>
                <w:rFonts w:ascii="宋体" w:hAnsi="宋体" w:cs="宋体"/>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tcPr>
          <w:p w14:paraId="25D2FE29">
            <w:pPr>
              <w:rPr>
                <w:rFonts w:ascii="宋体" w:hAnsi="宋体" w:cs="宋体"/>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tcPr>
          <w:p w14:paraId="1A016C5F">
            <w:pPr>
              <w:pStyle w:val="34"/>
              <w:kinsoku w:val="0"/>
              <w:overflowPunct w:val="0"/>
              <w:spacing w:before="107"/>
              <w:rPr>
                <w:rFonts w:ascii="宋体" w:hAnsi="宋体" w:cs="宋体"/>
                <w:sz w:val="21"/>
                <w:szCs w:val="21"/>
                <w:highlight w:val="none"/>
              </w:rPr>
            </w:pPr>
            <w:r>
              <w:rPr>
                <w:rFonts w:ascii="宋体" w:hAnsi="宋体" w:cs="宋体"/>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tcPr>
          <w:p w14:paraId="0F942BC1">
            <w:pPr>
              <w:rPr>
                <w:rFonts w:ascii="宋体" w:hAnsi="宋体" w:cs="宋体"/>
                <w:sz w:val="21"/>
                <w:szCs w:val="21"/>
                <w:highlight w:val="none"/>
              </w:rPr>
            </w:pPr>
          </w:p>
        </w:tc>
      </w:tr>
      <w:tr w14:paraId="0EED784A">
        <w:tblPrEx>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54E72689">
            <w:pPr>
              <w:pStyle w:val="34"/>
              <w:kinsoku w:val="0"/>
              <w:overflowPunct w:val="0"/>
              <w:jc w:val="center"/>
              <w:rPr>
                <w:rFonts w:ascii="宋体" w:hAnsi="宋体" w:cs="宋体"/>
                <w:sz w:val="21"/>
                <w:szCs w:val="21"/>
                <w:highlight w:val="none"/>
              </w:rPr>
            </w:pPr>
            <w:r>
              <w:rPr>
                <w:rFonts w:ascii="宋体" w:hAnsi="宋体" w:cs="宋体"/>
                <w:sz w:val="21"/>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l2br w:val="nil"/>
              <w:tr2bl w:val="nil"/>
            </w:tcBorders>
          </w:tcPr>
          <w:p w14:paraId="49C7A325">
            <w:pPr>
              <w:pStyle w:val="34"/>
              <w:kinsoku w:val="0"/>
              <w:overflowPunct w:val="0"/>
              <w:spacing w:before="107"/>
              <w:jc w:val="center"/>
              <w:rPr>
                <w:rFonts w:ascii="宋体" w:hAnsi="宋体" w:cs="宋体"/>
                <w:sz w:val="21"/>
                <w:szCs w:val="21"/>
                <w:highlight w:val="none"/>
              </w:rPr>
            </w:pPr>
            <w:r>
              <w:rPr>
                <w:rFonts w:ascii="宋体" w:hAnsi="宋体" w:cs="宋体"/>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tcPr>
          <w:p w14:paraId="6E8ED0C1">
            <w:pPr>
              <w:rPr>
                <w:rFonts w:ascii="宋体" w:hAnsi="宋体" w:cs="宋体"/>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tcPr>
          <w:p w14:paraId="6AA25C9D">
            <w:pPr>
              <w:pStyle w:val="34"/>
              <w:kinsoku w:val="0"/>
              <w:overflowPunct w:val="0"/>
              <w:spacing w:before="107"/>
              <w:rPr>
                <w:rFonts w:ascii="宋体" w:hAnsi="宋体" w:cs="宋体"/>
                <w:sz w:val="21"/>
                <w:szCs w:val="21"/>
                <w:highlight w:val="none"/>
              </w:rPr>
            </w:pPr>
            <w:r>
              <w:rPr>
                <w:rFonts w:ascii="宋体" w:hAnsi="宋体" w:cs="宋体"/>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tcPr>
          <w:p w14:paraId="11C6F0A8">
            <w:pPr>
              <w:rPr>
                <w:rFonts w:ascii="宋体" w:hAnsi="宋体" w:cs="宋体"/>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tcPr>
          <w:p w14:paraId="15027A5D">
            <w:pPr>
              <w:pStyle w:val="34"/>
              <w:kinsoku w:val="0"/>
              <w:overflowPunct w:val="0"/>
              <w:spacing w:before="107"/>
              <w:rPr>
                <w:rFonts w:ascii="宋体" w:hAnsi="宋体" w:cs="宋体"/>
                <w:sz w:val="21"/>
                <w:szCs w:val="21"/>
                <w:highlight w:val="none"/>
              </w:rPr>
            </w:pPr>
            <w:r>
              <w:rPr>
                <w:rFonts w:ascii="宋体" w:hAnsi="宋体" w:cs="宋体"/>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tcPr>
          <w:p w14:paraId="33F7C2C5">
            <w:pPr>
              <w:rPr>
                <w:rFonts w:ascii="宋体" w:hAnsi="宋体" w:cs="宋体"/>
                <w:sz w:val="21"/>
                <w:szCs w:val="21"/>
                <w:highlight w:val="none"/>
              </w:rPr>
            </w:pPr>
          </w:p>
        </w:tc>
      </w:tr>
      <w:tr w14:paraId="12F76761">
        <w:tblPrEx>
          <w:tblCellMar>
            <w:top w:w="0" w:type="dxa"/>
            <w:left w:w="108" w:type="dxa"/>
            <w:bottom w:w="0" w:type="dxa"/>
            <w:right w:w="108" w:type="dxa"/>
          </w:tblCellMar>
        </w:tblPrEx>
        <w:trPr>
          <w:trHeight w:val="709"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21CE607F">
            <w:pPr>
              <w:pStyle w:val="34"/>
              <w:kinsoku w:val="0"/>
              <w:overflowPunct w:val="0"/>
              <w:jc w:val="center"/>
              <w:rPr>
                <w:rFonts w:ascii="宋体" w:hAnsi="宋体" w:cs="宋体"/>
                <w:sz w:val="21"/>
                <w:szCs w:val="21"/>
                <w:highlight w:val="none"/>
              </w:rPr>
            </w:pPr>
            <w:r>
              <w:rPr>
                <w:rFonts w:ascii="宋体" w:hAnsi="宋体" w:cs="宋体"/>
                <w:sz w:val="21"/>
                <w:szCs w:val="21"/>
                <w:highlight w:val="none"/>
              </w:rPr>
              <w:t>企业监理资质证书</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tcPr>
          <w:p w14:paraId="7C31F450">
            <w:pPr>
              <w:pStyle w:val="34"/>
              <w:tabs>
                <w:tab w:val="left" w:pos="3785"/>
                <w:tab w:val="left" w:pos="5045"/>
              </w:tabs>
              <w:kinsoku w:val="0"/>
              <w:overflowPunct w:val="0"/>
              <w:spacing w:before="107"/>
              <w:ind w:left="1054"/>
              <w:rPr>
                <w:rFonts w:ascii="宋体" w:hAnsi="宋体" w:cs="宋体"/>
                <w:sz w:val="21"/>
                <w:szCs w:val="21"/>
                <w:highlight w:val="none"/>
              </w:rPr>
            </w:pPr>
            <w:r>
              <w:rPr>
                <w:rFonts w:ascii="宋体" w:hAnsi="宋体" w:cs="宋体"/>
                <w:sz w:val="21"/>
                <w:szCs w:val="21"/>
                <w:highlight w:val="none"/>
              </w:rPr>
              <w:t>类型：</w:t>
            </w:r>
            <w:r>
              <w:rPr>
                <w:rFonts w:ascii="宋体" w:hAnsi="宋体" w:cs="宋体"/>
                <w:sz w:val="21"/>
                <w:szCs w:val="21"/>
                <w:highlight w:val="none"/>
              </w:rPr>
              <w:tab/>
            </w:r>
            <w:r>
              <w:rPr>
                <w:rFonts w:ascii="宋体" w:hAnsi="宋体" w:cs="宋体"/>
                <w:spacing w:val="-1"/>
                <w:sz w:val="21"/>
                <w:szCs w:val="21"/>
                <w:highlight w:val="none"/>
              </w:rPr>
              <w:t>等级：</w:t>
            </w:r>
            <w:r>
              <w:rPr>
                <w:rFonts w:ascii="宋体" w:hAnsi="宋体" w:cs="宋体"/>
                <w:spacing w:val="-1"/>
                <w:sz w:val="21"/>
                <w:szCs w:val="21"/>
                <w:highlight w:val="none"/>
              </w:rPr>
              <w:tab/>
            </w:r>
            <w:r>
              <w:rPr>
                <w:rFonts w:ascii="宋体" w:hAnsi="宋体" w:cs="宋体"/>
                <w:spacing w:val="-2"/>
                <w:sz w:val="21"/>
                <w:szCs w:val="21"/>
                <w:highlight w:val="none"/>
              </w:rPr>
              <w:t>证书号：</w:t>
            </w:r>
          </w:p>
        </w:tc>
      </w:tr>
      <w:tr w14:paraId="6F5B95EB">
        <w:tblPrEx>
          <w:tblCellMar>
            <w:top w:w="0" w:type="dxa"/>
            <w:left w:w="108" w:type="dxa"/>
            <w:bottom w:w="0" w:type="dxa"/>
            <w:right w:w="108" w:type="dxa"/>
          </w:tblCellMar>
        </w:tblPrEx>
        <w:trPr>
          <w:trHeight w:val="715"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77062AE1">
            <w:pPr>
              <w:pStyle w:val="34"/>
              <w:kinsoku w:val="0"/>
              <w:overflowPunct w:val="0"/>
              <w:jc w:val="center"/>
              <w:rPr>
                <w:rFonts w:ascii="宋体" w:hAnsi="宋体" w:cs="宋体"/>
                <w:sz w:val="21"/>
                <w:szCs w:val="21"/>
                <w:highlight w:val="none"/>
              </w:rPr>
            </w:pPr>
            <w:r>
              <w:rPr>
                <w:rFonts w:ascii="宋体" w:hAnsi="宋体" w:cs="宋体"/>
                <w:sz w:val="21"/>
                <w:szCs w:val="21"/>
                <w:highlight w:val="none"/>
              </w:rPr>
              <w:t>质量管理体系证书</w:t>
            </w:r>
          </w:p>
          <w:p w14:paraId="66926A88">
            <w:pPr>
              <w:pStyle w:val="34"/>
              <w:kinsoku w:val="0"/>
              <w:overflowPunct w:val="0"/>
              <w:ind w:right="101"/>
              <w:jc w:val="center"/>
              <w:rPr>
                <w:rFonts w:ascii="宋体" w:hAnsi="宋体" w:cs="宋体"/>
                <w:sz w:val="21"/>
                <w:szCs w:val="21"/>
                <w:highlight w:val="none"/>
              </w:rPr>
            </w:pPr>
            <w:r>
              <w:rPr>
                <w:rFonts w:ascii="宋体" w:hAnsi="宋体" w:cs="宋体"/>
                <w:sz w:val="21"/>
                <w:szCs w:val="21"/>
                <w:highlight w:val="none"/>
              </w:rPr>
              <w:t>（如有）</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tcPr>
          <w:p w14:paraId="7A76DEF4">
            <w:pPr>
              <w:pStyle w:val="34"/>
              <w:kinsoku w:val="0"/>
              <w:overflowPunct w:val="0"/>
              <w:spacing w:before="1"/>
              <w:rPr>
                <w:rFonts w:ascii="宋体" w:hAnsi="宋体" w:cs="宋体"/>
                <w:sz w:val="21"/>
                <w:szCs w:val="21"/>
                <w:highlight w:val="none"/>
              </w:rPr>
            </w:pPr>
          </w:p>
          <w:p w14:paraId="5605C934">
            <w:pPr>
              <w:pStyle w:val="34"/>
              <w:tabs>
                <w:tab w:val="left" w:pos="3785"/>
                <w:tab w:val="left" w:pos="5045"/>
              </w:tabs>
              <w:kinsoku w:val="0"/>
              <w:overflowPunct w:val="0"/>
              <w:ind w:left="1054"/>
              <w:rPr>
                <w:rFonts w:ascii="宋体" w:hAnsi="宋体" w:cs="宋体"/>
                <w:sz w:val="21"/>
                <w:szCs w:val="21"/>
                <w:highlight w:val="none"/>
              </w:rPr>
            </w:pPr>
            <w:r>
              <w:rPr>
                <w:rFonts w:ascii="宋体" w:hAnsi="宋体" w:cs="宋体"/>
                <w:sz w:val="21"/>
                <w:szCs w:val="21"/>
                <w:highlight w:val="none"/>
              </w:rPr>
              <w:t>类型：</w:t>
            </w:r>
            <w:r>
              <w:rPr>
                <w:rFonts w:ascii="宋体" w:hAnsi="宋体" w:cs="宋体"/>
                <w:sz w:val="21"/>
                <w:szCs w:val="21"/>
                <w:highlight w:val="none"/>
              </w:rPr>
              <w:tab/>
            </w:r>
            <w:r>
              <w:rPr>
                <w:rFonts w:ascii="宋体" w:hAnsi="宋体" w:cs="宋体"/>
                <w:spacing w:val="-1"/>
                <w:sz w:val="21"/>
                <w:szCs w:val="21"/>
                <w:highlight w:val="none"/>
              </w:rPr>
              <w:t>等级：</w:t>
            </w:r>
            <w:r>
              <w:rPr>
                <w:rFonts w:ascii="宋体" w:hAnsi="宋体" w:cs="宋体"/>
                <w:spacing w:val="-1"/>
                <w:sz w:val="21"/>
                <w:szCs w:val="21"/>
                <w:highlight w:val="none"/>
              </w:rPr>
              <w:tab/>
            </w:r>
            <w:r>
              <w:rPr>
                <w:rFonts w:ascii="宋体" w:hAnsi="宋体" w:cs="宋体"/>
                <w:spacing w:val="-2"/>
                <w:sz w:val="21"/>
                <w:szCs w:val="21"/>
                <w:highlight w:val="none"/>
              </w:rPr>
              <w:t>证书号：</w:t>
            </w:r>
          </w:p>
        </w:tc>
      </w:tr>
      <w:tr w14:paraId="1219B54C">
        <w:tblPrEx>
          <w:tblCellMar>
            <w:top w:w="0" w:type="dxa"/>
            <w:left w:w="108" w:type="dxa"/>
            <w:bottom w:w="0" w:type="dxa"/>
            <w:right w:w="108" w:type="dxa"/>
          </w:tblCellMar>
        </w:tblPrEx>
        <w:trPr>
          <w:trHeight w:val="485"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4081E241">
            <w:pPr>
              <w:pStyle w:val="34"/>
              <w:kinsoku w:val="0"/>
              <w:overflowPunct w:val="0"/>
              <w:jc w:val="center"/>
              <w:rPr>
                <w:rFonts w:ascii="宋体" w:hAnsi="宋体" w:cs="宋体"/>
                <w:sz w:val="21"/>
                <w:szCs w:val="21"/>
                <w:highlight w:val="none"/>
              </w:rPr>
            </w:pPr>
            <w:r>
              <w:rPr>
                <w:rFonts w:ascii="宋体" w:hAnsi="宋体" w:cs="宋体"/>
                <w:sz w:val="21"/>
                <w:szCs w:val="21"/>
                <w:highlight w:val="none"/>
              </w:rPr>
              <w:t>营业执照号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tcPr>
          <w:p w14:paraId="163DF954">
            <w:pPr>
              <w:rPr>
                <w:rFonts w:ascii="宋体" w:hAnsi="宋体" w:cs="宋体"/>
                <w:sz w:val="21"/>
                <w:szCs w:val="21"/>
                <w:highlight w:val="none"/>
              </w:rPr>
            </w:pPr>
          </w:p>
        </w:tc>
        <w:tc>
          <w:tcPr>
            <w:tcW w:w="3630" w:type="dxa"/>
            <w:gridSpan w:val="5"/>
            <w:tcBorders>
              <w:top w:val="single" w:color="000000" w:sz="4" w:space="0"/>
              <w:left w:val="single" w:color="000000" w:sz="4" w:space="0"/>
              <w:bottom w:val="single" w:color="000000" w:sz="4" w:space="0"/>
              <w:right w:val="single" w:color="000000" w:sz="4" w:space="0"/>
              <w:tl2br w:val="nil"/>
              <w:tr2bl w:val="nil"/>
            </w:tcBorders>
          </w:tcPr>
          <w:p w14:paraId="5514738C">
            <w:pPr>
              <w:pStyle w:val="34"/>
              <w:kinsoku w:val="0"/>
              <w:overflowPunct w:val="0"/>
              <w:spacing w:before="107"/>
              <w:ind w:left="1178"/>
              <w:rPr>
                <w:rFonts w:ascii="宋体" w:hAnsi="宋体" w:cs="宋体"/>
                <w:sz w:val="21"/>
                <w:szCs w:val="21"/>
                <w:highlight w:val="none"/>
              </w:rPr>
            </w:pPr>
            <w:r>
              <w:rPr>
                <w:rFonts w:ascii="宋体" w:hAnsi="宋体" w:cs="宋体"/>
                <w:sz w:val="21"/>
                <w:szCs w:val="21"/>
                <w:highlight w:val="none"/>
              </w:rPr>
              <w:t>员工总人数：</w:t>
            </w:r>
          </w:p>
        </w:tc>
      </w:tr>
      <w:tr w14:paraId="1A9AA786">
        <w:tblPrEx>
          <w:tblCellMar>
            <w:top w:w="0" w:type="dxa"/>
            <w:left w:w="108" w:type="dxa"/>
            <w:bottom w:w="0" w:type="dxa"/>
            <w:right w:w="108" w:type="dxa"/>
          </w:tblCellMar>
        </w:tblPrEx>
        <w:trPr>
          <w:trHeight w:val="692"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38708D03">
            <w:pPr>
              <w:pStyle w:val="34"/>
              <w:kinsoku w:val="0"/>
              <w:overflowPunct w:val="0"/>
              <w:jc w:val="center"/>
              <w:rPr>
                <w:rFonts w:ascii="宋体" w:hAnsi="宋体" w:cs="宋体"/>
                <w:sz w:val="21"/>
                <w:szCs w:val="21"/>
                <w:highlight w:val="none"/>
              </w:rPr>
            </w:pPr>
            <w:r>
              <w:rPr>
                <w:rFonts w:ascii="宋体" w:hAnsi="宋体" w:cs="宋体"/>
                <w:sz w:val="21"/>
                <w:szCs w:val="21"/>
                <w:highlight w:val="none"/>
              </w:rPr>
              <w:t>注册资本</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tcPr>
          <w:p w14:paraId="403C4872">
            <w:pPr>
              <w:rPr>
                <w:rFonts w:ascii="宋体" w:hAnsi="宋体" w:cs="宋体"/>
                <w:sz w:val="21"/>
                <w:szCs w:val="21"/>
                <w:highlight w:val="none"/>
              </w:rPr>
            </w:pPr>
          </w:p>
        </w:tc>
        <w:tc>
          <w:tcPr>
            <w:tcW w:w="41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6A3D87D4">
            <w:pPr>
              <w:pStyle w:val="34"/>
              <w:kinsoku w:val="0"/>
              <w:overflowPunct w:val="0"/>
              <w:spacing w:line="384" w:lineRule="auto"/>
              <w:ind w:right="89"/>
              <w:jc w:val="center"/>
              <w:rPr>
                <w:rFonts w:ascii="宋体" w:hAnsi="宋体" w:cs="宋体"/>
                <w:sz w:val="21"/>
                <w:szCs w:val="21"/>
                <w:highlight w:val="none"/>
              </w:rPr>
            </w:pPr>
            <w:r>
              <w:rPr>
                <w:rFonts w:ascii="宋体" w:hAnsi="宋体" w:cs="宋体"/>
                <w:sz w:val="21"/>
                <w:szCs w:val="21"/>
                <w:highlight w:val="none"/>
              </w:rPr>
              <w:t>其 中</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B9CBE4D">
            <w:pPr>
              <w:pStyle w:val="34"/>
              <w:kinsoku w:val="0"/>
              <w:overflowPunct w:val="0"/>
              <w:jc w:val="center"/>
              <w:rPr>
                <w:rFonts w:ascii="宋体" w:hAnsi="宋体" w:cs="宋体"/>
                <w:sz w:val="21"/>
                <w:szCs w:val="21"/>
                <w:highlight w:val="none"/>
              </w:rPr>
            </w:pPr>
            <w:r>
              <w:rPr>
                <w:rFonts w:ascii="宋体" w:hAnsi="宋体" w:cs="宋体"/>
                <w:sz w:val="21"/>
                <w:szCs w:val="21"/>
                <w:highlight w:val="none"/>
              </w:rPr>
              <w:t>高级职称人员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tcPr>
          <w:p w14:paraId="113F26D3">
            <w:pPr>
              <w:rPr>
                <w:rFonts w:ascii="宋体" w:hAnsi="宋体" w:cs="宋体"/>
                <w:sz w:val="21"/>
                <w:szCs w:val="21"/>
                <w:highlight w:val="none"/>
              </w:rPr>
            </w:pPr>
          </w:p>
        </w:tc>
      </w:tr>
      <w:tr w14:paraId="6A372FBB">
        <w:tblPrEx>
          <w:tblCellMar>
            <w:top w:w="0" w:type="dxa"/>
            <w:left w:w="108" w:type="dxa"/>
            <w:bottom w:w="0" w:type="dxa"/>
            <w:right w:w="108" w:type="dxa"/>
          </w:tblCellMar>
        </w:tblPrEx>
        <w:trPr>
          <w:trHeight w:val="746"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688E902A">
            <w:pPr>
              <w:pStyle w:val="34"/>
              <w:kinsoku w:val="0"/>
              <w:overflowPunct w:val="0"/>
              <w:jc w:val="center"/>
              <w:rPr>
                <w:rFonts w:ascii="宋体" w:hAnsi="宋体" w:cs="宋体"/>
                <w:sz w:val="21"/>
                <w:szCs w:val="21"/>
                <w:highlight w:val="none"/>
              </w:rPr>
            </w:pPr>
            <w:r>
              <w:rPr>
                <w:rFonts w:ascii="宋体" w:hAnsi="宋体" w:cs="宋体"/>
                <w:sz w:val="21"/>
                <w:szCs w:val="21"/>
                <w:highlight w:val="none"/>
              </w:rPr>
              <w:t>成立日期</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tcPr>
          <w:p w14:paraId="3C65D77D">
            <w:pPr>
              <w:rPr>
                <w:rFonts w:ascii="宋体" w:hAnsi="宋体" w:cs="宋体"/>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tcPr>
          <w:p w14:paraId="0662B8DF">
            <w:pPr>
              <w:rPr>
                <w:rFonts w:ascii="宋体" w:hAnsi="宋体" w:cs="宋体"/>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BC3A1E4">
            <w:pPr>
              <w:pStyle w:val="34"/>
              <w:kinsoku w:val="0"/>
              <w:overflowPunct w:val="0"/>
              <w:jc w:val="center"/>
              <w:rPr>
                <w:rFonts w:ascii="宋体" w:hAnsi="宋体" w:cs="宋体"/>
                <w:sz w:val="21"/>
                <w:szCs w:val="21"/>
                <w:highlight w:val="none"/>
              </w:rPr>
            </w:pPr>
            <w:r>
              <w:rPr>
                <w:rFonts w:ascii="宋体" w:hAnsi="宋体" w:cs="宋体"/>
                <w:sz w:val="21"/>
                <w:szCs w:val="21"/>
                <w:highlight w:val="none"/>
              </w:rPr>
              <w:t>中级职称人员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tcPr>
          <w:p w14:paraId="0979EDFB">
            <w:pPr>
              <w:rPr>
                <w:rFonts w:ascii="宋体" w:hAnsi="宋体" w:cs="宋体"/>
                <w:sz w:val="21"/>
                <w:szCs w:val="21"/>
                <w:highlight w:val="none"/>
              </w:rPr>
            </w:pPr>
          </w:p>
        </w:tc>
      </w:tr>
      <w:tr w14:paraId="7394E4CB">
        <w:tblPrEx>
          <w:tblCellMar>
            <w:top w:w="0" w:type="dxa"/>
            <w:left w:w="108" w:type="dxa"/>
            <w:bottom w:w="0" w:type="dxa"/>
            <w:right w:w="108" w:type="dxa"/>
          </w:tblCellMar>
        </w:tblPrEx>
        <w:trPr>
          <w:trHeight w:val="765"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6648E81F">
            <w:pPr>
              <w:pStyle w:val="34"/>
              <w:kinsoku w:val="0"/>
              <w:overflowPunct w:val="0"/>
              <w:jc w:val="center"/>
              <w:rPr>
                <w:rFonts w:ascii="宋体" w:hAnsi="宋体" w:cs="宋体"/>
                <w:sz w:val="21"/>
                <w:szCs w:val="21"/>
                <w:highlight w:val="none"/>
              </w:rPr>
            </w:pPr>
            <w:r>
              <w:rPr>
                <w:rFonts w:ascii="宋体" w:hAnsi="宋体" w:cs="宋体"/>
                <w:sz w:val="21"/>
                <w:szCs w:val="21"/>
                <w:highlight w:val="none"/>
              </w:rPr>
              <w:t>基本账户开户银行</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tcPr>
          <w:p w14:paraId="74C532B2">
            <w:pPr>
              <w:rPr>
                <w:rFonts w:ascii="宋体" w:hAnsi="宋体" w:cs="宋体"/>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tcPr>
          <w:p w14:paraId="65CBAB98">
            <w:pPr>
              <w:rPr>
                <w:rFonts w:ascii="宋体" w:hAnsi="宋体" w:cs="宋体"/>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A70D106">
            <w:pPr>
              <w:pStyle w:val="34"/>
              <w:kinsoku w:val="0"/>
              <w:overflowPunct w:val="0"/>
              <w:jc w:val="center"/>
              <w:rPr>
                <w:rFonts w:ascii="宋体" w:hAnsi="宋体" w:cs="宋体"/>
                <w:sz w:val="21"/>
                <w:szCs w:val="21"/>
                <w:highlight w:val="none"/>
              </w:rPr>
            </w:pPr>
            <w:r>
              <w:rPr>
                <w:rFonts w:ascii="宋体" w:hAnsi="宋体" w:cs="宋体"/>
                <w:sz w:val="21"/>
                <w:szCs w:val="21"/>
                <w:highlight w:val="none"/>
              </w:rPr>
              <w:t>技术人员数量</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tcPr>
          <w:p w14:paraId="48B894D8">
            <w:pPr>
              <w:rPr>
                <w:rFonts w:ascii="宋体" w:hAnsi="宋体" w:cs="宋体"/>
                <w:sz w:val="21"/>
                <w:szCs w:val="21"/>
                <w:highlight w:val="none"/>
              </w:rPr>
            </w:pPr>
          </w:p>
        </w:tc>
      </w:tr>
      <w:tr w14:paraId="665B1EA1">
        <w:tblPrEx>
          <w:tblCellMar>
            <w:top w:w="0" w:type="dxa"/>
            <w:left w:w="108" w:type="dxa"/>
            <w:bottom w:w="0" w:type="dxa"/>
            <w:right w:w="108" w:type="dxa"/>
          </w:tblCellMar>
        </w:tblPrEx>
        <w:trPr>
          <w:trHeight w:val="748"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7154CBA9">
            <w:pPr>
              <w:pStyle w:val="34"/>
              <w:kinsoku w:val="0"/>
              <w:overflowPunct w:val="0"/>
              <w:jc w:val="center"/>
              <w:rPr>
                <w:rFonts w:ascii="宋体" w:hAnsi="宋体" w:cs="宋体"/>
                <w:sz w:val="21"/>
                <w:szCs w:val="21"/>
                <w:highlight w:val="none"/>
              </w:rPr>
            </w:pPr>
            <w:r>
              <w:rPr>
                <w:rFonts w:ascii="宋体" w:hAnsi="宋体" w:cs="宋体"/>
                <w:sz w:val="21"/>
                <w:szCs w:val="21"/>
                <w:highlight w:val="none"/>
              </w:rPr>
              <w:t>基本账户银行账号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tcPr>
          <w:p w14:paraId="2675AD87">
            <w:pPr>
              <w:rPr>
                <w:rFonts w:ascii="宋体" w:hAnsi="宋体" w:cs="宋体"/>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tcPr>
          <w:p w14:paraId="2DE65AAE">
            <w:pPr>
              <w:rPr>
                <w:rFonts w:ascii="宋体" w:hAnsi="宋体" w:cs="宋体"/>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498F32A">
            <w:pPr>
              <w:pStyle w:val="34"/>
              <w:kinsoku w:val="0"/>
              <w:overflowPunct w:val="0"/>
              <w:jc w:val="center"/>
              <w:rPr>
                <w:rFonts w:ascii="宋体" w:hAnsi="宋体" w:cs="宋体"/>
                <w:sz w:val="21"/>
                <w:szCs w:val="21"/>
                <w:highlight w:val="none"/>
              </w:rPr>
            </w:pPr>
            <w:r>
              <w:rPr>
                <w:rFonts w:ascii="宋体" w:hAnsi="宋体" w:cs="宋体"/>
                <w:sz w:val="21"/>
                <w:szCs w:val="21"/>
                <w:highlight w:val="none"/>
              </w:rPr>
              <w:t>各类注册人员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tcPr>
          <w:p w14:paraId="55091424">
            <w:pPr>
              <w:rPr>
                <w:rFonts w:ascii="宋体" w:hAnsi="宋体" w:cs="宋体"/>
                <w:sz w:val="21"/>
                <w:szCs w:val="21"/>
                <w:highlight w:val="none"/>
              </w:rPr>
            </w:pPr>
          </w:p>
        </w:tc>
      </w:tr>
      <w:tr w14:paraId="005C7FA0">
        <w:tblPrEx>
          <w:tblCellMar>
            <w:top w:w="0" w:type="dxa"/>
            <w:left w:w="108" w:type="dxa"/>
            <w:bottom w:w="0" w:type="dxa"/>
            <w:right w:w="108" w:type="dxa"/>
          </w:tblCellMar>
        </w:tblPrEx>
        <w:trPr>
          <w:trHeight w:val="506"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0C427088">
            <w:pPr>
              <w:pStyle w:val="34"/>
              <w:kinsoku w:val="0"/>
              <w:overflowPunct w:val="0"/>
              <w:jc w:val="center"/>
              <w:rPr>
                <w:rFonts w:ascii="宋体" w:hAnsi="宋体" w:cs="宋体"/>
                <w:sz w:val="21"/>
                <w:szCs w:val="21"/>
                <w:highlight w:val="none"/>
              </w:rPr>
            </w:pPr>
            <w:r>
              <w:rPr>
                <w:rFonts w:ascii="宋体" w:hAnsi="宋体" w:cs="宋体"/>
                <w:sz w:val="21"/>
                <w:szCs w:val="21"/>
                <w:highlight w:val="none"/>
              </w:rPr>
              <w:t>经营范围</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tcPr>
          <w:p w14:paraId="23AF7DE8">
            <w:pPr>
              <w:rPr>
                <w:rFonts w:ascii="宋体" w:hAnsi="宋体" w:cs="宋体"/>
                <w:sz w:val="21"/>
                <w:szCs w:val="21"/>
                <w:highlight w:val="none"/>
              </w:rPr>
            </w:pPr>
          </w:p>
        </w:tc>
      </w:tr>
      <w:tr w14:paraId="5AAAF2E2">
        <w:tblPrEx>
          <w:tblCellMar>
            <w:top w:w="0" w:type="dxa"/>
            <w:left w:w="108" w:type="dxa"/>
            <w:bottom w:w="0" w:type="dxa"/>
            <w:right w:w="108" w:type="dxa"/>
          </w:tblCellMar>
        </w:tblPrEx>
        <w:trPr>
          <w:trHeight w:val="2416"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33BE18A8">
            <w:pPr>
              <w:pStyle w:val="34"/>
              <w:kinsoku w:val="0"/>
              <w:overflowPunct w:val="0"/>
              <w:ind w:right="96"/>
              <w:jc w:val="center"/>
              <w:rPr>
                <w:rFonts w:ascii="宋体" w:hAnsi="宋体" w:cs="宋体"/>
                <w:sz w:val="21"/>
                <w:szCs w:val="21"/>
                <w:highlight w:val="none"/>
              </w:rPr>
            </w:pPr>
            <w:r>
              <w:rPr>
                <w:rFonts w:ascii="宋体" w:hAnsi="宋体" w:cs="宋体"/>
                <w:sz w:val="21"/>
                <w:szCs w:val="21"/>
                <w:highlight w:val="none"/>
              </w:rPr>
              <w:t>投标人关联企业情</w:t>
            </w:r>
            <w:r>
              <w:rPr>
                <w:rFonts w:ascii="宋体" w:hAnsi="宋体" w:cs="宋体"/>
                <w:spacing w:val="-8"/>
                <w:sz w:val="21"/>
                <w:szCs w:val="21"/>
                <w:highlight w:val="none"/>
              </w:rPr>
              <w:t>况（包括但不限于与</w:t>
            </w:r>
            <w:r>
              <w:rPr>
                <w:rFonts w:ascii="宋体" w:hAnsi="宋体" w:cs="宋体"/>
                <w:spacing w:val="-102"/>
                <w:sz w:val="21"/>
                <w:szCs w:val="21"/>
                <w:highlight w:val="none"/>
              </w:rPr>
              <w:t xml:space="preserve"> </w:t>
            </w:r>
            <w:r>
              <w:rPr>
                <w:rFonts w:ascii="宋体" w:hAnsi="宋体" w:cs="宋体"/>
                <w:sz w:val="21"/>
                <w:szCs w:val="21"/>
                <w:highlight w:val="none"/>
              </w:rPr>
              <w:t>投标人法定代表人为同一人或者存在</w:t>
            </w:r>
            <w:r>
              <w:rPr>
                <w:rFonts w:ascii="宋体" w:hAnsi="宋体" w:cs="宋体"/>
                <w:spacing w:val="-8"/>
                <w:sz w:val="21"/>
                <w:szCs w:val="21"/>
                <w:highlight w:val="none"/>
              </w:rPr>
              <w:t>控股、管理关系的不</w:t>
            </w:r>
            <w:r>
              <w:rPr>
                <w:rFonts w:ascii="宋体" w:hAnsi="宋体" w:cs="宋体"/>
                <w:sz w:val="21"/>
                <w:szCs w:val="21"/>
                <w:highlight w:val="none"/>
              </w:rPr>
              <w:t>同单位）</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tcPr>
          <w:p w14:paraId="075A8E33">
            <w:pPr>
              <w:rPr>
                <w:rFonts w:ascii="宋体" w:hAnsi="宋体" w:cs="宋体"/>
                <w:sz w:val="21"/>
                <w:szCs w:val="21"/>
                <w:highlight w:val="none"/>
              </w:rPr>
            </w:pPr>
          </w:p>
        </w:tc>
      </w:tr>
      <w:tr w14:paraId="768EF088">
        <w:tblPrEx>
          <w:tblCellMar>
            <w:top w:w="0" w:type="dxa"/>
            <w:left w:w="108" w:type="dxa"/>
            <w:bottom w:w="0" w:type="dxa"/>
            <w:right w:w="108" w:type="dxa"/>
          </w:tblCellMar>
        </w:tblPrEx>
        <w:trPr>
          <w:trHeight w:val="560"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3186384C">
            <w:pPr>
              <w:pStyle w:val="34"/>
              <w:kinsoku w:val="0"/>
              <w:overflowPunct w:val="0"/>
              <w:jc w:val="center"/>
              <w:rPr>
                <w:rFonts w:ascii="宋体" w:hAnsi="宋体" w:cs="宋体"/>
                <w:sz w:val="21"/>
                <w:szCs w:val="21"/>
                <w:highlight w:val="none"/>
              </w:rPr>
            </w:pPr>
            <w:r>
              <w:rPr>
                <w:rFonts w:ascii="宋体" w:hAnsi="宋体" w:cs="宋体"/>
                <w:sz w:val="21"/>
                <w:szCs w:val="21"/>
                <w:highlight w:val="none"/>
              </w:rPr>
              <w:t>备注</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tcPr>
          <w:p w14:paraId="74019456">
            <w:pPr>
              <w:rPr>
                <w:rFonts w:ascii="宋体" w:hAnsi="宋体" w:cs="宋体"/>
                <w:sz w:val="21"/>
                <w:szCs w:val="21"/>
                <w:highlight w:val="none"/>
              </w:rPr>
            </w:pPr>
          </w:p>
        </w:tc>
      </w:tr>
    </w:tbl>
    <w:p w14:paraId="45BD8D6E">
      <w:pPr>
        <w:pStyle w:val="12"/>
        <w:kinsoku w:val="0"/>
        <w:overflowPunct w:val="0"/>
        <w:spacing w:before="74" w:line="331" w:lineRule="auto"/>
        <w:ind w:left="240"/>
        <w:rPr>
          <w:rFonts w:cs="宋体"/>
          <w:szCs w:val="21"/>
          <w:highlight w:val="none"/>
        </w:rPr>
      </w:pPr>
      <w:r>
        <w:rPr>
          <w:rFonts w:cs="宋体"/>
          <w:spacing w:val="-5"/>
          <w:szCs w:val="21"/>
          <w:highlight w:val="none"/>
        </w:rPr>
        <w:t>注：</w:t>
      </w:r>
      <w:r>
        <w:rPr>
          <w:rFonts w:cs="宋体"/>
          <w:highlight w:val="none"/>
        </w:rPr>
        <w:t>投标人应附营业执照、资质证书等相关证明材料。</w:t>
      </w:r>
    </w:p>
    <w:p w14:paraId="6A1C78D2">
      <w:pPr>
        <w:pStyle w:val="12"/>
        <w:kinsoku w:val="0"/>
        <w:overflowPunct w:val="0"/>
        <w:spacing w:before="74" w:line="331" w:lineRule="auto"/>
        <w:ind w:left="240"/>
        <w:rPr>
          <w:highlight w:val="none"/>
        </w:rPr>
        <w:sectPr>
          <w:footerReference r:id="rId12" w:type="default"/>
          <w:pgSz w:w="11905" w:h="16838"/>
          <w:pgMar w:top="1417" w:right="1417" w:bottom="1417" w:left="1417" w:header="992" w:footer="992" w:gutter="0"/>
          <w:cols w:space="720" w:num="1"/>
        </w:sectPr>
      </w:pPr>
    </w:p>
    <w:p w14:paraId="4CCD0CB9">
      <w:pPr>
        <w:pStyle w:val="7"/>
        <w:rPr>
          <w:b/>
          <w:sz w:val="24"/>
          <w:highlight w:val="none"/>
        </w:rPr>
      </w:pPr>
      <w:bookmarkStart w:id="236" w:name="bookmark187"/>
      <w:bookmarkEnd w:id="236"/>
      <w:bookmarkStart w:id="237" w:name="bookmark186"/>
      <w:bookmarkEnd w:id="237"/>
      <w:bookmarkStart w:id="238" w:name="_Toc31107"/>
      <w:r>
        <w:rPr>
          <w:b/>
          <w:sz w:val="24"/>
          <w:highlight w:val="none"/>
        </w:rPr>
        <w:t>（二）近年完成的类似项目情况表</w:t>
      </w:r>
      <w:bookmarkEnd w:id="238"/>
    </w:p>
    <w:p w14:paraId="20151499">
      <w:pPr>
        <w:pStyle w:val="12"/>
        <w:kinsoku w:val="0"/>
        <w:overflowPunct w:val="0"/>
        <w:ind w:left="0"/>
        <w:rPr>
          <w:sz w:val="20"/>
          <w:highlight w:val="none"/>
        </w:rPr>
      </w:pPr>
    </w:p>
    <w:p w14:paraId="32D188FE">
      <w:pPr>
        <w:pStyle w:val="12"/>
        <w:kinsoku w:val="0"/>
        <w:overflowPunct w:val="0"/>
        <w:spacing w:before="11"/>
        <w:ind w:left="0"/>
        <w:rPr>
          <w:sz w:val="22"/>
          <w:highlight w:val="none"/>
        </w:rPr>
      </w:pPr>
    </w:p>
    <w:tbl>
      <w:tblPr>
        <w:tblStyle w:val="24"/>
        <w:tblW w:w="8521" w:type="dxa"/>
        <w:tblInd w:w="264" w:type="dxa"/>
        <w:tblLayout w:type="fixed"/>
        <w:tblCellMar>
          <w:top w:w="0" w:type="dxa"/>
          <w:left w:w="108" w:type="dxa"/>
          <w:bottom w:w="0" w:type="dxa"/>
          <w:right w:w="108" w:type="dxa"/>
        </w:tblCellMar>
      </w:tblPr>
      <w:tblGrid>
        <w:gridCol w:w="2268"/>
        <w:gridCol w:w="6253"/>
      </w:tblGrid>
      <w:tr w14:paraId="515FD80C">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222C7CF7">
            <w:pPr>
              <w:pStyle w:val="34"/>
              <w:kinsoku w:val="0"/>
              <w:overflowPunct w:val="0"/>
              <w:jc w:val="center"/>
              <w:rPr>
                <w:sz w:val="21"/>
                <w:highlight w:val="none"/>
              </w:rPr>
            </w:pPr>
            <w:r>
              <w:rPr>
                <w:rFonts w:ascii="宋体" w:hAnsi="宋体"/>
                <w:sz w:val="21"/>
                <w:highlight w:val="none"/>
              </w:rPr>
              <w:t>项目名称</w:t>
            </w:r>
          </w:p>
        </w:tc>
        <w:tc>
          <w:tcPr>
            <w:tcW w:w="6253" w:type="dxa"/>
            <w:tcBorders>
              <w:top w:val="single" w:color="000000" w:sz="4" w:space="0"/>
              <w:left w:val="single" w:color="000000" w:sz="4" w:space="0"/>
              <w:bottom w:val="single" w:color="000000" w:sz="4" w:space="0"/>
              <w:right w:val="single" w:color="000000" w:sz="4" w:space="0"/>
              <w:tl2br w:val="nil"/>
              <w:tr2bl w:val="nil"/>
            </w:tcBorders>
          </w:tcPr>
          <w:p w14:paraId="7C1E7BFB">
            <w:pPr>
              <w:rPr>
                <w:sz w:val="21"/>
                <w:highlight w:val="none"/>
              </w:rPr>
            </w:pPr>
          </w:p>
        </w:tc>
      </w:tr>
      <w:tr w14:paraId="29D9DA7E">
        <w:tblPrEx>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7826094D">
            <w:pPr>
              <w:pStyle w:val="34"/>
              <w:kinsoku w:val="0"/>
              <w:overflowPunct w:val="0"/>
              <w:jc w:val="center"/>
              <w:rPr>
                <w:sz w:val="21"/>
                <w:highlight w:val="none"/>
              </w:rPr>
            </w:pPr>
            <w:r>
              <w:rPr>
                <w:rFonts w:ascii="宋体" w:hAnsi="宋体"/>
                <w:sz w:val="21"/>
                <w:highlight w:val="none"/>
              </w:rPr>
              <w:t>项目所在地</w:t>
            </w:r>
          </w:p>
        </w:tc>
        <w:tc>
          <w:tcPr>
            <w:tcW w:w="6253" w:type="dxa"/>
            <w:tcBorders>
              <w:top w:val="single" w:color="000000" w:sz="4" w:space="0"/>
              <w:left w:val="single" w:color="000000" w:sz="4" w:space="0"/>
              <w:bottom w:val="single" w:color="000000" w:sz="4" w:space="0"/>
              <w:right w:val="single" w:color="000000" w:sz="4" w:space="0"/>
              <w:tl2br w:val="nil"/>
              <w:tr2bl w:val="nil"/>
            </w:tcBorders>
          </w:tcPr>
          <w:p w14:paraId="18F02CF4">
            <w:pPr>
              <w:rPr>
                <w:sz w:val="21"/>
                <w:highlight w:val="none"/>
              </w:rPr>
            </w:pPr>
          </w:p>
        </w:tc>
      </w:tr>
      <w:tr w14:paraId="36BFE154">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2401722E">
            <w:pPr>
              <w:pStyle w:val="34"/>
              <w:kinsoku w:val="0"/>
              <w:overflowPunct w:val="0"/>
              <w:jc w:val="center"/>
              <w:rPr>
                <w:sz w:val="21"/>
                <w:highlight w:val="none"/>
              </w:rPr>
            </w:pPr>
            <w:r>
              <w:rPr>
                <w:rFonts w:ascii="宋体" w:hAnsi="宋体"/>
                <w:sz w:val="21"/>
                <w:highlight w:val="none"/>
              </w:rPr>
              <w:t>委托人名称</w:t>
            </w:r>
          </w:p>
        </w:tc>
        <w:tc>
          <w:tcPr>
            <w:tcW w:w="6253" w:type="dxa"/>
            <w:tcBorders>
              <w:top w:val="single" w:color="000000" w:sz="4" w:space="0"/>
              <w:left w:val="single" w:color="000000" w:sz="4" w:space="0"/>
              <w:bottom w:val="single" w:color="000000" w:sz="4" w:space="0"/>
              <w:right w:val="single" w:color="000000" w:sz="4" w:space="0"/>
              <w:tl2br w:val="nil"/>
              <w:tr2bl w:val="nil"/>
            </w:tcBorders>
          </w:tcPr>
          <w:p w14:paraId="343C8093">
            <w:pPr>
              <w:rPr>
                <w:sz w:val="21"/>
                <w:highlight w:val="none"/>
              </w:rPr>
            </w:pPr>
          </w:p>
        </w:tc>
      </w:tr>
      <w:tr w14:paraId="12B6A5A3">
        <w:tblPrEx>
          <w:tblCellMar>
            <w:top w:w="0" w:type="dxa"/>
            <w:left w:w="108" w:type="dxa"/>
            <w:bottom w:w="0" w:type="dxa"/>
            <w:right w:w="108"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23672A7B">
            <w:pPr>
              <w:pStyle w:val="34"/>
              <w:tabs>
                <w:tab w:val="left" w:pos="668"/>
                <w:tab w:val="center" w:pos="1387"/>
              </w:tabs>
              <w:kinsoku w:val="0"/>
              <w:overflowPunct w:val="0"/>
              <w:jc w:val="center"/>
              <w:rPr>
                <w:sz w:val="21"/>
                <w:highlight w:val="none"/>
              </w:rPr>
            </w:pPr>
            <w:r>
              <w:rPr>
                <w:rFonts w:ascii="宋体" w:hAnsi="宋体"/>
                <w:sz w:val="21"/>
                <w:highlight w:val="none"/>
              </w:rPr>
              <w:t>委托人地址</w:t>
            </w:r>
          </w:p>
        </w:tc>
        <w:tc>
          <w:tcPr>
            <w:tcW w:w="6253" w:type="dxa"/>
            <w:tcBorders>
              <w:top w:val="single" w:color="000000" w:sz="4" w:space="0"/>
              <w:left w:val="single" w:color="000000" w:sz="4" w:space="0"/>
              <w:bottom w:val="single" w:color="000000" w:sz="4" w:space="0"/>
              <w:right w:val="single" w:color="000000" w:sz="4" w:space="0"/>
              <w:tl2br w:val="nil"/>
              <w:tr2bl w:val="nil"/>
            </w:tcBorders>
          </w:tcPr>
          <w:p w14:paraId="04ABEB19">
            <w:pPr>
              <w:rPr>
                <w:sz w:val="21"/>
                <w:highlight w:val="none"/>
              </w:rPr>
            </w:pPr>
          </w:p>
        </w:tc>
      </w:tr>
      <w:tr w14:paraId="22E0535E">
        <w:tblPrEx>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08AE1D67">
            <w:pPr>
              <w:pStyle w:val="34"/>
              <w:kinsoku w:val="0"/>
              <w:overflowPunct w:val="0"/>
              <w:jc w:val="center"/>
              <w:rPr>
                <w:sz w:val="21"/>
                <w:highlight w:val="none"/>
              </w:rPr>
            </w:pPr>
            <w:r>
              <w:rPr>
                <w:rFonts w:ascii="宋体" w:hAnsi="宋体"/>
                <w:sz w:val="21"/>
                <w:highlight w:val="none"/>
              </w:rPr>
              <w:t>委托人电话</w:t>
            </w:r>
          </w:p>
        </w:tc>
        <w:tc>
          <w:tcPr>
            <w:tcW w:w="6253" w:type="dxa"/>
            <w:tcBorders>
              <w:top w:val="single" w:color="000000" w:sz="4" w:space="0"/>
              <w:left w:val="single" w:color="000000" w:sz="4" w:space="0"/>
              <w:bottom w:val="single" w:color="000000" w:sz="4" w:space="0"/>
              <w:right w:val="single" w:color="000000" w:sz="4" w:space="0"/>
              <w:tl2br w:val="nil"/>
              <w:tr2bl w:val="nil"/>
            </w:tcBorders>
          </w:tcPr>
          <w:p w14:paraId="4A27BF24">
            <w:pPr>
              <w:rPr>
                <w:sz w:val="21"/>
                <w:highlight w:val="none"/>
              </w:rPr>
            </w:pPr>
          </w:p>
        </w:tc>
      </w:tr>
      <w:tr w14:paraId="3AD8BC0B">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528C0071">
            <w:pPr>
              <w:pStyle w:val="34"/>
              <w:kinsoku w:val="0"/>
              <w:overflowPunct w:val="0"/>
              <w:jc w:val="center"/>
              <w:rPr>
                <w:sz w:val="21"/>
                <w:highlight w:val="none"/>
              </w:rPr>
            </w:pPr>
            <w:r>
              <w:rPr>
                <w:rFonts w:ascii="宋体" w:hAnsi="宋体"/>
                <w:sz w:val="21"/>
                <w:highlight w:val="none"/>
              </w:rPr>
              <w:t>合同价格</w:t>
            </w:r>
          </w:p>
        </w:tc>
        <w:tc>
          <w:tcPr>
            <w:tcW w:w="6253" w:type="dxa"/>
            <w:tcBorders>
              <w:top w:val="single" w:color="000000" w:sz="4" w:space="0"/>
              <w:left w:val="single" w:color="000000" w:sz="4" w:space="0"/>
              <w:bottom w:val="single" w:color="000000" w:sz="4" w:space="0"/>
              <w:right w:val="single" w:color="000000" w:sz="4" w:space="0"/>
              <w:tl2br w:val="nil"/>
              <w:tr2bl w:val="nil"/>
            </w:tcBorders>
          </w:tcPr>
          <w:p w14:paraId="380D250A">
            <w:pPr>
              <w:rPr>
                <w:sz w:val="21"/>
                <w:highlight w:val="none"/>
              </w:rPr>
            </w:pPr>
          </w:p>
        </w:tc>
      </w:tr>
      <w:tr w14:paraId="52164374">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1354DFA4">
            <w:pPr>
              <w:pStyle w:val="34"/>
              <w:kinsoku w:val="0"/>
              <w:overflowPunct w:val="0"/>
              <w:jc w:val="center"/>
              <w:rPr>
                <w:sz w:val="21"/>
                <w:highlight w:val="none"/>
              </w:rPr>
            </w:pPr>
            <w:r>
              <w:rPr>
                <w:rFonts w:ascii="宋体" w:hAnsi="宋体"/>
                <w:sz w:val="21"/>
                <w:highlight w:val="none"/>
              </w:rPr>
              <w:t>监理服务期限</w:t>
            </w:r>
          </w:p>
        </w:tc>
        <w:tc>
          <w:tcPr>
            <w:tcW w:w="6253" w:type="dxa"/>
            <w:tcBorders>
              <w:top w:val="single" w:color="000000" w:sz="4" w:space="0"/>
              <w:left w:val="single" w:color="000000" w:sz="4" w:space="0"/>
              <w:bottom w:val="single" w:color="000000" w:sz="4" w:space="0"/>
              <w:right w:val="single" w:color="000000" w:sz="4" w:space="0"/>
              <w:tl2br w:val="nil"/>
              <w:tr2bl w:val="nil"/>
            </w:tcBorders>
          </w:tcPr>
          <w:p w14:paraId="2049BD71">
            <w:pPr>
              <w:rPr>
                <w:sz w:val="21"/>
                <w:highlight w:val="none"/>
              </w:rPr>
            </w:pPr>
          </w:p>
        </w:tc>
      </w:tr>
      <w:tr w14:paraId="1DA68598">
        <w:tblPrEx>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7C93C408">
            <w:pPr>
              <w:pStyle w:val="34"/>
              <w:kinsoku w:val="0"/>
              <w:overflowPunct w:val="0"/>
              <w:jc w:val="center"/>
              <w:rPr>
                <w:sz w:val="21"/>
                <w:highlight w:val="none"/>
              </w:rPr>
            </w:pPr>
            <w:r>
              <w:rPr>
                <w:rFonts w:ascii="宋体" w:hAnsi="宋体"/>
                <w:sz w:val="21"/>
                <w:highlight w:val="none"/>
              </w:rPr>
              <w:t>监理内容</w:t>
            </w:r>
          </w:p>
        </w:tc>
        <w:tc>
          <w:tcPr>
            <w:tcW w:w="6253" w:type="dxa"/>
            <w:tcBorders>
              <w:top w:val="single" w:color="000000" w:sz="4" w:space="0"/>
              <w:left w:val="single" w:color="000000" w:sz="4" w:space="0"/>
              <w:bottom w:val="single" w:color="000000" w:sz="4" w:space="0"/>
              <w:right w:val="single" w:color="000000" w:sz="4" w:space="0"/>
              <w:tl2br w:val="nil"/>
              <w:tr2bl w:val="nil"/>
            </w:tcBorders>
          </w:tcPr>
          <w:p w14:paraId="1BC63C13">
            <w:pPr>
              <w:rPr>
                <w:sz w:val="21"/>
                <w:highlight w:val="none"/>
              </w:rPr>
            </w:pPr>
          </w:p>
        </w:tc>
      </w:tr>
      <w:tr w14:paraId="26CA09CF">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391618E3">
            <w:pPr>
              <w:pStyle w:val="34"/>
              <w:kinsoku w:val="0"/>
              <w:overflowPunct w:val="0"/>
              <w:jc w:val="center"/>
              <w:rPr>
                <w:sz w:val="21"/>
                <w:highlight w:val="none"/>
              </w:rPr>
            </w:pPr>
            <w:r>
              <w:rPr>
                <w:rFonts w:ascii="宋体" w:hAnsi="宋体"/>
                <w:sz w:val="21"/>
                <w:highlight w:val="none"/>
              </w:rPr>
              <w:t>总监理工程师</w:t>
            </w:r>
          </w:p>
        </w:tc>
        <w:tc>
          <w:tcPr>
            <w:tcW w:w="6253" w:type="dxa"/>
            <w:tcBorders>
              <w:top w:val="single" w:color="000000" w:sz="4" w:space="0"/>
              <w:left w:val="single" w:color="000000" w:sz="4" w:space="0"/>
              <w:bottom w:val="single" w:color="000000" w:sz="4" w:space="0"/>
              <w:right w:val="single" w:color="000000" w:sz="4" w:space="0"/>
              <w:tl2br w:val="nil"/>
              <w:tr2bl w:val="nil"/>
            </w:tcBorders>
          </w:tcPr>
          <w:p w14:paraId="3554293A">
            <w:pPr>
              <w:rPr>
                <w:sz w:val="21"/>
                <w:highlight w:val="none"/>
              </w:rPr>
            </w:pPr>
          </w:p>
        </w:tc>
      </w:tr>
      <w:tr w14:paraId="3D35A5E7">
        <w:tblPrEx>
          <w:tblCellMar>
            <w:top w:w="0" w:type="dxa"/>
            <w:left w:w="108" w:type="dxa"/>
            <w:bottom w:w="0" w:type="dxa"/>
            <w:right w:w="108" w:type="dxa"/>
          </w:tblCellMar>
        </w:tblPrEx>
        <w:trPr>
          <w:trHeight w:val="3092"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5E6A9A32">
            <w:pPr>
              <w:pStyle w:val="34"/>
              <w:kinsoku w:val="0"/>
              <w:overflowPunct w:val="0"/>
              <w:jc w:val="center"/>
              <w:rPr>
                <w:sz w:val="21"/>
                <w:highlight w:val="none"/>
              </w:rPr>
            </w:pPr>
            <w:r>
              <w:rPr>
                <w:rFonts w:ascii="宋体" w:hAnsi="宋体"/>
                <w:sz w:val="21"/>
                <w:highlight w:val="none"/>
              </w:rPr>
              <w:t>项目描述</w:t>
            </w:r>
          </w:p>
        </w:tc>
        <w:tc>
          <w:tcPr>
            <w:tcW w:w="6253" w:type="dxa"/>
            <w:tcBorders>
              <w:top w:val="single" w:color="000000" w:sz="4" w:space="0"/>
              <w:left w:val="single" w:color="000000" w:sz="4" w:space="0"/>
              <w:bottom w:val="single" w:color="000000" w:sz="4" w:space="0"/>
              <w:right w:val="single" w:color="000000" w:sz="4" w:space="0"/>
              <w:tl2br w:val="nil"/>
              <w:tr2bl w:val="nil"/>
            </w:tcBorders>
          </w:tcPr>
          <w:p w14:paraId="4075D0C6">
            <w:pPr>
              <w:rPr>
                <w:sz w:val="21"/>
                <w:highlight w:val="none"/>
              </w:rPr>
            </w:pPr>
          </w:p>
        </w:tc>
      </w:tr>
      <w:tr w14:paraId="6721A9F9">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7C030370">
            <w:pPr>
              <w:pStyle w:val="34"/>
              <w:kinsoku w:val="0"/>
              <w:overflowPunct w:val="0"/>
              <w:jc w:val="center"/>
              <w:rPr>
                <w:sz w:val="21"/>
                <w:highlight w:val="none"/>
              </w:rPr>
            </w:pPr>
            <w:r>
              <w:rPr>
                <w:rFonts w:ascii="宋体" w:hAnsi="宋体"/>
                <w:sz w:val="21"/>
                <w:highlight w:val="none"/>
              </w:rPr>
              <w:t>备注</w:t>
            </w:r>
          </w:p>
        </w:tc>
        <w:tc>
          <w:tcPr>
            <w:tcW w:w="6253" w:type="dxa"/>
            <w:tcBorders>
              <w:top w:val="single" w:color="000000" w:sz="4" w:space="0"/>
              <w:left w:val="single" w:color="000000" w:sz="4" w:space="0"/>
              <w:bottom w:val="single" w:color="000000" w:sz="4" w:space="0"/>
              <w:right w:val="single" w:color="000000" w:sz="4" w:space="0"/>
              <w:tl2br w:val="nil"/>
              <w:tr2bl w:val="nil"/>
            </w:tcBorders>
          </w:tcPr>
          <w:p w14:paraId="2BD0263C">
            <w:pPr>
              <w:rPr>
                <w:sz w:val="21"/>
                <w:highlight w:val="none"/>
              </w:rPr>
            </w:pPr>
          </w:p>
        </w:tc>
      </w:tr>
    </w:tbl>
    <w:p w14:paraId="25F2747E">
      <w:pPr>
        <w:pStyle w:val="12"/>
        <w:kinsoku w:val="0"/>
        <w:overflowPunct w:val="0"/>
        <w:spacing w:before="6"/>
        <w:ind w:left="0"/>
        <w:rPr>
          <w:sz w:val="24"/>
          <w:highlight w:val="none"/>
        </w:rPr>
      </w:pPr>
    </w:p>
    <w:p w14:paraId="0BD4440D">
      <w:pPr>
        <w:pStyle w:val="12"/>
        <w:kinsoku w:val="0"/>
        <w:overflowPunct w:val="0"/>
        <w:spacing w:before="36"/>
        <w:ind w:left="100"/>
        <w:rPr>
          <w:sz w:val="24"/>
          <w:highlight w:val="none"/>
        </w:rPr>
      </w:pPr>
    </w:p>
    <w:p w14:paraId="5E58B384">
      <w:pPr>
        <w:pStyle w:val="12"/>
        <w:kinsoku w:val="0"/>
        <w:overflowPunct w:val="0"/>
        <w:spacing w:before="36"/>
        <w:ind w:left="100"/>
        <w:rPr>
          <w:highlight w:val="none"/>
        </w:rPr>
        <w:sectPr>
          <w:headerReference r:id="rId13" w:type="default"/>
          <w:footerReference r:id="rId14" w:type="default"/>
          <w:pgSz w:w="11905" w:h="16838"/>
          <w:pgMar w:top="1417" w:right="1417" w:bottom="1417" w:left="1417" w:header="992" w:footer="992" w:gutter="0"/>
          <w:cols w:space="720" w:num="1"/>
        </w:sectPr>
      </w:pPr>
    </w:p>
    <w:p w14:paraId="5DDCA17C">
      <w:pPr>
        <w:pStyle w:val="7"/>
        <w:rPr>
          <w:b/>
          <w:sz w:val="24"/>
          <w:highlight w:val="none"/>
        </w:rPr>
      </w:pPr>
      <w:bookmarkStart w:id="239" w:name="bookmark189"/>
      <w:bookmarkEnd w:id="239"/>
      <w:bookmarkStart w:id="240" w:name="bookmark190"/>
      <w:bookmarkEnd w:id="240"/>
      <w:bookmarkStart w:id="241" w:name="bookmark188"/>
      <w:bookmarkEnd w:id="241"/>
      <w:bookmarkStart w:id="242" w:name="_Toc11195"/>
      <w:r>
        <w:rPr>
          <w:b/>
          <w:sz w:val="24"/>
          <w:highlight w:val="none"/>
        </w:rPr>
        <w:t>（三）拟委任的主要人员汇总表</w:t>
      </w:r>
      <w:bookmarkEnd w:id="242"/>
    </w:p>
    <w:p w14:paraId="0211D6C4">
      <w:pPr>
        <w:pStyle w:val="12"/>
        <w:kinsoku w:val="0"/>
        <w:overflowPunct w:val="0"/>
        <w:ind w:left="0"/>
        <w:rPr>
          <w:sz w:val="20"/>
          <w:highlight w:val="none"/>
        </w:rPr>
      </w:pPr>
    </w:p>
    <w:p w14:paraId="31E836B3">
      <w:pPr>
        <w:pStyle w:val="12"/>
        <w:kinsoku w:val="0"/>
        <w:overflowPunct w:val="0"/>
        <w:spacing w:before="11"/>
        <w:ind w:left="0"/>
        <w:rPr>
          <w:sz w:val="22"/>
          <w:highlight w:val="none"/>
        </w:rPr>
      </w:pPr>
    </w:p>
    <w:tbl>
      <w:tblPr>
        <w:tblStyle w:val="24"/>
        <w:tblW w:w="8777" w:type="dxa"/>
        <w:jc w:val="center"/>
        <w:tblLayout w:type="fixed"/>
        <w:tblCellMar>
          <w:top w:w="0" w:type="dxa"/>
          <w:left w:w="108" w:type="dxa"/>
          <w:bottom w:w="0" w:type="dxa"/>
          <w:right w:w="108" w:type="dxa"/>
        </w:tblCellMar>
      </w:tblPr>
      <w:tblGrid>
        <w:gridCol w:w="816"/>
        <w:gridCol w:w="1275"/>
        <w:gridCol w:w="991"/>
        <w:gridCol w:w="895"/>
        <w:gridCol w:w="975"/>
        <w:gridCol w:w="844"/>
        <w:gridCol w:w="881"/>
        <w:gridCol w:w="825"/>
        <w:gridCol w:w="1275"/>
      </w:tblGrid>
      <w:tr w14:paraId="283A5F69">
        <w:tblPrEx>
          <w:tblCellMar>
            <w:top w:w="0" w:type="dxa"/>
            <w:left w:w="108" w:type="dxa"/>
            <w:bottom w:w="0" w:type="dxa"/>
            <w:right w:w="108" w:type="dxa"/>
          </w:tblCellMar>
        </w:tblPrEx>
        <w:trPr>
          <w:trHeight w:val="451" w:hRule="exact"/>
          <w:jc w:val="center"/>
        </w:trPr>
        <w:tc>
          <w:tcPr>
            <w:tcW w:w="81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0E88CD93">
            <w:pPr>
              <w:pStyle w:val="34"/>
              <w:kinsoku w:val="0"/>
              <w:overflowPunct w:val="0"/>
              <w:spacing w:line="240" w:lineRule="atLeast"/>
              <w:jc w:val="center"/>
              <w:rPr>
                <w:sz w:val="21"/>
                <w:highlight w:val="none"/>
              </w:rPr>
            </w:pPr>
            <w:r>
              <w:rPr>
                <w:rFonts w:ascii="宋体" w:hAnsi="宋体"/>
                <w:sz w:val="21"/>
                <w:highlight w:val="none"/>
              </w:rPr>
              <w:t>序号</w:t>
            </w:r>
          </w:p>
        </w:tc>
        <w:tc>
          <w:tcPr>
            <w:tcW w:w="127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572D6652">
            <w:pPr>
              <w:pStyle w:val="34"/>
              <w:kinsoku w:val="0"/>
              <w:overflowPunct w:val="0"/>
              <w:spacing w:line="240" w:lineRule="atLeast"/>
              <w:jc w:val="center"/>
              <w:rPr>
                <w:sz w:val="21"/>
                <w:highlight w:val="none"/>
              </w:rPr>
            </w:pPr>
            <w:r>
              <w:rPr>
                <w:rFonts w:ascii="宋体" w:hAnsi="宋体"/>
                <w:sz w:val="21"/>
                <w:highlight w:val="none"/>
              </w:rPr>
              <w:t>本项目任职</w:t>
            </w:r>
          </w:p>
        </w:tc>
        <w:tc>
          <w:tcPr>
            <w:tcW w:w="99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04DAF9D3">
            <w:pPr>
              <w:pStyle w:val="34"/>
              <w:kinsoku w:val="0"/>
              <w:overflowPunct w:val="0"/>
              <w:spacing w:line="240" w:lineRule="atLeast"/>
              <w:jc w:val="center"/>
              <w:rPr>
                <w:sz w:val="21"/>
                <w:highlight w:val="none"/>
              </w:rPr>
            </w:pPr>
            <w:r>
              <w:rPr>
                <w:rFonts w:ascii="宋体" w:hAnsi="宋体"/>
                <w:sz w:val="21"/>
                <w:highlight w:val="none"/>
              </w:rPr>
              <w:t>姓名</w:t>
            </w:r>
          </w:p>
        </w:tc>
        <w:tc>
          <w:tcPr>
            <w:tcW w:w="89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7FC5ED1C">
            <w:pPr>
              <w:pStyle w:val="34"/>
              <w:kinsoku w:val="0"/>
              <w:overflowPunct w:val="0"/>
              <w:spacing w:line="240" w:lineRule="atLeast"/>
              <w:jc w:val="center"/>
              <w:rPr>
                <w:sz w:val="21"/>
                <w:highlight w:val="none"/>
              </w:rPr>
            </w:pPr>
            <w:r>
              <w:rPr>
                <w:rFonts w:ascii="宋体" w:hAnsi="宋体"/>
                <w:sz w:val="21"/>
                <w:highlight w:val="none"/>
              </w:rPr>
              <w:t>职 称</w:t>
            </w:r>
          </w:p>
        </w:tc>
        <w:tc>
          <w:tcPr>
            <w:tcW w:w="97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02D789C4">
            <w:pPr>
              <w:pStyle w:val="34"/>
              <w:kinsoku w:val="0"/>
              <w:overflowPunct w:val="0"/>
              <w:spacing w:line="240" w:lineRule="atLeast"/>
              <w:jc w:val="center"/>
              <w:rPr>
                <w:sz w:val="21"/>
                <w:highlight w:val="none"/>
              </w:rPr>
            </w:pPr>
            <w:r>
              <w:rPr>
                <w:rFonts w:ascii="宋体" w:hAnsi="宋体"/>
                <w:sz w:val="21"/>
                <w:highlight w:val="none"/>
              </w:rPr>
              <w:t>专 业</w:t>
            </w:r>
          </w:p>
        </w:tc>
        <w:tc>
          <w:tcPr>
            <w:tcW w:w="255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26941D65">
            <w:pPr>
              <w:pStyle w:val="34"/>
              <w:kinsoku w:val="0"/>
              <w:overflowPunct w:val="0"/>
              <w:spacing w:line="240" w:lineRule="atLeast"/>
              <w:jc w:val="center"/>
              <w:rPr>
                <w:sz w:val="21"/>
                <w:highlight w:val="none"/>
              </w:rPr>
            </w:pPr>
            <w:r>
              <w:rPr>
                <w:rFonts w:ascii="宋体" w:hAnsi="宋体"/>
                <w:sz w:val="21"/>
                <w:highlight w:val="none"/>
              </w:rPr>
              <w:t>执业或职业资格证明</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14:paraId="7C1869C1">
            <w:pPr>
              <w:pStyle w:val="34"/>
              <w:kinsoku w:val="0"/>
              <w:overflowPunct w:val="0"/>
              <w:spacing w:line="240" w:lineRule="atLeast"/>
              <w:jc w:val="center"/>
              <w:rPr>
                <w:sz w:val="21"/>
                <w:highlight w:val="none"/>
              </w:rPr>
            </w:pPr>
            <w:r>
              <w:rPr>
                <w:rFonts w:ascii="宋体" w:hAnsi="宋体"/>
                <w:sz w:val="21"/>
                <w:highlight w:val="none"/>
              </w:rPr>
              <w:t>备注</w:t>
            </w:r>
          </w:p>
        </w:tc>
      </w:tr>
      <w:tr w14:paraId="1CD2C9E1">
        <w:tblPrEx>
          <w:tblCellMar>
            <w:top w:w="0" w:type="dxa"/>
            <w:left w:w="108" w:type="dxa"/>
            <w:bottom w:w="0" w:type="dxa"/>
            <w:right w:w="108" w:type="dxa"/>
          </w:tblCellMar>
        </w:tblPrEx>
        <w:trPr>
          <w:trHeight w:val="748" w:hRule="exac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10870CD">
            <w:pPr>
              <w:pStyle w:val="34"/>
              <w:kinsoku w:val="0"/>
              <w:overflowPunct w:val="0"/>
              <w:spacing w:line="240" w:lineRule="atLeast"/>
              <w:jc w:val="center"/>
              <w:rPr>
                <w:sz w:val="21"/>
                <w:highlight w:val="none"/>
              </w:rPr>
            </w:pPr>
          </w:p>
        </w:tc>
        <w:tc>
          <w:tcPr>
            <w:tcW w:w="12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DD22340">
            <w:pPr>
              <w:pStyle w:val="34"/>
              <w:kinsoku w:val="0"/>
              <w:overflowPunct w:val="0"/>
              <w:spacing w:line="240" w:lineRule="atLeast"/>
              <w:jc w:val="center"/>
              <w:rPr>
                <w:sz w:val="21"/>
                <w:highlight w:val="none"/>
              </w:rPr>
            </w:pPr>
          </w:p>
        </w:tc>
        <w:tc>
          <w:tcPr>
            <w:tcW w:w="9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BA97DA1">
            <w:pPr>
              <w:pStyle w:val="34"/>
              <w:kinsoku w:val="0"/>
              <w:overflowPunct w:val="0"/>
              <w:spacing w:line="240" w:lineRule="atLeast"/>
              <w:jc w:val="center"/>
              <w:rPr>
                <w:sz w:val="21"/>
                <w:highlight w:val="none"/>
              </w:rPr>
            </w:pPr>
          </w:p>
        </w:tc>
        <w:tc>
          <w:tcPr>
            <w:tcW w:w="89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EE8DD11">
            <w:pPr>
              <w:pStyle w:val="34"/>
              <w:kinsoku w:val="0"/>
              <w:overflowPunct w:val="0"/>
              <w:spacing w:line="240" w:lineRule="atLeast"/>
              <w:jc w:val="center"/>
              <w:rPr>
                <w:sz w:val="21"/>
                <w:highlight w:val="none"/>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DE76720">
            <w:pPr>
              <w:pStyle w:val="34"/>
              <w:kinsoku w:val="0"/>
              <w:overflowPunct w:val="0"/>
              <w:spacing w:line="240" w:lineRule="atLeast"/>
              <w:jc w:val="center"/>
              <w:rPr>
                <w:sz w:val="21"/>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center"/>
          </w:tcPr>
          <w:p w14:paraId="3204152D">
            <w:pPr>
              <w:pStyle w:val="34"/>
              <w:kinsoku w:val="0"/>
              <w:overflowPunct w:val="0"/>
              <w:spacing w:line="240" w:lineRule="atLeast"/>
              <w:jc w:val="center"/>
              <w:rPr>
                <w:sz w:val="21"/>
                <w:highlight w:val="none"/>
              </w:rPr>
            </w:pPr>
            <w:r>
              <w:rPr>
                <w:rFonts w:ascii="宋体" w:hAnsi="宋体"/>
                <w:sz w:val="21"/>
                <w:highlight w:val="none"/>
              </w:rPr>
              <w:t>证书名称</w:t>
            </w:r>
          </w:p>
        </w:tc>
        <w:tc>
          <w:tcPr>
            <w:tcW w:w="881" w:type="dxa"/>
            <w:tcBorders>
              <w:top w:val="single" w:color="000000" w:sz="4" w:space="0"/>
              <w:left w:val="single" w:color="000000" w:sz="4" w:space="0"/>
              <w:bottom w:val="single" w:color="000000" w:sz="4" w:space="0"/>
              <w:right w:val="single" w:color="000000" w:sz="4" w:space="0"/>
              <w:tl2br w:val="nil"/>
              <w:tr2bl w:val="nil"/>
            </w:tcBorders>
            <w:vAlign w:val="center"/>
          </w:tcPr>
          <w:p w14:paraId="3BAFB4BE">
            <w:pPr>
              <w:pStyle w:val="34"/>
              <w:kinsoku w:val="0"/>
              <w:overflowPunct w:val="0"/>
              <w:spacing w:line="240" w:lineRule="atLeast"/>
              <w:jc w:val="center"/>
              <w:rPr>
                <w:sz w:val="21"/>
                <w:highlight w:val="none"/>
              </w:rPr>
            </w:pPr>
            <w:r>
              <w:rPr>
                <w:rFonts w:ascii="宋体" w:hAnsi="宋体"/>
                <w:sz w:val="21"/>
                <w:highlight w:val="none"/>
              </w:rPr>
              <w:t>级别</w:t>
            </w:r>
          </w:p>
        </w:tc>
        <w:tc>
          <w:tcPr>
            <w:tcW w:w="825" w:type="dxa"/>
            <w:tcBorders>
              <w:top w:val="single" w:color="000000" w:sz="4" w:space="0"/>
              <w:left w:val="single" w:color="000000" w:sz="4" w:space="0"/>
              <w:bottom w:val="single" w:color="000000" w:sz="4" w:space="0"/>
              <w:right w:val="single" w:color="000000" w:sz="4" w:space="0"/>
              <w:tl2br w:val="nil"/>
              <w:tr2bl w:val="nil"/>
            </w:tcBorders>
            <w:vAlign w:val="center"/>
          </w:tcPr>
          <w:p w14:paraId="04059A40">
            <w:pPr>
              <w:pStyle w:val="34"/>
              <w:kinsoku w:val="0"/>
              <w:overflowPunct w:val="0"/>
              <w:spacing w:line="240" w:lineRule="atLeast"/>
              <w:jc w:val="center"/>
              <w:rPr>
                <w:sz w:val="21"/>
                <w:highlight w:val="none"/>
              </w:rPr>
            </w:pPr>
            <w:r>
              <w:rPr>
                <w:rFonts w:ascii="宋体" w:hAnsi="宋体"/>
                <w:sz w:val="21"/>
                <w:highlight w:val="none"/>
              </w:rPr>
              <w:t>证号</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14:paraId="186A86AD">
            <w:pPr>
              <w:spacing w:line="240" w:lineRule="atLeast"/>
              <w:jc w:val="center"/>
              <w:rPr>
                <w:sz w:val="21"/>
                <w:highlight w:val="none"/>
              </w:rPr>
            </w:pPr>
          </w:p>
        </w:tc>
      </w:tr>
      <w:tr w14:paraId="19B446A0">
        <w:tblPrEx>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2CD4F115">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536F1E13">
            <w:pPr>
              <w:rPr>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06FEBF45">
            <w:pPr>
              <w:rPr>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6B3ED7DB">
            <w:pPr>
              <w:rPr>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55227A2F">
            <w:pPr>
              <w:rPr>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tcPr>
          <w:p w14:paraId="70DF735A">
            <w:pPr>
              <w:rPr>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tcPr>
          <w:p w14:paraId="460F337D">
            <w:pPr>
              <w:rPr>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tcPr>
          <w:p w14:paraId="44AE36FD">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38D22F56">
            <w:pPr>
              <w:rPr>
                <w:highlight w:val="none"/>
              </w:rPr>
            </w:pPr>
          </w:p>
        </w:tc>
      </w:tr>
      <w:tr w14:paraId="41D354BC">
        <w:tblPrEx>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56EC8D28">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116483A6">
            <w:pPr>
              <w:rPr>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3E54BE60">
            <w:pPr>
              <w:rPr>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43308B4C">
            <w:pPr>
              <w:rPr>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0C55A78F">
            <w:pPr>
              <w:rPr>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tcPr>
          <w:p w14:paraId="2608B117">
            <w:pPr>
              <w:rPr>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tcPr>
          <w:p w14:paraId="2306E776">
            <w:pPr>
              <w:rPr>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tcPr>
          <w:p w14:paraId="2E88C813">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4B87C1AD">
            <w:pPr>
              <w:rPr>
                <w:highlight w:val="none"/>
              </w:rPr>
            </w:pPr>
          </w:p>
        </w:tc>
      </w:tr>
      <w:tr w14:paraId="61AB70BE">
        <w:tblPrEx>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53F9400B">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55FFB1A4">
            <w:pPr>
              <w:rPr>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430B97BA">
            <w:pPr>
              <w:rPr>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6D22D9E8">
            <w:pPr>
              <w:rPr>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45BD4029">
            <w:pPr>
              <w:rPr>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tcPr>
          <w:p w14:paraId="026CA123">
            <w:pPr>
              <w:rPr>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tcPr>
          <w:p w14:paraId="001F5EE8">
            <w:pPr>
              <w:rPr>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tcPr>
          <w:p w14:paraId="6974B7BB">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6AC890DF">
            <w:pPr>
              <w:rPr>
                <w:highlight w:val="none"/>
              </w:rPr>
            </w:pPr>
          </w:p>
        </w:tc>
      </w:tr>
      <w:tr w14:paraId="7CD157DE">
        <w:tblPrEx>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0C2A6F69">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3BAE438B">
            <w:pPr>
              <w:rPr>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6817E049">
            <w:pPr>
              <w:rPr>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50526F4E">
            <w:pPr>
              <w:rPr>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0C0CD114">
            <w:pPr>
              <w:rPr>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tcPr>
          <w:p w14:paraId="6E35D23A">
            <w:pPr>
              <w:rPr>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tcPr>
          <w:p w14:paraId="2DD8ED55">
            <w:pPr>
              <w:rPr>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tcPr>
          <w:p w14:paraId="4A93267D">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333A1D7F">
            <w:pPr>
              <w:rPr>
                <w:highlight w:val="none"/>
              </w:rPr>
            </w:pPr>
          </w:p>
        </w:tc>
      </w:tr>
      <w:tr w14:paraId="4573CB1C">
        <w:tblPrEx>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4ADEA138">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6BB7104C">
            <w:pPr>
              <w:rPr>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1EBE809F">
            <w:pPr>
              <w:rPr>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130870F4">
            <w:pPr>
              <w:rPr>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63EC5F0D">
            <w:pPr>
              <w:rPr>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tcPr>
          <w:p w14:paraId="386540EB">
            <w:pPr>
              <w:rPr>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tcPr>
          <w:p w14:paraId="488426D9">
            <w:pPr>
              <w:rPr>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tcPr>
          <w:p w14:paraId="13DBF40E">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4DB74BA6">
            <w:pPr>
              <w:rPr>
                <w:highlight w:val="none"/>
              </w:rPr>
            </w:pPr>
          </w:p>
        </w:tc>
      </w:tr>
      <w:tr w14:paraId="734BE6AE">
        <w:tblPrEx>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40C1A55F">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77E3F00C">
            <w:pPr>
              <w:rPr>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62F60E77">
            <w:pPr>
              <w:rPr>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56395F65">
            <w:pPr>
              <w:rPr>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0982ED47">
            <w:pPr>
              <w:rPr>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tcPr>
          <w:p w14:paraId="2932823A">
            <w:pPr>
              <w:rPr>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tcPr>
          <w:p w14:paraId="7E915D48">
            <w:pPr>
              <w:rPr>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tcPr>
          <w:p w14:paraId="7A665E30">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40997663">
            <w:pPr>
              <w:rPr>
                <w:highlight w:val="none"/>
              </w:rPr>
            </w:pPr>
          </w:p>
        </w:tc>
      </w:tr>
      <w:tr w14:paraId="152557BB">
        <w:tblPrEx>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041505A0">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552C7689">
            <w:pPr>
              <w:rPr>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39E4B67E">
            <w:pPr>
              <w:rPr>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4185A6EB">
            <w:pPr>
              <w:rPr>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334C25B8">
            <w:pPr>
              <w:rPr>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tcPr>
          <w:p w14:paraId="2B9BE8DF">
            <w:pPr>
              <w:rPr>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tcPr>
          <w:p w14:paraId="6C36A0A2">
            <w:pPr>
              <w:rPr>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tcPr>
          <w:p w14:paraId="7CC01697">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2BF914D5">
            <w:pPr>
              <w:rPr>
                <w:highlight w:val="none"/>
              </w:rPr>
            </w:pPr>
          </w:p>
        </w:tc>
      </w:tr>
      <w:tr w14:paraId="001C967A">
        <w:tblPrEx>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49605DC5">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6BA7B6D0">
            <w:pPr>
              <w:rPr>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744E3270">
            <w:pPr>
              <w:rPr>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64C6EA76">
            <w:pPr>
              <w:rPr>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43612CCA">
            <w:pPr>
              <w:rPr>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tcPr>
          <w:p w14:paraId="57D4BAD2">
            <w:pPr>
              <w:rPr>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tcPr>
          <w:p w14:paraId="7C456AE6">
            <w:pPr>
              <w:rPr>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tcPr>
          <w:p w14:paraId="2EDCD397">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1CC2BC23">
            <w:pPr>
              <w:rPr>
                <w:highlight w:val="none"/>
              </w:rPr>
            </w:pPr>
          </w:p>
        </w:tc>
      </w:tr>
      <w:tr w14:paraId="609EB534">
        <w:tblPrEx>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45ED84D0">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34B7A17D">
            <w:pPr>
              <w:rPr>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40E4B445">
            <w:pPr>
              <w:rPr>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7B8DF942">
            <w:pPr>
              <w:rPr>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09EDD760">
            <w:pPr>
              <w:rPr>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tcPr>
          <w:p w14:paraId="3FFB9C9D">
            <w:pPr>
              <w:rPr>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tcPr>
          <w:p w14:paraId="219EEB4A">
            <w:pPr>
              <w:rPr>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tcPr>
          <w:p w14:paraId="6EE0CCFC">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4B1B5E9F">
            <w:pPr>
              <w:rPr>
                <w:highlight w:val="none"/>
              </w:rPr>
            </w:pPr>
          </w:p>
        </w:tc>
      </w:tr>
      <w:tr w14:paraId="28C96A19">
        <w:tblPrEx>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6C241A83">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374006A4">
            <w:pPr>
              <w:rPr>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1CA83C24">
            <w:pPr>
              <w:rPr>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7B7B379F">
            <w:pPr>
              <w:rPr>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01650558">
            <w:pPr>
              <w:rPr>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tcPr>
          <w:p w14:paraId="36958427">
            <w:pPr>
              <w:rPr>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tcPr>
          <w:p w14:paraId="76152C3D">
            <w:pPr>
              <w:rPr>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tcPr>
          <w:p w14:paraId="7FB2E61D">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2A5CBF42">
            <w:pPr>
              <w:rPr>
                <w:highlight w:val="none"/>
              </w:rPr>
            </w:pPr>
          </w:p>
        </w:tc>
      </w:tr>
      <w:tr w14:paraId="66A11609">
        <w:tblPrEx>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1B56F437">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1B29BAA9">
            <w:pPr>
              <w:rPr>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3D5F1FC4">
            <w:pPr>
              <w:rPr>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07B7BDDA">
            <w:pPr>
              <w:rPr>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4F37CD0C">
            <w:pPr>
              <w:rPr>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tcPr>
          <w:p w14:paraId="0F2651DD">
            <w:pPr>
              <w:rPr>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tcPr>
          <w:p w14:paraId="1B69B69B">
            <w:pPr>
              <w:rPr>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tcPr>
          <w:p w14:paraId="0C009E9E">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303C0DE6">
            <w:pPr>
              <w:rPr>
                <w:highlight w:val="none"/>
              </w:rPr>
            </w:pPr>
          </w:p>
        </w:tc>
      </w:tr>
      <w:tr w14:paraId="33DAC308">
        <w:tblPrEx>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022E6C6F">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4B290473">
            <w:pPr>
              <w:rPr>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04990FA0">
            <w:pPr>
              <w:rPr>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0F50E98C">
            <w:pPr>
              <w:rPr>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0A7AC1C5">
            <w:pPr>
              <w:rPr>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tcPr>
          <w:p w14:paraId="66F48883">
            <w:pPr>
              <w:rPr>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tcPr>
          <w:p w14:paraId="2012438F">
            <w:pPr>
              <w:rPr>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tcPr>
          <w:p w14:paraId="39E4B19A">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21242863">
            <w:pPr>
              <w:rPr>
                <w:highlight w:val="none"/>
              </w:rPr>
            </w:pPr>
          </w:p>
        </w:tc>
      </w:tr>
      <w:tr w14:paraId="4DFC8E4C">
        <w:tblPrEx>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3E3ABC2D">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09053C3E">
            <w:pPr>
              <w:rPr>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4C814731">
            <w:pPr>
              <w:rPr>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4B665C51">
            <w:pPr>
              <w:rPr>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717437EA">
            <w:pPr>
              <w:rPr>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tcPr>
          <w:p w14:paraId="773939B3">
            <w:pPr>
              <w:rPr>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tcPr>
          <w:p w14:paraId="767A9B36">
            <w:pPr>
              <w:rPr>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tcPr>
          <w:p w14:paraId="63BCE776">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0A4FF907">
            <w:pPr>
              <w:rPr>
                <w:highlight w:val="none"/>
              </w:rPr>
            </w:pPr>
          </w:p>
        </w:tc>
      </w:tr>
      <w:tr w14:paraId="52014766">
        <w:tblPrEx>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3C9CF1E0">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4114BE22">
            <w:pPr>
              <w:rPr>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4C47D4FB">
            <w:pPr>
              <w:rPr>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0239C0C4">
            <w:pPr>
              <w:rPr>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2F013256">
            <w:pPr>
              <w:rPr>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tcPr>
          <w:p w14:paraId="45547FBA">
            <w:pPr>
              <w:rPr>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tcPr>
          <w:p w14:paraId="44D33462">
            <w:pPr>
              <w:rPr>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tcPr>
          <w:p w14:paraId="432E9885">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67B6FD2C">
            <w:pPr>
              <w:rPr>
                <w:highlight w:val="none"/>
              </w:rPr>
            </w:pPr>
          </w:p>
        </w:tc>
      </w:tr>
      <w:tr w14:paraId="24726D5C">
        <w:tblPrEx>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2547311C">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0A9811C7">
            <w:pPr>
              <w:rPr>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2B253AFD">
            <w:pPr>
              <w:rPr>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13E9F867">
            <w:pPr>
              <w:rPr>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2D9AA57D">
            <w:pPr>
              <w:rPr>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tcPr>
          <w:p w14:paraId="20FE9D5E">
            <w:pPr>
              <w:rPr>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tcPr>
          <w:p w14:paraId="62F6DCD8">
            <w:pPr>
              <w:rPr>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tcPr>
          <w:p w14:paraId="34024AAF">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195049A4">
            <w:pPr>
              <w:rPr>
                <w:highlight w:val="none"/>
              </w:rPr>
            </w:pPr>
          </w:p>
        </w:tc>
      </w:tr>
      <w:tr w14:paraId="085565BA">
        <w:tblPrEx>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508663E3">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09467A26">
            <w:pPr>
              <w:rPr>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068936B1">
            <w:pPr>
              <w:rPr>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53230F6F">
            <w:pPr>
              <w:rPr>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4D50325C">
            <w:pPr>
              <w:rPr>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tcPr>
          <w:p w14:paraId="23FF305A">
            <w:pPr>
              <w:rPr>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tcPr>
          <w:p w14:paraId="113F73B9">
            <w:pPr>
              <w:rPr>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tcPr>
          <w:p w14:paraId="257FDC36">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6F96D02E">
            <w:pPr>
              <w:rPr>
                <w:highlight w:val="none"/>
              </w:rPr>
            </w:pPr>
          </w:p>
        </w:tc>
      </w:tr>
      <w:tr w14:paraId="59F4F720">
        <w:tblPrEx>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7009EECF">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5B5D338E">
            <w:pPr>
              <w:rPr>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0AE729EE">
            <w:pPr>
              <w:rPr>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774A9E13">
            <w:pPr>
              <w:rPr>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13E542D2">
            <w:pPr>
              <w:rPr>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tcPr>
          <w:p w14:paraId="3374D74A">
            <w:pPr>
              <w:rPr>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tcPr>
          <w:p w14:paraId="234C96D8">
            <w:pPr>
              <w:rPr>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tcPr>
          <w:p w14:paraId="2F90CC60">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7753B502">
            <w:pPr>
              <w:rPr>
                <w:highlight w:val="none"/>
              </w:rPr>
            </w:pPr>
          </w:p>
        </w:tc>
      </w:tr>
      <w:tr w14:paraId="27909EAB">
        <w:tblPrEx>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2B203DFB">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0DB6D1BC">
            <w:pPr>
              <w:rPr>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02BBE347">
            <w:pPr>
              <w:rPr>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1EF69B87">
            <w:pPr>
              <w:rPr>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3645868C">
            <w:pPr>
              <w:rPr>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tcPr>
          <w:p w14:paraId="104A256D">
            <w:pPr>
              <w:rPr>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tcPr>
          <w:p w14:paraId="2464927E">
            <w:pPr>
              <w:rPr>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tcPr>
          <w:p w14:paraId="6BC28642">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597E61F9">
            <w:pPr>
              <w:rPr>
                <w:highlight w:val="none"/>
              </w:rPr>
            </w:pPr>
          </w:p>
        </w:tc>
      </w:tr>
      <w:tr w14:paraId="30D014A9">
        <w:tblPrEx>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44F42A74">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3CAEC9D6">
            <w:pPr>
              <w:rPr>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0D3E4F24">
            <w:pPr>
              <w:rPr>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5EAE114E">
            <w:pPr>
              <w:rPr>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551A3E26">
            <w:pPr>
              <w:rPr>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tcPr>
          <w:p w14:paraId="50A7C8DB">
            <w:pPr>
              <w:rPr>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tcPr>
          <w:p w14:paraId="26DCAFF2">
            <w:pPr>
              <w:rPr>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tcPr>
          <w:p w14:paraId="744EAA21">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2099135F">
            <w:pPr>
              <w:rPr>
                <w:highlight w:val="none"/>
              </w:rPr>
            </w:pPr>
          </w:p>
        </w:tc>
      </w:tr>
      <w:tr w14:paraId="2F04B05E">
        <w:tblPrEx>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68279D0E">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4FEEA720">
            <w:pPr>
              <w:rPr>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24B850BA">
            <w:pPr>
              <w:rPr>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396850A9">
            <w:pPr>
              <w:rPr>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678D6C94">
            <w:pPr>
              <w:rPr>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tcPr>
          <w:p w14:paraId="2FD6F54C">
            <w:pPr>
              <w:rPr>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tcPr>
          <w:p w14:paraId="4B7C1577">
            <w:pPr>
              <w:rPr>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tcPr>
          <w:p w14:paraId="258B531D">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1DFCC522">
            <w:pPr>
              <w:rPr>
                <w:highlight w:val="none"/>
              </w:rPr>
            </w:pPr>
          </w:p>
        </w:tc>
      </w:tr>
      <w:tr w14:paraId="1A0684A7">
        <w:tblPrEx>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352E24B1">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2E847015">
            <w:pPr>
              <w:rPr>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1E11B2E2">
            <w:pPr>
              <w:rPr>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1A0BD7E7">
            <w:pPr>
              <w:rPr>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244232F9">
            <w:pPr>
              <w:rPr>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tcPr>
          <w:p w14:paraId="2288F658">
            <w:pPr>
              <w:rPr>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tcPr>
          <w:p w14:paraId="0BB7BCF8">
            <w:pPr>
              <w:rPr>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tcPr>
          <w:p w14:paraId="6B3D0B11">
            <w:pPr>
              <w:rPr>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09440BD5">
            <w:pPr>
              <w:rPr>
                <w:highlight w:val="none"/>
              </w:rPr>
            </w:pPr>
          </w:p>
        </w:tc>
      </w:tr>
    </w:tbl>
    <w:p w14:paraId="3F43C710">
      <w:pPr>
        <w:rPr>
          <w:highlight w:val="none"/>
        </w:rPr>
        <w:sectPr>
          <w:headerReference r:id="rId15" w:type="default"/>
          <w:footerReference r:id="rId16" w:type="default"/>
          <w:pgSz w:w="11905" w:h="16838"/>
          <w:pgMar w:top="1417" w:right="1417" w:bottom="1417" w:left="1417" w:header="992" w:footer="992" w:gutter="0"/>
          <w:cols w:space="720" w:num="1"/>
        </w:sectPr>
      </w:pPr>
    </w:p>
    <w:p w14:paraId="1E5C47D5">
      <w:pPr>
        <w:pStyle w:val="7"/>
        <w:rPr>
          <w:b/>
          <w:sz w:val="24"/>
          <w:highlight w:val="none"/>
        </w:rPr>
      </w:pPr>
      <w:bookmarkStart w:id="243" w:name="bookmark191"/>
      <w:bookmarkEnd w:id="243"/>
      <w:bookmarkStart w:id="244" w:name="_Toc23916"/>
      <w:r>
        <w:rPr>
          <w:b/>
          <w:sz w:val="24"/>
          <w:highlight w:val="none"/>
        </w:rPr>
        <w:t>（四）主要人员简历表</w:t>
      </w:r>
      <w:bookmarkEnd w:id="244"/>
    </w:p>
    <w:p w14:paraId="629AB997">
      <w:pPr>
        <w:pStyle w:val="12"/>
        <w:kinsoku w:val="0"/>
        <w:overflowPunct w:val="0"/>
        <w:ind w:left="0"/>
        <w:rPr>
          <w:b/>
          <w:sz w:val="24"/>
          <w:highlight w:val="none"/>
        </w:rPr>
      </w:pPr>
    </w:p>
    <w:p w14:paraId="6B86BFED">
      <w:pPr>
        <w:pStyle w:val="12"/>
        <w:kinsoku w:val="0"/>
        <w:overflowPunct w:val="0"/>
        <w:spacing w:before="5"/>
        <w:ind w:left="0"/>
        <w:rPr>
          <w:sz w:val="16"/>
          <w:highlight w:val="none"/>
        </w:rPr>
      </w:pPr>
    </w:p>
    <w:tbl>
      <w:tblPr>
        <w:tblStyle w:val="24"/>
        <w:tblW w:w="8521" w:type="dxa"/>
        <w:tblInd w:w="264" w:type="dxa"/>
        <w:tblLayout w:type="fixed"/>
        <w:tblCellMar>
          <w:top w:w="0" w:type="dxa"/>
          <w:left w:w="108" w:type="dxa"/>
          <w:bottom w:w="0" w:type="dxa"/>
          <w:right w:w="108" w:type="dxa"/>
        </w:tblCellMar>
      </w:tblPr>
      <w:tblGrid>
        <w:gridCol w:w="1185"/>
        <w:gridCol w:w="358"/>
        <w:gridCol w:w="692"/>
        <w:gridCol w:w="957"/>
        <w:gridCol w:w="1066"/>
        <w:gridCol w:w="705"/>
        <w:gridCol w:w="1261"/>
        <w:gridCol w:w="401"/>
        <w:gridCol w:w="1896"/>
      </w:tblGrid>
      <w:tr w14:paraId="41E6ED8A">
        <w:tblPrEx>
          <w:tblCellMar>
            <w:top w:w="0" w:type="dxa"/>
            <w:left w:w="108" w:type="dxa"/>
            <w:bottom w:w="0" w:type="dxa"/>
            <w:right w:w="108" w:type="dxa"/>
          </w:tblCellMar>
        </w:tblPrEx>
        <w:trPr>
          <w:trHeight w:val="890" w:hRule="exact"/>
        </w:trPr>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700B9027">
            <w:pPr>
              <w:pStyle w:val="34"/>
              <w:tabs>
                <w:tab w:val="left" w:pos="695"/>
              </w:tabs>
              <w:kinsoku w:val="0"/>
              <w:overflowPunct w:val="0"/>
              <w:jc w:val="center"/>
              <w:rPr>
                <w:rFonts w:ascii="宋体" w:hAnsi="宋体" w:cs="宋体"/>
                <w:sz w:val="21"/>
                <w:szCs w:val="21"/>
                <w:highlight w:val="none"/>
              </w:rPr>
            </w:pPr>
            <w:r>
              <w:rPr>
                <w:rFonts w:ascii="宋体" w:hAnsi="宋体" w:cs="宋体"/>
                <w:sz w:val="21"/>
                <w:szCs w:val="21"/>
                <w:highlight w:val="none"/>
              </w:rPr>
              <w:t>姓名</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tcPr>
          <w:p w14:paraId="5BDE324C">
            <w:pPr>
              <w:rPr>
                <w:rFonts w:ascii="宋体" w:hAnsi="宋体" w:cs="宋体"/>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vAlign w:val="center"/>
          </w:tcPr>
          <w:p w14:paraId="59DC8F9A">
            <w:pPr>
              <w:pStyle w:val="34"/>
              <w:kinsoku w:val="0"/>
              <w:overflowPunct w:val="0"/>
              <w:jc w:val="center"/>
              <w:rPr>
                <w:rFonts w:ascii="宋体" w:hAnsi="宋体" w:cs="宋体"/>
                <w:sz w:val="21"/>
                <w:szCs w:val="21"/>
                <w:highlight w:val="none"/>
              </w:rPr>
            </w:pPr>
            <w:r>
              <w:rPr>
                <w:rFonts w:ascii="宋体" w:hAnsi="宋体" w:cs="宋体"/>
                <w:sz w:val="21"/>
                <w:szCs w:val="21"/>
                <w:highlight w:val="none"/>
              </w:rPr>
              <w:t>年龄</w:t>
            </w:r>
          </w:p>
        </w:tc>
        <w:tc>
          <w:tcPr>
            <w:tcW w:w="1066" w:type="dxa"/>
            <w:tcBorders>
              <w:top w:val="single" w:color="000000" w:sz="4" w:space="0"/>
              <w:left w:val="single" w:color="000000" w:sz="4" w:space="0"/>
              <w:bottom w:val="single" w:color="000000" w:sz="4" w:space="0"/>
              <w:right w:val="single" w:color="000000" w:sz="4" w:space="0"/>
              <w:tl2br w:val="nil"/>
              <w:tr2bl w:val="nil"/>
            </w:tcBorders>
          </w:tcPr>
          <w:p w14:paraId="4F8AC8DD">
            <w:pPr>
              <w:rPr>
                <w:rFonts w:ascii="宋体" w:hAnsi="宋体" w:cs="宋体"/>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31A5CF4F">
            <w:pPr>
              <w:pStyle w:val="34"/>
              <w:kinsoku w:val="0"/>
              <w:overflowPunct w:val="0"/>
              <w:spacing w:before="3" w:line="440" w:lineRule="exact"/>
              <w:ind w:right="122"/>
              <w:jc w:val="center"/>
              <w:rPr>
                <w:rFonts w:ascii="宋体" w:hAnsi="宋体" w:cs="宋体"/>
                <w:sz w:val="21"/>
                <w:szCs w:val="21"/>
                <w:highlight w:val="none"/>
              </w:rPr>
            </w:pPr>
            <w:r>
              <w:rPr>
                <w:rFonts w:ascii="宋体" w:hAnsi="宋体" w:cs="宋体"/>
                <w:spacing w:val="-2"/>
                <w:sz w:val="21"/>
                <w:szCs w:val="21"/>
                <w:highlight w:val="none"/>
              </w:rPr>
              <w:t>执业资格证书（或上岗</w:t>
            </w:r>
            <w:r>
              <w:rPr>
                <w:rFonts w:ascii="宋体" w:hAnsi="宋体" w:cs="宋体"/>
                <w:spacing w:val="-85"/>
                <w:sz w:val="21"/>
                <w:szCs w:val="21"/>
                <w:highlight w:val="none"/>
              </w:rPr>
              <w:t xml:space="preserve"> </w:t>
            </w:r>
            <w:r>
              <w:rPr>
                <w:rFonts w:ascii="宋体" w:hAnsi="宋体" w:cs="宋体"/>
                <w:sz w:val="21"/>
                <w:szCs w:val="21"/>
                <w:highlight w:val="none"/>
              </w:rPr>
              <w:t>证书）名称</w:t>
            </w:r>
          </w:p>
        </w:tc>
        <w:tc>
          <w:tcPr>
            <w:tcW w:w="1896" w:type="dxa"/>
            <w:tcBorders>
              <w:top w:val="single" w:color="000000" w:sz="4" w:space="0"/>
              <w:left w:val="single" w:color="000000" w:sz="4" w:space="0"/>
              <w:bottom w:val="single" w:color="000000" w:sz="4" w:space="0"/>
              <w:right w:val="single" w:color="000000" w:sz="4" w:space="0"/>
              <w:tl2br w:val="nil"/>
              <w:tr2bl w:val="nil"/>
            </w:tcBorders>
          </w:tcPr>
          <w:p w14:paraId="60E23D65">
            <w:pPr>
              <w:rPr>
                <w:rFonts w:ascii="宋体" w:hAnsi="宋体" w:cs="宋体"/>
                <w:sz w:val="21"/>
                <w:szCs w:val="21"/>
                <w:highlight w:val="none"/>
              </w:rPr>
            </w:pPr>
          </w:p>
        </w:tc>
      </w:tr>
      <w:tr w14:paraId="3323BC0A">
        <w:tblPrEx>
          <w:tblCellMar>
            <w:top w:w="0" w:type="dxa"/>
            <w:left w:w="108" w:type="dxa"/>
            <w:bottom w:w="0" w:type="dxa"/>
            <w:right w:w="108" w:type="dxa"/>
          </w:tblCellMar>
        </w:tblPrEx>
        <w:trPr>
          <w:trHeight w:val="698" w:hRule="exact"/>
        </w:trPr>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73BC7B65">
            <w:pPr>
              <w:pStyle w:val="34"/>
              <w:tabs>
                <w:tab w:val="left" w:pos="695"/>
              </w:tabs>
              <w:kinsoku w:val="0"/>
              <w:overflowPunct w:val="0"/>
              <w:jc w:val="center"/>
              <w:rPr>
                <w:rFonts w:ascii="宋体" w:hAnsi="宋体" w:cs="宋体"/>
                <w:sz w:val="21"/>
                <w:szCs w:val="21"/>
                <w:highlight w:val="none"/>
              </w:rPr>
            </w:pPr>
            <w:r>
              <w:rPr>
                <w:rFonts w:ascii="宋体" w:hAnsi="宋体" w:cs="宋体"/>
                <w:sz w:val="21"/>
                <w:szCs w:val="21"/>
                <w:highlight w:val="none"/>
              </w:rPr>
              <w:t>职称</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tcPr>
          <w:p w14:paraId="2CD6AB80">
            <w:pPr>
              <w:rPr>
                <w:rFonts w:ascii="宋体" w:hAnsi="宋体" w:cs="宋体"/>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vAlign w:val="center"/>
          </w:tcPr>
          <w:p w14:paraId="029E804E">
            <w:pPr>
              <w:pStyle w:val="34"/>
              <w:kinsoku w:val="0"/>
              <w:overflowPunct w:val="0"/>
              <w:jc w:val="center"/>
              <w:rPr>
                <w:rFonts w:ascii="宋体" w:hAnsi="宋体" w:cs="宋体"/>
                <w:sz w:val="21"/>
                <w:szCs w:val="21"/>
                <w:highlight w:val="none"/>
              </w:rPr>
            </w:pPr>
            <w:r>
              <w:rPr>
                <w:rFonts w:ascii="宋体" w:hAnsi="宋体" w:cs="宋体"/>
                <w:sz w:val="21"/>
                <w:szCs w:val="21"/>
                <w:highlight w:val="none"/>
              </w:rPr>
              <w:t>学历</w:t>
            </w:r>
          </w:p>
        </w:tc>
        <w:tc>
          <w:tcPr>
            <w:tcW w:w="1066" w:type="dxa"/>
            <w:tcBorders>
              <w:top w:val="single" w:color="000000" w:sz="4" w:space="0"/>
              <w:left w:val="single" w:color="000000" w:sz="4" w:space="0"/>
              <w:bottom w:val="single" w:color="000000" w:sz="4" w:space="0"/>
              <w:right w:val="single" w:color="000000" w:sz="4" w:space="0"/>
              <w:tl2br w:val="nil"/>
              <w:tr2bl w:val="nil"/>
            </w:tcBorders>
          </w:tcPr>
          <w:p w14:paraId="0AA2F77E">
            <w:pPr>
              <w:rPr>
                <w:rFonts w:ascii="宋体" w:hAnsi="宋体" w:cs="宋体"/>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5887EE4B">
            <w:pPr>
              <w:pStyle w:val="34"/>
              <w:kinsoku w:val="0"/>
              <w:overflowPunct w:val="0"/>
              <w:jc w:val="center"/>
              <w:rPr>
                <w:rFonts w:ascii="宋体" w:hAnsi="宋体" w:cs="宋体"/>
                <w:sz w:val="21"/>
                <w:szCs w:val="21"/>
                <w:highlight w:val="none"/>
              </w:rPr>
            </w:pPr>
            <w:r>
              <w:rPr>
                <w:rFonts w:ascii="宋体" w:hAnsi="宋体" w:cs="宋体"/>
                <w:sz w:val="21"/>
                <w:szCs w:val="21"/>
                <w:highlight w:val="none"/>
              </w:rPr>
              <w:t>拟在本项目任职</w:t>
            </w:r>
          </w:p>
        </w:tc>
        <w:tc>
          <w:tcPr>
            <w:tcW w:w="1896" w:type="dxa"/>
            <w:tcBorders>
              <w:top w:val="single" w:color="000000" w:sz="4" w:space="0"/>
              <w:left w:val="single" w:color="000000" w:sz="4" w:space="0"/>
              <w:bottom w:val="single" w:color="000000" w:sz="4" w:space="0"/>
              <w:right w:val="single" w:color="000000" w:sz="4" w:space="0"/>
              <w:tl2br w:val="nil"/>
              <w:tr2bl w:val="nil"/>
            </w:tcBorders>
          </w:tcPr>
          <w:p w14:paraId="2C6A2CA1">
            <w:pPr>
              <w:rPr>
                <w:rFonts w:ascii="宋体" w:hAnsi="宋体" w:cs="宋体"/>
                <w:sz w:val="21"/>
                <w:szCs w:val="21"/>
                <w:highlight w:val="none"/>
              </w:rPr>
            </w:pPr>
          </w:p>
        </w:tc>
      </w:tr>
      <w:tr w14:paraId="2E5B0649">
        <w:tblPrEx>
          <w:tblCellMar>
            <w:top w:w="0" w:type="dxa"/>
            <w:left w:w="108" w:type="dxa"/>
            <w:bottom w:w="0" w:type="dxa"/>
            <w:right w:w="108" w:type="dxa"/>
          </w:tblCellMar>
        </w:tblPrEx>
        <w:trPr>
          <w:trHeight w:val="701" w:hRule="exact"/>
        </w:trPr>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2B5F7F8A">
            <w:pPr>
              <w:pStyle w:val="34"/>
              <w:kinsoku w:val="0"/>
              <w:overflowPunct w:val="0"/>
              <w:jc w:val="center"/>
              <w:rPr>
                <w:rFonts w:ascii="宋体" w:hAnsi="宋体" w:cs="宋体"/>
                <w:sz w:val="21"/>
                <w:szCs w:val="21"/>
                <w:highlight w:val="none"/>
              </w:rPr>
            </w:pPr>
            <w:r>
              <w:rPr>
                <w:rFonts w:ascii="宋体" w:hAnsi="宋体" w:cs="宋体"/>
                <w:sz w:val="21"/>
                <w:szCs w:val="21"/>
                <w:highlight w:val="none"/>
              </w:rPr>
              <w:t>工作年限</w:t>
            </w:r>
          </w:p>
        </w:tc>
        <w:tc>
          <w:tcPr>
            <w:tcW w:w="3073" w:type="dxa"/>
            <w:gridSpan w:val="4"/>
            <w:tcBorders>
              <w:top w:val="single" w:color="000000" w:sz="4" w:space="0"/>
              <w:left w:val="single" w:color="000000" w:sz="4" w:space="0"/>
              <w:bottom w:val="single" w:color="000000" w:sz="4" w:space="0"/>
              <w:right w:val="single" w:color="000000" w:sz="4" w:space="0"/>
              <w:tl2br w:val="nil"/>
              <w:tr2bl w:val="nil"/>
            </w:tcBorders>
          </w:tcPr>
          <w:p w14:paraId="0E70ECD5">
            <w:pPr>
              <w:rPr>
                <w:rFonts w:ascii="宋体" w:hAnsi="宋体" w:cs="宋体"/>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477A7809">
            <w:pPr>
              <w:pStyle w:val="34"/>
              <w:kinsoku w:val="0"/>
              <w:overflowPunct w:val="0"/>
              <w:jc w:val="center"/>
              <w:rPr>
                <w:rFonts w:ascii="宋体" w:hAnsi="宋体" w:cs="宋体"/>
                <w:sz w:val="21"/>
                <w:szCs w:val="21"/>
                <w:highlight w:val="none"/>
              </w:rPr>
            </w:pPr>
            <w:r>
              <w:rPr>
                <w:rFonts w:ascii="宋体" w:hAnsi="宋体" w:cs="宋体"/>
                <w:sz w:val="21"/>
                <w:szCs w:val="21"/>
                <w:highlight w:val="none"/>
              </w:rPr>
              <w:t>从事监理工作年限</w:t>
            </w:r>
          </w:p>
        </w:tc>
        <w:tc>
          <w:tcPr>
            <w:tcW w:w="1896" w:type="dxa"/>
            <w:tcBorders>
              <w:top w:val="single" w:color="000000" w:sz="4" w:space="0"/>
              <w:left w:val="single" w:color="000000" w:sz="4" w:space="0"/>
              <w:bottom w:val="single" w:color="000000" w:sz="4" w:space="0"/>
              <w:right w:val="single" w:color="000000" w:sz="4" w:space="0"/>
              <w:tl2br w:val="nil"/>
              <w:tr2bl w:val="nil"/>
            </w:tcBorders>
          </w:tcPr>
          <w:p w14:paraId="5C1FB242">
            <w:pPr>
              <w:rPr>
                <w:rFonts w:ascii="宋体" w:hAnsi="宋体" w:cs="宋体"/>
                <w:sz w:val="21"/>
                <w:szCs w:val="21"/>
                <w:highlight w:val="none"/>
              </w:rPr>
            </w:pPr>
          </w:p>
        </w:tc>
      </w:tr>
      <w:tr w14:paraId="1E4144BB">
        <w:tblPrEx>
          <w:tblCellMar>
            <w:top w:w="0" w:type="dxa"/>
            <w:left w:w="108" w:type="dxa"/>
            <w:bottom w:w="0" w:type="dxa"/>
            <w:right w:w="108" w:type="dxa"/>
          </w:tblCellMar>
        </w:tblPrEx>
        <w:trPr>
          <w:trHeight w:val="694" w:hRule="exact"/>
        </w:trPr>
        <w:tc>
          <w:tcPr>
            <w:tcW w:w="8521" w:type="dxa"/>
            <w:gridSpan w:val="9"/>
            <w:tcBorders>
              <w:top w:val="single" w:color="000000" w:sz="4" w:space="0"/>
              <w:left w:val="single" w:color="000000" w:sz="4" w:space="0"/>
              <w:bottom w:val="single" w:color="000000" w:sz="4" w:space="0"/>
              <w:right w:val="single" w:color="000000" w:sz="4" w:space="0"/>
              <w:tl2br w:val="nil"/>
              <w:tr2bl w:val="nil"/>
            </w:tcBorders>
            <w:vAlign w:val="center"/>
          </w:tcPr>
          <w:p w14:paraId="5538F299">
            <w:pPr>
              <w:pStyle w:val="34"/>
              <w:kinsoku w:val="0"/>
              <w:overflowPunct w:val="0"/>
              <w:jc w:val="both"/>
              <w:rPr>
                <w:rFonts w:ascii="宋体" w:hAnsi="宋体" w:cs="宋体"/>
                <w:sz w:val="21"/>
                <w:szCs w:val="21"/>
                <w:highlight w:val="none"/>
              </w:rPr>
            </w:pPr>
            <w:r>
              <w:rPr>
                <w:rFonts w:ascii="宋体" w:hAnsi="宋体" w:cs="宋体"/>
                <w:sz w:val="21"/>
                <w:szCs w:val="21"/>
                <w:highlight w:val="none"/>
              </w:rPr>
              <w:t>主要工作经历</w:t>
            </w:r>
          </w:p>
        </w:tc>
      </w:tr>
      <w:tr w14:paraId="5A5337D9">
        <w:tblPrEx>
          <w:tblCellMar>
            <w:top w:w="0" w:type="dxa"/>
            <w:left w:w="108" w:type="dxa"/>
            <w:bottom w:w="0" w:type="dxa"/>
            <w:right w:w="108"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0C92C13">
            <w:pPr>
              <w:pStyle w:val="34"/>
              <w:tabs>
                <w:tab w:val="left" w:pos="873"/>
              </w:tabs>
              <w:kinsoku w:val="0"/>
              <w:overflowPunct w:val="0"/>
              <w:jc w:val="center"/>
              <w:rPr>
                <w:rFonts w:ascii="宋体" w:hAnsi="宋体" w:cs="宋体"/>
                <w:sz w:val="21"/>
                <w:szCs w:val="21"/>
                <w:highlight w:val="none"/>
              </w:rPr>
            </w:pPr>
            <w:r>
              <w:rPr>
                <w:rFonts w:ascii="宋体" w:hAnsi="宋体" w:cs="宋体"/>
                <w:sz w:val="21"/>
                <w:szCs w:val="21"/>
                <w:highlight w:val="none"/>
              </w:rPr>
              <w:t>时</w:t>
            </w:r>
            <w:r>
              <w:rPr>
                <w:rFonts w:ascii="宋体" w:hAnsi="宋体" w:cs="宋体"/>
                <w:sz w:val="21"/>
                <w:szCs w:val="21"/>
                <w:highlight w:val="none"/>
              </w:rPr>
              <w:tab/>
            </w:r>
            <w:r>
              <w:rPr>
                <w:rFonts w:ascii="宋体" w:hAnsi="宋体" w:cs="宋体"/>
                <w:sz w:val="21"/>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423FE653">
            <w:pPr>
              <w:pStyle w:val="34"/>
              <w:kinsoku w:val="0"/>
              <w:overflowPunct w:val="0"/>
              <w:jc w:val="center"/>
              <w:rPr>
                <w:rFonts w:ascii="宋体" w:hAnsi="宋体" w:cs="宋体"/>
                <w:sz w:val="21"/>
                <w:szCs w:val="21"/>
                <w:highlight w:val="none"/>
              </w:rPr>
            </w:pPr>
            <w:r>
              <w:rPr>
                <w:rFonts w:ascii="宋体" w:hAnsi="宋体" w:cs="宋体"/>
                <w:sz w:val="21"/>
                <w:szCs w:val="21"/>
                <w:highlight w:val="none"/>
              </w:rPr>
              <w:t>参加过的类似项目</w:t>
            </w: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24D34E5F">
            <w:pPr>
              <w:pStyle w:val="34"/>
              <w:kinsoku w:val="0"/>
              <w:overflowPunct w:val="0"/>
              <w:jc w:val="center"/>
              <w:rPr>
                <w:rFonts w:ascii="宋体" w:hAnsi="宋体" w:cs="宋体"/>
                <w:sz w:val="21"/>
                <w:szCs w:val="21"/>
                <w:highlight w:val="none"/>
              </w:rPr>
            </w:pPr>
            <w:r>
              <w:rPr>
                <w:rFonts w:ascii="宋体" w:hAnsi="宋体" w:cs="宋体"/>
                <w:sz w:val="21"/>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1AED176">
            <w:pPr>
              <w:pStyle w:val="34"/>
              <w:kinsoku w:val="0"/>
              <w:overflowPunct w:val="0"/>
              <w:jc w:val="center"/>
              <w:rPr>
                <w:rFonts w:ascii="宋体" w:hAnsi="宋体" w:cs="宋体"/>
                <w:sz w:val="21"/>
                <w:szCs w:val="21"/>
                <w:highlight w:val="none"/>
              </w:rPr>
            </w:pPr>
            <w:r>
              <w:rPr>
                <w:rFonts w:ascii="宋体" w:hAnsi="宋体" w:cs="宋体"/>
                <w:sz w:val="21"/>
                <w:szCs w:val="21"/>
                <w:highlight w:val="none"/>
              </w:rPr>
              <w:t>委托人及联系电话</w:t>
            </w:r>
          </w:p>
        </w:tc>
      </w:tr>
      <w:tr w14:paraId="2A58E3A5">
        <w:tblPrEx>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B0D1E5F">
            <w:pPr>
              <w:jc w:val="center"/>
              <w:rPr>
                <w:rFonts w:ascii="宋体" w:hAnsi="宋体" w:cs="宋体"/>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766C93D2">
            <w:pPr>
              <w:jc w:val="center"/>
              <w:rPr>
                <w:rFonts w:ascii="宋体" w:hAnsi="宋体" w:cs="宋体"/>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737EF616">
            <w:pPr>
              <w:jc w:val="center"/>
              <w:rPr>
                <w:rFonts w:ascii="宋体" w:hAnsi="宋体" w:cs="宋体"/>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BC0E747">
            <w:pPr>
              <w:jc w:val="center"/>
              <w:rPr>
                <w:rFonts w:ascii="宋体" w:hAnsi="宋体" w:cs="宋体"/>
                <w:sz w:val="21"/>
                <w:szCs w:val="21"/>
                <w:highlight w:val="none"/>
              </w:rPr>
            </w:pPr>
          </w:p>
        </w:tc>
      </w:tr>
      <w:tr w14:paraId="52423A61">
        <w:tblPrEx>
          <w:tblCellMar>
            <w:top w:w="0" w:type="dxa"/>
            <w:left w:w="108" w:type="dxa"/>
            <w:bottom w:w="0" w:type="dxa"/>
            <w:right w:w="108"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8632C68">
            <w:pPr>
              <w:jc w:val="center"/>
              <w:rPr>
                <w:rFonts w:ascii="宋体" w:hAnsi="宋体" w:cs="宋体"/>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055A87FB">
            <w:pPr>
              <w:jc w:val="center"/>
              <w:rPr>
                <w:rFonts w:ascii="宋体" w:hAnsi="宋体" w:cs="宋体"/>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7FB67473">
            <w:pPr>
              <w:jc w:val="center"/>
              <w:rPr>
                <w:rFonts w:ascii="宋体" w:hAnsi="宋体" w:cs="宋体"/>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0470E48">
            <w:pPr>
              <w:jc w:val="center"/>
              <w:rPr>
                <w:rFonts w:ascii="宋体" w:hAnsi="宋体" w:cs="宋体"/>
                <w:sz w:val="21"/>
                <w:szCs w:val="21"/>
                <w:highlight w:val="none"/>
              </w:rPr>
            </w:pPr>
          </w:p>
        </w:tc>
      </w:tr>
      <w:tr w14:paraId="475CCE8A">
        <w:tblPrEx>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C665945">
            <w:pPr>
              <w:jc w:val="center"/>
              <w:rPr>
                <w:rFonts w:ascii="宋体" w:hAnsi="宋体" w:cs="宋体"/>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1F0776D7">
            <w:pPr>
              <w:jc w:val="center"/>
              <w:rPr>
                <w:rFonts w:ascii="宋体" w:hAnsi="宋体" w:cs="宋体"/>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05358131">
            <w:pPr>
              <w:jc w:val="center"/>
              <w:rPr>
                <w:rFonts w:ascii="宋体" w:hAnsi="宋体" w:cs="宋体"/>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7825C27">
            <w:pPr>
              <w:jc w:val="center"/>
              <w:rPr>
                <w:rFonts w:ascii="宋体" w:hAnsi="宋体" w:cs="宋体"/>
                <w:sz w:val="21"/>
                <w:szCs w:val="21"/>
                <w:highlight w:val="none"/>
              </w:rPr>
            </w:pPr>
          </w:p>
        </w:tc>
      </w:tr>
      <w:tr w14:paraId="5855E5E5">
        <w:tblPrEx>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136FB0E">
            <w:pPr>
              <w:jc w:val="center"/>
              <w:rPr>
                <w:rFonts w:ascii="宋体" w:hAnsi="宋体" w:cs="宋体"/>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0EE6DE52">
            <w:pPr>
              <w:jc w:val="center"/>
              <w:rPr>
                <w:rFonts w:ascii="宋体" w:hAnsi="宋体" w:cs="宋体"/>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70C5B386">
            <w:pPr>
              <w:jc w:val="center"/>
              <w:rPr>
                <w:rFonts w:ascii="宋体" w:hAnsi="宋体" w:cs="宋体"/>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8AC44A9">
            <w:pPr>
              <w:jc w:val="center"/>
              <w:rPr>
                <w:rFonts w:ascii="宋体" w:hAnsi="宋体" w:cs="宋体"/>
                <w:sz w:val="21"/>
                <w:szCs w:val="21"/>
                <w:highlight w:val="none"/>
              </w:rPr>
            </w:pPr>
          </w:p>
        </w:tc>
      </w:tr>
      <w:tr w14:paraId="236BDEDA">
        <w:tblPrEx>
          <w:tblCellMar>
            <w:top w:w="0" w:type="dxa"/>
            <w:left w:w="108" w:type="dxa"/>
            <w:bottom w:w="0" w:type="dxa"/>
            <w:right w:w="108"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F25A457">
            <w:pPr>
              <w:jc w:val="center"/>
              <w:rPr>
                <w:rFonts w:ascii="宋体" w:hAnsi="宋体" w:cs="宋体"/>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555731DA">
            <w:pPr>
              <w:jc w:val="center"/>
              <w:rPr>
                <w:rFonts w:ascii="宋体" w:hAnsi="宋体" w:cs="宋体"/>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74C51A81">
            <w:pPr>
              <w:jc w:val="center"/>
              <w:rPr>
                <w:rFonts w:ascii="宋体" w:hAnsi="宋体" w:cs="宋体"/>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2B4222D">
            <w:pPr>
              <w:jc w:val="center"/>
              <w:rPr>
                <w:rFonts w:ascii="宋体" w:hAnsi="宋体" w:cs="宋体"/>
                <w:sz w:val="21"/>
                <w:szCs w:val="21"/>
                <w:highlight w:val="none"/>
              </w:rPr>
            </w:pPr>
          </w:p>
        </w:tc>
      </w:tr>
      <w:tr w14:paraId="039A153D">
        <w:tblPrEx>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48DA2E8">
            <w:pPr>
              <w:jc w:val="center"/>
              <w:rPr>
                <w:rFonts w:ascii="宋体" w:hAnsi="宋体" w:cs="宋体"/>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1C57DB4C">
            <w:pPr>
              <w:jc w:val="center"/>
              <w:rPr>
                <w:rFonts w:ascii="宋体" w:hAnsi="宋体" w:cs="宋体"/>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0DF661BA">
            <w:pPr>
              <w:jc w:val="center"/>
              <w:rPr>
                <w:rFonts w:ascii="宋体" w:hAnsi="宋体" w:cs="宋体"/>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E9E0F04">
            <w:pPr>
              <w:jc w:val="center"/>
              <w:rPr>
                <w:rFonts w:ascii="宋体" w:hAnsi="宋体" w:cs="宋体"/>
                <w:sz w:val="21"/>
                <w:szCs w:val="21"/>
                <w:highlight w:val="none"/>
              </w:rPr>
            </w:pPr>
          </w:p>
        </w:tc>
      </w:tr>
      <w:tr w14:paraId="20AB1D6D">
        <w:tblPrEx>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51DE152">
            <w:pPr>
              <w:jc w:val="center"/>
              <w:rPr>
                <w:rFonts w:ascii="宋体" w:hAnsi="宋体" w:cs="宋体"/>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3BE99D0B">
            <w:pPr>
              <w:jc w:val="center"/>
              <w:rPr>
                <w:rFonts w:ascii="宋体" w:hAnsi="宋体" w:cs="宋体"/>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79B3782B">
            <w:pPr>
              <w:jc w:val="center"/>
              <w:rPr>
                <w:rFonts w:ascii="宋体" w:hAnsi="宋体" w:cs="宋体"/>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800D806">
            <w:pPr>
              <w:jc w:val="center"/>
              <w:rPr>
                <w:rFonts w:ascii="宋体" w:hAnsi="宋体" w:cs="宋体"/>
                <w:sz w:val="21"/>
                <w:szCs w:val="21"/>
                <w:highlight w:val="none"/>
              </w:rPr>
            </w:pPr>
          </w:p>
        </w:tc>
      </w:tr>
    </w:tbl>
    <w:p w14:paraId="0BABCF95">
      <w:pPr>
        <w:pStyle w:val="12"/>
        <w:kinsoku w:val="0"/>
        <w:overflowPunct w:val="0"/>
        <w:spacing w:before="6"/>
        <w:ind w:left="0"/>
        <w:rPr>
          <w:rFonts w:cs="宋体"/>
          <w:sz w:val="24"/>
          <w:highlight w:val="none"/>
        </w:rPr>
      </w:pPr>
    </w:p>
    <w:p w14:paraId="29D13F76">
      <w:pPr>
        <w:pStyle w:val="12"/>
        <w:kinsoku w:val="0"/>
        <w:overflowPunct w:val="0"/>
        <w:spacing w:before="36"/>
        <w:ind w:left="100"/>
        <w:rPr>
          <w:rFonts w:cs="宋体"/>
          <w:sz w:val="24"/>
          <w:highlight w:val="none"/>
        </w:rPr>
      </w:pPr>
    </w:p>
    <w:p w14:paraId="7BF4F30F">
      <w:pPr>
        <w:pStyle w:val="12"/>
        <w:kinsoku w:val="0"/>
        <w:overflowPunct w:val="0"/>
        <w:spacing w:before="36"/>
        <w:ind w:left="100"/>
        <w:rPr>
          <w:sz w:val="24"/>
          <w:highlight w:val="none"/>
        </w:rPr>
        <w:sectPr>
          <w:headerReference r:id="rId17" w:type="default"/>
          <w:footerReference r:id="rId18" w:type="default"/>
          <w:pgSz w:w="11905" w:h="16838"/>
          <w:pgMar w:top="1417" w:right="1417" w:bottom="1417" w:left="1417" w:header="992" w:footer="992" w:gutter="0"/>
          <w:cols w:space="720" w:num="1"/>
        </w:sectPr>
      </w:pPr>
    </w:p>
    <w:p w14:paraId="7A4413F6">
      <w:pPr>
        <w:pStyle w:val="7"/>
        <w:rPr>
          <w:b/>
          <w:sz w:val="24"/>
          <w:highlight w:val="none"/>
        </w:rPr>
      </w:pPr>
      <w:bookmarkStart w:id="245" w:name="bookmark192"/>
      <w:bookmarkEnd w:id="245"/>
      <w:bookmarkStart w:id="246" w:name="_Toc12286"/>
      <w:r>
        <w:rPr>
          <w:b/>
          <w:sz w:val="24"/>
          <w:highlight w:val="none"/>
        </w:rPr>
        <w:t>（五）拟投入本项目的主要试验检测仪器设备表</w:t>
      </w:r>
      <w:bookmarkEnd w:id="246"/>
    </w:p>
    <w:p w14:paraId="78E8783D">
      <w:pPr>
        <w:pStyle w:val="12"/>
        <w:kinsoku w:val="0"/>
        <w:overflowPunct w:val="0"/>
        <w:ind w:left="0"/>
        <w:rPr>
          <w:sz w:val="20"/>
          <w:highlight w:val="none"/>
        </w:rPr>
      </w:pPr>
    </w:p>
    <w:p w14:paraId="2AEBE322">
      <w:pPr>
        <w:pStyle w:val="12"/>
        <w:kinsoku w:val="0"/>
        <w:overflowPunct w:val="0"/>
        <w:spacing w:before="11"/>
        <w:ind w:left="0"/>
        <w:rPr>
          <w:sz w:val="22"/>
          <w:highlight w:val="none"/>
        </w:rPr>
      </w:pPr>
    </w:p>
    <w:tbl>
      <w:tblPr>
        <w:tblStyle w:val="24"/>
        <w:tblW w:w="8594" w:type="dxa"/>
        <w:tblInd w:w="448" w:type="dxa"/>
        <w:tblLayout w:type="fixed"/>
        <w:tblCellMar>
          <w:top w:w="0" w:type="dxa"/>
          <w:left w:w="108" w:type="dxa"/>
          <w:bottom w:w="0" w:type="dxa"/>
          <w:right w:w="108" w:type="dxa"/>
        </w:tblCellMar>
      </w:tblPr>
      <w:tblGrid>
        <w:gridCol w:w="536"/>
        <w:gridCol w:w="1635"/>
        <w:gridCol w:w="1170"/>
        <w:gridCol w:w="747"/>
        <w:gridCol w:w="993"/>
        <w:gridCol w:w="994"/>
        <w:gridCol w:w="1529"/>
        <w:gridCol w:w="990"/>
      </w:tblGrid>
      <w:tr w14:paraId="7EE776C1">
        <w:tblPrEx>
          <w:tblCellMar>
            <w:top w:w="0" w:type="dxa"/>
            <w:left w:w="108" w:type="dxa"/>
            <w:bottom w:w="0" w:type="dxa"/>
            <w:right w:w="108" w:type="dxa"/>
          </w:tblCellMar>
        </w:tblPrEx>
        <w:trPr>
          <w:trHeight w:val="941"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14:paraId="0AED567D">
            <w:pPr>
              <w:pStyle w:val="34"/>
              <w:kinsoku w:val="0"/>
              <w:overflowPunct w:val="0"/>
              <w:spacing w:line="240" w:lineRule="atLeast"/>
              <w:jc w:val="center"/>
              <w:rPr>
                <w:sz w:val="21"/>
                <w:highlight w:val="none"/>
              </w:rPr>
            </w:pPr>
            <w:r>
              <w:rPr>
                <w:rFonts w:ascii="宋体" w:hAnsi="宋体"/>
                <w:sz w:val="21"/>
                <w:highlight w:val="none"/>
              </w:rPr>
              <w:t>序号</w:t>
            </w:r>
          </w:p>
        </w:tc>
        <w:tc>
          <w:tcPr>
            <w:tcW w:w="1635" w:type="dxa"/>
            <w:tcBorders>
              <w:top w:val="single" w:color="000000" w:sz="4" w:space="0"/>
              <w:left w:val="single" w:color="000000" w:sz="4" w:space="0"/>
              <w:bottom w:val="single" w:color="000000" w:sz="4" w:space="0"/>
              <w:right w:val="single" w:color="000000" w:sz="4" w:space="0"/>
              <w:tl2br w:val="nil"/>
              <w:tr2bl w:val="nil"/>
            </w:tcBorders>
            <w:vAlign w:val="center"/>
          </w:tcPr>
          <w:p w14:paraId="36D1BF42">
            <w:pPr>
              <w:pStyle w:val="34"/>
              <w:kinsoku w:val="0"/>
              <w:overflowPunct w:val="0"/>
              <w:spacing w:line="240" w:lineRule="atLeast"/>
              <w:jc w:val="center"/>
              <w:rPr>
                <w:sz w:val="21"/>
                <w:highlight w:val="none"/>
              </w:rPr>
            </w:pPr>
            <w:r>
              <w:rPr>
                <w:rFonts w:ascii="宋体" w:hAnsi="宋体"/>
                <w:sz w:val="21"/>
                <w:highlight w:val="none"/>
              </w:rPr>
              <w:t>仪器设备名称</w:t>
            </w:r>
          </w:p>
        </w:tc>
        <w:tc>
          <w:tcPr>
            <w:tcW w:w="1170" w:type="dxa"/>
            <w:tcBorders>
              <w:top w:val="single" w:color="000000" w:sz="4" w:space="0"/>
              <w:left w:val="single" w:color="000000" w:sz="4" w:space="0"/>
              <w:bottom w:val="single" w:color="000000" w:sz="4" w:space="0"/>
              <w:right w:val="single" w:color="000000" w:sz="4" w:space="0"/>
              <w:tl2br w:val="nil"/>
              <w:tr2bl w:val="nil"/>
            </w:tcBorders>
            <w:vAlign w:val="center"/>
          </w:tcPr>
          <w:p w14:paraId="5F0EEAE7">
            <w:pPr>
              <w:pStyle w:val="34"/>
              <w:kinsoku w:val="0"/>
              <w:overflowPunct w:val="0"/>
              <w:spacing w:line="240" w:lineRule="atLeast"/>
              <w:jc w:val="center"/>
              <w:rPr>
                <w:sz w:val="21"/>
                <w:highlight w:val="none"/>
              </w:rPr>
            </w:pPr>
            <w:r>
              <w:rPr>
                <w:rFonts w:ascii="宋体" w:hAnsi="宋体"/>
                <w:sz w:val="21"/>
                <w:highlight w:val="none"/>
              </w:rPr>
              <w:t>型号</w:t>
            </w:r>
            <w:r>
              <w:rPr>
                <w:rFonts w:ascii="宋体" w:hAnsi="宋体"/>
                <w:spacing w:val="-103"/>
                <w:sz w:val="21"/>
                <w:highlight w:val="none"/>
              </w:rPr>
              <w:t xml:space="preserve"> </w:t>
            </w:r>
            <w:r>
              <w:rPr>
                <w:rFonts w:ascii="宋体" w:hAnsi="宋体"/>
                <w:sz w:val="21"/>
                <w:highlight w:val="none"/>
              </w:rPr>
              <w:t>规格</w:t>
            </w:r>
          </w:p>
        </w:tc>
        <w:tc>
          <w:tcPr>
            <w:tcW w:w="747" w:type="dxa"/>
            <w:tcBorders>
              <w:top w:val="single" w:color="000000" w:sz="4" w:space="0"/>
              <w:left w:val="single" w:color="000000" w:sz="4" w:space="0"/>
              <w:bottom w:val="single" w:color="000000" w:sz="4" w:space="0"/>
              <w:right w:val="single" w:color="000000" w:sz="4" w:space="0"/>
              <w:tl2br w:val="nil"/>
              <w:tr2bl w:val="nil"/>
            </w:tcBorders>
            <w:vAlign w:val="center"/>
          </w:tcPr>
          <w:p w14:paraId="08A91461">
            <w:pPr>
              <w:pStyle w:val="34"/>
              <w:kinsoku w:val="0"/>
              <w:overflowPunct w:val="0"/>
              <w:spacing w:line="240" w:lineRule="atLeast"/>
              <w:jc w:val="center"/>
              <w:rPr>
                <w:sz w:val="21"/>
                <w:highlight w:val="none"/>
              </w:rPr>
            </w:pPr>
            <w:r>
              <w:rPr>
                <w:rFonts w:ascii="宋体" w:hAnsi="宋体"/>
                <w:sz w:val="21"/>
                <w:highlight w:val="none"/>
              </w:rPr>
              <w:t>数量</w:t>
            </w:r>
          </w:p>
        </w:tc>
        <w:tc>
          <w:tcPr>
            <w:tcW w:w="993" w:type="dxa"/>
            <w:tcBorders>
              <w:top w:val="single" w:color="000000" w:sz="4" w:space="0"/>
              <w:left w:val="single" w:color="000000" w:sz="4" w:space="0"/>
              <w:bottom w:val="single" w:color="000000" w:sz="4" w:space="0"/>
              <w:right w:val="single" w:color="000000" w:sz="4" w:space="0"/>
              <w:tl2br w:val="nil"/>
              <w:tr2bl w:val="nil"/>
            </w:tcBorders>
            <w:vAlign w:val="center"/>
          </w:tcPr>
          <w:p w14:paraId="5ABB7F1A">
            <w:pPr>
              <w:pStyle w:val="34"/>
              <w:kinsoku w:val="0"/>
              <w:overflowPunct w:val="0"/>
              <w:spacing w:line="240" w:lineRule="atLeast"/>
              <w:jc w:val="center"/>
              <w:rPr>
                <w:sz w:val="21"/>
                <w:highlight w:val="none"/>
              </w:rPr>
            </w:pPr>
            <w:r>
              <w:rPr>
                <w:rFonts w:ascii="宋体" w:hAnsi="宋体"/>
                <w:sz w:val="21"/>
                <w:highlight w:val="none"/>
              </w:rPr>
              <w:t>国别</w:t>
            </w:r>
            <w:r>
              <w:rPr>
                <w:rFonts w:ascii="宋体" w:hAnsi="宋体"/>
                <w:spacing w:val="-103"/>
                <w:sz w:val="21"/>
                <w:highlight w:val="none"/>
              </w:rPr>
              <w:t xml:space="preserve"> </w:t>
            </w:r>
            <w:r>
              <w:rPr>
                <w:rFonts w:ascii="宋体" w:hAnsi="宋体"/>
                <w:sz w:val="21"/>
                <w:highlight w:val="none"/>
              </w:rPr>
              <w:t>产地</w:t>
            </w:r>
          </w:p>
        </w:tc>
        <w:tc>
          <w:tcPr>
            <w:tcW w:w="994" w:type="dxa"/>
            <w:tcBorders>
              <w:top w:val="single" w:color="000000" w:sz="4" w:space="0"/>
              <w:left w:val="single" w:color="000000" w:sz="4" w:space="0"/>
              <w:bottom w:val="single" w:color="000000" w:sz="4" w:space="0"/>
              <w:right w:val="single" w:color="000000" w:sz="4" w:space="0"/>
              <w:tl2br w:val="nil"/>
              <w:tr2bl w:val="nil"/>
            </w:tcBorders>
            <w:vAlign w:val="center"/>
          </w:tcPr>
          <w:p w14:paraId="77BD1EBA">
            <w:pPr>
              <w:pStyle w:val="34"/>
              <w:kinsoku w:val="0"/>
              <w:overflowPunct w:val="0"/>
              <w:spacing w:line="240" w:lineRule="atLeast"/>
              <w:jc w:val="center"/>
              <w:rPr>
                <w:sz w:val="21"/>
                <w:highlight w:val="none"/>
              </w:rPr>
            </w:pPr>
            <w:r>
              <w:rPr>
                <w:rFonts w:ascii="宋体" w:hAnsi="宋体"/>
                <w:sz w:val="21"/>
                <w:highlight w:val="none"/>
              </w:rPr>
              <w:t>制造</w:t>
            </w:r>
            <w:r>
              <w:rPr>
                <w:rFonts w:ascii="宋体" w:hAnsi="宋体"/>
                <w:spacing w:val="-103"/>
                <w:sz w:val="21"/>
                <w:highlight w:val="none"/>
              </w:rPr>
              <w:t xml:space="preserve"> </w:t>
            </w:r>
            <w:r>
              <w:rPr>
                <w:rFonts w:ascii="宋体" w:hAnsi="宋体"/>
                <w:sz w:val="21"/>
                <w:highlight w:val="none"/>
              </w:rPr>
              <w:t>年份</w:t>
            </w:r>
          </w:p>
        </w:tc>
        <w:tc>
          <w:tcPr>
            <w:tcW w:w="1529" w:type="dxa"/>
            <w:tcBorders>
              <w:top w:val="single" w:color="000000" w:sz="4" w:space="0"/>
              <w:left w:val="single" w:color="000000" w:sz="4" w:space="0"/>
              <w:bottom w:val="single" w:color="000000" w:sz="4" w:space="0"/>
              <w:right w:val="single" w:color="000000" w:sz="4" w:space="0"/>
              <w:tl2br w:val="nil"/>
              <w:tr2bl w:val="nil"/>
            </w:tcBorders>
            <w:vAlign w:val="center"/>
          </w:tcPr>
          <w:p w14:paraId="35F76302">
            <w:pPr>
              <w:pStyle w:val="34"/>
              <w:kinsoku w:val="0"/>
              <w:overflowPunct w:val="0"/>
              <w:spacing w:line="240" w:lineRule="atLeast"/>
              <w:jc w:val="center"/>
              <w:rPr>
                <w:sz w:val="21"/>
                <w:highlight w:val="none"/>
              </w:rPr>
            </w:pPr>
            <w:r>
              <w:rPr>
                <w:rFonts w:ascii="宋体" w:hAnsi="宋体"/>
                <w:sz w:val="21"/>
                <w:highlight w:val="none"/>
              </w:rPr>
              <w:t>用途</w:t>
            </w:r>
          </w:p>
        </w:tc>
        <w:tc>
          <w:tcPr>
            <w:tcW w:w="990" w:type="dxa"/>
            <w:tcBorders>
              <w:top w:val="single" w:color="000000" w:sz="4" w:space="0"/>
              <w:left w:val="single" w:color="000000" w:sz="4" w:space="0"/>
              <w:bottom w:val="single" w:color="000000" w:sz="4" w:space="0"/>
              <w:right w:val="single" w:color="000000" w:sz="4" w:space="0"/>
              <w:tl2br w:val="nil"/>
              <w:tr2bl w:val="nil"/>
            </w:tcBorders>
            <w:vAlign w:val="center"/>
          </w:tcPr>
          <w:p w14:paraId="6CE9A467">
            <w:pPr>
              <w:pStyle w:val="34"/>
              <w:kinsoku w:val="0"/>
              <w:overflowPunct w:val="0"/>
              <w:spacing w:line="240" w:lineRule="atLeast"/>
              <w:jc w:val="center"/>
              <w:rPr>
                <w:sz w:val="21"/>
                <w:highlight w:val="none"/>
              </w:rPr>
            </w:pPr>
            <w:r>
              <w:rPr>
                <w:rFonts w:ascii="宋体" w:hAnsi="宋体"/>
                <w:sz w:val="21"/>
                <w:highlight w:val="none"/>
              </w:rPr>
              <w:t>备注</w:t>
            </w:r>
          </w:p>
        </w:tc>
      </w:tr>
      <w:tr w14:paraId="32352CAB">
        <w:tblPrEx>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tcPr>
          <w:p w14:paraId="657A3441">
            <w:pPr>
              <w:rPr>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tcPr>
          <w:p w14:paraId="3A47887B">
            <w:pPr>
              <w:rPr>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10FF1644">
            <w:pPr>
              <w:rPr>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tcPr>
          <w:p w14:paraId="53D34A19">
            <w:pPr>
              <w:rPr>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tcPr>
          <w:p w14:paraId="4D49F528">
            <w:pPr>
              <w:rPr>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tcPr>
          <w:p w14:paraId="3B453C60">
            <w:pPr>
              <w:rPr>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tcPr>
          <w:p w14:paraId="55DF667C">
            <w:pPr>
              <w:rPr>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255A68D4">
            <w:pPr>
              <w:rPr>
                <w:highlight w:val="none"/>
              </w:rPr>
            </w:pPr>
          </w:p>
        </w:tc>
      </w:tr>
      <w:tr w14:paraId="4418F9A6">
        <w:tblPrEx>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tcPr>
          <w:p w14:paraId="1C85B8C3">
            <w:pPr>
              <w:rPr>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tcPr>
          <w:p w14:paraId="6C4AC401">
            <w:pPr>
              <w:rPr>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14DF34B0">
            <w:pPr>
              <w:rPr>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tcPr>
          <w:p w14:paraId="29BAB01C">
            <w:pPr>
              <w:rPr>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tcPr>
          <w:p w14:paraId="79184188">
            <w:pPr>
              <w:rPr>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tcPr>
          <w:p w14:paraId="7C0090C3">
            <w:pPr>
              <w:rPr>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tcPr>
          <w:p w14:paraId="4265CA84">
            <w:pPr>
              <w:rPr>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5CA8A21A">
            <w:pPr>
              <w:rPr>
                <w:highlight w:val="none"/>
              </w:rPr>
            </w:pPr>
          </w:p>
        </w:tc>
      </w:tr>
      <w:tr w14:paraId="1F087CB0">
        <w:tblPrEx>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tcPr>
          <w:p w14:paraId="59298168">
            <w:pPr>
              <w:rPr>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tcPr>
          <w:p w14:paraId="7BECB182">
            <w:pPr>
              <w:rPr>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41537EA2">
            <w:pPr>
              <w:rPr>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tcPr>
          <w:p w14:paraId="7644DFD1">
            <w:pPr>
              <w:rPr>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tcPr>
          <w:p w14:paraId="693FE2A6">
            <w:pPr>
              <w:rPr>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tcPr>
          <w:p w14:paraId="35179459">
            <w:pPr>
              <w:rPr>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tcPr>
          <w:p w14:paraId="7BEFEFE2">
            <w:pPr>
              <w:rPr>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129F25A6">
            <w:pPr>
              <w:rPr>
                <w:highlight w:val="none"/>
              </w:rPr>
            </w:pPr>
          </w:p>
        </w:tc>
      </w:tr>
      <w:tr w14:paraId="1B8CBBA7">
        <w:tblPrEx>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tcPr>
          <w:p w14:paraId="6741CB0C">
            <w:pPr>
              <w:rPr>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tcPr>
          <w:p w14:paraId="309CA302">
            <w:pPr>
              <w:rPr>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3BA70144">
            <w:pPr>
              <w:rPr>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tcPr>
          <w:p w14:paraId="6C0F3D3C">
            <w:pPr>
              <w:rPr>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tcPr>
          <w:p w14:paraId="4BDB02BA">
            <w:pPr>
              <w:rPr>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tcPr>
          <w:p w14:paraId="225EA736">
            <w:pPr>
              <w:rPr>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tcPr>
          <w:p w14:paraId="029481BF">
            <w:pPr>
              <w:rPr>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62D98431">
            <w:pPr>
              <w:rPr>
                <w:highlight w:val="none"/>
              </w:rPr>
            </w:pPr>
          </w:p>
        </w:tc>
      </w:tr>
      <w:tr w14:paraId="3E884BB0">
        <w:tblPrEx>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tcPr>
          <w:p w14:paraId="430D0952">
            <w:pPr>
              <w:rPr>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tcPr>
          <w:p w14:paraId="13ADF96D">
            <w:pPr>
              <w:rPr>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541ED286">
            <w:pPr>
              <w:rPr>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tcPr>
          <w:p w14:paraId="4734CCCE">
            <w:pPr>
              <w:rPr>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tcPr>
          <w:p w14:paraId="52A4CA89">
            <w:pPr>
              <w:rPr>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tcPr>
          <w:p w14:paraId="3A9D85AD">
            <w:pPr>
              <w:rPr>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tcPr>
          <w:p w14:paraId="54550BA9">
            <w:pPr>
              <w:rPr>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00DA86C4">
            <w:pPr>
              <w:rPr>
                <w:highlight w:val="none"/>
              </w:rPr>
            </w:pPr>
          </w:p>
        </w:tc>
      </w:tr>
      <w:tr w14:paraId="4205CEBD">
        <w:tblPrEx>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tcPr>
          <w:p w14:paraId="3640D23C">
            <w:pPr>
              <w:rPr>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tcPr>
          <w:p w14:paraId="66C3448D">
            <w:pPr>
              <w:rPr>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2D6F60D2">
            <w:pPr>
              <w:rPr>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tcPr>
          <w:p w14:paraId="33C7638A">
            <w:pPr>
              <w:rPr>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tcPr>
          <w:p w14:paraId="3AE3668D">
            <w:pPr>
              <w:rPr>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tcPr>
          <w:p w14:paraId="6C104FD7">
            <w:pPr>
              <w:rPr>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tcPr>
          <w:p w14:paraId="0F2102C4">
            <w:pPr>
              <w:rPr>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10DB4490">
            <w:pPr>
              <w:rPr>
                <w:highlight w:val="none"/>
              </w:rPr>
            </w:pPr>
          </w:p>
        </w:tc>
      </w:tr>
      <w:tr w14:paraId="271B6122">
        <w:tblPrEx>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tcPr>
          <w:p w14:paraId="79DDE479">
            <w:pPr>
              <w:rPr>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tcPr>
          <w:p w14:paraId="0807C24A">
            <w:pPr>
              <w:rPr>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2E4D8DD5">
            <w:pPr>
              <w:rPr>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tcPr>
          <w:p w14:paraId="0B1BB777">
            <w:pPr>
              <w:rPr>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tcPr>
          <w:p w14:paraId="5F233ABB">
            <w:pPr>
              <w:rPr>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tcPr>
          <w:p w14:paraId="6CC870B8">
            <w:pPr>
              <w:rPr>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tcPr>
          <w:p w14:paraId="1A66A17C">
            <w:pPr>
              <w:rPr>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74A94B37">
            <w:pPr>
              <w:rPr>
                <w:highlight w:val="none"/>
              </w:rPr>
            </w:pPr>
          </w:p>
        </w:tc>
      </w:tr>
      <w:tr w14:paraId="2FF45414">
        <w:tblPrEx>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tcPr>
          <w:p w14:paraId="24D1F80F">
            <w:pPr>
              <w:rPr>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tcPr>
          <w:p w14:paraId="6C9A2E39">
            <w:pPr>
              <w:rPr>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11671991">
            <w:pPr>
              <w:rPr>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tcPr>
          <w:p w14:paraId="5F3DFE32">
            <w:pPr>
              <w:rPr>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tcPr>
          <w:p w14:paraId="2791C012">
            <w:pPr>
              <w:rPr>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tcPr>
          <w:p w14:paraId="12C86E48">
            <w:pPr>
              <w:rPr>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tcPr>
          <w:p w14:paraId="2A1BEADE">
            <w:pPr>
              <w:rPr>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3E1601D8">
            <w:pPr>
              <w:rPr>
                <w:highlight w:val="none"/>
              </w:rPr>
            </w:pPr>
          </w:p>
        </w:tc>
      </w:tr>
      <w:tr w14:paraId="4DAC884D">
        <w:tblPrEx>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tcPr>
          <w:p w14:paraId="61BE86F7">
            <w:pPr>
              <w:rPr>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tcPr>
          <w:p w14:paraId="2FCFAA49">
            <w:pPr>
              <w:rPr>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34160E3D">
            <w:pPr>
              <w:rPr>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tcPr>
          <w:p w14:paraId="2F2C341A">
            <w:pPr>
              <w:rPr>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tcPr>
          <w:p w14:paraId="5AFB99D7">
            <w:pPr>
              <w:rPr>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tcPr>
          <w:p w14:paraId="1ACD2263">
            <w:pPr>
              <w:rPr>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tcPr>
          <w:p w14:paraId="4F3B1212">
            <w:pPr>
              <w:rPr>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4328D025">
            <w:pPr>
              <w:rPr>
                <w:highlight w:val="none"/>
              </w:rPr>
            </w:pPr>
          </w:p>
        </w:tc>
      </w:tr>
      <w:tr w14:paraId="767A6A8D">
        <w:tblPrEx>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tcPr>
          <w:p w14:paraId="17210893">
            <w:pPr>
              <w:rPr>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tcPr>
          <w:p w14:paraId="06F5B4EC">
            <w:pPr>
              <w:rPr>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71FA4869">
            <w:pPr>
              <w:rPr>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tcPr>
          <w:p w14:paraId="51B0E786">
            <w:pPr>
              <w:rPr>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tcPr>
          <w:p w14:paraId="10B635D4">
            <w:pPr>
              <w:rPr>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tcPr>
          <w:p w14:paraId="4A1849D5">
            <w:pPr>
              <w:rPr>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tcPr>
          <w:p w14:paraId="7440FC3A">
            <w:pPr>
              <w:rPr>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21BEC54C">
            <w:pPr>
              <w:rPr>
                <w:highlight w:val="none"/>
              </w:rPr>
            </w:pPr>
          </w:p>
        </w:tc>
      </w:tr>
      <w:tr w14:paraId="17C8A94E">
        <w:tblPrEx>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tcPr>
          <w:p w14:paraId="686D7125">
            <w:pPr>
              <w:rPr>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tcPr>
          <w:p w14:paraId="34796516">
            <w:pPr>
              <w:rPr>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35C86F24">
            <w:pPr>
              <w:rPr>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tcPr>
          <w:p w14:paraId="33611117">
            <w:pPr>
              <w:rPr>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tcPr>
          <w:p w14:paraId="3C4B7873">
            <w:pPr>
              <w:rPr>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tcPr>
          <w:p w14:paraId="59F7A64B">
            <w:pPr>
              <w:rPr>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tcPr>
          <w:p w14:paraId="3CCD5864">
            <w:pPr>
              <w:rPr>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2D592DD5">
            <w:pPr>
              <w:rPr>
                <w:highlight w:val="none"/>
              </w:rPr>
            </w:pPr>
          </w:p>
        </w:tc>
      </w:tr>
      <w:tr w14:paraId="14764F65">
        <w:tblPrEx>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tcPr>
          <w:p w14:paraId="1581112F">
            <w:pPr>
              <w:rPr>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tcPr>
          <w:p w14:paraId="20DBA7D3">
            <w:pPr>
              <w:rPr>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66E650D7">
            <w:pPr>
              <w:rPr>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tcPr>
          <w:p w14:paraId="4EBA51FB">
            <w:pPr>
              <w:rPr>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tcPr>
          <w:p w14:paraId="3A87EE1B">
            <w:pPr>
              <w:rPr>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tcPr>
          <w:p w14:paraId="63E996D6">
            <w:pPr>
              <w:rPr>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tcPr>
          <w:p w14:paraId="5AAFF54B">
            <w:pPr>
              <w:rPr>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193165D0">
            <w:pPr>
              <w:rPr>
                <w:highlight w:val="none"/>
              </w:rPr>
            </w:pPr>
          </w:p>
        </w:tc>
      </w:tr>
      <w:tr w14:paraId="4439869F">
        <w:tblPrEx>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tcPr>
          <w:p w14:paraId="47CA2E4F">
            <w:pPr>
              <w:rPr>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tcPr>
          <w:p w14:paraId="01EC4726">
            <w:pPr>
              <w:rPr>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215052A7">
            <w:pPr>
              <w:rPr>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tcPr>
          <w:p w14:paraId="7CE410E4">
            <w:pPr>
              <w:rPr>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tcPr>
          <w:p w14:paraId="25F55553">
            <w:pPr>
              <w:rPr>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tcPr>
          <w:p w14:paraId="57951E07">
            <w:pPr>
              <w:rPr>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tcPr>
          <w:p w14:paraId="538A8E65">
            <w:pPr>
              <w:rPr>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19A525CF">
            <w:pPr>
              <w:rPr>
                <w:highlight w:val="none"/>
              </w:rPr>
            </w:pPr>
          </w:p>
        </w:tc>
      </w:tr>
      <w:tr w14:paraId="1FFCC301">
        <w:tblPrEx>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tcPr>
          <w:p w14:paraId="43611159">
            <w:pPr>
              <w:rPr>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tcPr>
          <w:p w14:paraId="3AE59DD6">
            <w:pPr>
              <w:rPr>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229B6488">
            <w:pPr>
              <w:rPr>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tcPr>
          <w:p w14:paraId="2A44FD58">
            <w:pPr>
              <w:rPr>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tcPr>
          <w:p w14:paraId="3E2FEAD3">
            <w:pPr>
              <w:rPr>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tcPr>
          <w:p w14:paraId="5DAE84CC">
            <w:pPr>
              <w:rPr>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tcPr>
          <w:p w14:paraId="5B2F5062">
            <w:pPr>
              <w:rPr>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2208C994">
            <w:pPr>
              <w:rPr>
                <w:highlight w:val="none"/>
              </w:rPr>
            </w:pPr>
          </w:p>
        </w:tc>
      </w:tr>
      <w:tr w14:paraId="5C86A097">
        <w:tblPrEx>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tcPr>
          <w:p w14:paraId="09A2FC08">
            <w:pPr>
              <w:rPr>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tcPr>
          <w:p w14:paraId="18B893CC">
            <w:pPr>
              <w:rPr>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61AA5E0F">
            <w:pPr>
              <w:rPr>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tcPr>
          <w:p w14:paraId="719E2EA2">
            <w:pPr>
              <w:rPr>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tcPr>
          <w:p w14:paraId="69F7A989">
            <w:pPr>
              <w:rPr>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tcPr>
          <w:p w14:paraId="4CBE7DD7">
            <w:pPr>
              <w:rPr>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tcPr>
          <w:p w14:paraId="094184AB">
            <w:pPr>
              <w:rPr>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3C3176BA">
            <w:pPr>
              <w:rPr>
                <w:highlight w:val="none"/>
              </w:rPr>
            </w:pPr>
          </w:p>
        </w:tc>
      </w:tr>
      <w:tr w14:paraId="5748BBA5">
        <w:tblPrEx>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tcPr>
          <w:p w14:paraId="5CC40779">
            <w:pPr>
              <w:rPr>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tcPr>
          <w:p w14:paraId="091D65A1">
            <w:pPr>
              <w:rPr>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2EC30C48">
            <w:pPr>
              <w:rPr>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tcPr>
          <w:p w14:paraId="097BFDC2">
            <w:pPr>
              <w:rPr>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tcPr>
          <w:p w14:paraId="67B4703F">
            <w:pPr>
              <w:rPr>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tcPr>
          <w:p w14:paraId="54CDFA5F">
            <w:pPr>
              <w:rPr>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tcPr>
          <w:p w14:paraId="61DE09DF">
            <w:pPr>
              <w:rPr>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739504F3">
            <w:pPr>
              <w:rPr>
                <w:highlight w:val="none"/>
              </w:rPr>
            </w:pPr>
          </w:p>
        </w:tc>
      </w:tr>
      <w:tr w14:paraId="4466BF07">
        <w:tblPrEx>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tcPr>
          <w:p w14:paraId="2F42FDCC">
            <w:pPr>
              <w:rPr>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tcPr>
          <w:p w14:paraId="01A7117D">
            <w:pPr>
              <w:rPr>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1414FBF0">
            <w:pPr>
              <w:rPr>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tcPr>
          <w:p w14:paraId="2335007F">
            <w:pPr>
              <w:rPr>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tcPr>
          <w:p w14:paraId="560FAF55">
            <w:pPr>
              <w:rPr>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tcPr>
          <w:p w14:paraId="30C26569">
            <w:pPr>
              <w:rPr>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tcPr>
          <w:p w14:paraId="4CF6DA56">
            <w:pPr>
              <w:rPr>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40AA3D2F">
            <w:pPr>
              <w:rPr>
                <w:highlight w:val="none"/>
              </w:rPr>
            </w:pPr>
          </w:p>
        </w:tc>
      </w:tr>
      <w:tr w14:paraId="448B11B4">
        <w:tblPrEx>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tcPr>
          <w:p w14:paraId="5B8F5F46">
            <w:pPr>
              <w:rPr>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tcPr>
          <w:p w14:paraId="4BD89F6E">
            <w:pPr>
              <w:rPr>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443E185A">
            <w:pPr>
              <w:rPr>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tcPr>
          <w:p w14:paraId="2536FBDA">
            <w:pPr>
              <w:rPr>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tcPr>
          <w:p w14:paraId="2AAD3901">
            <w:pPr>
              <w:rPr>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tcPr>
          <w:p w14:paraId="2079A2B6">
            <w:pPr>
              <w:rPr>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tcPr>
          <w:p w14:paraId="4FEC57EF">
            <w:pPr>
              <w:rPr>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51A1B126">
            <w:pPr>
              <w:rPr>
                <w:highlight w:val="none"/>
              </w:rPr>
            </w:pPr>
          </w:p>
        </w:tc>
      </w:tr>
      <w:tr w14:paraId="006B6638">
        <w:tblPrEx>
          <w:tblCellMar>
            <w:top w:w="0" w:type="dxa"/>
            <w:left w:w="108" w:type="dxa"/>
            <w:bottom w:w="0" w:type="dxa"/>
            <w:right w:w="108" w:type="dxa"/>
          </w:tblCellMar>
        </w:tblPrEx>
        <w:trPr>
          <w:trHeight w:val="478" w:hRule="exact"/>
        </w:trPr>
        <w:tc>
          <w:tcPr>
            <w:tcW w:w="536" w:type="dxa"/>
            <w:tcBorders>
              <w:top w:val="single" w:color="000000" w:sz="4" w:space="0"/>
              <w:left w:val="single" w:color="000000" w:sz="4" w:space="0"/>
              <w:bottom w:val="single" w:color="000000" w:sz="4" w:space="0"/>
              <w:right w:val="single" w:color="000000" w:sz="4" w:space="0"/>
              <w:tl2br w:val="nil"/>
              <w:tr2bl w:val="nil"/>
            </w:tcBorders>
          </w:tcPr>
          <w:p w14:paraId="2DE3634A">
            <w:pPr>
              <w:rPr>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tcPr>
          <w:p w14:paraId="762BB91A">
            <w:pPr>
              <w:rPr>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2F037940">
            <w:pPr>
              <w:rPr>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tcPr>
          <w:p w14:paraId="12E7D79B">
            <w:pPr>
              <w:rPr>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tcPr>
          <w:p w14:paraId="732C911F">
            <w:pPr>
              <w:rPr>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tcPr>
          <w:p w14:paraId="0504DAE3">
            <w:pPr>
              <w:rPr>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tcPr>
          <w:p w14:paraId="54BB20D8">
            <w:pPr>
              <w:rPr>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70E749A2">
            <w:pPr>
              <w:rPr>
                <w:highlight w:val="none"/>
              </w:rPr>
            </w:pPr>
          </w:p>
        </w:tc>
      </w:tr>
    </w:tbl>
    <w:p w14:paraId="4D662974">
      <w:pPr>
        <w:rPr>
          <w:highlight w:val="none"/>
        </w:rPr>
        <w:sectPr>
          <w:headerReference r:id="rId19" w:type="default"/>
          <w:footerReference r:id="rId20" w:type="default"/>
          <w:pgSz w:w="11905" w:h="16838"/>
          <w:pgMar w:top="1417" w:right="1417" w:bottom="1417" w:left="1417" w:header="992" w:footer="992" w:gutter="0"/>
          <w:cols w:space="720" w:num="1"/>
        </w:sectPr>
      </w:pPr>
    </w:p>
    <w:p w14:paraId="23A70861">
      <w:pPr>
        <w:pStyle w:val="7"/>
        <w:rPr>
          <w:b/>
          <w:sz w:val="24"/>
          <w:highlight w:val="none"/>
        </w:rPr>
      </w:pPr>
      <w:bookmarkStart w:id="247" w:name="_Toc32582"/>
      <w:r>
        <w:rPr>
          <w:b/>
          <w:sz w:val="24"/>
          <w:highlight w:val="none"/>
        </w:rPr>
        <w:t>（六）投标人声明格式</w:t>
      </w:r>
      <w:bookmarkEnd w:id="247"/>
    </w:p>
    <w:p w14:paraId="5CA46B8B">
      <w:pPr>
        <w:pStyle w:val="20"/>
        <w:spacing w:before="120" w:beforeLines="50" w:after="120" w:afterLines="50"/>
        <w:jc w:val="center"/>
        <w:rPr>
          <w:rFonts w:hint="default" w:ascii="宋体" w:hAnsi="宋体" w:eastAsia="宋体"/>
          <w:highlight w:val="none"/>
        </w:rPr>
      </w:pPr>
      <w:bookmarkStart w:id="248" w:name="_Toc681"/>
      <w:bookmarkStart w:id="249" w:name="_Toc7353"/>
      <w:r>
        <w:rPr>
          <w:rFonts w:hint="default" w:ascii="宋体" w:hAnsi="宋体" w:eastAsia="宋体" w:cs="宋体"/>
          <w:b/>
          <w:sz w:val="32"/>
          <w:szCs w:val="32"/>
          <w:highlight w:val="none"/>
        </w:rPr>
        <w:t>投标人声明</w:t>
      </w:r>
      <w:bookmarkEnd w:id="248"/>
      <w:bookmarkEnd w:id="249"/>
      <w:r>
        <w:rPr>
          <w:rFonts w:hint="default" w:ascii="宋体" w:hAnsi="宋体" w:eastAsia="宋体" w:cs="宋体"/>
          <w:b/>
          <w:sz w:val="32"/>
          <w:szCs w:val="32"/>
          <w:highlight w:val="none"/>
        </w:rPr>
        <w:t>（参考格式）</w:t>
      </w:r>
    </w:p>
    <w:p w14:paraId="25923C58">
      <w:pPr>
        <w:snapToGrid w:val="0"/>
        <w:spacing w:line="360" w:lineRule="auto"/>
        <w:rPr>
          <w:rFonts w:ascii="宋体" w:hAnsi="宋体" w:cs="宋体"/>
          <w:sz w:val="21"/>
          <w:szCs w:val="21"/>
          <w:highlight w:val="none"/>
        </w:rPr>
      </w:pPr>
    </w:p>
    <w:p w14:paraId="0343ADB4">
      <w:pPr>
        <w:snapToGrid w:val="0"/>
        <w:spacing w:line="360" w:lineRule="auto"/>
        <w:rPr>
          <w:rFonts w:ascii="宋体" w:hAnsi="宋体" w:cs="宋体"/>
          <w:sz w:val="21"/>
          <w:szCs w:val="21"/>
          <w:highlight w:val="none"/>
        </w:rPr>
      </w:pPr>
      <w:r>
        <w:rPr>
          <w:rFonts w:ascii="宋体" w:hAnsi="宋体" w:cs="宋体"/>
          <w:sz w:val="21"/>
          <w:szCs w:val="21"/>
          <w:highlight w:val="none"/>
        </w:rPr>
        <w:t>本招标项目招标人及招标监管机构：</w:t>
      </w:r>
    </w:p>
    <w:p w14:paraId="4843D3DC">
      <w:pPr>
        <w:snapToGrid w:val="0"/>
        <w:spacing w:line="360" w:lineRule="auto"/>
        <w:ind w:firstLine="420" w:firstLineChars="200"/>
        <w:rPr>
          <w:rFonts w:ascii="宋体" w:hAnsi="宋体" w:cs="宋体"/>
          <w:sz w:val="21"/>
          <w:szCs w:val="21"/>
          <w:highlight w:val="none"/>
        </w:rPr>
      </w:pPr>
      <w:r>
        <w:rPr>
          <w:rFonts w:ascii="宋体" w:hAnsi="宋体" w:cs="宋体"/>
          <w:sz w:val="21"/>
          <w:szCs w:val="21"/>
          <w:highlight w:val="none"/>
        </w:rPr>
        <w:t>本公司就参加</w:t>
      </w:r>
      <w:r>
        <w:rPr>
          <w:rFonts w:ascii="宋体" w:hAnsi="宋体" w:cs="宋体"/>
          <w:sz w:val="21"/>
          <w:szCs w:val="21"/>
          <w:highlight w:val="none"/>
          <w:u w:val="single"/>
        </w:rPr>
        <w:t>    （项目名称）    </w:t>
      </w:r>
      <w:r>
        <w:rPr>
          <w:rFonts w:ascii="宋体" w:hAnsi="宋体" w:cs="宋体"/>
          <w:sz w:val="21"/>
          <w:szCs w:val="21"/>
          <w:highlight w:val="none"/>
        </w:rPr>
        <w:t>项目投标工作，作出郑重声明：</w:t>
      </w:r>
    </w:p>
    <w:p w14:paraId="6AD2BFE7">
      <w:pPr>
        <w:snapToGrid w:val="0"/>
        <w:spacing w:line="360" w:lineRule="auto"/>
        <w:ind w:firstLine="420" w:firstLineChars="200"/>
        <w:rPr>
          <w:rFonts w:ascii="宋体" w:hAnsi="宋体" w:cs="宋体"/>
          <w:sz w:val="21"/>
          <w:szCs w:val="21"/>
          <w:highlight w:val="none"/>
        </w:rPr>
      </w:pPr>
      <w:r>
        <w:rPr>
          <w:rFonts w:ascii="宋体" w:hAnsi="宋体" w:cs="宋体"/>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66ADE915">
      <w:pPr>
        <w:snapToGrid w:val="0"/>
        <w:spacing w:line="360" w:lineRule="auto"/>
        <w:ind w:firstLine="420" w:firstLineChars="200"/>
        <w:rPr>
          <w:rFonts w:ascii="宋体" w:hAnsi="宋体" w:cs="宋体"/>
          <w:sz w:val="21"/>
          <w:szCs w:val="21"/>
          <w:highlight w:val="none"/>
        </w:rPr>
      </w:pPr>
      <w:r>
        <w:rPr>
          <w:rFonts w:ascii="宋体" w:hAnsi="宋体" w:cs="宋体"/>
          <w:sz w:val="21"/>
          <w:szCs w:val="21"/>
          <w:highlight w:val="none"/>
        </w:rPr>
        <w:t>二、本公司保证不与其他单位围标、串标，不出让投标资格，不向招标人或评标委员会成员行贿。</w:t>
      </w:r>
    </w:p>
    <w:p w14:paraId="29B1E00E">
      <w:pPr>
        <w:snapToGrid w:val="0"/>
        <w:spacing w:line="360" w:lineRule="auto"/>
        <w:ind w:firstLine="420" w:firstLineChars="200"/>
        <w:rPr>
          <w:rFonts w:ascii="宋体" w:hAnsi="宋体" w:cs="宋体"/>
          <w:sz w:val="21"/>
          <w:szCs w:val="21"/>
          <w:highlight w:val="none"/>
        </w:rPr>
      </w:pPr>
      <w:r>
        <w:rPr>
          <w:rFonts w:ascii="宋体" w:hAnsi="宋体" w:cs="宋体"/>
          <w:sz w:val="21"/>
          <w:szCs w:val="21"/>
          <w:highlight w:val="none"/>
        </w:rPr>
        <w:t>三、本公司不存在招标文件第二章投标人须知第1.4.3项所规定的任何一种情形。</w:t>
      </w:r>
    </w:p>
    <w:p w14:paraId="1C6C1FC2">
      <w:pPr>
        <w:snapToGrid w:val="0"/>
        <w:spacing w:line="360" w:lineRule="auto"/>
        <w:ind w:firstLine="420" w:firstLineChars="200"/>
        <w:rPr>
          <w:rFonts w:ascii="宋体" w:hAnsi="宋体" w:cs="宋体"/>
          <w:sz w:val="21"/>
          <w:szCs w:val="21"/>
          <w:highlight w:val="none"/>
        </w:rPr>
      </w:pPr>
      <w:r>
        <w:rPr>
          <w:rFonts w:ascii="宋体" w:hAnsi="宋体" w:cs="宋体"/>
          <w:sz w:val="21"/>
          <w:szCs w:val="21"/>
          <w:highlight w:val="none"/>
        </w:rPr>
        <w:t>四、本公司及其有隶属关系的机构，没有参加本项目招标文件的编写工作；本公司与本次招标的招标代理机构没有隶属关系或其他利害关系。</w:t>
      </w:r>
    </w:p>
    <w:p w14:paraId="627C52F3">
      <w:pPr>
        <w:snapToGrid w:val="0"/>
        <w:spacing w:line="360" w:lineRule="auto"/>
        <w:ind w:firstLine="420" w:firstLineChars="200"/>
        <w:rPr>
          <w:rFonts w:ascii="宋体" w:hAnsi="宋体" w:cs="宋体"/>
          <w:sz w:val="21"/>
          <w:szCs w:val="21"/>
          <w:highlight w:val="none"/>
        </w:rPr>
      </w:pPr>
      <w:bookmarkStart w:id="250" w:name="_Toc14569"/>
      <w:r>
        <w:rPr>
          <w:rFonts w:hint="eastAsia" w:ascii="宋体" w:hAnsi="宋体" w:cs="宋体"/>
          <w:sz w:val="21"/>
          <w:szCs w:val="21"/>
          <w:highlight w:val="none"/>
        </w:rPr>
        <w:t>五、本公司具有履行合同的能力，包括专业、技术资格和能力，资金、设备和其他物质设施能力，管理能力，类似工程经验、信誉状况等。</w:t>
      </w:r>
    </w:p>
    <w:p w14:paraId="29306DA2">
      <w:pPr>
        <w:snapToGrid w:val="0"/>
        <w:spacing w:line="360" w:lineRule="auto"/>
        <w:ind w:firstLine="420" w:firstLineChars="200"/>
        <w:rPr>
          <w:rFonts w:ascii="宋体" w:hAnsi="宋体" w:cs="宋体"/>
          <w:sz w:val="21"/>
          <w:szCs w:val="21"/>
          <w:highlight w:val="none"/>
        </w:rPr>
      </w:pPr>
      <w:bookmarkStart w:id="251" w:name="_Toc4666"/>
      <w:r>
        <w:rPr>
          <w:rFonts w:hint="eastAsia" w:ascii="宋体" w:hAnsi="宋体" w:cs="宋体"/>
          <w:sz w:val="21"/>
          <w:szCs w:val="21"/>
          <w:highlight w:val="none"/>
        </w:rPr>
        <w:t>六</w:t>
      </w:r>
      <w:r>
        <w:rPr>
          <w:rFonts w:ascii="宋体" w:hAnsi="宋体" w:cs="宋体"/>
          <w:sz w:val="21"/>
          <w:szCs w:val="21"/>
          <w:highlight w:val="none"/>
        </w:rPr>
        <w:t>、本公司承诺，中标后严格执行安全生产相关管理规定。</w:t>
      </w:r>
      <w:bookmarkEnd w:id="250"/>
      <w:bookmarkEnd w:id="251"/>
    </w:p>
    <w:p w14:paraId="23416147">
      <w:pPr>
        <w:snapToGrid w:val="0"/>
        <w:spacing w:line="360" w:lineRule="auto"/>
        <w:ind w:firstLine="420" w:firstLineChars="200"/>
        <w:rPr>
          <w:rFonts w:ascii="宋体" w:hAnsi="宋体" w:cs="宋体"/>
          <w:strike w:val="0"/>
          <w:sz w:val="21"/>
          <w:szCs w:val="21"/>
          <w:highlight w:val="none"/>
        </w:rPr>
      </w:pPr>
      <w:r>
        <w:rPr>
          <w:rFonts w:ascii="宋体" w:hAnsi="宋体" w:cs="宋体"/>
          <w:strike w:val="0"/>
          <w:sz w:val="21"/>
          <w:szCs w:val="21"/>
          <w:highlight w:val="none"/>
        </w:rPr>
        <w:t>七、本公司积极响应广州市关于投身“百千万工程”的号召，主动参与政府投资类建设工程施工项目的建筑业结对帮扶等活动（市属国有企业投资项目参照执行）。</w:t>
      </w:r>
    </w:p>
    <w:p w14:paraId="3D9D5C4C">
      <w:pPr>
        <w:snapToGrid w:val="0"/>
        <w:spacing w:line="360" w:lineRule="auto"/>
        <w:ind w:firstLine="420" w:firstLineChars="200"/>
        <w:rPr>
          <w:rFonts w:ascii="宋体" w:hAnsi="宋体" w:cs="宋体"/>
          <w:sz w:val="21"/>
          <w:szCs w:val="21"/>
          <w:highlight w:val="none"/>
        </w:rPr>
      </w:pPr>
      <w:r>
        <w:rPr>
          <w:rFonts w:ascii="宋体" w:hAnsi="宋体" w:cs="宋体"/>
          <w:sz w:val="21"/>
          <w:szCs w:val="21"/>
          <w:highlight w:val="none"/>
        </w:rPr>
        <w:t>本公司违反上述保证，或本声明陈述与事实不符，经查实，本公司愿意接受公开通报，承担由此带来的法律后果。</w:t>
      </w:r>
    </w:p>
    <w:p w14:paraId="15D2F285">
      <w:pPr>
        <w:widowControl/>
        <w:shd w:val="clear" w:color="auto" w:fill="FFFFFF"/>
        <w:spacing w:line="360" w:lineRule="auto"/>
        <w:ind w:firstLine="420" w:firstLineChars="200"/>
        <w:rPr>
          <w:rFonts w:ascii="宋体" w:hAnsi="宋体" w:cs="宋体"/>
          <w:sz w:val="21"/>
          <w:szCs w:val="21"/>
          <w:highlight w:val="none"/>
        </w:rPr>
      </w:pPr>
      <w:r>
        <w:rPr>
          <w:rFonts w:ascii="宋体" w:hAnsi="宋体" w:cs="宋体"/>
          <w:sz w:val="21"/>
          <w:szCs w:val="21"/>
          <w:highlight w:val="none"/>
        </w:rPr>
        <w:t>特此声明。</w:t>
      </w:r>
    </w:p>
    <w:p w14:paraId="6B97A721">
      <w:pPr>
        <w:pStyle w:val="40"/>
        <w:ind w:right="1449" w:firstLine="420" w:firstLineChars="200"/>
        <w:rPr>
          <w:rFonts w:hint="default" w:ascii="宋体" w:eastAsia="宋体" w:cs="宋体"/>
          <w:sz w:val="21"/>
          <w:szCs w:val="21"/>
          <w:highlight w:val="none"/>
        </w:rPr>
      </w:pPr>
    </w:p>
    <w:p w14:paraId="2E2F3E69">
      <w:pPr>
        <w:pStyle w:val="40"/>
        <w:spacing w:line="600" w:lineRule="exact"/>
        <w:ind w:left="629" w:right="1449" w:firstLine="420" w:firstLineChars="200"/>
        <w:rPr>
          <w:rFonts w:hint="default" w:ascii="宋体" w:eastAsia="宋体" w:cs="宋体"/>
          <w:sz w:val="21"/>
          <w:szCs w:val="21"/>
          <w:highlight w:val="none"/>
        </w:rPr>
      </w:pPr>
      <w:r>
        <w:rPr>
          <w:rFonts w:hint="default" w:ascii="宋体" w:eastAsia="宋体" w:cs="宋体"/>
          <w:sz w:val="21"/>
          <w:szCs w:val="21"/>
          <w:highlight w:val="none"/>
        </w:rPr>
        <w:t xml:space="preserve">                                           声明企业：</w:t>
      </w:r>
    </w:p>
    <w:p w14:paraId="6F15C036">
      <w:pPr>
        <w:pStyle w:val="35"/>
        <w:spacing w:line="600" w:lineRule="exact"/>
        <w:ind w:right="1779" w:firstLine="473"/>
        <w:jc w:val="right"/>
        <w:rPr>
          <w:rFonts w:hint="default" w:ascii="宋体" w:eastAsia="宋体" w:cs="宋体"/>
          <w:sz w:val="21"/>
          <w:szCs w:val="21"/>
          <w:highlight w:val="none"/>
        </w:rPr>
      </w:pPr>
      <w:r>
        <w:rPr>
          <w:rFonts w:hint="default" w:ascii="宋体" w:eastAsia="宋体" w:cs="宋体"/>
          <w:sz w:val="21"/>
          <w:szCs w:val="21"/>
          <w:highlight w:val="none"/>
        </w:rPr>
        <w:t>法定代表人（签字）：</w:t>
      </w:r>
    </w:p>
    <w:p w14:paraId="216400DF">
      <w:pPr>
        <w:pStyle w:val="35"/>
        <w:spacing w:line="600" w:lineRule="exact"/>
        <w:ind w:right="1779" w:firstLine="473"/>
        <w:jc w:val="right"/>
        <w:rPr>
          <w:rFonts w:hint="default" w:ascii="宋体" w:eastAsia="宋体" w:cs="宋体"/>
          <w:sz w:val="21"/>
          <w:szCs w:val="21"/>
          <w:highlight w:val="none"/>
        </w:rPr>
      </w:pPr>
      <w:r>
        <w:rPr>
          <w:rFonts w:hint="default" w:ascii="宋体" w:eastAsia="宋体" w:cs="宋体"/>
          <w:sz w:val="21"/>
          <w:szCs w:val="21"/>
          <w:highlight w:val="none"/>
        </w:rPr>
        <w:t>总监理工程师（签字）：</w:t>
      </w:r>
    </w:p>
    <w:p w14:paraId="63B6A5E1">
      <w:pPr>
        <w:pStyle w:val="35"/>
        <w:spacing w:line="600" w:lineRule="exact"/>
        <w:ind w:right="1779" w:firstLine="473"/>
        <w:jc w:val="right"/>
        <w:rPr>
          <w:rFonts w:hint="default" w:ascii="宋体" w:eastAsia="宋体" w:cs="宋体"/>
          <w:sz w:val="21"/>
          <w:szCs w:val="21"/>
          <w:highlight w:val="none"/>
        </w:rPr>
      </w:pPr>
      <w:r>
        <w:rPr>
          <w:rFonts w:ascii="宋体" w:eastAsia="宋体" w:cs="宋体"/>
          <w:sz w:val="21"/>
          <w:szCs w:val="21"/>
          <w:highlight w:val="none"/>
        </w:rPr>
        <w:t>技术负责人（签字）：</w:t>
      </w:r>
    </w:p>
    <w:p w14:paraId="127379FF">
      <w:pPr>
        <w:pStyle w:val="35"/>
        <w:spacing w:line="600" w:lineRule="exact"/>
        <w:ind w:right="879" w:firstLine="420" w:firstLineChars="200"/>
        <w:jc w:val="right"/>
        <w:rPr>
          <w:rFonts w:hint="default" w:ascii="宋体" w:eastAsia="宋体" w:cs="宋体"/>
          <w:sz w:val="21"/>
          <w:szCs w:val="21"/>
          <w:highlight w:val="none"/>
        </w:rPr>
      </w:pPr>
      <w:r>
        <w:rPr>
          <w:rFonts w:hint="default" w:ascii="宋体" w:eastAsia="宋体" w:cs="宋体"/>
          <w:sz w:val="21"/>
          <w:szCs w:val="21"/>
          <w:highlight w:val="none"/>
        </w:rPr>
        <w:t>（企业公章）</w:t>
      </w:r>
    </w:p>
    <w:p w14:paraId="33B8DA00">
      <w:pPr>
        <w:pStyle w:val="35"/>
        <w:ind w:right="879" w:firstLine="420" w:firstLineChars="200"/>
        <w:jc w:val="right"/>
        <w:rPr>
          <w:rFonts w:hint="default" w:ascii="宋体" w:eastAsia="宋体" w:cs="宋体"/>
          <w:sz w:val="21"/>
          <w:szCs w:val="21"/>
          <w:highlight w:val="none"/>
        </w:rPr>
      </w:pPr>
      <w:r>
        <w:rPr>
          <w:rFonts w:hint="default" w:ascii="宋体" w:eastAsia="宋体" w:cs="宋体"/>
          <w:sz w:val="21"/>
          <w:szCs w:val="21"/>
          <w:highlight w:val="none"/>
        </w:rPr>
        <w:t>年  月  日</w:t>
      </w:r>
    </w:p>
    <w:p w14:paraId="4A83B1ED">
      <w:pPr>
        <w:pStyle w:val="31"/>
        <w:ind w:firstLine="0" w:firstLineChars="0"/>
        <w:rPr>
          <w:rFonts w:hint="default"/>
          <w:szCs w:val="24"/>
          <w:highlight w:val="none"/>
        </w:rPr>
        <w:sectPr>
          <w:pgSz w:w="11905" w:h="16838"/>
          <w:pgMar w:top="1417" w:right="1417" w:bottom="1417" w:left="1417" w:header="992" w:footer="992" w:gutter="0"/>
          <w:cols w:space="720" w:num="1"/>
        </w:sectPr>
      </w:pPr>
    </w:p>
    <w:p w14:paraId="7396D58B">
      <w:pPr>
        <w:pStyle w:val="7"/>
        <w:pageBreakBefore/>
        <w:rPr>
          <w:b/>
          <w:sz w:val="24"/>
          <w:highlight w:val="none"/>
        </w:rPr>
      </w:pPr>
      <w:r>
        <w:rPr>
          <w:rFonts w:hint="eastAsia"/>
          <w:b/>
          <w:bCs/>
          <w:sz w:val="24"/>
          <w:highlight w:val="none"/>
        </w:rPr>
        <w:t>（七）</w:t>
      </w:r>
      <w:r>
        <w:rPr>
          <w:rFonts w:hint="eastAsia"/>
          <w:b/>
          <w:sz w:val="24"/>
          <w:highlight w:val="none"/>
        </w:rPr>
        <w:t>投标人廉洁承诺书（格式）</w:t>
      </w:r>
    </w:p>
    <w:p w14:paraId="7D764B1F">
      <w:pPr>
        <w:pStyle w:val="20"/>
        <w:spacing w:before="120" w:beforeLines="50" w:beforeAutospacing="0" w:after="120" w:afterLines="50" w:afterAutospacing="0" w:line="360" w:lineRule="auto"/>
        <w:jc w:val="center"/>
        <w:rPr>
          <w:rFonts w:hint="default" w:ascii="宋体" w:hAnsi="宋体" w:cs="宋体"/>
          <w:b/>
          <w:bCs/>
          <w:sz w:val="32"/>
          <w:szCs w:val="32"/>
          <w:highlight w:val="none"/>
        </w:rPr>
      </w:pPr>
      <w:r>
        <w:rPr>
          <w:rFonts w:ascii="宋体" w:hAnsi="宋体" w:eastAsia="宋体" w:cs="宋体"/>
          <w:b/>
          <w:bCs/>
          <w:sz w:val="32"/>
          <w:szCs w:val="32"/>
          <w:highlight w:val="none"/>
        </w:rPr>
        <w:t>投标人廉洁承诺书</w:t>
      </w:r>
    </w:p>
    <w:p w14:paraId="17DAC750">
      <w:pPr>
        <w:pStyle w:val="20"/>
        <w:shd w:val="clear" w:color="auto" w:fill="FFFFFF"/>
        <w:spacing w:before="0" w:beforeAutospacing="0" w:after="0" w:afterAutospacing="0" w:line="360" w:lineRule="auto"/>
        <w:rPr>
          <w:rFonts w:hint="default" w:ascii="宋体" w:hAnsi="宋体" w:cs="宋体"/>
          <w:highlight w:val="none"/>
        </w:rPr>
      </w:pPr>
      <w:r>
        <w:rPr>
          <w:rFonts w:ascii="宋体" w:hAnsi="宋体" w:eastAsia="宋体" w:cs="宋体"/>
          <w:highlight w:val="none"/>
        </w:rPr>
        <w:t>广州市水务局、本招标项目招标人及招标监管机构：</w:t>
      </w:r>
    </w:p>
    <w:p w14:paraId="71B8D762">
      <w:pPr>
        <w:pStyle w:val="14"/>
        <w:spacing w:line="360" w:lineRule="auto"/>
        <w:ind w:right="420" w:firstLine="480" w:firstLineChars="200"/>
        <w:jc w:val="both"/>
        <w:rPr>
          <w:rFonts w:hAnsi="宋体" w:cs="宋体"/>
          <w:highlight w:val="none"/>
        </w:rPr>
      </w:pPr>
      <w:r>
        <w:rPr>
          <w:rFonts w:hint="eastAsia" w:hAnsi="宋体" w:cs="宋体"/>
          <w:highlight w:val="none"/>
        </w:rPr>
        <w:t>本公司参加了</w:t>
      </w:r>
      <w:r>
        <w:rPr>
          <w:rFonts w:hint="eastAsia" w:hAnsi="宋体" w:cs="宋体"/>
          <w:highlight w:val="none"/>
          <w:u w:val="single"/>
        </w:rPr>
        <w:t xml:space="preserve">   （项目名称/标段名称）    </w:t>
      </w:r>
      <w:r>
        <w:rPr>
          <w:rFonts w:hint="eastAsia" w:hAnsi="宋体" w:cs="宋体"/>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03FB1B33">
      <w:pPr>
        <w:pStyle w:val="14"/>
        <w:spacing w:line="360" w:lineRule="auto"/>
        <w:ind w:right="420" w:firstLine="480" w:firstLineChars="200"/>
        <w:rPr>
          <w:rFonts w:hAnsi="宋体" w:cs="宋体"/>
          <w:highlight w:val="none"/>
        </w:rPr>
      </w:pPr>
      <w:r>
        <w:rPr>
          <w:rFonts w:hint="eastAsia" w:hAnsi="宋体" w:cs="宋体"/>
          <w:highlight w:val="none"/>
        </w:rPr>
        <w:t>一、自觉遵守国家有关法律法规及廉洁规定。</w:t>
      </w:r>
    </w:p>
    <w:p w14:paraId="6EBC7B5E">
      <w:pPr>
        <w:pStyle w:val="14"/>
        <w:spacing w:line="360" w:lineRule="auto"/>
        <w:ind w:right="420" w:firstLine="480" w:firstLineChars="200"/>
        <w:jc w:val="both"/>
        <w:rPr>
          <w:rFonts w:hAnsi="宋体" w:cs="宋体"/>
          <w:highlight w:val="none"/>
        </w:rPr>
      </w:pPr>
      <w:r>
        <w:rPr>
          <w:rFonts w:hint="eastAsia" w:hAnsi="宋体" w:cs="宋体"/>
          <w:highlight w:val="none"/>
        </w:rPr>
        <w:t>二、不与招标单位工作人员串通投标，损害国家利益、企业利益以及他人的合法利益；</w:t>
      </w:r>
    </w:p>
    <w:p w14:paraId="4804D2C3">
      <w:pPr>
        <w:pStyle w:val="14"/>
        <w:spacing w:line="360" w:lineRule="auto"/>
        <w:ind w:right="420" w:firstLine="480" w:firstLineChars="200"/>
        <w:jc w:val="both"/>
        <w:rPr>
          <w:rFonts w:hAnsi="宋体" w:cs="宋体"/>
          <w:highlight w:val="none"/>
        </w:rPr>
      </w:pPr>
      <w:r>
        <w:rPr>
          <w:rFonts w:hint="eastAsia" w:hAnsi="宋体" w:cs="宋体"/>
          <w:highlight w:val="none"/>
        </w:rPr>
        <w:t>三、不与其他单位围标、串标，不出让投标资格，不向招标人或评标委员会成员行贿。</w:t>
      </w:r>
    </w:p>
    <w:p w14:paraId="78078538">
      <w:pPr>
        <w:pStyle w:val="14"/>
        <w:spacing w:line="360" w:lineRule="auto"/>
        <w:ind w:right="420" w:firstLine="480" w:firstLineChars="200"/>
        <w:jc w:val="both"/>
        <w:rPr>
          <w:rFonts w:hAnsi="宋体" w:cs="宋体"/>
          <w:highlight w:val="none"/>
        </w:rPr>
      </w:pPr>
      <w:r>
        <w:rPr>
          <w:rFonts w:hint="eastAsia" w:hAnsi="宋体" w:cs="宋体"/>
          <w:highlight w:val="none"/>
        </w:rPr>
        <w:t xml:space="preserve">四、不以任何名义向参与招标、评标工作的有关人员提供高消费宴请及娱乐活动和赠送回扣、红包、礼金、购物卡、有价证券、贵重物品和好处费、感谢费等； </w:t>
      </w:r>
    </w:p>
    <w:p w14:paraId="35772FAA">
      <w:pPr>
        <w:pStyle w:val="14"/>
        <w:spacing w:line="360" w:lineRule="auto"/>
        <w:ind w:right="420" w:firstLine="480" w:firstLineChars="200"/>
        <w:jc w:val="both"/>
        <w:rPr>
          <w:rFonts w:hAnsi="宋体" w:cs="宋体"/>
          <w:highlight w:val="none"/>
        </w:rPr>
      </w:pPr>
      <w:r>
        <w:rPr>
          <w:rFonts w:hint="eastAsia" w:hAnsi="宋体" w:cs="宋体"/>
          <w:highlight w:val="none"/>
        </w:rPr>
        <w:t>五、不以任何名义为参与招标、评标工作的有关人员装修住房、婚丧嫁取、配偶子女的工作安排以及境内外旅游等提供方便；</w:t>
      </w:r>
    </w:p>
    <w:p w14:paraId="1F2BA13D">
      <w:pPr>
        <w:pStyle w:val="14"/>
        <w:spacing w:line="360" w:lineRule="auto"/>
        <w:ind w:right="420" w:firstLine="480" w:firstLineChars="200"/>
        <w:rPr>
          <w:rFonts w:hAnsi="宋体" w:cs="宋体"/>
          <w:highlight w:val="none"/>
        </w:rPr>
      </w:pPr>
      <w:r>
        <w:rPr>
          <w:rFonts w:hint="eastAsia" w:hAnsi="宋体" w:cs="宋体"/>
          <w:highlight w:val="none"/>
        </w:rPr>
        <w:t>六、不以谋取非正当利益为目的，擅自与参与招标、评标工作的有关人员就业务问题进行私下商谈或者达成利益默契。</w:t>
      </w:r>
    </w:p>
    <w:p w14:paraId="4512EEAB">
      <w:pPr>
        <w:pStyle w:val="20"/>
        <w:shd w:val="clear" w:color="auto" w:fill="FFFFFF"/>
        <w:spacing w:before="0" w:beforeAutospacing="0" w:after="0" w:afterAutospacing="0" w:line="360" w:lineRule="auto"/>
        <w:ind w:firstLine="480" w:firstLineChars="200"/>
        <w:rPr>
          <w:rFonts w:hint="default" w:ascii="宋体" w:hAnsi="宋体" w:cs="宋体"/>
          <w:highlight w:val="none"/>
        </w:rPr>
      </w:pPr>
      <w:r>
        <w:rPr>
          <w:rFonts w:ascii="宋体" w:hAnsi="宋体" w:eastAsia="宋体" w:cs="宋体"/>
          <w:highlight w:val="none"/>
        </w:rPr>
        <w:t>本公司违反上述承诺，或本承诺陈述与事实不符，经查实，本公司愿意接受公开通报，承担由此带来的法律后果。</w:t>
      </w:r>
    </w:p>
    <w:p w14:paraId="1A5545DA">
      <w:pPr>
        <w:pStyle w:val="20"/>
        <w:shd w:val="clear" w:color="auto" w:fill="FFFFFF"/>
        <w:spacing w:before="0" w:beforeAutospacing="0" w:after="0" w:afterAutospacing="0" w:line="360" w:lineRule="auto"/>
        <w:ind w:firstLine="480" w:firstLineChars="200"/>
        <w:rPr>
          <w:rFonts w:hint="default" w:ascii="宋体" w:hAnsi="宋体" w:eastAsia="宋体" w:cs="宋体"/>
          <w:highlight w:val="none"/>
        </w:rPr>
      </w:pPr>
      <w:r>
        <w:rPr>
          <w:rFonts w:ascii="宋体" w:hAnsi="宋体" w:eastAsia="宋体" w:cs="宋体"/>
          <w:highlight w:val="none"/>
        </w:rPr>
        <w:t>特此承诺。</w:t>
      </w:r>
    </w:p>
    <w:p w14:paraId="37C6A6F0">
      <w:pPr>
        <w:pStyle w:val="20"/>
        <w:shd w:val="clear" w:color="auto" w:fill="FFFFFF"/>
        <w:spacing w:before="0" w:beforeAutospacing="0" w:after="0" w:afterAutospacing="0" w:line="360" w:lineRule="auto"/>
        <w:ind w:right="1455" w:firstLine="2880"/>
        <w:jc w:val="right"/>
        <w:rPr>
          <w:rFonts w:hint="default" w:ascii="宋体" w:hAnsi="宋体" w:cs="宋体"/>
          <w:highlight w:val="none"/>
        </w:rPr>
      </w:pPr>
      <w:r>
        <w:rPr>
          <w:rFonts w:ascii="宋体" w:hAnsi="宋体" w:eastAsia="宋体" w:cs="宋体"/>
          <w:highlight w:val="none"/>
        </w:rPr>
        <w:t>承诺企业（</w:t>
      </w:r>
      <w:r>
        <w:rPr>
          <w:rFonts w:ascii="宋体" w:hAnsi="宋体" w:cs="宋体"/>
          <w:highlight w:val="none"/>
        </w:rPr>
        <w:t>盖</w:t>
      </w:r>
      <w:r>
        <w:rPr>
          <w:rFonts w:ascii="宋体" w:hAnsi="宋体" w:eastAsia="宋体" w:cs="宋体"/>
          <w:highlight w:val="none"/>
        </w:rPr>
        <w:t>单位章）：      </w:t>
      </w:r>
    </w:p>
    <w:p w14:paraId="0BC21F0F">
      <w:pPr>
        <w:pStyle w:val="20"/>
        <w:shd w:val="clear" w:color="auto" w:fill="FFFFFF"/>
        <w:spacing w:before="0" w:beforeAutospacing="0" w:after="0" w:afterAutospacing="0" w:line="360" w:lineRule="auto"/>
        <w:ind w:firstLine="480"/>
        <w:jc w:val="right"/>
        <w:rPr>
          <w:rFonts w:hint="default" w:ascii="宋体" w:hAnsi="宋体" w:cs="宋体"/>
          <w:highlight w:val="none"/>
        </w:rPr>
      </w:pPr>
      <w:r>
        <w:rPr>
          <w:rFonts w:ascii="宋体" w:hAnsi="宋体" w:eastAsia="宋体" w:cs="宋体"/>
          <w:highlight w:val="none"/>
        </w:rPr>
        <w:t>法定代表人签字：</w:t>
      </w:r>
      <w:r>
        <w:rPr>
          <w:rFonts w:ascii="宋体" w:hAnsi="宋体" w:cs="宋体"/>
          <w:highlight w:val="none"/>
        </w:rPr>
        <w:t xml:space="preserve">           </w:t>
      </w:r>
    </w:p>
    <w:p w14:paraId="39D62332">
      <w:pPr>
        <w:pStyle w:val="31"/>
        <w:ind w:firstLine="0" w:firstLineChars="0"/>
        <w:jc w:val="right"/>
        <w:rPr>
          <w:rFonts w:hint="default"/>
          <w:szCs w:val="24"/>
          <w:highlight w:val="none"/>
        </w:rPr>
        <w:sectPr>
          <w:pgSz w:w="11905" w:h="16838"/>
          <w:pgMar w:top="1417" w:right="1417" w:bottom="1417" w:left="1417" w:header="992" w:footer="992" w:gutter="0"/>
          <w:cols w:space="720" w:num="1"/>
        </w:sectPr>
      </w:pPr>
      <w:r>
        <w:rPr>
          <w:rFonts w:ascii="宋体" w:hAnsi="宋体" w:eastAsia="宋体" w:cs="宋体"/>
          <w:szCs w:val="24"/>
          <w:highlight w:val="none"/>
        </w:rPr>
        <w:t>年   月   日</w:t>
      </w:r>
    </w:p>
    <w:p w14:paraId="3E5E5358">
      <w:pPr>
        <w:pStyle w:val="6"/>
        <w:spacing w:before="120" w:after="120"/>
        <w:jc w:val="center"/>
        <w:rPr>
          <w:sz w:val="28"/>
          <w:highlight w:val="none"/>
        </w:rPr>
      </w:pPr>
      <w:bookmarkStart w:id="252" w:name="bookmark193"/>
      <w:bookmarkEnd w:id="252"/>
      <w:bookmarkStart w:id="253" w:name="_Toc3592"/>
      <w:r>
        <w:rPr>
          <w:sz w:val="28"/>
          <w:highlight w:val="none"/>
        </w:rPr>
        <w:t>七、监理大纲</w:t>
      </w:r>
      <w:bookmarkEnd w:id="253"/>
    </w:p>
    <w:p w14:paraId="69A067FD">
      <w:pPr>
        <w:pStyle w:val="12"/>
        <w:kinsoku w:val="0"/>
        <w:overflowPunct w:val="0"/>
        <w:spacing w:before="240" w:beforeLines="100" w:line="360" w:lineRule="auto"/>
        <w:ind w:left="0" w:firstLine="480" w:firstLineChars="200"/>
        <w:rPr>
          <w:sz w:val="24"/>
          <w:highlight w:val="none"/>
        </w:rPr>
      </w:pPr>
      <w:r>
        <w:rPr>
          <w:sz w:val="24"/>
          <w:highlight w:val="none"/>
        </w:rPr>
        <w:t>监理大纲应包括（但不限于）下列内容：</w:t>
      </w:r>
    </w:p>
    <w:p w14:paraId="47C5377D">
      <w:pPr>
        <w:pStyle w:val="12"/>
        <w:kinsoku w:val="0"/>
        <w:overflowPunct w:val="0"/>
        <w:spacing w:line="360" w:lineRule="auto"/>
        <w:ind w:left="480"/>
        <w:rPr>
          <w:sz w:val="24"/>
          <w:highlight w:val="none"/>
        </w:rPr>
      </w:pPr>
      <w:r>
        <w:rPr>
          <w:sz w:val="24"/>
          <w:highlight w:val="none"/>
        </w:rPr>
        <w:t>一、监理工程概况；</w:t>
      </w:r>
    </w:p>
    <w:p w14:paraId="0E6843B3">
      <w:pPr>
        <w:pStyle w:val="12"/>
        <w:kinsoku w:val="0"/>
        <w:overflowPunct w:val="0"/>
        <w:spacing w:line="360" w:lineRule="auto"/>
        <w:ind w:left="480"/>
        <w:rPr>
          <w:sz w:val="24"/>
          <w:highlight w:val="none"/>
        </w:rPr>
      </w:pPr>
      <w:r>
        <w:rPr>
          <w:sz w:val="24"/>
          <w:highlight w:val="none"/>
        </w:rPr>
        <w:t xml:space="preserve">二、监理范围、监理内容； </w:t>
      </w:r>
    </w:p>
    <w:p w14:paraId="6FF411F4">
      <w:pPr>
        <w:pStyle w:val="12"/>
        <w:kinsoku w:val="0"/>
        <w:overflowPunct w:val="0"/>
        <w:spacing w:line="360" w:lineRule="auto"/>
        <w:ind w:left="480"/>
        <w:rPr>
          <w:sz w:val="24"/>
          <w:highlight w:val="none"/>
        </w:rPr>
      </w:pPr>
      <w:r>
        <w:rPr>
          <w:sz w:val="24"/>
          <w:highlight w:val="none"/>
        </w:rPr>
        <w:t>三、监理依据、监理工作目标；</w:t>
      </w:r>
    </w:p>
    <w:p w14:paraId="351C73AE">
      <w:pPr>
        <w:pStyle w:val="12"/>
        <w:kinsoku w:val="0"/>
        <w:overflowPunct w:val="0"/>
        <w:spacing w:line="360" w:lineRule="auto"/>
        <w:ind w:left="480"/>
        <w:rPr>
          <w:sz w:val="24"/>
          <w:highlight w:val="none"/>
        </w:rPr>
      </w:pPr>
      <w:r>
        <w:rPr>
          <w:spacing w:val="-8"/>
          <w:sz w:val="24"/>
          <w:highlight w:val="none"/>
        </w:rPr>
        <w:t>四、监理机构设置（框图）、岗位职责；</w:t>
      </w:r>
      <w:r>
        <w:rPr>
          <w:spacing w:val="-69"/>
          <w:sz w:val="24"/>
          <w:highlight w:val="none"/>
        </w:rPr>
        <w:t xml:space="preserve"> </w:t>
      </w:r>
    </w:p>
    <w:p w14:paraId="3E8823CE">
      <w:pPr>
        <w:pStyle w:val="12"/>
        <w:kinsoku w:val="0"/>
        <w:overflowPunct w:val="0"/>
        <w:spacing w:line="360" w:lineRule="auto"/>
        <w:ind w:left="0" w:firstLine="480" w:firstLineChars="200"/>
        <w:rPr>
          <w:sz w:val="24"/>
          <w:highlight w:val="none"/>
        </w:rPr>
      </w:pPr>
      <w:r>
        <w:rPr>
          <w:sz w:val="24"/>
          <w:highlight w:val="none"/>
        </w:rPr>
        <w:t xml:space="preserve">五、监理工作程序、方法和制度； </w:t>
      </w:r>
    </w:p>
    <w:p w14:paraId="59AC13F2">
      <w:pPr>
        <w:pStyle w:val="12"/>
        <w:kinsoku w:val="0"/>
        <w:overflowPunct w:val="0"/>
        <w:spacing w:line="360" w:lineRule="auto"/>
        <w:ind w:left="480"/>
        <w:rPr>
          <w:sz w:val="24"/>
          <w:highlight w:val="none"/>
        </w:rPr>
      </w:pPr>
      <w:r>
        <w:rPr>
          <w:sz w:val="24"/>
          <w:highlight w:val="none"/>
        </w:rPr>
        <w:t xml:space="preserve">六、拟投入的监理人员、试验检测仪器设备； </w:t>
      </w:r>
    </w:p>
    <w:p w14:paraId="54A4B1C7">
      <w:pPr>
        <w:pStyle w:val="12"/>
        <w:kinsoku w:val="0"/>
        <w:overflowPunct w:val="0"/>
        <w:spacing w:line="360" w:lineRule="auto"/>
        <w:ind w:left="480"/>
        <w:rPr>
          <w:sz w:val="24"/>
          <w:highlight w:val="none"/>
        </w:rPr>
      </w:pPr>
      <w:r>
        <w:rPr>
          <w:spacing w:val="-2"/>
          <w:sz w:val="24"/>
          <w:highlight w:val="none"/>
        </w:rPr>
        <w:t>七、质量、进度、造价、安全、环保监理措施；</w:t>
      </w:r>
      <w:r>
        <w:rPr>
          <w:spacing w:val="-66"/>
          <w:sz w:val="24"/>
          <w:highlight w:val="none"/>
        </w:rPr>
        <w:t xml:space="preserve"> </w:t>
      </w:r>
    </w:p>
    <w:p w14:paraId="6388C821">
      <w:pPr>
        <w:pStyle w:val="12"/>
        <w:kinsoku w:val="0"/>
        <w:overflowPunct w:val="0"/>
        <w:spacing w:line="360" w:lineRule="auto"/>
        <w:ind w:left="480"/>
        <w:rPr>
          <w:sz w:val="24"/>
          <w:highlight w:val="none"/>
        </w:rPr>
      </w:pPr>
      <w:r>
        <w:rPr>
          <w:sz w:val="24"/>
          <w:highlight w:val="none"/>
        </w:rPr>
        <w:t>八、合同、信息管理方案；</w:t>
      </w:r>
    </w:p>
    <w:p w14:paraId="3AAF846B">
      <w:pPr>
        <w:pStyle w:val="12"/>
        <w:kinsoku w:val="0"/>
        <w:overflowPunct w:val="0"/>
        <w:spacing w:line="360" w:lineRule="auto"/>
        <w:ind w:left="480"/>
        <w:rPr>
          <w:sz w:val="24"/>
          <w:highlight w:val="none"/>
        </w:rPr>
      </w:pPr>
      <w:r>
        <w:rPr>
          <w:sz w:val="24"/>
          <w:highlight w:val="none"/>
        </w:rPr>
        <w:t xml:space="preserve">九、组织协调内容及措施； </w:t>
      </w:r>
    </w:p>
    <w:p w14:paraId="584CA66D">
      <w:pPr>
        <w:pStyle w:val="12"/>
        <w:kinsoku w:val="0"/>
        <w:overflowPunct w:val="0"/>
        <w:spacing w:line="360" w:lineRule="auto"/>
        <w:ind w:left="480"/>
        <w:rPr>
          <w:sz w:val="24"/>
          <w:highlight w:val="none"/>
        </w:rPr>
      </w:pPr>
      <w:r>
        <w:rPr>
          <w:sz w:val="24"/>
          <w:highlight w:val="none"/>
        </w:rPr>
        <w:t xml:space="preserve">十、监理工作重点、难点分析； </w:t>
      </w:r>
    </w:p>
    <w:p w14:paraId="7C7E4860">
      <w:pPr>
        <w:pStyle w:val="12"/>
        <w:kinsoku w:val="0"/>
        <w:overflowPunct w:val="0"/>
        <w:spacing w:line="360" w:lineRule="auto"/>
        <w:ind w:left="480"/>
        <w:rPr>
          <w:sz w:val="24"/>
          <w:highlight w:val="none"/>
        </w:rPr>
      </w:pPr>
      <w:r>
        <w:rPr>
          <w:sz w:val="24"/>
          <w:highlight w:val="none"/>
        </w:rPr>
        <w:t>十一、对本工程监理的合理化建议。</w:t>
      </w:r>
    </w:p>
    <w:p w14:paraId="3342E4A7">
      <w:pPr>
        <w:pStyle w:val="12"/>
        <w:kinsoku w:val="0"/>
        <w:overflowPunct w:val="0"/>
        <w:spacing w:before="275" w:line="357" w:lineRule="auto"/>
        <w:ind w:left="555" w:right="3835"/>
        <w:rPr>
          <w:sz w:val="24"/>
          <w:highlight w:val="none"/>
        </w:rPr>
        <w:sectPr>
          <w:pgSz w:w="11905" w:h="16838"/>
          <w:pgMar w:top="1417" w:right="1417" w:bottom="1417" w:left="1417" w:header="992" w:footer="992" w:gutter="0"/>
          <w:cols w:space="720" w:num="1"/>
        </w:sectPr>
      </w:pPr>
    </w:p>
    <w:p w14:paraId="6C12E0E5">
      <w:pPr>
        <w:pStyle w:val="6"/>
        <w:spacing w:before="120" w:after="120"/>
        <w:jc w:val="center"/>
        <w:rPr>
          <w:sz w:val="28"/>
          <w:highlight w:val="none"/>
        </w:rPr>
        <w:sectPr>
          <w:headerReference r:id="rId21" w:type="default"/>
          <w:footerReference r:id="rId22" w:type="default"/>
          <w:pgSz w:w="11905" w:h="16838"/>
          <w:pgMar w:top="1417" w:right="1417" w:bottom="1417" w:left="1417" w:header="992" w:footer="992" w:gutter="0"/>
          <w:cols w:space="720" w:num="1"/>
        </w:sectPr>
      </w:pPr>
      <w:bookmarkStart w:id="254" w:name="bookmark194"/>
      <w:bookmarkEnd w:id="254"/>
      <w:bookmarkStart w:id="255" w:name="_Toc29707"/>
      <w:r>
        <w:rPr>
          <w:sz w:val="28"/>
          <w:highlight w:val="none"/>
        </w:rPr>
        <w:t>八、其他资料</w:t>
      </w:r>
      <w:bookmarkEnd w:id="255"/>
    </w:p>
    <w:p w14:paraId="718CEF08">
      <w:pPr>
        <w:pStyle w:val="5"/>
        <w:rPr>
          <w:sz w:val="44"/>
          <w:szCs w:val="44"/>
          <w:highlight w:val="none"/>
        </w:rPr>
      </w:pPr>
      <w:bookmarkStart w:id="256" w:name="_Toc27375"/>
      <w:r>
        <w:rPr>
          <w:sz w:val="44"/>
          <w:szCs w:val="44"/>
          <w:highlight w:val="none"/>
        </w:rPr>
        <w:t>第七章 投标人须知前附表规定的其他资料。</w:t>
      </w:r>
      <w:bookmarkEnd w:id="256"/>
    </w:p>
    <w:p w14:paraId="5B17E9DB">
      <w:pPr>
        <w:rPr>
          <w:highlight w:val="none"/>
        </w:rPr>
      </w:pPr>
    </w:p>
    <w:p w14:paraId="33134CF2">
      <w:pPr>
        <w:pStyle w:val="6"/>
        <w:spacing w:before="120" w:after="120"/>
        <w:jc w:val="center"/>
        <w:rPr>
          <w:sz w:val="30"/>
          <w:highlight w:val="none"/>
        </w:rPr>
      </w:pPr>
      <w:bookmarkStart w:id="257" w:name="_Toc11244"/>
      <w:r>
        <w:rPr>
          <w:sz w:val="30"/>
          <w:highlight w:val="none"/>
        </w:rPr>
        <w:t>否决性条款汇总</w:t>
      </w:r>
      <w:bookmarkEnd w:id="257"/>
    </w:p>
    <w:p w14:paraId="5B8F3A09">
      <w:pPr>
        <w:widowControl/>
        <w:ind w:firstLine="482"/>
        <w:jc w:val="center"/>
        <w:rPr>
          <w:rFonts w:ascii="宋体" w:hAnsi="宋体" w:cs="宋体"/>
          <w:highlight w:val="none"/>
        </w:rPr>
      </w:pPr>
      <w:r>
        <w:rPr>
          <w:rFonts w:hint="eastAsia" w:ascii="宋体" w:hAnsi="宋体" w:cs="宋体"/>
          <w:b/>
          <w:bCs/>
          <w:highlight w:val="none"/>
        </w:rPr>
        <w:t>否决性条款单列参考格式</w:t>
      </w:r>
    </w:p>
    <w:p w14:paraId="61FEB46F">
      <w:pPr>
        <w:widowControl/>
        <w:spacing w:after="135" w:line="585" w:lineRule="atLeast"/>
        <w:ind w:firstLine="480"/>
        <w:jc w:val="center"/>
        <w:rPr>
          <w:rFonts w:ascii="宋体" w:hAnsi="宋体" w:cs="宋体"/>
          <w:highlight w:val="none"/>
        </w:rPr>
      </w:pPr>
      <w:r>
        <w:rPr>
          <w:rFonts w:hint="eastAsia" w:ascii="宋体" w:hAnsi="宋体" w:cs="宋体"/>
          <w:b/>
          <w:bCs/>
          <w:highlight w:val="none"/>
        </w:rPr>
        <w:t>（*格式仅供参考，条款的实际内容应与招标文件条款相对应）</w:t>
      </w:r>
    </w:p>
    <w:p w14:paraId="1CC639AE">
      <w:pPr>
        <w:widowControl/>
        <w:autoSpaceDE/>
        <w:autoSpaceDN/>
        <w:adjustRightInd/>
        <w:spacing w:after="135" w:line="360" w:lineRule="auto"/>
        <w:ind w:firstLine="480" w:firstLineChars="200"/>
        <w:rPr>
          <w:rFonts w:ascii="宋体" w:hAnsi="宋体" w:cs="宋体"/>
          <w:highlight w:val="none"/>
        </w:rPr>
      </w:pPr>
      <w:r>
        <w:rPr>
          <w:rFonts w:hint="eastAsia" w:ascii="宋体" w:hAnsi="宋体" w:cs="宋体"/>
          <w:highlight w:val="none"/>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14:paraId="354D5CF9">
      <w:pPr>
        <w:widowControl/>
        <w:autoSpaceDE/>
        <w:autoSpaceDN/>
        <w:adjustRightInd/>
        <w:spacing w:after="135" w:line="360" w:lineRule="auto"/>
        <w:ind w:firstLine="480" w:firstLineChars="200"/>
        <w:rPr>
          <w:rFonts w:ascii="宋体" w:hAnsi="宋体" w:cs="宋体"/>
          <w:highlight w:val="none"/>
        </w:rPr>
      </w:pPr>
      <w:r>
        <w:rPr>
          <w:rFonts w:hint="eastAsia" w:ascii="宋体" w:hAnsi="宋体" w:cs="宋体"/>
          <w:highlight w:val="none"/>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14:paraId="213AD9D3">
      <w:pPr>
        <w:widowControl/>
        <w:autoSpaceDE/>
        <w:autoSpaceDN/>
        <w:adjustRightInd/>
        <w:spacing w:after="135" w:line="360" w:lineRule="auto"/>
        <w:ind w:firstLine="480" w:firstLineChars="200"/>
        <w:rPr>
          <w:rFonts w:ascii="宋体" w:hAnsi="宋体" w:cs="宋体"/>
          <w:highlight w:val="none"/>
        </w:rPr>
      </w:pPr>
      <w:r>
        <w:rPr>
          <w:rFonts w:hint="eastAsia" w:ascii="宋体" w:hAnsi="宋体" w:cs="宋体"/>
          <w:highlight w:val="none"/>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4DD0C55">
      <w:pPr>
        <w:widowControl/>
        <w:autoSpaceDE/>
        <w:autoSpaceDN/>
        <w:adjustRightInd/>
        <w:spacing w:after="135" w:line="360" w:lineRule="auto"/>
        <w:ind w:firstLine="480" w:firstLineChars="200"/>
        <w:rPr>
          <w:rFonts w:ascii="宋体" w:hAnsi="宋体" w:cs="宋体"/>
          <w:highlight w:val="none"/>
        </w:rPr>
      </w:pPr>
      <w:r>
        <w:rPr>
          <w:rFonts w:hint="eastAsia" w:ascii="宋体" w:hAnsi="宋体" w:cs="宋体"/>
          <w:highlight w:val="none"/>
        </w:rPr>
        <w:t>一、开标时，出现下列情形之一的，不参与资格审查和</w:t>
      </w:r>
      <w:bookmarkStart w:id="258" w:name="_GoBack"/>
      <w:bookmarkEnd w:id="258"/>
      <w:r>
        <w:rPr>
          <w:rFonts w:hint="eastAsia" w:ascii="宋体" w:hAnsi="宋体" w:cs="宋体"/>
          <w:highlight w:val="none"/>
        </w:rPr>
        <w:t>评标</w:t>
      </w:r>
    </w:p>
    <w:p w14:paraId="5BC91ACD">
      <w:pPr>
        <w:widowControl/>
        <w:autoSpaceDE/>
        <w:autoSpaceDN/>
        <w:adjustRightInd/>
        <w:spacing w:after="135" w:line="360" w:lineRule="auto"/>
        <w:ind w:firstLine="480" w:firstLineChars="200"/>
        <w:rPr>
          <w:rFonts w:ascii="宋体" w:hAnsi="宋体" w:cs="宋体"/>
          <w:highlight w:val="none"/>
        </w:rPr>
      </w:pPr>
      <w:r>
        <w:rPr>
          <w:rFonts w:hint="eastAsia" w:ascii="宋体" w:hAnsi="宋体" w:cs="宋体"/>
          <w:highlight w:val="none"/>
        </w:rPr>
        <w:t>1.未成功递交投标文件的；</w:t>
      </w:r>
    </w:p>
    <w:p w14:paraId="11A905A0">
      <w:pPr>
        <w:widowControl/>
        <w:autoSpaceDE/>
        <w:autoSpaceDN/>
        <w:adjustRightInd/>
        <w:spacing w:after="135" w:line="360" w:lineRule="auto"/>
        <w:ind w:firstLine="480" w:firstLineChars="200"/>
        <w:rPr>
          <w:rFonts w:ascii="宋体" w:hAnsi="宋体" w:cs="宋体"/>
          <w:highlight w:val="none"/>
        </w:rPr>
      </w:pPr>
      <w:r>
        <w:rPr>
          <w:rFonts w:hint="eastAsia" w:ascii="宋体" w:hAnsi="宋体" w:cs="宋体"/>
          <w:highlight w:val="none"/>
        </w:rPr>
        <w:t>2.因投标人原因造成投标文件未解密的；</w:t>
      </w:r>
    </w:p>
    <w:p w14:paraId="5E2F7A07">
      <w:pPr>
        <w:widowControl/>
        <w:autoSpaceDE/>
        <w:autoSpaceDN/>
        <w:adjustRightInd/>
        <w:spacing w:after="135" w:line="360" w:lineRule="auto"/>
        <w:ind w:firstLine="480" w:firstLineChars="200"/>
        <w:rPr>
          <w:rFonts w:ascii="宋体" w:hAnsi="宋体" w:cs="宋体"/>
          <w:highlight w:val="none"/>
        </w:rPr>
      </w:pPr>
      <w:r>
        <w:rPr>
          <w:rFonts w:hint="eastAsia" w:ascii="宋体" w:hAnsi="宋体" w:cs="宋体"/>
          <w:highlight w:val="none"/>
        </w:rPr>
        <w:t>3.两个（含两个）以上的投标人加密打包投标文件电脑机器特征码一致的；</w:t>
      </w:r>
    </w:p>
    <w:p w14:paraId="2AB56E98">
      <w:pPr>
        <w:widowControl/>
        <w:spacing w:after="135" w:line="360" w:lineRule="auto"/>
        <w:ind w:firstLine="480" w:firstLineChars="200"/>
        <w:rPr>
          <w:rFonts w:ascii="宋体" w:hAnsi="宋体" w:cs="宋体"/>
          <w:highlight w:val="none"/>
        </w:rPr>
      </w:pPr>
      <w:r>
        <w:rPr>
          <w:rFonts w:hint="eastAsia" w:ascii="宋体" w:hAnsi="宋体" w:cs="宋体"/>
          <w:highlight w:val="none"/>
        </w:rPr>
        <w:t>4.若递交投标文件的投标人不足3家，则重新组织招标。</w:t>
      </w:r>
    </w:p>
    <w:p w14:paraId="1AB0E21A">
      <w:pPr>
        <w:widowControl/>
        <w:autoSpaceDE/>
        <w:autoSpaceDN/>
        <w:adjustRightInd/>
        <w:spacing w:after="135" w:line="360" w:lineRule="auto"/>
        <w:ind w:firstLine="480" w:firstLineChars="200"/>
        <w:rPr>
          <w:rFonts w:ascii="宋体" w:hAnsi="宋体" w:cs="宋体"/>
          <w:highlight w:val="none"/>
        </w:rPr>
      </w:pPr>
      <w:r>
        <w:rPr>
          <w:rFonts w:hint="eastAsia" w:ascii="宋体" w:hAnsi="宋体" w:cs="宋体"/>
          <w:highlight w:val="none"/>
        </w:rPr>
        <w:t>二、作无效投标的情形</w:t>
      </w:r>
    </w:p>
    <w:p w14:paraId="2F954457">
      <w:pPr>
        <w:widowControl/>
        <w:autoSpaceDE/>
        <w:autoSpaceDN/>
        <w:adjustRightInd/>
        <w:spacing w:after="135" w:line="360" w:lineRule="auto"/>
        <w:ind w:firstLine="480" w:firstLineChars="200"/>
        <w:rPr>
          <w:rFonts w:ascii="宋体" w:hAnsi="宋体" w:cs="宋体"/>
          <w:highlight w:val="none"/>
        </w:rPr>
      </w:pPr>
      <w:r>
        <w:rPr>
          <w:rFonts w:hint="eastAsia" w:ascii="宋体" w:hAnsi="宋体" w:cs="宋体"/>
          <w:highlight w:val="none"/>
        </w:rPr>
        <w:t>1.投标文件不符合招标文件评标办法中形式评审标准、资格评审标准、响应性评审标准、技术评审标准（若有）的要求。</w:t>
      </w:r>
    </w:p>
    <w:p w14:paraId="56CDD72B">
      <w:pPr>
        <w:widowControl/>
        <w:autoSpaceDE/>
        <w:autoSpaceDN/>
        <w:adjustRightInd/>
        <w:spacing w:after="135" w:line="360" w:lineRule="auto"/>
        <w:ind w:firstLine="480" w:firstLineChars="200"/>
        <w:rPr>
          <w:rFonts w:ascii="宋体" w:hAnsi="宋体" w:cs="宋体"/>
          <w:highlight w:val="none"/>
        </w:rPr>
      </w:pPr>
      <w:r>
        <w:rPr>
          <w:rFonts w:hint="eastAsia" w:ascii="宋体" w:hAnsi="宋体" w:cs="宋体"/>
          <w:highlight w:val="none"/>
        </w:rPr>
        <w:t>三、作不合格标处理的情形</w:t>
      </w:r>
    </w:p>
    <w:p w14:paraId="72E4B008">
      <w:pPr>
        <w:widowControl/>
        <w:autoSpaceDE/>
        <w:autoSpaceDN/>
        <w:adjustRightInd/>
        <w:spacing w:after="135" w:line="360" w:lineRule="auto"/>
        <w:ind w:firstLine="480" w:firstLineChars="200"/>
        <w:rPr>
          <w:rFonts w:ascii="宋体" w:hAnsi="宋体" w:cs="宋体"/>
          <w:highlight w:val="none"/>
        </w:rPr>
      </w:pPr>
      <w:r>
        <w:rPr>
          <w:rFonts w:hint="eastAsia" w:ascii="宋体" w:hAnsi="宋体" w:cs="宋体"/>
          <w:highlight w:val="none"/>
        </w:rPr>
        <w:t>1.串通投标或弄虚作假或有其他违法行为的；</w:t>
      </w:r>
    </w:p>
    <w:p w14:paraId="3F604955">
      <w:pPr>
        <w:widowControl/>
        <w:autoSpaceDE/>
        <w:autoSpaceDN/>
        <w:adjustRightInd/>
        <w:spacing w:after="135" w:line="360" w:lineRule="auto"/>
        <w:ind w:firstLine="480" w:firstLineChars="200"/>
        <w:rPr>
          <w:rFonts w:ascii="宋体" w:hAnsi="宋体" w:cs="宋体"/>
          <w:highlight w:val="none"/>
        </w:rPr>
      </w:pPr>
      <w:r>
        <w:rPr>
          <w:rFonts w:hint="eastAsia" w:ascii="宋体" w:hAnsi="宋体" w:cs="宋体"/>
          <w:highlight w:val="none"/>
        </w:rPr>
        <w:t>2.不按评标委员会要求澄清、说明或补正的。</w:t>
      </w:r>
    </w:p>
    <w:p w14:paraId="5E10C503">
      <w:pPr>
        <w:spacing w:line="360" w:lineRule="auto"/>
        <w:ind w:firstLine="484" w:firstLineChars="202"/>
        <w:rPr>
          <w:rFonts w:ascii="宋体" w:hAnsi="宋体" w:cs="宋体"/>
          <w:kern w:val="21"/>
          <w:highlight w:val="none"/>
        </w:rPr>
      </w:pPr>
      <w:r>
        <w:rPr>
          <w:rFonts w:hint="eastAsia" w:ascii="宋体" w:hAnsi="宋体" w:cs="宋体"/>
          <w:highlight w:val="none"/>
        </w:rPr>
        <w:t>3.第二章“投标人须知”第1.4.3项规定的任何一种情形的；</w:t>
      </w:r>
    </w:p>
    <w:sectPr>
      <w:pgSz w:w="11905" w:h="16838"/>
      <w:pgMar w:top="1417" w:right="1417" w:bottom="1417" w:left="1417" w:header="992"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2F2E9">
    <w:pPr>
      <w:pStyle w:val="1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1161B6">
                          <w:pPr>
                            <w:pStyle w:val="16"/>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1">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ie7z98BAAC/AwAADgAAAAAA&#10;AAABACAAAAAeAQAAZHJzL2Uyb0RvYy54bWxQSwUGAAAAAAYABgBZAQAAbwUAAAAA&#10;">
              <v:fill on="f" focussize="0,0"/>
              <v:stroke on="f"/>
              <v:imagedata o:title=""/>
              <o:lock v:ext="edit" aspectratio="f"/>
              <v:textbox inset="0mm,0mm,0mm,0mm" style="mso-fit-shape-to-text:t;">
                <w:txbxContent>
                  <w:p w14:paraId="211161B6">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59EE9">
    <w:pPr>
      <w:pStyle w:val="12"/>
      <w:kinsoku w:val="0"/>
      <w:overflowPunct w:val="0"/>
      <w:spacing w:line="14" w:lineRule="auto"/>
      <w:ind w:left="0"/>
      <w:rPr>
        <w:sz w:val="20"/>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67005" cy="1397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42DB6917">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90</w:t>
                          </w:r>
                          <w:r>
                            <w:rPr>
                              <w:rFonts w:ascii="Calibri" w:hAnsi="Calibri" w:eastAsia="Calibri"/>
                              <w:w w:val="99"/>
                              <w:sz w:val="18"/>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848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X0avfCAQAAgQ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0EsgSZywtPHDzx+HX38O&#10;v7+z+VUSqA9YUd1doMo4vPMDFU9xpGDiPbRg05cYMcoT1v4krxoik+nS5VVZvuFMUmr++pqchFI8&#10;XA6A8b3yliWj5kDby6KK3UeMY+lUkno5f6uNyRs07r8AYaZIkSYfJ0xWHNbDkc7aN3ti09Pia47f&#10;tgIUZ+aDI2XTK5kMmIz1ZGwD6E1Hw2UFcgPaTGZxfEVp9f/6eYyHP2f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BV9Gr3wgEAAIEDAAAOAAAAAAAAAAEAIAAAACIBAABkcnMvZTJvRG9jLnht&#10;bFBLBQYAAAAABgAGAFkBAABWBQAAAAA=&#10;">
              <v:fill on="f" focussize="0,0"/>
              <v:stroke on="f"/>
              <v:imagedata o:title=""/>
              <o:lock v:ext="edit" aspectratio="f"/>
              <v:textbox inset="0mm,0mm,0mm,0mm">
                <w:txbxContent>
                  <w:p w14:paraId="42DB6917">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90</w:t>
                    </w:r>
                    <w:r>
                      <w:rPr>
                        <w:rFonts w:ascii="Calibri" w:hAnsi="Calibri" w:eastAsia="Calibri"/>
                        <w:w w:val="99"/>
                        <w:sz w:val="1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CE602">
    <w:pPr>
      <w:pStyle w:val="12"/>
      <w:kinsoku w:val="0"/>
      <w:overflowPunct w:val="0"/>
      <w:spacing w:line="14" w:lineRule="auto"/>
      <w:ind w:left="0"/>
      <w:rPr>
        <w:sz w:val="20"/>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67005" cy="13970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0A43E940">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91</w:t>
                          </w:r>
                          <w:r>
                            <w:rPr>
                              <w:rFonts w:ascii="Calibri" w:hAnsi="Calibri" w:eastAsia="Calibri"/>
                              <w:w w:val="99"/>
                              <w:sz w:val="18"/>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950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CVlHMIwgEAAIEDAAAOAAAAAAAAAAEAIAAAACIBAABkcnMvZTJvRG9jLnht&#10;bFBLBQYAAAAABgAGAFkBAABWBQAAAAA=&#10;">
              <v:fill on="f" focussize="0,0"/>
              <v:stroke on="f"/>
              <v:imagedata o:title=""/>
              <o:lock v:ext="edit" aspectratio="f"/>
              <v:textbox inset="0mm,0mm,0mm,0mm">
                <w:txbxContent>
                  <w:p w14:paraId="0A43E940">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91</w:t>
                    </w:r>
                    <w:r>
                      <w:rPr>
                        <w:rFonts w:ascii="Calibri" w:hAnsi="Calibri" w:eastAsia="Calibri"/>
                        <w:w w:val="99"/>
                        <w:sz w:val="1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CEA48">
    <w:pPr>
      <w:pStyle w:val="12"/>
      <w:kinsoku w:val="0"/>
      <w:overflowPunct w:val="0"/>
      <w:spacing w:line="14" w:lineRule="auto"/>
      <w:ind w:left="0"/>
      <w:rPr>
        <w:sz w:val="20"/>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67005" cy="1397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44E688D">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95</w:t>
                          </w:r>
                          <w:r>
                            <w:rPr>
                              <w:rFonts w:ascii="Calibri" w:hAnsi="Calibri" w:eastAsia="Calibri"/>
                              <w:w w:val="99"/>
                              <w:sz w:val="18"/>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745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BsPAGMMBAACAAwAADgAAAAAAAAABACAAAAAiAQAAZHJzL2Uyb0RvYy54&#10;bWxQSwUGAAAAAAYABgBZAQAAVwUAAAAA&#10;">
              <v:fill on="f" focussize="0,0"/>
              <v:stroke on="f"/>
              <v:imagedata o:title=""/>
              <o:lock v:ext="edit" aspectratio="f"/>
              <v:textbox inset="0mm,0mm,0mm,0mm">
                <w:txbxContent>
                  <w:p w14:paraId="144E688D">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95</w:t>
                    </w:r>
                    <w:r>
                      <w:rPr>
                        <w:rFonts w:ascii="Calibri" w:hAnsi="Calibri" w:eastAsia="Calibri"/>
                        <w:w w:val="99"/>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676A5">
    <w:pPr>
      <w:pStyle w:val="12"/>
      <w:kinsoku w:val="0"/>
      <w:overflowPunct w:val="0"/>
      <w:spacing w:line="14" w:lineRule="auto"/>
      <w:ind w:left="0"/>
      <w:rPr>
        <w:sz w:val="18"/>
      </w:rPr>
    </w:pPr>
    <w:r>
      <w:rPr>
        <w:rFonts w:ascii="Calibri" w:hAnsi="Calibri" w:eastAsia="Calibr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0AD08867">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9</w:t>
                          </w:r>
                          <w:r>
                            <w:rPr>
                              <w:rFonts w:ascii="Calibri" w:hAnsi="Calibri" w:eastAsia="Calibri"/>
                              <w:w w:val="99"/>
                              <w:sz w:val="18"/>
                            </w:rP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0pt;height:11pt;width:8.6pt;mso-position-horizontal:center;mso-position-horizontal-relative:margin;z-index:251659264;mso-width-relative:page;mso-height-relative:page;" filled="f" stroked="f" coordsize="21600,21600" o:gfxdata="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WRA6i0wAAAAMBAAAPAAAAAAAAAAEAIAAA&#10;ACIAAABkcnMvZG93bnJldi54bWxQSwECFAAUAAAACACHTuJAP9E6UNgBAACkAwAADgAAAAAAAAAB&#10;ACAAAAAiAQAAZHJzL2Uyb0RvYy54bWxQSwUGAAAAAAYABgBZAQAAbAUAAAAA&#10;">
              <v:fill on="f" focussize="0,0"/>
              <v:stroke on="f"/>
              <v:imagedata o:title=""/>
              <o:lock v:ext="edit" aspectratio="f"/>
              <v:textbox inset="0mm,0mm,0mm,0mm">
                <w:txbxContent>
                  <w:p w14:paraId="0AD08867">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9</w:t>
                    </w:r>
                    <w:r>
                      <w:rPr>
                        <w:rFonts w:ascii="Calibri" w:hAnsi="Calibri" w:eastAsia="Calibri"/>
                        <w:w w:val="99"/>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22D4E">
    <w:pPr>
      <w:pStyle w:val="12"/>
      <w:kinsoku w:val="0"/>
      <w:overflowPunct w:val="0"/>
      <w:spacing w:line="14" w:lineRule="auto"/>
      <w:ind w:left="0"/>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005" cy="1397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F878A72">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36</w:t>
                          </w:r>
                          <w:r>
                            <w:rPr>
                              <w:rFonts w:ascii="Calibri" w:hAnsi="Calibri" w:eastAsia="Calibri"/>
                              <w:w w:val="99"/>
                              <w:sz w:val="18"/>
                            </w:rPr>
                            <w:fldChar w:fldCharType="end"/>
                          </w:r>
                        </w:p>
                      </w:txbxContent>
                    </wps:txbx>
                    <wps:bodyPr vert="horz" wrap="square" lIns="0" tIns="0" rIns="0" bIns="0" anchor="t" anchorCtr="0" upright="1"/>
                  </wps:wsp>
                </a:graphicData>
              </a:graphic>
            </wp:anchor>
          </w:drawing>
        </mc:Choice>
        <mc:Fallback>
          <w:pict>
            <v:shape id="文本框 5" o:spid="_x0000_s1026" o:spt="202" type="#_x0000_t202" style="position:absolute;left:0pt;margin-top:0pt;height:11pt;width:13.15pt;mso-position-horizontal:center;mso-position-horizontal-relative:margin;z-index:25166028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JP2jTAAAAAwEAAA8AAAAAAAAAAQAgAAAA&#10;IgAAAGRycy9kb3ducmV2LnhtbFBLAQIUABQAAAAIAIdO4kAsxo181wEAAKQDAAAOAAAAAAAAAAEA&#10;IAAAACIBAABkcnMvZTJvRG9jLnhtbFBLBQYAAAAABgAGAFkBAABrBQAAAAA=&#10;">
              <v:fill on="f" focussize="0,0"/>
              <v:stroke on="f"/>
              <v:imagedata o:title=""/>
              <o:lock v:ext="edit" aspectratio="f"/>
              <v:textbox inset="0mm,0mm,0mm,0mm">
                <w:txbxContent>
                  <w:p w14:paraId="2F878A72">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36</w:t>
                    </w:r>
                    <w:r>
                      <w:rPr>
                        <w:rFonts w:ascii="Calibri" w:hAnsi="Calibri" w:eastAsia="Calibri"/>
                        <w:w w:val="99"/>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4998C">
    <w:pPr>
      <w:pStyle w:val="12"/>
      <w:kinsoku w:val="0"/>
      <w:overflowPunct w:val="0"/>
      <w:spacing w:line="14" w:lineRule="auto"/>
      <w:ind w:left="0"/>
      <w:rPr>
        <w:sz w:val="18"/>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67005" cy="1397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9FBD54B">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46</w:t>
                          </w:r>
                          <w:r>
                            <w:rPr>
                              <w:rFonts w:ascii="Calibri" w:hAnsi="Calibri" w:eastAsia="Calibri"/>
                              <w:w w:val="99"/>
                              <w:sz w:val="18"/>
                            </w:rPr>
                            <w:fldChar w:fldCharType="end"/>
                          </w:r>
                        </w:p>
                      </w:txbxContent>
                    </wps:txbx>
                    <wps:bodyPr wrap="square" lIns="0" tIns="0" rIns="0" bIns="0" upright="1"/>
                  </wps:wsp>
                </a:graphicData>
              </a:graphic>
            </wp:anchor>
          </w:drawing>
        </mc:Choice>
        <mc:Fallback>
          <w:pict>
            <v:shape id="文本框 7" o:spid="_x0000_s1026" o:spt="202" type="#_x0000_t202" style="position:absolute;left:0pt;margin-top:0pt;height:11pt;width:13.15pt;mso-position-horizontal:center;mso-position-horizontal-relative:margin;z-index:25166643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DdTT57BAQAAfw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1JzW7oSlhR9+/jj8+nP4&#10;/Z1dJXn6gBVV3QWqi8M7P9CjmeJIwcR6aMGmL/FhlCdx9ydx1RCZTJcur8ryDWeSUvPX1+QklOLh&#10;cgCM75W3LBk1B9pdllTsPmIcS6eS1Mv5W21M3p9x/wUIM0WKNPk4YbLisB6OdNa+2RObntZec/y2&#10;FaA4Mx8c6ZreyGTAZKwnYxtAbzoaLiuQG9BeMovjG0qL/9fPYzz8N8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sk/aNMAAAADAQAADwAAAAAAAAABACAAAAAiAAAAZHJzL2Rvd25yZXYueG1sUEsB&#10;AhQAFAAAAAgAh07iQDdTT57BAQAAfwMAAA4AAAAAAAAAAQAgAAAAIgEAAGRycy9lMm9Eb2MueG1s&#10;UEsFBgAAAAAGAAYAWQEAAFUFAAAAAA==&#10;">
              <v:fill on="f" focussize="0,0"/>
              <v:stroke on="f"/>
              <v:imagedata o:title=""/>
              <o:lock v:ext="edit" aspectratio="f"/>
              <v:textbox inset="0mm,0mm,0mm,0mm">
                <w:txbxContent>
                  <w:p w14:paraId="29FBD54B">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46</w:t>
                    </w:r>
                    <w:r>
                      <w:rPr>
                        <w:rFonts w:ascii="Calibri" w:hAnsi="Calibri" w:eastAsia="Calibri"/>
                        <w:w w:val="99"/>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09A2F">
    <w:pPr>
      <w:pStyle w:val="12"/>
      <w:kinsoku w:val="0"/>
      <w:overflowPunct w:val="0"/>
      <w:spacing w:line="14" w:lineRule="auto"/>
      <w:ind w:left="0"/>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005" cy="1397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596E056">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78</w:t>
                          </w:r>
                          <w:r>
                            <w:rPr>
                              <w:rFonts w:ascii="Calibri" w:hAnsi="Calibri" w:eastAsia="Calibri"/>
                              <w:w w:val="99"/>
                              <w:sz w:val="18"/>
                            </w:rPr>
                            <w:fldChar w:fldCharType="end"/>
                          </w:r>
                        </w:p>
                      </w:txbxContent>
                    </wps:txbx>
                    <wps:bodyPr vert="horz" wrap="square" lIns="0" tIns="0" rIns="0" bIns="0" anchor="t" anchorCtr="0" upright="1"/>
                  </wps:wsp>
                </a:graphicData>
              </a:graphic>
            </wp:anchor>
          </w:drawing>
        </mc:Choice>
        <mc:Fallback>
          <w:pict>
            <v:shape id="文本框 13" o:spid="_x0000_s1026" o:spt="202" type="#_x0000_t202" style="position:absolute;left:0pt;margin-top:0pt;height:11pt;width:13.15pt;mso-position-horizontal:center;mso-position-horizontal-relative:margin;z-index:25166131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HeZl9NgBAAClAwAADgAAAAAAAAAB&#10;ACAAAAAiAQAAZHJzL2Uyb0RvYy54bWxQSwUGAAAAAAYABgBZAQAAbAUAAAAA&#10;">
              <v:fill on="f" focussize="0,0"/>
              <v:stroke on="f"/>
              <v:imagedata o:title=""/>
              <o:lock v:ext="edit" aspectratio="f"/>
              <v:textbox inset="0mm,0mm,0mm,0mm">
                <w:txbxContent>
                  <w:p w14:paraId="6596E056">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78</w:t>
                    </w:r>
                    <w:r>
                      <w:rPr>
                        <w:rFonts w:ascii="Calibri" w:hAnsi="Calibri" w:eastAsia="Calibri"/>
                        <w:w w:val="99"/>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E47FE">
    <w:pPr>
      <w:pStyle w:val="12"/>
      <w:kinsoku w:val="0"/>
      <w:overflowPunct w:val="0"/>
      <w:spacing w:line="14" w:lineRule="auto"/>
      <w:ind w:left="0"/>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7005" cy="1397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0B422B54">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82</w:t>
                          </w:r>
                          <w:r>
                            <w:rPr>
                              <w:rFonts w:ascii="Calibri" w:hAnsi="Calibri" w:eastAsia="Calibri"/>
                              <w:w w:val="99"/>
                              <w:sz w:val="18"/>
                            </w:rPr>
                            <w:fldChar w:fldCharType="end"/>
                          </w:r>
                        </w:p>
                      </w:txbxContent>
                    </wps:txbx>
                    <wps:bodyPr vert="horz" wrap="square" lIns="0" tIns="0" rIns="0" bIns="0" anchor="t" anchorCtr="0" upright="1"/>
                  </wps:wsp>
                </a:graphicData>
              </a:graphic>
            </wp:anchor>
          </w:drawing>
        </mc:Choice>
        <mc:Fallback>
          <w:pict>
            <v:shape id="文本框 15" o:spid="_x0000_s1026" o:spt="202" type="#_x0000_t202" style="position:absolute;left:0pt;margin-top:0pt;height:11pt;width:13.15pt;mso-position-horizontal:center;mso-position-horizontal-relative:margin;z-index:25166233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V426ANgBAAClAwAADgAAAAAAAAAB&#10;ACAAAAAiAQAAZHJzL2Uyb0RvYy54bWxQSwUGAAAAAAYABgBZAQAAbAUAAAAA&#10;">
              <v:fill on="f" focussize="0,0"/>
              <v:stroke on="f"/>
              <v:imagedata o:title=""/>
              <o:lock v:ext="edit" aspectratio="f"/>
              <v:textbox inset="0mm,0mm,0mm,0mm">
                <w:txbxContent>
                  <w:p w14:paraId="0B422B54">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82</w:t>
                    </w:r>
                    <w:r>
                      <w:rPr>
                        <w:rFonts w:ascii="Calibri" w:hAnsi="Calibri" w:eastAsia="Calibri"/>
                        <w:w w:val="99"/>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3D263">
    <w:pPr>
      <w:pStyle w:val="12"/>
      <w:kinsoku w:val="0"/>
      <w:overflowPunct w:val="0"/>
      <w:spacing w:line="14" w:lineRule="auto"/>
      <w:ind w:left="0"/>
      <w:rPr>
        <w:sz w:val="20"/>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67005" cy="139700"/>
              <wp:effectExtent l="0" t="0" r="0" b="0"/>
              <wp:wrapNone/>
              <wp:docPr id="13"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7AC0466">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87</w:t>
                          </w:r>
                          <w:r>
                            <w:rPr>
                              <w:rFonts w:ascii="Calibri" w:hAnsi="Calibri" w:eastAsia="Calibri"/>
                              <w:w w:val="99"/>
                              <w:sz w:val="18"/>
                            </w:rPr>
                            <w:fldChar w:fldCharType="end"/>
                          </w:r>
                        </w:p>
                      </w:txbxContent>
                    </wps:txbx>
                    <wps:bodyPr wrap="square" lIns="0" tIns="0" rIns="0" bIns="0" upright="1"/>
                  </wps:wsp>
                </a:graphicData>
              </a:graphic>
            </wp:anchor>
          </w:drawing>
        </mc:Choice>
        <mc:Fallback>
          <w:pict>
            <v:shape id="文本框 15" o:spid="_x0000_s1026" o:spt="202" type="#_x0000_t202" style="position:absolute;left:0pt;margin-top:0pt;height:11pt;width:13.15pt;mso-position-horizontal:center;mso-position-horizontal-relative:margin;z-index:25167155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Xys1VcMBAACBAwAADgAAAAAAAAABACAAAAAiAQAAZHJzL2Uyb0RvYy54&#10;bWxQSwUGAAAAAAYABgBZAQAAVwUAAAAA&#10;">
              <v:fill on="f" focussize="0,0"/>
              <v:stroke on="f"/>
              <v:imagedata o:title=""/>
              <o:lock v:ext="edit" aspectratio="f"/>
              <v:textbox inset="0mm,0mm,0mm,0mm">
                <w:txbxContent>
                  <w:p w14:paraId="77AC0466">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87</w:t>
                    </w:r>
                    <w:r>
                      <w:rPr>
                        <w:rFonts w:ascii="Calibri" w:hAnsi="Calibri" w:eastAsia="Calibri"/>
                        <w:w w:val="99"/>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04B11">
    <w:pPr>
      <w:pStyle w:val="12"/>
      <w:kinsoku w:val="0"/>
      <w:overflowPunct w:val="0"/>
      <w:spacing w:line="14" w:lineRule="auto"/>
      <w:ind w:left="0"/>
      <w:rPr>
        <w:sz w:val="20"/>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98C7AE">
                          <w:pPr>
                            <w:pStyle w:val="16"/>
                          </w:pPr>
                          <w:r>
                            <w:fldChar w:fldCharType="begin"/>
                          </w:r>
                          <w:r>
                            <w:instrText xml:space="preserve"> PAGE  \* MERGEFORMAT </w:instrText>
                          </w:r>
                          <w:r>
                            <w:fldChar w:fldCharType="separate"/>
                          </w:r>
                          <w:r>
                            <w:t>88</w:t>
                          </w:r>
                          <w:r>
                            <w:fldChar w:fldCharType="end"/>
                          </w:r>
                        </w:p>
                      </w:txbxContent>
                    </wps:txbx>
                    <wps:bodyPr vert="horz" wrap="none" lIns="0" tIns="0" rIns="0" bIns="0" anchor="t" anchorCtr="0" upright="1">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aEbYd8BAAC/AwAADgAAAGRycy9lMm9Eb2MueG1srVPNjtMwEL4j8Q6W&#10;7zRphaCq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fc+aEpYGff/08//57/vOD&#10;vZwnfboAK0q7CZSI/Vvf09ZMfiBnot030aY/EWIUJ3VPF3VVj0ymS8vFcllSSFJsOhB+cXc9RMD3&#10;yluWjIpHGl9WVRw/Ag6pU0qq5vy1NiaP0Lj/HISZPEXqfegxWdjv+pHQztcn4kPvgOq0Pn7nrKMt&#10;qLijpefMfHAkclqYyYiTsZsM4SRdrDhyNpjvcFisQ4h63xLuPDcP4c0BqdNMILUx1B67o7lmCcYd&#10;TIvz7zln3b27z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paEbYd8BAAC/AwAADgAAAAAA&#10;AAABACAAAAAeAQAAZHJzL2Uyb0RvYy54bWxQSwUGAAAAAAYABgBZAQAAbwUAAAAA&#10;">
              <v:fill on="f" focussize="0,0"/>
              <v:stroke on="f"/>
              <v:imagedata o:title=""/>
              <o:lock v:ext="edit" aspectratio="f"/>
              <v:textbox inset="0mm,0mm,0mm,0mm" style="mso-fit-shape-to-text:t;">
                <w:txbxContent>
                  <w:p w14:paraId="0298C7AE">
                    <w:pPr>
                      <w:pStyle w:val="16"/>
                    </w:pPr>
                    <w:r>
                      <w:fldChar w:fldCharType="begin"/>
                    </w:r>
                    <w:r>
                      <w:instrText xml:space="preserve"> PAGE  \* MERGEFORMAT </w:instrText>
                    </w:r>
                    <w:r>
                      <w:fldChar w:fldCharType="separate"/>
                    </w:r>
                    <w:r>
                      <w:t>88</w:t>
                    </w:r>
                    <w:r>
                      <w:fldChar w:fldCharType="end"/>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14:paraId="72880C20">
                          <w:pPr>
                            <w:pStyle w:val="12"/>
                            <w:kinsoku w:val="0"/>
                            <w:overflowPunct w:val="0"/>
                            <w:spacing w:line="203" w:lineRule="exact"/>
                            <w:ind w:left="20"/>
                            <w:rPr>
                              <w:rFonts w:ascii="Calibri" w:hAnsi="Calibri" w:eastAsia="Calibri"/>
                              <w:sz w:val="18"/>
                            </w:rPr>
                          </w:pPr>
                          <w:r>
                            <w:rPr>
                              <w:rFonts w:ascii="Calibri" w:hAnsi="Calibri" w:eastAsia="Calibri"/>
                              <w:spacing w:val="-1"/>
                              <w:w w:val="99"/>
                              <w:sz w:val="18"/>
                            </w:rPr>
                            <w:t>80</w:t>
                          </w:r>
                        </w:p>
                      </w:txbxContent>
                    </wps:txbx>
                    <wps:bodyPr vert="horz" wrap="square" lIns="0" tIns="0" rIns="0" bIns="0" upright="1"/>
                  </wps:wsp>
                </a:graphicData>
              </a:graphic>
            </wp:anchor>
          </w:drawing>
        </mc:Choice>
        <mc:Fallback>
          <w:pict>
            <v:shape id="文本框 16" o:spid="_x0000_s1026" o:spt="202" type="#_x0000_t202" style="position:absolute;left:0pt;margin-left:300.5pt;margin-top:734.95pt;height:11pt;width:11.15pt;mso-position-horizontal-relative:page;mso-position-vertical-relative:page;z-index:-251653120;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2yQofaAAAADQEAAA8AAAAAAAAAAQAgAAAAIgAA&#10;AGRycy9kb3ducmV2LnhtbFBLAQIUABQAAAAIAIdO4kCZ4bHFzQEAAIwDAAAOAAAAAAAAAAEAIAAA&#10;ACkBAABkcnMvZTJvRG9jLnhtbFBLBQYAAAAABgAGAFkBAABoBQAAAAA=&#10;">
              <v:fill on="f" focussize="0,0"/>
              <v:stroke on="f"/>
              <v:imagedata o:title=""/>
              <o:lock v:ext="edit" aspectratio="f"/>
              <v:textbox inset="0mm,0mm,0mm,0mm">
                <w:txbxContent>
                  <w:p w14:paraId="72880C20">
                    <w:pPr>
                      <w:pStyle w:val="12"/>
                      <w:kinsoku w:val="0"/>
                      <w:overflowPunct w:val="0"/>
                      <w:spacing w:line="203" w:lineRule="exact"/>
                      <w:ind w:left="20"/>
                      <w:rPr>
                        <w:rFonts w:ascii="Calibri" w:hAnsi="Calibri" w:eastAsia="Calibri"/>
                        <w:sz w:val="18"/>
                      </w:rPr>
                    </w:pPr>
                    <w:r>
                      <w:rPr>
                        <w:rFonts w:ascii="Calibri" w:hAnsi="Calibri" w:eastAsia="Calibri"/>
                        <w:spacing w:val="-1"/>
                        <w:w w:val="99"/>
                        <w:sz w:val="18"/>
                      </w:rPr>
                      <w:t>80</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DD35C">
    <w:pPr>
      <w:pStyle w:val="12"/>
      <w:kinsoku w:val="0"/>
      <w:overflowPunct w:val="0"/>
      <w:spacing w:line="14" w:lineRule="auto"/>
      <w:ind w:left="0"/>
      <w:rPr>
        <w:sz w:val="20"/>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67005" cy="139700"/>
              <wp:effectExtent l="0" t="0" r="0" b="0"/>
              <wp:wrapNone/>
              <wp:docPr id="12"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3B65CBA1">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89</w:t>
                          </w:r>
                          <w:r>
                            <w:rPr>
                              <w:rFonts w:ascii="Calibri" w:hAnsi="Calibri" w:eastAsia="Calibri"/>
                              <w:w w:val="99"/>
                              <w:sz w:val="18"/>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7052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lDMp0sMBAACBAwAADgAAAAAAAAABACAAAAAiAQAAZHJzL2Uyb0RvYy54&#10;bWxQSwUGAAAAAAYABgBZAQAAVwUAAAAA&#10;">
              <v:fill on="f" focussize="0,0"/>
              <v:stroke on="f"/>
              <v:imagedata o:title=""/>
              <o:lock v:ext="edit" aspectratio="f"/>
              <v:textbox inset="0mm,0mm,0mm,0mm">
                <w:txbxContent>
                  <w:p w14:paraId="3B65CBA1">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89</w:t>
                    </w:r>
                    <w:r>
                      <w:rPr>
                        <w:rFonts w:ascii="Calibri" w:hAnsi="Calibri" w:eastAsia="Calibri"/>
                        <w:w w:val="99"/>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8FCD2">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052F9">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3AA03">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BB9E">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32141">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F42C2">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DC867">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F9A21">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577"/>
        </w:tabs>
        <w:ind w:left="577" w:hanging="577"/>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FAA44F7"/>
    <w:multiLevelType w:val="singleLevel"/>
    <w:tmpl w:val="6FAA44F7"/>
    <w:lvl w:ilvl="0" w:tentative="0">
      <w:start w:val="1"/>
      <w:numFmt w:val="decimal"/>
      <w:suff w:val="nothing"/>
      <w:lvlText w:val="%1、"/>
      <w:lvlJc w:val="left"/>
    </w:lvl>
  </w:abstractNum>
  <w:abstractNum w:abstractNumId="2">
    <w:nsid w:val="7F6E7801"/>
    <w:multiLevelType w:val="multilevel"/>
    <w:tmpl w:val="7F6E7801"/>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doNotValidateAgainstSchema/>
  <w:doNotDemarcateInvalidXml/>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NTFlODQ2ODg0MjNjMDMzNjNhYjhmNzVmNDVkNTkifQ=="/>
    <w:docVar w:name="KSO_WPS_MARK_KEY" w:val="449958d2-eff5-4c9a-a0bc-a461362959b0"/>
  </w:docVars>
  <w:rsids>
    <w:rsidRoot w:val="00172A27"/>
    <w:rsid w:val="00006AC5"/>
    <w:rsid w:val="00013C26"/>
    <w:rsid w:val="00013DBA"/>
    <w:rsid w:val="000369BA"/>
    <w:rsid w:val="00055E52"/>
    <w:rsid w:val="000738D7"/>
    <w:rsid w:val="00076ED3"/>
    <w:rsid w:val="00086FDA"/>
    <w:rsid w:val="00092E83"/>
    <w:rsid w:val="000C5E5A"/>
    <w:rsid w:val="000D14BC"/>
    <w:rsid w:val="000D41B5"/>
    <w:rsid w:val="00107F21"/>
    <w:rsid w:val="00111846"/>
    <w:rsid w:val="00172A27"/>
    <w:rsid w:val="00182F13"/>
    <w:rsid w:val="001867A9"/>
    <w:rsid w:val="00187F87"/>
    <w:rsid w:val="001D2381"/>
    <w:rsid w:val="00222FBE"/>
    <w:rsid w:val="00233E52"/>
    <w:rsid w:val="0029459A"/>
    <w:rsid w:val="00296AA2"/>
    <w:rsid w:val="002D1008"/>
    <w:rsid w:val="002F27B8"/>
    <w:rsid w:val="00322500"/>
    <w:rsid w:val="00324F5A"/>
    <w:rsid w:val="00336B58"/>
    <w:rsid w:val="00336EC3"/>
    <w:rsid w:val="00370984"/>
    <w:rsid w:val="00414A42"/>
    <w:rsid w:val="004474DB"/>
    <w:rsid w:val="00453456"/>
    <w:rsid w:val="00466A29"/>
    <w:rsid w:val="00471218"/>
    <w:rsid w:val="004D4411"/>
    <w:rsid w:val="00533276"/>
    <w:rsid w:val="005C40AF"/>
    <w:rsid w:val="005E0E03"/>
    <w:rsid w:val="00605CFB"/>
    <w:rsid w:val="00617BA2"/>
    <w:rsid w:val="00621E21"/>
    <w:rsid w:val="00636668"/>
    <w:rsid w:val="0069294A"/>
    <w:rsid w:val="006979FB"/>
    <w:rsid w:val="007353C6"/>
    <w:rsid w:val="00752B1F"/>
    <w:rsid w:val="00753D5E"/>
    <w:rsid w:val="007606B7"/>
    <w:rsid w:val="00774E8E"/>
    <w:rsid w:val="0077726D"/>
    <w:rsid w:val="0081227D"/>
    <w:rsid w:val="0085160E"/>
    <w:rsid w:val="00856FCB"/>
    <w:rsid w:val="008A0ADD"/>
    <w:rsid w:val="008F651C"/>
    <w:rsid w:val="009D5853"/>
    <w:rsid w:val="009E0E8C"/>
    <w:rsid w:val="009E112B"/>
    <w:rsid w:val="009E5E26"/>
    <w:rsid w:val="00A202E0"/>
    <w:rsid w:val="00A475AC"/>
    <w:rsid w:val="00A53E9D"/>
    <w:rsid w:val="00AA45C0"/>
    <w:rsid w:val="00AB376D"/>
    <w:rsid w:val="00B01F56"/>
    <w:rsid w:val="00B41BD2"/>
    <w:rsid w:val="00B5480E"/>
    <w:rsid w:val="00B913F3"/>
    <w:rsid w:val="00BD2EA5"/>
    <w:rsid w:val="00BF65C8"/>
    <w:rsid w:val="00C072C5"/>
    <w:rsid w:val="00C1137B"/>
    <w:rsid w:val="00C54343"/>
    <w:rsid w:val="00C7357F"/>
    <w:rsid w:val="00CA2A0F"/>
    <w:rsid w:val="00CB2312"/>
    <w:rsid w:val="00CB7A47"/>
    <w:rsid w:val="00CC6C41"/>
    <w:rsid w:val="00CD07EC"/>
    <w:rsid w:val="00CE42A7"/>
    <w:rsid w:val="00CF63E6"/>
    <w:rsid w:val="00D15F7D"/>
    <w:rsid w:val="00D255A3"/>
    <w:rsid w:val="00D30171"/>
    <w:rsid w:val="00D6232B"/>
    <w:rsid w:val="00DC2D5A"/>
    <w:rsid w:val="00E159F8"/>
    <w:rsid w:val="00E17399"/>
    <w:rsid w:val="00E307A7"/>
    <w:rsid w:val="00E31AC8"/>
    <w:rsid w:val="00E655CA"/>
    <w:rsid w:val="00E92E5E"/>
    <w:rsid w:val="00EC16DE"/>
    <w:rsid w:val="00EF7451"/>
    <w:rsid w:val="00F03838"/>
    <w:rsid w:val="00F23B82"/>
    <w:rsid w:val="00F2577E"/>
    <w:rsid w:val="00F41B66"/>
    <w:rsid w:val="00F77270"/>
    <w:rsid w:val="00F92FC3"/>
    <w:rsid w:val="00FA6C47"/>
    <w:rsid w:val="00FD3313"/>
    <w:rsid w:val="00FD5944"/>
    <w:rsid w:val="00FD69D9"/>
    <w:rsid w:val="00FF1337"/>
    <w:rsid w:val="00FF3DE8"/>
    <w:rsid w:val="0102542E"/>
    <w:rsid w:val="016D1799"/>
    <w:rsid w:val="017A234B"/>
    <w:rsid w:val="01811713"/>
    <w:rsid w:val="02D51A04"/>
    <w:rsid w:val="03842FE5"/>
    <w:rsid w:val="038A0253"/>
    <w:rsid w:val="04162113"/>
    <w:rsid w:val="045B6B84"/>
    <w:rsid w:val="05486CD8"/>
    <w:rsid w:val="05BB5302"/>
    <w:rsid w:val="06021E00"/>
    <w:rsid w:val="0729334D"/>
    <w:rsid w:val="07F51485"/>
    <w:rsid w:val="09175198"/>
    <w:rsid w:val="09695DE1"/>
    <w:rsid w:val="099F7199"/>
    <w:rsid w:val="09C27272"/>
    <w:rsid w:val="0A6B1FEC"/>
    <w:rsid w:val="0A8868ED"/>
    <w:rsid w:val="0B16263E"/>
    <w:rsid w:val="0FBE21B3"/>
    <w:rsid w:val="10566A15"/>
    <w:rsid w:val="10795B91"/>
    <w:rsid w:val="10804703"/>
    <w:rsid w:val="10913B38"/>
    <w:rsid w:val="10B14C22"/>
    <w:rsid w:val="114A0833"/>
    <w:rsid w:val="1182211B"/>
    <w:rsid w:val="11844F94"/>
    <w:rsid w:val="126D46CC"/>
    <w:rsid w:val="132E7181"/>
    <w:rsid w:val="16472A5F"/>
    <w:rsid w:val="16E94CD8"/>
    <w:rsid w:val="175F30F2"/>
    <w:rsid w:val="17B52FAD"/>
    <w:rsid w:val="17FA3BE0"/>
    <w:rsid w:val="190F3329"/>
    <w:rsid w:val="1C0A2194"/>
    <w:rsid w:val="1CEF7F37"/>
    <w:rsid w:val="1D137258"/>
    <w:rsid w:val="1DBA1478"/>
    <w:rsid w:val="1EAA7ACD"/>
    <w:rsid w:val="1F423B59"/>
    <w:rsid w:val="1FA45952"/>
    <w:rsid w:val="209534C5"/>
    <w:rsid w:val="20F12E19"/>
    <w:rsid w:val="22345E5B"/>
    <w:rsid w:val="2306353E"/>
    <w:rsid w:val="23E7074D"/>
    <w:rsid w:val="24475584"/>
    <w:rsid w:val="25A44C59"/>
    <w:rsid w:val="25D269ED"/>
    <w:rsid w:val="25ED3EFB"/>
    <w:rsid w:val="26943E54"/>
    <w:rsid w:val="26E86A6C"/>
    <w:rsid w:val="275814FC"/>
    <w:rsid w:val="276C144B"/>
    <w:rsid w:val="28EF1334"/>
    <w:rsid w:val="299627B0"/>
    <w:rsid w:val="2B6C3C42"/>
    <w:rsid w:val="2B8325F8"/>
    <w:rsid w:val="2BB4677D"/>
    <w:rsid w:val="2C6E3570"/>
    <w:rsid w:val="2CDB4B07"/>
    <w:rsid w:val="2E895051"/>
    <w:rsid w:val="2EA87C37"/>
    <w:rsid w:val="2EB07766"/>
    <w:rsid w:val="2F897FB2"/>
    <w:rsid w:val="2F9B208F"/>
    <w:rsid w:val="2FFF534B"/>
    <w:rsid w:val="30C67022"/>
    <w:rsid w:val="31A348F2"/>
    <w:rsid w:val="32292413"/>
    <w:rsid w:val="335C05C6"/>
    <w:rsid w:val="33B84FC8"/>
    <w:rsid w:val="355E2940"/>
    <w:rsid w:val="36EA0396"/>
    <w:rsid w:val="37377930"/>
    <w:rsid w:val="373B789A"/>
    <w:rsid w:val="374101FF"/>
    <w:rsid w:val="3A125865"/>
    <w:rsid w:val="3A4A7D8D"/>
    <w:rsid w:val="3BFD68F1"/>
    <w:rsid w:val="3D9A6C3F"/>
    <w:rsid w:val="3E2A7656"/>
    <w:rsid w:val="3ED41958"/>
    <w:rsid w:val="3FB12286"/>
    <w:rsid w:val="40632CF4"/>
    <w:rsid w:val="40A30D97"/>
    <w:rsid w:val="41D56796"/>
    <w:rsid w:val="43DA3072"/>
    <w:rsid w:val="44293F63"/>
    <w:rsid w:val="44DA57EF"/>
    <w:rsid w:val="45763769"/>
    <w:rsid w:val="4670640B"/>
    <w:rsid w:val="471C7F53"/>
    <w:rsid w:val="479C6D8B"/>
    <w:rsid w:val="47E524E0"/>
    <w:rsid w:val="4A977AF4"/>
    <w:rsid w:val="4C213D03"/>
    <w:rsid w:val="4C7E4CB1"/>
    <w:rsid w:val="4DED1912"/>
    <w:rsid w:val="4E9F590E"/>
    <w:rsid w:val="4F2D00A8"/>
    <w:rsid w:val="4FA62AF1"/>
    <w:rsid w:val="4FFF25AD"/>
    <w:rsid w:val="500C7DFB"/>
    <w:rsid w:val="506036C9"/>
    <w:rsid w:val="50F73FEE"/>
    <w:rsid w:val="51136310"/>
    <w:rsid w:val="526E487B"/>
    <w:rsid w:val="545B4B0B"/>
    <w:rsid w:val="54927C0A"/>
    <w:rsid w:val="55BD2AE1"/>
    <w:rsid w:val="56F5366D"/>
    <w:rsid w:val="56F87B9A"/>
    <w:rsid w:val="57F01934"/>
    <w:rsid w:val="58C66C34"/>
    <w:rsid w:val="59AD307A"/>
    <w:rsid w:val="5A1170DE"/>
    <w:rsid w:val="5A3D43FE"/>
    <w:rsid w:val="5BC715AF"/>
    <w:rsid w:val="5C465B82"/>
    <w:rsid w:val="5C9D73D6"/>
    <w:rsid w:val="5CAD483A"/>
    <w:rsid w:val="5D1F555A"/>
    <w:rsid w:val="5D5E4AAE"/>
    <w:rsid w:val="5F836D59"/>
    <w:rsid w:val="5F9009FE"/>
    <w:rsid w:val="5FD212FC"/>
    <w:rsid w:val="5FEA20BE"/>
    <w:rsid w:val="604678A4"/>
    <w:rsid w:val="61723CCE"/>
    <w:rsid w:val="63397B8C"/>
    <w:rsid w:val="64C33B59"/>
    <w:rsid w:val="64F831CA"/>
    <w:rsid w:val="667D1449"/>
    <w:rsid w:val="668C4B37"/>
    <w:rsid w:val="66AB743B"/>
    <w:rsid w:val="66CA3897"/>
    <w:rsid w:val="67110FB8"/>
    <w:rsid w:val="6727446B"/>
    <w:rsid w:val="6AA93751"/>
    <w:rsid w:val="6B2A0C5E"/>
    <w:rsid w:val="6ECE48B9"/>
    <w:rsid w:val="70316526"/>
    <w:rsid w:val="71942FD1"/>
    <w:rsid w:val="722A54E3"/>
    <w:rsid w:val="72482193"/>
    <w:rsid w:val="7341797A"/>
    <w:rsid w:val="744B0F16"/>
    <w:rsid w:val="75612FA2"/>
    <w:rsid w:val="75B0548E"/>
    <w:rsid w:val="767B079C"/>
    <w:rsid w:val="76C2222D"/>
    <w:rsid w:val="77A318EC"/>
    <w:rsid w:val="784210E3"/>
    <w:rsid w:val="784F69F8"/>
    <w:rsid w:val="78BE7C47"/>
    <w:rsid w:val="7B3B4788"/>
    <w:rsid w:val="7D7F0EF0"/>
    <w:rsid w:val="7DCE4049"/>
    <w:rsid w:val="7E724B78"/>
    <w:rsid w:val="7ED8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iPriority="0"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99"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3">
    <w:name w:val="heading 1"/>
    <w:basedOn w:val="4"/>
    <w:next w:val="1"/>
    <w:unhideWhenUsed/>
    <w:qFormat/>
    <w:uiPriority w:val="1"/>
    <w:pPr>
      <w:ind w:left="3"/>
      <w:jc w:val="center"/>
      <w:outlineLvl w:val="0"/>
    </w:pPr>
    <w:rPr>
      <w:rFonts w:hint="eastAsia" w:ascii="Microsoft JhengHei" w:hAnsi="Microsoft JhengHei" w:eastAsia="Microsoft JhengHei"/>
      <w:sz w:val="44"/>
    </w:rPr>
  </w:style>
  <w:style w:type="paragraph" w:styleId="5">
    <w:name w:val="heading 2"/>
    <w:basedOn w:val="3"/>
    <w:next w:val="1"/>
    <w:link w:val="41"/>
    <w:unhideWhenUsed/>
    <w:qFormat/>
    <w:uiPriority w:val="1"/>
    <w:pPr>
      <w:outlineLvl w:val="1"/>
    </w:pPr>
    <w:rPr>
      <w:rFonts w:hint="default" w:ascii="宋体" w:hAnsi="宋体" w:eastAsia="宋体"/>
      <w:sz w:val="30"/>
    </w:rPr>
  </w:style>
  <w:style w:type="paragraph" w:styleId="6">
    <w:name w:val="heading 3"/>
    <w:basedOn w:val="1"/>
    <w:next w:val="1"/>
    <w:link w:val="33"/>
    <w:unhideWhenUsed/>
    <w:qFormat/>
    <w:uiPriority w:val="1"/>
    <w:pPr>
      <w:spacing w:before="50" w:beforeLines="50" w:after="50" w:afterLines="50" w:line="360" w:lineRule="auto"/>
      <w:outlineLvl w:val="2"/>
    </w:pPr>
    <w:rPr>
      <w:rFonts w:ascii="宋体" w:hAnsi="宋体"/>
      <w:b/>
    </w:rPr>
  </w:style>
  <w:style w:type="paragraph" w:styleId="7">
    <w:name w:val="heading 4"/>
    <w:basedOn w:val="1"/>
    <w:next w:val="1"/>
    <w:unhideWhenUsed/>
    <w:qFormat/>
    <w:uiPriority w:val="1"/>
    <w:pPr>
      <w:outlineLvl w:val="3"/>
    </w:pPr>
    <w:rPr>
      <w:rFonts w:ascii="宋体" w:hAnsi="宋体"/>
      <w:sz w:val="28"/>
    </w:rPr>
  </w:style>
  <w:style w:type="paragraph" w:styleId="8">
    <w:name w:val="heading 5"/>
    <w:basedOn w:val="1"/>
    <w:next w:val="1"/>
    <w:unhideWhenUsed/>
    <w:qFormat/>
    <w:uiPriority w:val="1"/>
    <w:pPr>
      <w:ind w:left="237"/>
      <w:outlineLvl w:val="4"/>
    </w:pPr>
    <w:rPr>
      <w:rFonts w:ascii="宋体" w:hAnsi="宋体"/>
      <w:sz w:val="28"/>
    </w:rPr>
  </w:style>
  <w:style w:type="paragraph" w:styleId="9">
    <w:name w:val="heading 6"/>
    <w:basedOn w:val="1"/>
    <w:next w:val="1"/>
    <w:unhideWhenUsed/>
    <w:qFormat/>
    <w:uiPriority w:val="1"/>
    <w:pPr>
      <w:ind w:left="513"/>
      <w:outlineLvl w:val="5"/>
    </w:pPr>
    <w:rPr>
      <w:rFonts w:hint="eastAsia" w:eastAsia="Times New Roman"/>
      <w:b/>
      <w:sz w:val="21"/>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styleId="4">
    <w:name w:val="Title"/>
    <w:basedOn w:val="1"/>
    <w:qFormat/>
    <w:uiPriority w:val="99"/>
    <w:pPr>
      <w:spacing w:before="120" w:after="60"/>
      <w:jc w:val="center"/>
    </w:pPr>
    <w:rPr>
      <w:rFonts w:ascii="Arial" w:hAnsi="Arial"/>
      <w:b/>
      <w:sz w:val="44"/>
      <w:szCs w:val="20"/>
    </w:rPr>
  </w:style>
  <w:style w:type="paragraph" w:styleId="10">
    <w:name w:val="annotation text"/>
    <w:basedOn w:val="1"/>
    <w:link w:val="48"/>
    <w:unhideWhenUsed/>
    <w:qFormat/>
    <w:uiPriority w:val="99"/>
  </w:style>
  <w:style w:type="paragraph" w:styleId="11">
    <w:name w:val="Body Text 3"/>
    <w:unhideWhenUsed/>
    <w:qFormat/>
    <w:uiPriority w:val="0"/>
    <w:pPr>
      <w:widowControl w:val="0"/>
      <w:spacing w:after="120"/>
      <w:jc w:val="both"/>
    </w:pPr>
    <w:rPr>
      <w:rFonts w:hint="eastAsia" w:ascii="Times New Roman" w:hAnsi="Times New Roman" w:eastAsia="Times New Roman" w:cs="Times New Roman"/>
      <w:kern w:val="2"/>
      <w:sz w:val="16"/>
      <w:szCs w:val="16"/>
      <w:lang w:val="en-US" w:eastAsia="zh-CN" w:bidi="ar-SA"/>
    </w:rPr>
  </w:style>
  <w:style w:type="paragraph" w:styleId="12">
    <w:name w:val="Body Text"/>
    <w:basedOn w:val="1"/>
    <w:unhideWhenUsed/>
    <w:qFormat/>
    <w:uiPriority w:val="1"/>
    <w:pPr>
      <w:ind w:left="520"/>
    </w:pPr>
    <w:rPr>
      <w:rFonts w:ascii="宋体" w:hAnsi="宋体"/>
      <w:sz w:val="21"/>
    </w:rPr>
  </w:style>
  <w:style w:type="paragraph" w:styleId="13">
    <w:name w:val="toc 3"/>
    <w:basedOn w:val="1"/>
    <w:next w:val="1"/>
    <w:qFormat/>
    <w:uiPriority w:val="99"/>
    <w:pPr>
      <w:ind w:left="840" w:leftChars="400"/>
    </w:pPr>
  </w:style>
  <w:style w:type="paragraph" w:styleId="14">
    <w:name w:val="Plain Text"/>
    <w:basedOn w:val="1"/>
    <w:unhideWhenUsed/>
    <w:qFormat/>
    <w:uiPriority w:val="0"/>
    <w:rPr>
      <w:rFonts w:ascii="宋体" w:hAnsi="Courier New"/>
    </w:rPr>
  </w:style>
  <w:style w:type="paragraph" w:styleId="15">
    <w:name w:val="Balloon Text"/>
    <w:basedOn w:val="1"/>
    <w:link w:val="47"/>
    <w:qFormat/>
    <w:uiPriority w:val="99"/>
    <w:rPr>
      <w:sz w:val="18"/>
      <w:szCs w:val="18"/>
    </w:rPr>
  </w:style>
  <w:style w:type="paragraph" w:styleId="16">
    <w:name w:val="footer"/>
    <w:basedOn w:val="1"/>
    <w:unhideWhenUsed/>
    <w:qFormat/>
    <w:uiPriority w:val="99"/>
    <w:pPr>
      <w:tabs>
        <w:tab w:val="center" w:pos="4153"/>
        <w:tab w:val="right" w:pos="8306"/>
      </w:tabs>
      <w:snapToGrid w:val="0"/>
    </w:pPr>
    <w:rPr>
      <w:sz w:val="18"/>
    </w:rPr>
  </w:style>
  <w:style w:type="paragraph" w:styleId="17">
    <w:name w:val="header"/>
    <w:basedOn w:val="1"/>
    <w:unhideWhenUsed/>
    <w:qFormat/>
    <w:uiPriority w:val="99"/>
    <w:pPr>
      <w:tabs>
        <w:tab w:val="center" w:pos="4153"/>
        <w:tab w:val="right" w:pos="8306"/>
      </w:tabs>
      <w:snapToGrid w:val="0"/>
      <w:jc w:val="both"/>
    </w:pPr>
    <w:rPr>
      <w:sz w:val="18"/>
    </w:rPr>
  </w:style>
  <w:style w:type="paragraph" w:styleId="18">
    <w:name w:val="toc 1"/>
    <w:basedOn w:val="1"/>
    <w:next w:val="1"/>
    <w:qFormat/>
    <w:uiPriority w:val="99"/>
  </w:style>
  <w:style w:type="paragraph" w:styleId="19">
    <w:name w:val="toc 2"/>
    <w:basedOn w:val="1"/>
    <w:next w:val="1"/>
    <w:qFormat/>
    <w:uiPriority w:val="99"/>
    <w:pPr>
      <w:ind w:left="420" w:leftChars="200"/>
    </w:pPr>
  </w:style>
  <w:style w:type="paragraph" w:styleId="20">
    <w:name w:val="Normal (Web)"/>
    <w:basedOn w:val="1"/>
    <w:unhideWhenUsed/>
    <w:qFormat/>
    <w:uiPriority w:val="99"/>
    <w:pPr>
      <w:widowControl/>
      <w:spacing w:before="100" w:beforeAutospacing="1" w:after="100" w:afterAutospacing="1"/>
    </w:pPr>
    <w:rPr>
      <w:rFonts w:hint="eastAsia" w:eastAsia="Times New Roman"/>
    </w:rPr>
  </w:style>
  <w:style w:type="paragraph" w:styleId="21">
    <w:name w:val="annotation subject"/>
    <w:basedOn w:val="10"/>
    <w:next w:val="10"/>
    <w:link w:val="49"/>
    <w:qFormat/>
    <w:uiPriority w:val="99"/>
    <w:rPr>
      <w:b/>
      <w:bCs/>
    </w:rPr>
  </w:style>
  <w:style w:type="paragraph" w:styleId="22">
    <w:name w:val="Body Text First Indent"/>
    <w:basedOn w:val="12"/>
    <w:unhideWhenUsed/>
    <w:qFormat/>
    <w:uiPriority w:val="0"/>
    <w:pPr>
      <w:ind w:firstLine="420"/>
    </w:pPr>
    <w:rPr>
      <w:rFonts w:hint="eastAsia" w:ascii="Times New Roman" w:hAnsi="Times New Roman" w:eastAsia="楷体_GB2312"/>
      <w:sz w:val="20"/>
    </w:rPr>
  </w:style>
  <w:style w:type="paragraph" w:styleId="23">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7">
    <w:name w:val="Hyperlink"/>
    <w:unhideWhenUsed/>
    <w:qFormat/>
    <w:uiPriority w:val="99"/>
    <w:rPr>
      <w:rFonts w:hint="default" w:ascii="Arial" w:hAnsi="Arial" w:eastAsia="黑体"/>
      <w:color w:val="0000FF"/>
      <w:kern w:val="2"/>
      <w:sz w:val="21"/>
      <w:szCs w:val="24"/>
      <w:u w:val="single"/>
      <w:lang w:val="en-US" w:eastAsia="zh-CN" w:bidi="ar-SA"/>
    </w:rPr>
  </w:style>
  <w:style w:type="character" w:styleId="28">
    <w:name w:val="annotation reference"/>
    <w:basedOn w:val="26"/>
    <w:qFormat/>
    <w:uiPriority w:val="99"/>
    <w:rPr>
      <w:sz w:val="21"/>
      <w:szCs w:val="21"/>
    </w:rPr>
  </w:style>
  <w:style w:type="paragraph" w:customStyle="1" w:styleId="29">
    <w:name w:val="Body Text First Indent 21"/>
    <w:basedOn w:val="30"/>
    <w:qFormat/>
    <w:uiPriority w:val="0"/>
    <w:pPr>
      <w:spacing w:line="360" w:lineRule="auto"/>
    </w:pPr>
    <w:rPr>
      <w:rFonts w:eastAsia="宋体"/>
      <w:sz w:val="24"/>
    </w:rPr>
  </w:style>
  <w:style w:type="paragraph" w:customStyle="1" w:styleId="30">
    <w:name w:val="Body Text Indent1"/>
    <w:basedOn w:val="1"/>
    <w:qFormat/>
    <w:uiPriority w:val="0"/>
    <w:pPr>
      <w:spacing w:line="150" w:lineRule="atLeast"/>
      <w:ind w:firstLine="420" w:firstLineChars="200"/>
      <w:textAlignment w:val="baseline"/>
    </w:pPr>
    <w:rPr>
      <w:rFonts w:ascii="Times New Roman" w:hAnsi="Times New Roman" w:cs="Times New Roman"/>
      <w:szCs w:val="24"/>
      <w:lang w:bidi="ar-SA"/>
    </w:rPr>
  </w:style>
  <w:style w:type="paragraph" w:customStyle="1" w:styleId="31">
    <w:name w:val="正文缩进1"/>
    <w:basedOn w:val="32"/>
    <w:unhideWhenUsed/>
    <w:qFormat/>
    <w:uiPriority w:val="0"/>
    <w:pPr>
      <w:spacing w:line="360" w:lineRule="auto"/>
      <w:ind w:firstLine="200" w:firstLineChars="200"/>
      <w:jc w:val="both"/>
    </w:pPr>
    <w:rPr>
      <w:rFonts w:hint="eastAsia" w:ascii="Times New Roman" w:hAnsi="Times New Roman" w:eastAsia="Times New Roman"/>
      <w:kern w:val="2"/>
      <w:szCs w:val="22"/>
    </w:rPr>
  </w:style>
  <w:style w:type="paragraph" w:customStyle="1" w:styleId="32">
    <w:name w:val="正文1"/>
    <w:basedOn w:val="1"/>
    <w:unhideWhenUsed/>
    <w:qFormat/>
    <w:uiPriority w:val="0"/>
    <w:pPr>
      <w:spacing w:line="240" w:lineRule="atLeast"/>
      <w:jc w:val="center"/>
      <w:textAlignment w:val="baseline"/>
    </w:pPr>
    <w:rPr>
      <w:rFonts w:ascii="Tahoma" w:hAnsi="Tahoma"/>
    </w:rPr>
  </w:style>
  <w:style w:type="character" w:customStyle="1" w:styleId="33">
    <w:name w:val="标题 3 Char"/>
    <w:link w:val="6"/>
    <w:unhideWhenUsed/>
    <w:qFormat/>
    <w:uiPriority w:val="1"/>
    <w:rPr>
      <w:rFonts w:hint="default" w:ascii="宋体" w:hAnsi="宋体" w:eastAsia="宋体"/>
      <w:b/>
      <w:sz w:val="24"/>
      <w:szCs w:val="24"/>
    </w:rPr>
  </w:style>
  <w:style w:type="paragraph" w:customStyle="1" w:styleId="34">
    <w:name w:val="Table Paragraph"/>
    <w:basedOn w:val="1"/>
    <w:unhideWhenUsed/>
    <w:qFormat/>
    <w:uiPriority w:val="99"/>
  </w:style>
  <w:style w:type="paragraph" w:customStyle="1" w:styleId="35">
    <w:name w:val="公文正文"/>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36">
    <w:name w:val="p0"/>
    <w:basedOn w:val="1"/>
    <w:unhideWhenUsed/>
    <w:qFormat/>
    <w:uiPriority w:val="0"/>
    <w:pPr>
      <w:widowControl/>
      <w:spacing w:before="75" w:after="75"/>
    </w:pPr>
    <w:rPr>
      <w:rFonts w:ascii="宋体" w:hAnsi="宋体" w:cs="宋体"/>
    </w:rPr>
  </w:style>
  <w:style w:type="paragraph" w:customStyle="1" w:styleId="37">
    <w:name w:val="列出段落1"/>
    <w:basedOn w:val="1"/>
    <w:unhideWhenUsed/>
    <w:qFormat/>
    <w:uiPriority w:val="1"/>
  </w:style>
  <w:style w:type="paragraph" w:customStyle="1" w:styleId="38">
    <w:name w:val="文一"/>
    <w:basedOn w:val="1"/>
    <w:unhideWhenUsed/>
    <w:qFormat/>
    <w:uiPriority w:val="0"/>
    <w:pPr>
      <w:topLinePunct/>
      <w:snapToGrid w:val="0"/>
      <w:spacing w:line="360" w:lineRule="auto"/>
      <w:ind w:firstLine="200" w:firstLineChars="200"/>
    </w:pPr>
    <w:rPr>
      <w:rFonts w:ascii="Calibri" w:hAnsi="Calibri"/>
      <w:snapToGrid w:val="0"/>
      <w:spacing w:val="4"/>
    </w:rPr>
  </w:style>
  <w:style w:type="paragraph" w:customStyle="1" w:styleId="39">
    <w:name w:val="样式 宋体 行距: 1.5 倍行距"/>
    <w:basedOn w:val="1"/>
    <w:unhideWhenUsed/>
    <w:qFormat/>
    <w:uiPriority w:val="0"/>
    <w:pPr>
      <w:jc w:val="center"/>
    </w:pPr>
    <w:rPr>
      <w:b/>
    </w:rPr>
  </w:style>
  <w:style w:type="paragraph" w:customStyle="1" w:styleId="40">
    <w:name w:val="发文落款"/>
    <w:basedOn w:val="35"/>
    <w:unhideWhenUsed/>
    <w:qFormat/>
    <w:uiPriority w:val="99"/>
    <w:pPr>
      <w:ind w:left="4094" w:right="607" w:firstLine="0"/>
      <w:jc w:val="center"/>
    </w:pPr>
    <w:rPr>
      <w:rFonts w:cs="仿宋_GB2312"/>
      <w:szCs w:val="32"/>
    </w:rPr>
  </w:style>
  <w:style w:type="character" w:customStyle="1" w:styleId="41">
    <w:name w:val="标题 2 Char"/>
    <w:link w:val="5"/>
    <w:unhideWhenUsed/>
    <w:qFormat/>
    <w:uiPriority w:val="1"/>
    <w:rPr>
      <w:rFonts w:hint="default" w:ascii="宋体" w:hAnsi="宋体" w:eastAsia="宋体"/>
      <w:b/>
      <w:sz w:val="30"/>
      <w:szCs w:val="24"/>
    </w:rPr>
  </w:style>
  <w:style w:type="character" w:customStyle="1" w:styleId="42">
    <w:name w:val="NormalCharacter"/>
    <w:unhideWhenUsed/>
    <w:qFormat/>
    <w:uiPriority w:val="0"/>
    <w:rPr>
      <w:rFonts w:hint="default"/>
      <w:sz w:val="24"/>
      <w:szCs w:val="24"/>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5">
    <w:name w:val="WPSOffice手动目录 3"/>
    <w:qFormat/>
    <w:uiPriority w:val="0"/>
    <w:pPr>
      <w:ind w:left="400" w:leftChars="400"/>
    </w:pPr>
    <w:rPr>
      <w:rFonts w:ascii="Times New Roman" w:hAnsi="Times New Roman" w:eastAsia="宋体" w:cs="Times New Roman"/>
      <w:lang w:val="en-US" w:eastAsia="zh-CN" w:bidi="ar-SA"/>
    </w:rPr>
  </w:style>
  <w:style w:type="table" w:customStyle="1" w:styleId="46">
    <w:name w:val="Table Normal"/>
    <w:unhideWhenUsed/>
    <w:qFormat/>
    <w:uiPriority w:val="0"/>
    <w:tblPr>
      <w:tblCellMar>
        <w:top w:w="0" w:type="dxa"/>
        <w:left w:w="0" w:type="dxa"/>
        <w:bottom w:w="0" w:type="dxa"/>
        <w:right w:w="0" w:type="dxa"/>
      </w:tblCellMar>
    </w:tblPr>
  </w:style>
  <w:style w:type="character" w:customStyle="1" w:styleId="47">
    <w:name w:val="批注框文本 Char"/>
    <w:basedOn w:val="26"/>
    <w:link w:val="15"/>
    <w:qFormat/>
    <w:uiPriority w:val="99"/>
    <w:rPr>
      <w:sz w:val="18"/>
      <w:szCs w:val="18"/>
    </w:rPr>
  </w:style>
  <w:style w:type="character" w:customStyle="1" w:styleId="48">
    <w:name w:val="批注文字 Char"/>
    <w:basedOn w:val="26"/>
    <w:link w:val="10"/>
    <w:qFormat/>
    <w:uiPriority w:val="99"/>
    <w:rPr>
      <w:sz w:val="24"/>
      <w:szCs w:val="24"/>
    </w:rPr>
  </w:style>
  <w:style w:type="character" w:customStyle="1" w:styleId="49">
    <w:name w:val="批注主题 Char"/>
    <w:basedOn w:val="48"/>
    <w:link w:val="21"/>
    <w:qFormat/>
    <w:uiPriority w:val="99"/>
    <w:rPr>
      <w:b/>
      <w:bCs/>
      <w:sz w:val="24"/>
      <w:szCs w:val="24"/>
    </w:rPr>
  </w:style>
  <w:style w:type="paragraph" w:customStyle="1" w:styleId="50">
    <w:name w:val="BodyText1I"/>
    <w:basedOn w:val="1"/>
    <w:qFormat/>
    <w:uiPriority w:val="0"/>
    <w:pPr>
      <w:autoSpaceDE/>
      <w:autoSpaceDN/>
      <w:adjustRightInd/>
      <w:spacing w:line="360" w:lineRule="auto"/>
      <w:jc w:val="center"/>
    </w:pPr>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18986</Words>
  <Characters>20300</Characters>
  <Lines>72</Lines>
  <Paragraphs>108</Paragraphs>
  <TotalTime>6</TotalTime>
  <ScaleCrop>false</ScaleCrop>
  <LinksUpToDate>false</LinksUpToDate>
  <CharactersWithSpaces>20838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Administrator</cp:lastModifiedBy>
  <dcterms:modified xsi:type="dcterms:W3CDTF">2025-05-20T03:44:00Z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282A1064DB9A445083BEB10C705005BB_13</vt:lpwstr>
  </property>
  <property fmtid="{D5CDD505-2E9C-101B-9397-08002B2CF9AE}" pid="4" name="KSOTemplateDocerSaveRecord">
    <vt:lpwstr>eyJoZGlkIjoiYzMxNDlkMWIzYTQ4N2IzNzZmNDdlZDczZDZhMmExZGQiLCJ1c2VySWQiOiIxMjk1Mjg3NjgwIn0=</vt:lpwstr>
  </property>
</Properties>
</file>